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3B06F">
      <w:pPr>
        <w:spacing w:line="360" w:lineRule="auto"/>
        <w:jc w:val="center"/>
        <w:outlineLvl w:val="1"/>
        <w:rPr>
          <w:rFonts w:ascii="黑体" w:hAnsi="华文中宋" w:eastAsia="黑体"/>
          <w:b/>
          <w:bCs/>
          <w:color w:val="auto"/>
          <w:sz w:val="36"/>
          <w:szCs w:val="36"/>
        </w:rPr>
      </w:pPr>
      <w:r>
        <w:rPr>
          <w:rFonts w:hint="eastAsia" w:ascii="黑体" w:eastAsia="黑体"/>
          <w:color w:val="auto"/>
          <w:sz w:val="32"/>
          <w:szCs w:val="32"/>
        </w:rPr>
        <w:t>一、投标人须知前附表</w:t>
      </w:r>
    </w:p>
    <w:tbl>
      <w:tblPr>
        <w:tblStyle w:val="2"/>
        <w:tblW w:w="50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6"/>
        <w:gridCol w:w="615"/>
        <w:gridCol w:w="6801"/>
      </w:tblGrid>
      <w:tr w14:paraId="4573B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152E7876">
            <w:pPr>
              <w:topLinePunct/>
              <w:spacing w:line="360" w:lineRule="auto"/>
              <w:jc w:val="center"/>
              <w:rPr>
                <w:rFonts w:ascii="宋体" w:hAnsi="宋体"/>
                <w:b/>
                <w:color w:val="auto"/>
                <w:szCs w:val="20"/>
              </w:rPr>
            </w:pPr>
            <w:r>
              <w:rPr>
                <w:rFonts w:ascii="宋体" w:hAnsi="宋体"/>
                <w:b/>
                <w:color w:val="auto"/>
                <w:kern w:val="0"/>
                <w:szCs w:val="20"/>
              </w:rPr>
              <w:t>条款号</w:t>
            </w:r>
          </w:p>
        </w:tc>
        <w:tc>
          <w:tcPr>
            <w:tcW w:w="354" w:type="pct"/>
            <w:noWrap w:val="0"/>
            <w:vAlign w:val="center"/>
          </w:tcPr>
          <w:p w14:paraId="2BDA44C1">
            <w:pPr>
              <w:topLinePunct/>
              <w:spacing w:line="360" w:lineRule="auto"/>
              <w:jc w:val="center"/>
              <w:rPr>
                <w:rFonts w:ascii="宋体" w:hAnsi="宋体"/>
                <w:b/>
                <w:color w:val="auto"/>
                <w:szCs w:val="20"/>
              </w:rPr>
            </w:pPr>
            <w:r>
              <w:rPr>
                <w:rFonts w:hint="eastAsia" w:ascii="宋体" w:hAnsi="宋体"/>
                <w:b/>
                <w:color w:val="auto"/>
                <w:szCs w:val="20"/>
              </w:rPr>
              <w:t>条款名称</w:t>
            </w:r>
          </w:p>
        </w:tc>
        <w:tc>
          <w:tcPr>
            <w:tcW w:w="3916" w:type="pct"/>
            <w:noWrap w:val="0"/>
            <w:vAlign w:val="center"/>
          </w:tcPr>
          <w:p w14:paraId="212D398B">
            <w:pPr>
              <w:topLinePunct/>
              <w:spacing w:line="360" w:lineRule="auto"/>
              <w:jc w:val="center"/>
              <w:rPr>
                <w:rFonts w:ascii="宋体" w:hAnsi="宋体"/>
                <w:b/>
                <w:color w:val="auto"/>
                <w:szCs w:val="20"/>
              </w:rPr>
            </w:pPr>
            <w:r>
              <w:rPr>
                <w:rFonts w:hint="eastAsia" w:ascii="宋体" w:hAnsi="宋体"/>
                <w:b/>
                <w:color w:val="auto"/>
                <w:szCs w:val="20"/>
              </w:rPr>
              <w:t>编 列 内 容</w:t>
            </w:r>
          </w:p>
        </w:tc>
      </w:tr>
      <w:tr w14:paraId="13229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660DF1D0">
            <w:pPr>
              <w:topLinePunct/>
              <w:spacing w:line="360" w:lineRule="auto"/>
              <w:jc w:val="center"/>
              <w:rPr>
                <w:rFonts w:ascii="宋体" w:hAnsi="宋体"/>
                <w:color w:val="auto"/>
                <w:szCs w:val="20"/>
              </w:rPr>
            </w:pPr>
            <w:r>
              <w:rPr>
                <w:rFonts w:ascii="宋体" w:hAnsi="宋体"/>
                <w:color w:val="auto"/>
                <w:szCs w:val="21"/>
              </w:rPr>
              <w:t>1</w:t>
            </w:r>
          </w:p>
        </w:tc>
        <w:tc>
          <w:tcPr>
            <w:tcW w:w="354" w:type="pct"/>
            <w:noWrap w:val="0"/>
            <w:vAlign w:val="center"/>
          </w:tcPr>
          <w:p w14:paraId="24FE004E">
            <w:pPr>
              <w:topLinePunct/>
              <w:spacing w:line="360" w:lineRule="auto"/>
              <w:jc w:val="center"/>
              <w:rPr>
                <w:rFonts w:ascii="宋体" w:hAnsi="宋体"/>
                <w:color w:val="auto"/>
                <w:szCs w:val="20"/>
              </w:rPr>
            </w:pPr>
            <w:r>
              <w:rPr>
                <w:rFonts w:hint="eastAsia" w:ascii="宋体" w:hAnsi="宋体"/>
                <w:color w:val="auto"/>
                <w:szCs w:val="20"/>
              </w:rPr>
              <w:t>招标人</w:t>
            </w:r>
          </w:p>
        </w:tc>
        <w:tc>
          <w:tcPr>
            <w:tcW w:w="3916" w:type="pct"/>
            <w:noWrap w:val="0"/>
            <w:vAlign w:val="center"/>
          </w:tcPr>
          <w:p w14:paraId="0667BB68">
            <w:pPr>
              <w:topLinePunct/>
              <w:spacing w:line="360" w:lineRule="auto"/>
              <w:rPr>
                <w:rFonts w:hint="eastAsia" w:ascii="宋体" w:hAnsi="宋体" w:eastAsia="宋体"/>
                <w:color w:val="auto"/>
                <w:szCs w:val="20"/>
                <w:lang w:eastAsia="zh-CN"/>
              </w:rPr>
            </w:pPr>
            <w:r>
              <w:rPr>
                <w:rFonts w:hint="eastAsia" w:ascii="宋体" w:hAnsi="宋体"/>
                <w:color w:val="auto"/>
                <w:szCs w:val="20"/>
              </w:rPr>
              <w:t>名  称：</w:t>
            </w:r>
            <w:r>
              <w:rPr>
                <w:rFonts w:hint="eastAsia" w:ascii="宋体" w:hAnsi="宋体"/>
                <w:color w:val="auto"/>
                <w:szCs w:val="28"/>
                <w:lang w:eastAsia="zh-CN"/>
              </w:rPr>
              <w:t>宜宾市第十初级中学校</w:t>
            </w:r>
          </w:p>
          <w:p w14:paraId="793647B3">
            <w:pPr>
              <w:topLinePunct/>
              <w:spacing w:line="360" w:lineRule="auto"/>
              <w:rPr>
                <w:rFonts w:ascii="宋体" w:hAnsi="宋体"/>
                <w:color w:val="auto"/>
                <w:szCs w:val="20"/>
              </w:rPr>
            </w:pPr>
            <w:r>
              <w:rPr>
                <w:rFonts w:hint="eastAsia" w:ascii="宋体" w:hAnsi="宋体"/>
                <w:color w:val="auto"/>
                <w:szCs w:val="20"/>
              </w:rPr>
              <w:t>联系人：</w:t>
            </w:r>
            <w:r>
              <w:rPr>
                <w:rFonts w:hint="eastAsia" w:ascii="宋体" w:hAnsi="宋体"/>
                <w:color w:val="auto"/>
                <w:szCs w:val="20"/>
                <w:lang w:eastAsia="zh-CN"/>
              </w:rPr>
              <w:t>于老师</w:t>
            </w:r>
            <w:r>
              <w:rPr>
                <w:rFonts w:hint="eastAsia" w:ascii="宋体" w:hAnsi="宋体"/>
                <w:color w:val="auto"/>
                <w:szCs w:val="28"/>
              </w:rPr>
              <w:t xml:space="preserve">  </w:t>
            </w:r>
          </w:p>
          <w:p w14:paraId="5F0CF65B">
            <w:pPr>
              <w:topLinePunct/>
              <w:spacing w:line="360" w:lineRule="auto"/>
              <w:rPr>
                <w:rFonts w:ascii="宋体" w:hAnsi="宋体"/>
                <w:color w:val="auto"/>
                <w:szCs w:val="20"/>
              </w:rPr>
            </w:pPr>
            <w:r>
              <w:rPr>
                <w:rFonts w:hint="eastAsia" w:ascii="宋体" w:hAnsi="宋体"/>
                <w:color w:val="auto"/>
                <w:szCs w:val="20"/>
              </w:rPr>
              <w:t>电  话：</w:t>
            </w:r>
            <w:r>
              <w:rPr>
                <w:rFonts w:hint="eastAsia" w:ascii="宋体" w:hAnsi="宋体"/>
                <w:bCs/>
                <w:color w:val="auto"/>
                <w:szCs w:val="28"/>
                <w:lang w:eastAsia="zh-CN"/>
              </w:rPr>
              <w:t>15682232271</w:t>
            </w:r>
            <w:r>
              <w:rPr>
                <w:rFonts w:hint="eastAsia" w:ascii="宋体" w:hAnsi="宋体"/>
                <w:color w:val="auto"/>
                <w:szCs w:val="28"/>
              </w:rPr>
              <w:t xml:space="preserve"> </w:t>
            </w:r>
          </w:p>
        </w:tc>
      </w:tr>
      <w:tr w14:paraId="5C8CD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6" w:hRule="atLeast"/>
          <w:jc w:val="center"/>
        </w:trPr>
        <w:tc>
          <w:tcPr>
            <w:tcW w:w="729" w:type="pct"/>
            <w:noWrap w:val="0"/>
            <w:vAlign w:val="center"/>
          </w:tcPr>
          <w:p w14:paraId="4EEF23DF">
            <w:pPr>
              <w:topLinePunct/>
              <w:spacing w:line="360" w:lineRule="auto"/>
              <w:jc w:val="center"/>
              <w:rPr>
                <w:rFonts w:ascii="宋体" w:hAnsi="宋体"/>
                <w:color w:val="auto"/>
                <w:szCs w:val="20"/>
              </w:rPr>
            </w:pPr>
            <w:r>
              <w:rPr>
                <w:rFonts w:hint="eastAsia" w:ascii="宋体" w:hAnsi="宋体"/>
                <w:color w:val="auto"/>
                <w:szCs w:val="21"/>
              </w:rPr>
              <w:t>2</w:t>
            </w:r>
          </w:p>
        </w:tc>
        <w:tc>
          <w:tcPr>
            <w:tcW w:w="354" w:type="pct"/>
            <w:noWrap w:val="0"/>
            <w:vAlign w:val="center"/>
          </w:tcPr>
          <w:p w14:paraId="3BA52CD6">
            <w:pPr>
              <w:topLinePunct/>
              <w:spacing w:line="360" w:lineRule="auto"/>
              <w:jc w:val="center"/>
              <w:rPr>
                <w:rFonts w:ascii="宋体" w:hAnsi="宋体"/>
                <w:color w:val="auto"/>
                <w:szCs w:val="20"/>
              </w:rPr>
            </w:pPr>
            <w:r>
              <w:rPr>
                <w:rFonts w:hint="eastAsia" w:ascii="宋体" w:hAnsi="宋体"/>
                <w:color w:val="auto"/>
                <w:szCs w:val="20"/>
              </w:rPr>
              <w:t>招标代理机构</w:t>
            </w:r>
          </w:p>
        </w:tc>
        <w:tc>
          <w:tcPr>
            <w:tcW w:w="3916" w:type="pct"/>
            <w:noWrap w:val="0"/>
            <w:vAlign w:val="center"/>
          </w:tcPr>
          <w:p w14:paraId="6FA878E8">
            <w:pPr>
              <w:topLinePunct/>
              <w:spacing w:line="360" w:lineRule="auto"/>
              <w:rPr>
                <w:rFonts w:hint="eastAsia" w:ascii="宋体" w:hAnsi="宋体" w:eastAsia="宋体"/>
                <w:color w:val="auto"/>
                <w:szCs w:val="20"/>
                <w:lang w:eastAsia="zh-CN"/>
              </w:rPr>
            </w:pPr>
            <w:r>
              <w:rPr>
                <w:rFonts w:hint="eastAsia" w:ascii="宋体" w:hAnsi="宋体"/>
                <w:color w:val="auto"/>
                <w:szCs w:val="20"/>
              </w:rPr>
              <w:t>名  称：</w:t>
            </w:r>
            <w:r>
              <w:rPr>
                <w:rFonts w:hint="eastAsia" w:ascii="宋体" w:hAnsi="宋体"/>
                <w:color w:val="auto"/>
                <w:szCs w:val="20"/>
                <w:lang w:eastAsia="zh-CN"/>
              </w:rPr>
              <w:t>宜宾市政府采购中心三江新区分中心</w:t>
            </w:r>
          </w:p>
          <w:p w14:paraId="7ED709D8">
            <w:pPr>
              <w:topLinePunct/>
              <w:spacing w:line="360" w:lineRule="auto"/>
              <w:rPr>
                <w:rFonts w:hint="eastAsia" w:ascii="宋体" w:hAnsi="宋体" w:eastAsia="宋体"/>
                <w:color w:val="auto"/>
                <w:szCs w:val="20"/>
                <w:lang w:eastAsia="zh-CN"/>
              </w:rPr>
            </w:pPr>
            <w:r>
              <w:rPr>
                <w:rFonts w:hint="eastAsia" w:ascii="宋体" w:hAnsi="宋体"/>
                <w:color w:val="auto"/>
                <w:szCs w:val="20"/>
              </w:rPr>
              <w:t>联系人：</w:t>
            </w:r>
            <w:r>
              <w:rPr>
                <w:rFonts w:hint="eastAsia" w:ascii="宋体" w:hAnsi="宋体"/>
                <w:color w:val="auto"/>
                <w:szCs w:val="20"/>
                <w:lang w:eastAsia="zh-CN"/>
              </w:rPr>
              <w:t>陈老师</w:t>
            </w:r>
          </w:p>
          <w:p w14:paraId="7CA5BC7A">
            <w:pPr>
              <w:topLinePunct/>
              <w:spacing w:line="360" w:lineRule="auto"/>
              <w:rPr>
                <w:rFonts w:hint="eastAsia" w:ascii="宋体" w:hAnsi="宋体" w:eastAsia="宋体"/>
                <w:color w:val="auto"/>
                <w:szCs w:val="21"/>
                <w:lang w:eastAsia="zh-CN"/>
              </w:rPr>
            </w:pPr>
            <w:r>
              <w:rPr>
                <w:rFonts w:hint="eastAsia" w:ascii="宋体" w:hAnsi="宋体"/>
                <w:color w:val="auto"/>
                <w:szCs w:val="20"/>
              </w:rPr>
              <w:t>电  话：</w:t>
            </w:r>
            <w:r>
              <w:rPr>
                <w:rFonts w:hint="eastAsia" w:ascii="宋体" w:hAnsi="宋体"/>
                <w:color w:val="auto"/>
                <w:szCs w:val="20"/>
                <w:lang w:eastAsia="zh-CN"/>
              </w:rPr>
              <w:t>0831-2108608</w:t>
            </w:r>
          </w:p>
        </w:tc>
      </w:tr>
      <w:tr w14:paraId="35DBB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34FEB2D1">
            <w:pPr>
              <w:topLinePunct/>
              <w:spacing w:line="360" w:lineRule="auto"/>
              <w:jc w:val="center"/>
              <w:rPr>
                <w:rFonts w:ascii="宋体" w:hAnsi="宋体"/>
                <w:color w:val="auto"/>
                <w:szCs w:val="21"/>
              </w:rPr>
            </w:pPr>
            <w:r>
              <w:rPr>
                <w:rFonts w:hint="eastAsia" w:ascii="宋体" w:hAnsi="宋体"/>
                <w:color w:val="auto"/>
                <w:szCs w:val="21"/>
              </w:rPr>
              <w:t>3</w:t>
            </w:r>
          </w:p>
        </w:tc>
        <w:tc>
          <w:tcPr>
            <w:tcW w:w="354" w:type="pct"/>
            <w:noWrap w:val="0"/>
            <w:vAlign w:val="center"/>
          </w:tcPr>
          <w:p w14:paraId="385BCC62">
            <w:pPr>
              <w:topLinePunct/>
              <w:spacing w:line="360" w:lineRule="auto"/>
              <w:jc w:val="center"/>
              <w:rPr>
                <w:rFonts w:ascii="宋体" w:hAnsi="宋体"/>
                <w:color w:val="auto"/>
                <w:szCs w:val="21"/>
              </w:rPr>
            </w:pPr>
            <w:r>
              <w:rPr>
                <w:rFonts w:hint="eastAsia" w:ascii="宋体" w:hAnsi="宋体"/>
                <w:color w:val="auto"/>
                <w:szCs w:val="21"/>
                <w:lang w:val="zh-CN"/>
              </w:rPr>
              <w:t>招标文件编号</w:t>
            </w:r>
          </w:p>
        </w:tc>
        <w:tc>
          <w:tcPr>
            <w:tcW w:w="3916" w:type="pct"/>
            <w:noWrap w:val="0"/>
            <w:vAlign w:val="center"/>
          </w:tcPr>
          <w:p w14:paraId="60BBD78F">
            <w:pPr>
              <w:topLinePunct/>
              <w:spacing w:line="360" w:lineRule="auto"/>
              <w:rPr>
                <w:rFonts w:hint="eastAsia" w:ascii="宋体" w:hAnsi="宋体" w:eastAsia="宋体" w:cs="宋体"/>
                <w:color w:val="auto"/>
                <w:kern w:val="0"/>
                <w:szCs w:val="21"/>
                <w:lang w:eastAsia="zh-CN"/>
              </w:rPr>
            </w:pPr>
            <w:r>
              <w:rPr>
                <w:rFonts w:hint="eastAsia" w:ascii="宋体" w:hAnsi="宋体"/>
                <w:bCs/>
                <w:snapToGrid w:val="0"/>
                <w:color w:val="auto"/>
                <w:kern w:val="0"/>
                <w:szCs w:val="21"/>
                <w:lang w:eastAsia="zh-CN"/>
              </w:rPr>
              <w:t>宜三非公〔2025〕1号</w:t>
            </w:r>
          </w:p>
        </w:tc>
      </w:tr>
      <w:tr w14:paraId="4622C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7CA2FA06">
            <w:pPr>
              <w:topLinePunct/>
              <w:spacing w:line="360" w:lineRule="auto"/>
              <w:jc w:val="center"/>
              <w:rPr>
                <w:rFonts w:ascii="宋体" w:hAnsi="宋体"/>
                <w:color w:val="auto"/>
                <w:szCs w:val="21"/>
              </w:rPr>
            </w:pPr>
            <w:r>
              <w:rPr>
                <w:rFonts w:hint="eastAsia" w:ascii="宋体" w:hAnsi="宋体"/>
                <w:color w:val="auto"/>
                <w:szCs w:val="21"/>
              </w:rPr>
              <w:t>4</w:t>
            </w:r>
          </w:p>
        </w:tc>
        <w:tc>
          <w:tcPr>
            <w:tcW w:w="354" w:type="pct"/>
            <w:noWrap w:val="0"/>
            <w:vAlign w:val="center"/>
          </w:tcPr>
          <w:p w14:paraId="03A98076">
            <w:pPr>
              <w:topLinePunct/>
              <w:spacing w:line="360" w:lineRule="auto"/>
              <w:jc w:val="center"/>
              <w:rPr>
                <w:rFonts w:ascii="宋体" w:hAnsi="宋体"/>
                <w:color w:val="auto"/>
                <w:szCs w:val="21"/>
              </w:rPr>
            </w:pPr>
            <w:r>
              <w:rPr>
                <w:rFonts w:hint="eastAsia" w:ascii="宋体" w:hAnsi="宋体"/>
                <w:color w:val="auto"/>
                <w:szCs w:val="21"/>
              </w:rPr>
              <w:t>项目名称</w:t>
            </w:r>
          </w:p>
        </w:tc>
        <w:tc>
          <w:tcPr>
            <w:tcW w:w="3916" w:type="pct"/>
            <w:noWrap w:val="0"/>
            <w:vAlign w:val="center"/>
          </w:tcPr>
          <w:p w14:paraId="41A7375F">
            <w:pPr>
              <w:topLinePunct/>
              <w:spacing w:line="360" w:lineRule="auto"/>
              <w:rPr>
                <w:rFonts w:hint="eastAsia" w:ascii="宋体" w:hAnsi="宋体" w:cs="宋体"/>
                <w:color w:val="auto"/>
                <w:kern w:val="0"/>
                <w:szCs w:val="21"/>
              </w:rPr>
            </w:pPr>
            <w:r>
              <w:rPr>
                <w:rFonts w:hint="eastAsia" w:ascii="宋体" w:hAnsi="宋体" w:cs="宋体"/>
                <w:color w:val="auto"/>
                <w:kern w:val="0"/>
                <w:szCs w:val="21"/>
                <w:lang w:eastAsia="zh-CN"/>
              </w:rPr>
              <w:t>宜宾三江新区中小学（上片区）2025—2026学年非营养餐原材料采购项目</w:t>
            </w:r>
            <w:r>
              <w:rPr>
                <w:rFonts w:hint="eastAsia" w:ascii="宋体" w:hAnsi="宋体" w:cs="宋体"/>
                <w:color w:val="auto"/>
                <w:kern w:val="0"/>
                <w:szCs w:val="21"/>
              </w:rPr>
              <w:t>。</w:t>
            </w:r>
          </w:p>
        </w:tc>
      </w:tr>
      <w:tr w14:paraId="32C26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154DC5C2">
            <w:pPr>
              <w:topLinePunct/>
              <w:spacing w:line="360" w:lineRule="auto"/>
              <w:jc w:val="center"/>
              <w:rPr>
                <w:rFonts w:ascii="宋体" w:hAnsi="宋体"/>
                <w:color w:val="auto"/>
                <w:szCs w:val="20"/>
              </w:rPr>
            </w:pPr>
            <w:r>
              <w:rPr>
                <w:rFonts w:hint="eastAsia" w:ascii="宋体" w:hAnsi="宋体"/>
                <w:color w:val="auto"/>
                <w:szCs w:val="21"/>
              </w:rPr>
              <w:t>5</w:t>
            </w:r>
          </w:p>
        </w:tc>
        <w:tc>
          <w:tcPr>
            <w:tcW w:w="354" w:type="pct"/>
            <w:noWrap w:val="0"/>
            <w:vAlign w:val="center"/>
          </w:tcPr>
          <w:p w14:paraId="004A10C1">
            <w:pPr>
              <w:topLinePunct/>
              <w:spacing w:line="360" w:lineRule="auto"/>
              <w:jc w:val="center"/>
              <w:rPr>
                <w:rFonts w:ascii="宋体" w:hAnsi="宋体"/>
                <w:color w:val="auto"/>
                <w:szCs w:val="20"/>
              </w:rPr>
            </w:pPr>
            <w:r>
              <w:rPr>
                <w:rFonts w:hint="eastAsia" w:ascii="宋体" w:hAnsi="宋体"/>
                <w:color w:val="auto"/>
                <w:szCs w:val="21"/>
              </w:rPr>
              <w:t>招标主要内容</w:t>
            </w:r>
          </w:p>
        </w:tc>
        <w:tc>
          <w:tcPr>
            <w:tcW w:w="3916" w:type="pct"/>
            <w:noWrap w:val="0"/>
            <w:vAlign w:val="center"/>
          </w:tcPr>
          <w:p w14:paraId="460F16E9">
            <w:pPr>
              <w:spacing w:line="360" w:lineRule="auto"/>
              <w:rPr>
                <w:rFonts w:hint="eastAsia" w:ascii="宋体" w:hAnsi="宋体"/>
                <w:color w:val="auto"/>
                <w:szCs w:val="20"/>
              </w:rPr>
            </w:pPr>
            <w:r>
              <w:rPr>
                <w:rFonts w:ascii="宋体" w:hAnsi="宋体"/>
                <w:color w:val="auto"/>
                <w:szCs w:val="20"/>
              </w:rPr>
              <w:t>本次</w:t>
            </w:r>
            <w:r>
              <w:rPr>
                <w:rFonts w:hint="eastAsia" w:ascii="宋体" w:hAnsi="宋体"/>
                <w:color w:val="auto"/>
                <w:szCs w:val="20"/>
              </w:rPr>
              <w:t>招标</w:t>
            </w:r>
            <w:r>
              <w:rPr>
                <w:rFonts w:ascii="宋体" w:hAnsi="宋体"/>
                <w:color w:val="auto"/>
                <w:szCs w:val="20"/>
              </w:rPr>
              <w:t>的</w:t>
            </w:r>
            <w:r>
              <w:rPr>
                <w:rFonts w:hint="eastAsia" w:ascii="宋体" w:hAnsi="宋体"/>
                <w:color w:val="auto"/>
                <w:szCs w:val="20"/>
              </w:rPr>
              <w:t>货物共计3包，即：01包粮油类食品、02包生鲜类食品、03包其他类食品。</w:t>
            </w:r>
          </w:p>
        </w:tc>
      </w:tr>
      <w:tr w14:paraId="0BCA7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6E246316">
            <w:pPr>
              <w:topLinePunct/>
              <w:spacing w:line="360" w:lineRule="auto"/>
              <w:jc w:val="center"/>
              <w:rPr>
                <w:rFonts w:ascii="宋体" w:hAnsi="宋体"/>
                <w:color w:val="auto"/>
                <w:szCs w:val="20"/>
              </w:rPr>
            </w:pPr>
            <w:r>
              <w:rPr>
                <w:rFonts w:ascii="宋体" w:hAnsi="宋体"/>
                <w:color w:val="auto"/>
                <w:szCs w:val="21"/>
              </w:rPr>
              <w:t>6</w:t>
            </w:r>
          </w:p>
        </w:tc>
        <w:tc>
          <w:tcPr>
            <w:tcW w:w="354" w:type="pct"/>
            <w:noWrap w:val="0"/>
            <w:vAlign w:val="center"/>
          </w:tcPr>
          <w:p w14:paraId="0775B3A5">
            <w:pPr>
              <w:topLinePunct/>
              <w:spacing w:line="360" w:lineRule="auto"/>
              <w:jc w:val="center"/>
              <w:rPr>
                <w:rFonts w:ascii="宋体" w:hAnsi="宋体"/>
                <w:color w:val="auto"/>
                <w:szCs w:val="20"/>
              </w:rPr>
            </w:pPr>
            <w:r>
              <w:rPr>
                <w:rFonts w:hint="eastAsia" w:ascii="宋体" w:hAnsi="宋体"/>
                <w:color w:val="auto"/>
                <w:szCs w:val="20"/>
              </w:rPr>
              <w:t>投标人</w:t>
            </w:r>
            <w:r>
              <w:rPr>
                <w:rFonts w:ascii="宋体" w:hAnsi="宋体"/>
                <w:color w:val="auto"/>
                <w:szCs w:val="20"/>
              </w:rPr>
              <w:t>应当提供的</w:t>
            </w:r>
          </w:p>
          <w:p w14:paraId="4CA7780B">
            <w:pPr>
              <w:topLinePunct/>
              <w:spacing w:line="360" w:lineRule="auto"/>
              <w:jc w:val="center"/>
              <w:rPr>
                <w:rFonts w:ascii="宋体" w:hAnsi="宋体"/>
                <w:color w:val="auto"/>
                <w:szCs w:val="20"/>
              </w:rPr>
            </w:pPr>
            <w:r>
              <w:rPr>
                <w:rFonts w:ascii="宋体" w:hAnsi="宋体"/>
                <w:color w:val="auto"/>
                <w:szCs w:val="20"/>
              </w:rPr>
              <w:t>资格、资质</w:t>
            </w:r>
            <w:r>
              <w:rPr>
                <w:rFonts w:hint="eastAsia" w:ascii="宋体" w:hAnsi="宋体"/>
                <w:color w:val="auto"/>
                <w:szCs w:val="20"/>
              </w:rPr>
              <w:t>性</w:t>
            </w:r>
            <w:r>
              <w:rPr>
                <w:rFonts w:ascii="宋体" w:hAnsi="宋体"/>
                <w:color w:val="auto"/>
                <w:szCs w:val="20"/>
              </w:rPr>
              <w:t>及其他</w:t>
            </w:r>
          </w:p>
          <w:p w14:paraId="142761CB">
            <w:pPr>
              <w:topLinePunct/>
              <w:spacing w:line="360" w:lineRule="auto"/>
              <w:jc w:val="center"/>
              <w:rPr>
                <w:rFonts w:ascii="宋体" w:hAnsi="宋体"/>
                <w:color w:val="auto"/>
                <w:szCs w:val="20"/>
              </w:rPr>
            </w:pPr>
            <w:r>
              <w:rPr>
                <w:rFonts w:ascii="宋体" w:hAnsi="宋体"/>
                <w:color w:val="auto"/>
                <w:szCs w:val="20"/>
              </w:rPr>
              <w:t>类似效力要求</w:t>
            </w:r>
          </w:p>
        </w:tc>
        <w:tc>
          <w:tcPr>
            <w:tcW w:w="3916" w:type="pct"/>
            <w:noWrap w:val="0"/>
            <w:vAlign w:val="center"/>
          </w:tcPr>
          <w:p w14:paraId="04F45735">
            <w:pPr>
              <w:topLinePunct/>
              <w:spacing w:line="360" w:lineRule="auto"/>
              <w:rPr>
                <w:rFonts w:ascii="宋体" w:hAnsi="宋体"/>
                <w:color w:val="auto"/>
                <w:szCs w:val="20"/>
              </w:rPr>
            </w:pPr>
            <w:r>
              <w:rPr>
                <w:rFonts w:hint="eastAsia" w:ascii="宋体" w:hAnsi="宋体"/>
                <w:color w:val="auto"/>
                <w:szCs w:val="20"/>
              </w:rPr>
              <w:t>投标人应按第四、五章要求，将</w:t>
            </w:r>
            <w:r>
              <w:rPr>
                <w:rFonts w:ascii="宋体" w:hAnsi="宋体"/>
                <w:color w:val="auto"/>
                <w:szCs w:val="20"/>
              </w:rPr>
              <w:t>应当提供的资格、资质</w:t>
            </w:r>
            <w:r>
              <w:rPr>
                <w:rFonts w:hint="eastAsia" w:ascii="宋体" w:hAnsi="宋体"/>
                <w:color w:val="auto"/>
                <w:szCs w:val="20"/>
              </w:rPr>
              <w:t>性</w:t>
            </w:r>
            <w:r>
              <w:rPr>
                <w:rFonts w:ascii="宋体" w:hAnsi="宋体"/>
                <w:color w:val="auto"/>
                <w:szCs w:val="20"/>
              </w:rPr>
              <w:t>及其他类似效力要求</w:t>
            </w:r>
            <w:r>
              <w:rPr>
                <w:rFonts w:hint="eastAsia" w:ascii="宋体" w:hAnsi="宋体"/>
                <w:color w:val="auto"/>
                <w:szCs w:val="20"/>
              </w:rPr>
              <w:t>的相关证明材料，添加到《宜宾市政府采购投标书编制系统》中（该章有关资格审查文件另有特殊要求的除外）。</w:t>
            </w:r>
          </w:p>
        </w:tc>
      </w:tr>
      <w:tr w14:paraId="0879E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7ED4EAE7">
            <w:pPr>
              <w:topLinePunct/>
              <w:spacing w:line="360" w:lineRule="auto"/>
              <w:jc w:val="center"/>
              <w:rPr>
                <w:rFonts w:ascii="宋体" w:hAnsi="宋体"/>
                <w:color w:val="auto"/>
                <w:szCs w:val="21"/>
              </w:rPr>
            </w:pPr>
            <w:r>
              <w:rPr>
                <w:rFonts w:ascii="宋体" w:hAnsi="宋体"/>
                <w:color w:val="auto"/>
                <w:szCs w:val="21"/>
              </w:rPr>
              <w:t>7</w:t>
            </w:r>
          </w:p>
        </w:tc>
        <w:tc>
          <w:tcPr>
            <w:tcW w:w="354" w:type="pct"/>
            <w:noWrap w:val="0"/>
            <w:vAlign w:val="center"/>
          </w:tcPr>
          <w:p w14:paraId="316884BF">
            <w:pPr>
              <w:topLinePunct/>
              <w:spacing w:line="360" w:lineRule="auto"/>
              <w:jc w:val="center"/>
              <w:rPr>
                <w:rFonts w:ascii="宋体" w:hAnsi="宋体"/>
                <w:color w:val="auto"/>
                <w:szCs w:val="21"/>
              </w:rPr>
            </w:pPr>
            <w:r>
              <w:rPr>
                <w:rFonts w:hint="eastAsia" w:ascii="宋体" w:hAnsi="宋体"/>
                <w:color w:val="auto"/>
                <w:szCs w:val="21"/>
              </w:rPr>
              <w:t>是否接受联合体投标</w:t>
            </w:r>
          </w:p>
        </w:tc>
        <w:tc>
          <w:tcPr>
            <w:tcW w:w="3916" w:type="pct"/>
            <w:noWrap w:val="0"/>
            <w:vAlign w:val="center"/>
          </w:tcPr>
          <w:p w14:paraId="7C76DB00">
            <w:pPr>
              <w:topLinePunct/>
              <w:spacing w:line="360" w:lineRule="auto"/>
              <w:rPr>
                <w:rFonts w:ascii="宋体" w:hAnsi="宋体"/>
                <w:color w:val="auto"/>
                <w:szCs w:val="21"/>
              </w:rPr>
            </w:pPr>
            <w:r>
              <w:rPr>
                <w:rFonts w:hint="eastAsia" w:ascii="MS Mincho" w:hAnsi="MS Mincho" w:eastAsia="MS Mincho" w:cs="MS Mincho"/>
                <w:color w:val="auto"/>
                <w:sz w:val="24"/>
                <w:szCs w:val="24"/>
              </w:rPr>
              <w:t>☑</w:t>
            </w:r>
            <w:r>
              <w:rPr>
                <w:rFonts w:hint="eastAsia" w:ascii="宋体" w:hAnsi="宋体"/>
                <w:color w:val="auto"/>
                <w:szCs w:val="21"/>
              </w:rPr>
              <w:t>不接受</w:t>
            </w:r>
          </w:p>
          <w:p w14:paraId="4F8B5E17">
            <w:pPr>
              <w:topLinePunct/>
              <w:spacing w:line="360" w:lineRule="auto"/>
              <w:rPr>
                <w:rFonts w:ascii="宋体" w:hAnsi="宋体"/>
                <w:color w:val="auto"/>
                <w:szCs w:val="21"/>
              </w:rPr>
            </w:pPr>
            <w:r>
              <w:rPr>
                <w:rFonts w:hint="eastAsia" w:ascii="宋体" w:hAnsi="宋体"/>
                <w:color w:val="auto"/>
                <w:szCs w:val="21"/>
              </w:rPr>
              <w:t>□ 接受，应满足下列要求：</w:t>
            </w:r>
            <w:r>
              <w:rPr>
                <w:rFonts w:hint="eastAsia" w:ascii="宋体" w:hAnsi="宋体" w:cs="宋体"/>
                <w:color w:val="auto"/>
                <w:kern w:val="0"/>
                <w:sz w:val="24"/>
                <w:szCs w:val="20"/>
                <w:u w:val="single"/>
              </w:rPr>
              <w:t xml:space="preserve">                      </w:t>
            </w:r>
          </w:p>
          <w:p w14:paraId="40C6CE06">
            <w:pPr>
              <w:topLinePunct/>
              <w:spacing w:line="360" w:lineRule="auto"/>
              <w:rPr>
                <w:rFonts w:ascii="宋体" w:hAnsi="宋体"/>
                <w:color w:val="auto"/>
                <w:szCs w:val="20"/>
              </w:rPr>
            </w:pPr>
            <w:r>
              <w:rPr>
                <w:rFonts w:hint="eastAsia" w:ascii="宋体" w:hAnsi="宋体"/>
                <w:color w:val="auto"/>
                <w:szCs w:val="21"/>
              </w:rPr>
              <w:t>注：本项为单项选择。</w:t>
            </w:r>
          </w:p>
        </w:tc>
      </w:tr>
      <w:tr w14:paraId="08BFF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69E0ED2F">
            <w:pPr>
              <w:topLinePunct/>
              <w:spacing w:line="360" w:lineRule="auto"/>
              <w:jc w:val="center"/>
              <w:rPr>
                <w:rFonts w:ascii="宋体" w:hAnsi="宋体"/>
                <w:color w:val="auto"/>
                <w:szCs w:val="21"/>
              </w:rPr>
            </w:pPr>
            <w:r>
              <w:rPr>
                <w:rFonts w:ascii="宋体" w:hAnsi="宋体"/>
                <w:color w:val="auto"/>
                <w:szCs w:val="21"/>
              </w:rPr>
              <w:t>8</w:t>
            </w:r>
          </w:p>
        </w:tc>
        <w:tc>
          <w:tcPr>
            <w:tcW w:w="354" w:type="pct"/>
            <w:noWrap w:val="0"/>
            <w:vAlign w:val="center"/>
          </w:tcPr>
          <w:p w14:paraId="7F333A14">
            <w:pPr>
              <w:topLinePunct/>
              <w:spacing w:line="360" w:lineRule="auto"/>
              <w:jc w:val="center"/>
              <w:rPr>
                <w:rFonts w:ascii="宋体" w:hAnsi="宋体"/>
                <w:color w:val="auto"/>
                <w:szCs w:val="20"/>
              </w:rPr>
            </w:pPr>
            <w:r>
              <w:rPr>
                <w:rFonts w:hint="eastAsia" w:ascii="宋体" w:hAnsi="宋体"/>
                <w:color w:val="auto"/>
                <w:szCs w:val="20"/>
              </w:rPr>
              <w:t>现场踏勘</w:t>
            </w:r>
          </w:p>
        </w:tc>
        <w:tc>
          <w:tcPr>
            <w:tcW w:w="3916" w:type="pct"/>
            <w:noWrap w:val="0"/>
            <w:vAlign w:val="center"/>
          </w:tcPr>
          <w:p w14:paraId="3C9612CF">
            <w:pPr>
              <w:topLinePunct/>
              <w:spacing w:line="360" w:lineRule="auto"/>
              <w:rPr>
                <w:rFonts w:ascii="宋体" w:hAnsi="宋体"/>
                <w:color w:val="auto"/>
                <w:szCs w:val="20"/>
              </w:rPr>
            </w:pPr>
            <w:r>
              <w:rPr>
                <w:rFonts w:hint="eastAsia" w:ascii="MS Mincho" w:hAnsi="MS Mincho" w:eastAsia="MS Mincho" w:cs="MS Mincho"/>
                <w:color w:val="auto"/>
                <w:sz w:val="24"/>
                <w:szCs w:val="24"/>
              </w:rPr>
              <w:t>☑</w:t>
            </w:r>
            <w:r>
              <w:rPr>
                <w:rFonts w:hint="eastAsia" w:ascii="宋体" w:hAnsi="宋体"/>
                <w:color w:val="auto"/>
                <w:szCs w:val="20"/>
              </w:rPr>
              <w:t xml:space="preserve">无  </w:t>
            </w:r>
            <w:r>
              <w:rPr>
                <w:rFonts w:hint="eastAsia" w:ascii="宋体" w:hAnsi="宋体" w:cs="宋体"/>
                <w:color w:val="auto"/>
                <w:szCs w:val="21"/>
              </w:rPr>
              <w:t>□</w:t>
            </w:r>
            <w:r>
              <w:rPr>
                <w:rFonts w:hint="eastAsia" w:ascii="宋体" w:hAnsi="宋体"/>
                <w:color w:val="auto"/>
                <w:szCs w:val="20"/>
              </w:rPr>
              <w:t>有，</w:t>
            </w:r>
            <w:r>
              <w:rPr>
                <w:rFonts w:hint="eastAsia" w:ascii="宋体" w:hAnsi="宋体" w:cs="宋体"/>
                <w:color w:val="auto"/>
                <w:kern w:val="0"/>
                <w:sz w:val="24"/>
                <w:szCs w:val="20"/>
                <w:u w:val="single"/>
              </w:rPr>
              <w:t xml:space="preserve">        </w:t>
            </w:r>
          </w:p>
        </w:tc>
      </w:tr>
      <w:tr w14:paraId="40BBC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17A5E7FD">
            <w:pPr>
              <w:topLinePunct/>
              <w:spacing w:line="360" w:lineRule="auto"/>
              <w:jc w:val="center"/>
              <w:rPr>
                <w:rFonts w:ascii="宋体" w:hAnsi="宋体"/>
                <w:color w:val="auto"/>
                <w:szCs w:val="21"/>
              </w:rPr>
            </w:pPr>
            <w:r>
              <w:rPr>
                <w:rFonts w:ascii="宋体" w:hAnsi="宋体"/>
                <w:color w:val="auto"/>
                <w:szCs w:val="21"/>
              </w:rPr>
              <w:t>9</w:t>
            </w:r>
          </w:p>
        </w:tc>
        <w:tc>
          <w:tcPr>
            <w:tcW w:w="354" w:type="pct"/>
            <w:noWrap w:val="0"/>
            <w:vAlign w:val="center"/>
          </w:tcPr>
          <w:p w14:paraId="5B6997BF">
            <w:pPr>
              <w:topLinePunct/>
              <w:spacing w:line="360" w:lineRule="auto"/>
              <w:jc w:val="center"/>
              <w:rPr>
                <w:rFonts w:ascii="宋体" w:hAnsi="宋体"/>
                <w:color w:val="auto"/>
                <w:szCs w:val="20"/>
              </w:rPr>
            </w:pPr>
            <w:r>
              <w:rPr>
                <w:rFonts w:hint="eastAsia" w:ascii="宋体" w:hAnsi="宋体"/>
                <w:color w:val="auto"/>
                <w:szCs w:val="20"/>
              </w:rPr>
              <w:t>标前答疑会</w:t>
            </w:r>
          </w:p>
        </w:tc>
        <w:tc>
          <w:tcPr>
            <w:tcW w:w="3916" w:type="pct"/>
            <w:noWrap w:val="0"/>
            <w:vAlign w:val="center"/>
          </w:tcPr>
          <w:p w14:paraId="665DAD6E">
            <w:pPr>
              <w:topLinePunct/>
              <w:spacing w:line="360" w:lineRule="auto"/>
              <w:rPr>
                <w:rFonts w:ascii="宋体" w:hAnsi="宋体"/>
                <w:color w:val="auto"/>
                <w:szCs w:val="20"/>
              </w:rPr>
            </w:pPr>
            <w:r>
              <w:rPr>
                <w:rFonts w:hint="eastAsia" w:ascii="MS Mincho" w:hAnsi="MS Mincho" w:eastAsia="MS Mincho" w:cs="MS Mincho"/>
                <w:color w:val="auto"/>
                <w:sz w:val="24"/>
                <w:szCs w:val="24"/>
              </w:rPr>
              <w:t>☑</w:t>
            </w:r>
            <w:r>
              <w:rPr>
                <w:rFonts w:hint="eastAsia" w:ascii="宋体" w:hAnsi="宋体"/>
                <w:color w:val="auto"/>
                <w:szCs w:val="20"/>
              </w:rPr>
              <w:t xml:space="preserve">无  </w:t>
            </w:r>
            <w:r>
              <w:rPr>
                <w:rFonts w:hint="eastAsia" w:ascii="宋体" w:hAnsi="宋体" w:cs="宋体"/>
                <w:color w:val="auto"/>
                <w:szCs w:val="21"/>
              </w:rPr>
              <w:t>□</w:t>
            </w:r>
            <w:r>
              <w:rPr>
                <w:rFonts w:hint="eastAsia" w:ascii="宋体" w:hAnsi="宋体"/>
                <w:color w:val="auto"/>
                <w:szCs w:val="20"/>
              </w:rPr>
              <w:t>有：</w:t>
            </w:r>
            <w:r>
              <w:rPr>
                <w:rFonts w:hint="eastAsia" w:ascii="宋体" w:hAnsi="宋体" w:cs="宋体"/>
                <w:color w:val="auto"/>
                <w:kern w:val="0"/>
                <w:sz w:val="24"/>
                <w:szCs w:val="20"/>
                <w:u w:val="single"/>
              </w:rPr>
              <w:t xml:space="preserve">        </w:t>
            </w:r>
          </w:p>
        </w:tc>
      </w:tr>
      <w:tr w14:paraId="7D8FE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716A4448">
            <w:pPr>
              <w:topLinePunct/>
              <w:spacing w:line="360" w:lineRule="auto"/>
              <w:jc w:val="center"/>
              <w:rPr>
                <w:rFonts w:ascii="宋体" w:hAnsi="宋体"/>
                <w:color w:val="auto"/>
                <w:szCs w:val="21"/>
              </w:rPr>
            </w:pPr>
            <w:r>
              <w:rPr>
                <w:rFonts w:ascii="宋体" w:hAnsi="宋体"/>
                <w:color w:val="auto"/>
                <w:szCs w:val="21"/>
              </w:rPr>
              <w:t>10</w:t>
            </w:r>
          </w:p>
        </w:tc>
        <w:tc>
          <w:tcPr>
            <w:tcW w:w="354" w:type="pct"/>
            <w:noWrap w:val="0"/>
            <w:vAlign w:val="center"/>
          </w:tcPr>
          <w:p w14:paraId="4676363A">
            <w:pPr>
              <w:topLinePunct/>
              <w:spacing w:line="360" w:lineRule="auto"/>
              <w:jc w:val="center"/>
              <w:rPr>
                <w:rFonts w:ascii="宋体" w:hAnsi="宋体"/>
                <w:color w:val="auto"/>
                <w:szCs w:val="20"/>
              </w:rPr>
            </w:pPr>
            <w:r>
              <w:rPr>
                <w:rFonts w:hint="eastAsia"/>
                <w:color w:val="auto"/>
                <w:szCs w:val="21"/>
                <w:lang w:val="zh-CN"/>
              </w:rPr>
              <w:t>合同分包</w:t>
            </w:r>
          </w:p>
        </w:tc>
        <w:tc>
          <w:tcPr>
            <w:tcW w:w="3916" w:type="pct"/>
            <w:noWrap w:val="0"/>
            <w:vAlign w:val="center"/>
          </w:tcPr>
          <w:p w14:paraId="65AD46A6">
            <w:pPr>
              <w:topLinePunct/>
              <w:spacing w:line="360" w:lineRule="auto"/>
              <w:rPr>
                <w:rFonts w:ascii="宋体" w:hAnsi="宋体"/>
                <w:color w:val="auto"/>
                <w:szCs w:val="20"/>
              </w:rPr>
            </w:pPr>
            <w:r>
              <w:rPr>
                <w:rFonts w:hint="eastAsia" w:ascii="宋体" w:hAnsi="宋体"/>
                <w:color w:val="auto"/>
                <w:szCs w:val="21"/>
              </w:rPr>
              <w:t xml:space="preserve">□允许  </w:t>
            </w:r>
            <w:r>
              <w:rPr>
                <w:rFonts w:hint="eastAsia" w:ascii="MS Mincho" w:hAnsi="MS Mincho" w:eastAsia="MS Mincho" w:cs="MS Mincho"/>
                <w:color w:val="auto"/>
                <w:sz w:val="24"/>
                <w:szCs w:val="24"/>
              </w:rPr>
              <w:t>☑</w:t>
            </w:r>
            <w:r>
              <w:rPr>
                <w:rFonts w:hint="eastAsia" w:ascii="宋体" w:hAnsi="宋体"/>
                <w:color w:val="auto"/>
                <w:szCs w:val="21"/>
              </w:rPr>
              <w:t>不允许</w:t>
            </w:r>
          </w:p>
        </w:tc>
      </w:tr>
      <w:tr w14:paraId="48048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0975EBC8">
            <w:pPr>
              <w:topLinePunct/>
              <w:spacing w:line="360" w:lineRule="auto"/>
              <w:jc w:val="center"/>
              <w:rPr>
                <w:rFonts w:ascii="宋体" w:hAnsi="宋体"/>
                <w:color w:val="auto"/>
                <w:szCs w:val="21"/>
              </w:rPr>
            </w:pPr>
            <w:r>
              <w:rPr>
                <w:rFonts w:ascii="宋体" w:hAnsi="宋体"/>
                <w:color w:val="auto"/>
                <w:szCs w:val="21"/>
              </w:rPr>
              <w:t>11</w:t>
            </w:r>
          </w:p>
        </w:tc>
        <w:tc>
          <w:tcPr>
            <w:tcW w:w="354" w:type="pct"/>
            <w:noWrap w:val="0"/>
            <w:vAlign w:val="center"/>
          </w:tcPr>
          <w:p w14:paraId="47DA9BDE">
            <w:pPr>
              <w:topLinePunct/>
              <w:spacing w:line="360" w:lineRule="auto"/>
              <w:jc w:val="center"/>
              <w:rPr>
                <w:rFonts w:ascii="宋体" w:hAnsi="宋体"/>
                <w:color w:val="auto"/>
                <w:szCs w:val="20"/>
              </w:rPr>
            </w:pPr>
            <w:r>
              <w:rPr>
                <w:rFonts w:hint="eastAsia" w:ascii="宋体" w:hAnsi="宋体"/>
                <w:color w:val="auto"/>
                <w:szCs w:val="21"/>
              </w:rPr>
              <w:t>招标预算</w:t>
            </w:r>
          </w:p>
        </w:tc>
        <w:tc>
          <w:tcPr>
            <w:tcW w:w="3916" w:type="pct"/>
            <w:noWrap w:val="0"/>
            <w:vAlign w:val="center"/>
          </w:tcPr>
          <w:tbl>
            <w:tblPr>
              <w:tblStyle w:val="2"/>
              <w:tblW w:w="467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9"/>
              <w:gridCol w:w="2913"/>
              <w:gridCol w:w="1031"/>
              <w:gridCol w:w="1889"/>
            </w:tblGrid>
            <w:tr w14:paraId="7A671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14:paraId="6B56D3D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序号</w:t>
                  </w:r>
                </w:p>
              </w:tc>
              <w:tc>
                <w:tcPr>
                  <w:tcW w:w="2363" w:type="pct"/>
                  <w:tcBorders>
                    <w:top w:val="single" w:color="000000" w:sz="4" w:space="0"/>
                    <w:left w:val="single" w:color="000000" w:sz="4" w:space="0"/>
                    <w:bottom w:val="single" w:color="000000" w:sz="4" w:space="0"/>
                    <w:right w:val="single" w:color="000000" w:sz="4" w:space="0"/>
                  </w:tcBorders>
                  <w:noWrap w:val="0"/>
                  <w:vAlign w:val="center"/>
                </w:tcPr>
                <w:p w14:paraId="7F6BCA2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学校</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540D5CD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预计每天用餐人数</w:t>
                  </w:r>
                </w:p>
              </w:tc>
              <w:tc>
                <w:tcPr>
                  <w:tcW w:w="1532" w:type="pct"/>
                  <w:tcBorders>
                    <w:top w:val="single" w:color="000000" w:sz="4" w:space="0"/>
                    <w:left w:val="single" w:color="000000" w:sz="4" w:space="0"/>
                    <w:bottom w:val="single" w:color="000000" w:sz="4" w:space="0"/>
                    <w:right w:val="single" w:color="000000" w:sz="4" w:space="0"/>
                  </w:tcBorders>
                  <w:noWrap w:val="0"/>
                  <w:vAlign w:val="center"/>
                </w:tcPr>
                <w:p w14:paraId="35A74D2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一学年采购预计总金额</w:t>
                  </w:r>
                </w:p>
              </w:tc>
            </w:tr>
            <w:tr w14:paraId="3FFBA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trPr>
              <w:tc>
                <w:tcPr>
                  <w:tcW w:w="267" w:type="pct"/>
                  <w:tcBorders>
                    <w:top w:val="single" w:color="000000" w:sz="4" w:space="0"/>
                    <w:left w:val="single" w:color="000000" w:sz="4" w:space="0"/>
                    <w:bottom w:val="single" w:color="000000" w:sz="4" w:space="0"/>
                    <w:right w:val="single" w:color="000000" w:sz="4" w:space="0"/>
                  </w:tcBorders>
                  <w:noWrap/>
                  <w:vAlign w:val="center"/>
                </w:tcPr>
                <w:p w14:paraId="63DFCE2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2363" w:type="pct"/>
                  <w:tcBorders>
                    <w:top w:val="single" w:color="000000" w:sz="4" w:space="0"/>
                    <w:left w:val="single" w:color="000000" w:sz="4" w:space="0"/>
                    <w:bottom w:val="single" w:color="000000" w:sz="4" w:space="0"/>
                    <w:right w:val="single" w:color="000000" w:sz="4" w:space="0"/>
                  </w:tcBorders>
                  <w:noWrap/>
                  <w:vAlign w:val="center"/>
                </w:tcPr>
                <w:p w14:paraId="55225CCC">
                  <w:pPr>
                    <w:keepNext w:val="0"/>
                    <w:keepLines w:val="0"/>
                    <w:pageBreakBefore w:val="0"/>
                    <w:widowControl/>
                    <w:kinsoku/>
                    <w:wordWrap/>
                    <w:overflowPunct/>
                    <w:topLinePunct w:val="0"/>
                    <w:autoSpaceDE w:val="0"/>
                    <w:autoSpaceDN/>
                    <w:bidi w:val="0"/>
                    <w:adjustRightInd/>
                    <w:snapToGrid/>
                    <w:spacing w:line="240" w:lineRule="auto"/>
                    <w:ind w:firstLine="480" w:firstLineChars="200"/>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color w:val="auto"/>
                      <w:kern w:val="0"/>
                      <w:sz w:val="24"/>
                      <w:szCs w:val="24"/>
                    </w:rPr>
                    <w:t>宜宾三江新区第一实验小学校</w:t>
                  </w:r>
                </w:p>
              </w:tc>
              <w:tc>
                <w:tcPr>
                  <w:tcW w:w="836" w:type="pct"/>
                  <w:tcBorders>
                    <w:top w:val="single" w:color="000000" w:sz="4" w:space="0"/>
                    <w:left w:val="single" w:color="000000" w:sz="4" w:space="0"/>
                    <w:bottom w:val="single" w:color="000000" w:sz="4" w:space="0"/>
                    <w:right w:val="single" w:color="000000" w:sz="4" w:space="0"/>
                  </w:tcBorders>
                  <w:noWrap/>
                  <w:vAlign w:val="center"/>
                </w:tcPr>
                <w:p w14:paraId="2C3EC63D">
                  <w:pPr>
                    <w:keepNext w:val="0"/>
                    <w:keepLines w:val="0"/>
                    <w:pageBreakBefore w:val="0"/>
                    <w:widowControl/>
                    <w:kinsoku/>
                    <w:wordWrap/>
                    <w:overflowPunct/>
                    <w:topLinePunct w:val="0"/>
                    <w:autoSpaceDE w:val="0"/>
                    <w:autoSpaceDN/>
                    <w:bidi w:val="0"/>
                    <w:adjustRightInd/>
                    <w:snapToGrid/>
                    <w:spacing w:line="240" w:lineRule="auto"/>
                    <w:jc w:val="both"/>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2800人</w:t>
                  </w:r>
                </w:p>
              </w:tc>
              <w:tc>
                <w:tcPr>
                  <w:tcW w:w="1532" w:type="pct"/>
                  <w:tcBorders>
                    <w:top w:val="single" w:color="000000" w:sz="4" w:space="0"/>
                    <w:left w:val="single" w:color="000000" w:sz="4" w:space="0"/>
                    <w:bottom w:val="single" w:color="000000" w:sz="4" w:space="0"/>
                    <w:right w:val="single" w:color="000000" w:sz="4" w:space="0"/>
                  </w:tcBorders>
                  <w:noWrap/>
                  <w:vAlign w:val="center"/>
                </w:tcPr>
                <w:p w14:paraId="0BA82972">
                  <w:pPr>
                    <w:keepNext w:val="0"/>
                    <w:keepLines w:val="0"/>
                    <w:pageBreakBefore w:val="0"/>
                    <w:widowControl/>
                    <w:kinsoku/>
                    <w:wordWrap/>
                    <w:overflowPunct/>
                    <w:topLinePunct w:val="0"/>
                    <w:autoSpaceDE w:val="0"/>
                    <w:autoSpaceDN/>
                    <w:bidi w:val="0"/>
                    <w:adjustRightInd/>
                    <w:snapToGrid/>
                    <w:spacing w:line="240" w:lineRule="auto"/>
                    <w:ind w:firstLine="480" w:firstLineChars="200"/>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304.84万</w:t>
                  </w:r>
                </w:p>
              </w:tc>
            </w:tr>
            <w:tr w14:paraId="32138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7" w:type="pct"/>
                  <w:tcBorders>
                    <w:top w:val="single" w:color="000000" w:sz="4" w:space="0"/>
                    <w:left w:val="single" w:color="000000" w:sz="4" w:space="0"/>
                    <w:bottom w:val="single" w:color="000000" w:sz="4" w:space="0"/>
                    <w:right w:val="single" w:color="000000" w:sz="4" w:space="0"/>
                  </w:tcBorders>
                  <w:noWrap/>
                  <w:vAlign w:val="center"/>
                </w:tcPr>
                <w:p w14:paraId="53F1C3B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2363" w:type="pct"/>
                  <w:tcBorders>
                    <w:top w:val="single" w:color="000000" w:sz="4" w:space="0"/>
                    <w:left w:val="single" w:color="000000" w:sz="4" w:space="0"/>
                    <w:bottom w:val="single" w:color="000000" w:sz="4" w:space="0"/>
                    <w:right w:val="single" w:color="000000" w:sz="4" w:space="0"/>
                  </w:tcBorders>
                  <w:noWrap/>
                  <w:vAlign w:val="center"/>
                </w:tcPr>
                <w:p w14:paraId="1BBFBDB9">
                  <w:pPr>
                    <w:keepNext w:val="0"/>
                    <w:keepLines w:val="0"/>
                    <w:pageBreakBefore w:val="0"/>
                    <w:widowControl/>
                    <w:kinsoku/>
                    <w:wordWrap/>
                    <w:overflowPunct/>
                    <w:topLinePunct w:val="0"/>
                    <w:autoSpaceDE w:val="0"/>
                    <w:autoSpaceDN/>
                    <w:bidi w:val="0"/>
                    <w:adjustRightInd/>
                    <w:snapToGrid/>
                    <w:spacing w:line="240" w:lineRule="auto"/>
                    <w:ind w:firstLine="480" w:firstLineChars="200"/>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color w:val="auto"/>
                      <w:kern w:val="0"/>
                      <w:sz w:val="24"/>
                      <w:szCs w:val="24"/>
                    </w:rPr>
                    <w:t>宜宾市双城小学校</w:t>
                  </w:r>
                </w:p>
              </w:tc>
              <w:tc>
                <w:tcPr>
                  <w:tcW w:w="836" w:type="pct"/>
                  <w:tcBorders>
                    <w:top w:val="single" w:color="000000" w:sz="4" w:space="0"/>
                    <w:left w:val="single" w:color="000000" w:sz="4" w:space="0"/>
                    <w:bottom w:val="single" w:color="000000" w:sz="4" w:space="0"/>
                    <w:right w:val="single" w:color="000000" w:sz="4" w:space="0"/>
                  </w:tcBorders>
                  <w:noWrap/>
                  <w:vAlign w:val="center"/>
                </w:tcPr>
                <w:p w14:paraId="6B97E132">
                  <w:pPr>
                    <w:keepNext w:val="0"/>
                    <w:keepLines w:val="0"/>
                    <w:pageBreakBefore w:val="0"/>
                    <w:widowControl/>
                    <w:kinsoku/>
                    <w:wordWrap/>
                    <w:overflowPunct/>
                    <w:topLinePunct w:val="0"/>
                    <w:autoSpaceDE w:val="0"/>
                    <w:autoSpaceDN/>
                    <w:bidi w:val="0"/>
                    <w:adjustRightInd/>
                    <w:snapToGrid/>
                    <w:spacing w:line="240" w:lineRule="auto"/>
                    <w:jc w:val="both"/>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2060人</w:t>
                  </w:r>
                </w:p>
              </w:tc>
              <w:tc>
                <w:tcPr>
                  <w:tcW w:w="1532" w:type="pct"/>
                  <w:tcBorders>
                    <w:top w:val="single" w:color="000000" w:sz="4" w:space="0"/>
                    <w:left w:val="single" w:color="000000" w:sz="4" w:space="0"/>
                    <w:bottom w:val="single" w:color="000000" w:sz="4" w:space="0"/>
                    <w:right w:val="single" w:color="000000" w:sz="4" w:space="0"/>
                  </w:tcBorders>
                  <w:noWrap/>
                  <w:vAlign w:val="center"/>
                </w:tcPr>
                <w:p w14:paraId="3B00F09F">
                  <w:pPr>
                    <w:keepNext w:val="0"/>
                    <w:keepLines w:val="0"/>
                    <w:pageBreakBefore w:val="0"/>
                    <w:widowControl/>
                    <w:kinsoku/>
                    <w:wordWrap/>
                    <w:overflowPunct/>
                    <w:topLinePunct w:val="0"/>
                    <w:autoSpaceDE w:val="0"/>
                    <w:autoSpaceDN/>
                    <w:bidi w:val="0"/>
                    <w:adjustRightInd/>
                    <w:snapToGrid/>
                    <w:spacing w:line="240" w:lineRule="auto"/>
                    <w:ind w:firstLine="480" w:firstLineChars="200"/>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284.76万</w:t>
                  </w:r>
                </w:p>
              </w:tc>
            </w:tr>
            <w:tr w14:paraId="5378F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7" w:type="pct"/>
                  <w:tcBorders>
                    <w:top w:val="single" w:color="000000" w:sz="4" w:space="0"/>
                    <w:left w:val="single" w:color="000000" w:sz="4" w:space="0"/>
                    <w:bottom w:val="single" w:color="000000" w:sz="4" w:space="0"/>
                    <w:right w:val="single" w:color="000000" w:sz="4" w:space="0"/>
                  </w:tcBorders>
                  <w:noWrap/>
                  <w:vAlign w:val="center"/>
                </w:tcPr>
                <w:p w14:paraId="0980C01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3</w:t>
                  </w:r>
                </w:p>
              </w:tc>
              <w:tc>
                <w:tcPr>
                  <w:tcW w:w="2363" w:type="pct"/>
                  <w:tcBorders>
                    <w:top w:val="single" w:color="000000" w:sz="4" w:space="0"/>
                    <w:left w:val="single" w:color="000000" w:sz="4" w:space="0"/>
                    <w:bottom w:val="single" w:color="000000" w:sz="4" w:space="0"/>
                    <w:right w:val="single" w:color="000000" w:sz="4" w:space="0"/>
                  </w:tcBorders>
                  <w:noWrap/>
                  <w:vAlign w:val="center"/>
                </w:tcPr>
                <w:p w14:paraId="5B2AF01E">
                  <w:pPr>
                    <w:keepNext w:val="0"/>
                    <w:keepLines w:val="0"/>
                    <w:pageBreakBefore w:val="0"/>
                    <w:widowControl/>
                    <w:kinsoku/>
                    <w:wordWrap/>
                    <w:overflowPunct/>
                    <w:topLinePunct w:val="0"/>
                    <w:autoSpaceDE w:val="0"/>
                    <w:autoSpaceDN/>
                    <w:bidi w:val="0"/>
                    <w:adjustRightInd/>
                    <w:snapToGrid/>
                    <w:spacing w:line="240" w:lineRule="auto"/>
                    <w:ind w:firstLine="480" w:firstLineChars="200"/>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color w:val="auto"/>
                      <w:kern w:val="0"/>
                      <w:sz w:val="24"/>
                      <w:szCs w:val="24"/>
                    </w:rPr>
                    <w:t>宜宾市洪漠小学校</w:t>
                  </w:r>
                </w:p>
              </w:tc>
              <w:tc>
                <w:tcPr>
                  <w:tcW w:w="836" w:type="pct"/>
                  <w:tcBorders>
                    <w:top w:val="single" w:color="000000" w:sz="4" w:space="0"/>
                    <w:left w:val="single" w:color="000000" w:sz="4" w:space="0"/>
                    <w:bottom w:val="single" w:color="000000" w:sz="4" w:space="0"/>
                    <w:right w:val="single" w:color="000000" w:sz="4" w:space="0"/>
                  </w:tcBorders>
                  <w:noWrap/>
                  <w:vAlign w:val="center"/>
                </w:tcPr>
                <w:p w14:paraId="435EB9F0">
                  <w:pPr>
                    <w:keepNext w:val="0"/>
                    <w:keepLines w:val="0"/>
                    <w:pageBreakBefore w:val="0"/>
                    <w:widowControl/>
                    <w:kinsoku/>
                    <w:wordWrap/>
                    <w:overflowPunct/>
                    <w:topLinePunct w:val="0"/>
                    <w:autoSpaceDE w:val="0"/>
                    <w:autoSpaceDN/>
                    <w:bidi w:val="0"/>
                    <w:adjustRightInd/>
                    <w:snapToGrid/>
                    <w:spacing w:line="240" w:lineRule="auto"/>
                    <w:jc w:val="both"/>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2400人</w:t>
                  </w:r>
                </w:p>
              </w:tc>
              <w:tc>
                <w:tcPr>
                  <w:tcW w:w="1532" w:type="pct"/>
                  <w:tcBorders>
                    <w:top w:val="single" w:color="000000" w:sz="4" w:space="0"/>
                    <w:left w:val="single" w:color="000000" w:sz="4" w:space="0"/>
                    <w:bottom w:val="single" w:color="000000" w:sz="4" w:space="0"/>
                    <w:right w:val="single" w:color="000000" w:sz="4" w:space="0"/>
                  </w:tcBorders>
                  <w:noWrap/>
                  <w:vAlign w:val="center"/>
                </w:tcPr>
                <w:p w14:paraId="0942C31E">
                  <w:pPr>
                    <w:keepNext w:val="0"/>
                    <w:keepLines w:val="0"/>
                    <w:pageBreakBefore w:val="0"/>
                    <w:widowControl/>
                    <w:kinsoku/>
                    <w:wordWrap/>
                    <w:overflowPunct/>
                    <w:topLinePunct w:val="0"/>
                    <w:autoSpaceDE w:val="0"/>
                    <w:autoSpaceDN/>
                    <w:bidi w:val="0"/>
                    <w:adjustRightInd/>
                    <w:snapToGrid/>
                    <w:spacing w:line="240" w:lineRule="auto"/>
                    <w:ind w:firstLine="480" w:firstLineChars="200"/>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279.53万</w:t>
                  </w:r>
                </w:p>
              </w:tc>
            </w:tr>
            <w:tr w14:paraId="35C14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7" w:type="pct"/>
                  <w:tcBorders>
                    <w:top w:val="single" w:color="000000" w:sz="4" w:space="0"/>
                    <w:left w:val="single" w:color="000000" w:sz="4" w:space="0"/>
                    <w:bottom w:val="single" w:color="000000" w:sz="4" w:space="0"/>
                    <w:right w:val="single" w:color="000000" w:sz="4" w:space="0"/>
                  </w:tcBorders>
                  <w:noWrap/>
                  <w:vAlign w:val="center"/>
                </w:tcPr>
                <w:p w14:paraId="0633B62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4</w:t>
                  </w:r>
                </w:p>
              </w:tc>
              <w:tc>
                <w:tcPr>
                  <w:tcW w:w="2363" w:type="pct"/>
                  <w:tcBorders>
                    <w:top w:val="single" w:color="000000" w:sz="4" w:space="0"/>
                    <w:left w:val="single" w:color="000000" w:sz="4" w:space="0"/>
                    <w:bottom w:val="single" w:color="000000" w:sz="4" w:space="0"/>
                    <w:right w:val="single" w:color="000000" w:sz="4" w:space="0"/>
                  </w:tcBorders>
                  <w:noWrap/>
                  <w:vAlign w:val="center"/>
                </w:tcPr>
                <w:p w14:paraId="7C223DFE">
                  <w:pPr>
                    <w:keepNext w:val="0"/>
                    <w:keepLines w:val="0"/>
                    <w:pageBreakBefore w:val="0"/>
                    <w:widowControl/>
                    <w:kinsoku/>
                    <w:wordWrap/>
                    <w:overflowPunct/>
                    <w:topLinePunct w:val="0"/>
                    <w:autoSpaceDE w:val="0"/>
                    <w:autoSpaceDN/>
                    <w:bidi w:val="0"/>
                    <w:adjustRightInd/>
                    <w:snapToGrid/>
                    <w:spacing w:line="240" w:lineRule="auto"/>
                    <w:ind w:firstLine="480" w:firstLineChars="200"/>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color w:val="auto"/>
                      <w:kern w:val="0"/>
                      <w:sz w:val="24"/>
                      <w:szCs w:val="24"/>
                    </w:rPr>
                    <w:t>宜宾市洗马池小学校</w:t>
                  </w:r>
                </w:p>
              </w:tc>
              <w:tc>
                <w:tcPr>
                  <w:tcW w:w="836" w:type="pct"/>
                  <w:tcBorders>
                    <w:top w:val="single" w:color="000000" w:sz="4" w:space="0"/>
                    <w:left w:val="single" w:color="000000" w:sz="4" w:space="0"/>
                    <w:bottom w:val="single" w:color="000000" w:sz="4" w:space="0"/>
                    <w:right w:val="single" w:color="000000" w:sz="4" w:space="0"/>
                  </w:tcBorders>
                  <w:noWrap/>
                  <w:vAlign w:val="center"/>
                </w:tcPr>
                <w:p w14:paraId="6F03D2FB">
                  <w:pPr>
                    <w:keepNext w:val="0"/>
                    <w:keepLines w:val="0"/>
                    <w:pageBreakBefore w:val="0"/>
                    <w:widowControl/>
                    <w:kinsoku/>
                    <w:wordWrap/>
                    <w:overflowPunct/>
                    <w:topLinePunct w:val="0"/>
                    <w:autoSpaceDE w:val="0"/>
                    <w:autoSpaceDN/>
                    <w:bidi w:val="0"/>
                    <w:adjustRightInd/>
                    <w:snapToGrid/>
                    <w:spacing w:line="240" w:lineRule="auto"/>
                    <w:jc w:val="both"/>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2350人</w:t>
                  </w:r>
                </w:p>
              </w:tc>
              <w:tc>
                <w:tcPr>
                  <w:tcW w:w="1532" w:type="pct"/>
                  <w:tcBorders>
                    <w:top w:val="single" w:color="000000" w:sz="4" w:space="0"/>
                    <w:left w:val="single" w:color="000000" w:sz="4" w:space="0"/>
                    <w:bottom w:val="single" w:color="000000" w:sz="4" w:space="0"/>
                    <w:right w:val="single" w:color="000000" w:sz="4" w:space="0"/>
                  </w:tcBorders>
                  <w:noWrap/>
                  <w:vAlign w:val="center"/>
                </w:tcPr>
                <w:p w14:paraId="556CD22B">
                  <w:pPr>
                    <w:keepNext w:val="0"/>
                    <w:keepLines w:val="0"/>
                    <w:pageBreakBefore w:val="0"/>
                    <w:widowControl/>
                    <w:kinsoku/>
                    <w:wordWrap/>
                    <w:overflowPunct/>
                    <w:topLinePunct w:val="0"/>
                    <w:autoSpaceDE w:val="0"/>
                    <w:autoSpaceDN/>
                    <w:bidi w:val="0"/>
                    <w:adjustRightInd/>
                    <w:snapToGrid/>
                    <w:spacing w:line="240" w:lineRule="auto"/>
                    <w:ind w:firstLine="480" w:firstLineChars="200"/>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333.13万</w:t>
                  </w:r>
                </w:p>
              </w:tc>
            </w:tr>
            <w:tr w14:paraId="6A30A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7" w:type="pct"/>
                  <w:tcBorders>
                    <w:top w:val="single" w:color="000000" w:sz="4" w:space="0"/>
                    <w:left w:val="single" w:color="000000" w:sz="4" w:space="0"/>
                    <w:bottom w:val="single" w:color="000000" w:sz="4" w:space="0"/>
                    <w:right w:val="single" w:color="000000" w:sz="4" w:space="0"/>
                  </w:tcBorders>
                  <w:noWrap/>
                  <w:vAlign w:val="center"/>
                </w:tcPr>
                <w:p w14:paraId="3141B2A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2363" w:type="pct"/>
                  <w:tcBorders>
                    <w:top w:val="single" w:color="000000" w:sz="4" w:space="0"/>
                    <w:left w:val="single" w:color="000000" w:sz="4" w:space="0"/>
                    <w:bottom w:val="single" w:color="000000" w:sz="4" w:space="0"/>
                    <w:right w:val="single" w:color="000000" w:sz="4" w:space="0"/>
                  </w:tcBorders>
                  <w:noWrap/>
                  <w:vAlign w:val="center"/>
                </w:tcPr>
                <w:p w14:paraId="4F44BAD1">
                  <w:pPr>
                    <w:keepNext w:val="0"/>
                    <w:keepLines w:val="0"/>
                    <w:pageBreakBefore w:val="0"/>
                    <w:widowControl/>
                    <w:kinsoku/>
                    <w:wordWrap/>
                    <w:overflowPunct/>
                    <w:topLinePunct w:val="0"/>
                    <w:autoSpaceDE w:val="0"/>
                    <w:autoSpaceDN/>
                    <w:bidi w:val="0"/>
                    <w:adjustRightInd/>
                    <w:snapToGrid/>
                    <w:spacing w:line="240" w:lineRule="auto"/>
                    <w:ind w:firstLine="480" w:firstLineChars="200"/>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color w:val="auto"/>
                      <w:kern w:val="0"/>
                      <w:sz w:val="24"/>
                      <w:szCs w:val="24"/>
                    </w:rPr>
                    <w:t>宜宾市第七初级中学校</w:t>
                  </w:r>
                </w:p>
              </w:tc>
              <w:tc>
                <w:tcPr>
                  <w:tcW w:w="836" w:type="pct"/>
                  <w:tcBorders>
                    <w:top w:val="single" w:color="000000" w:sz="4" w:space="0"/>
                    <w:left w:val="single" w:color="000000" w:sz="4" w:space="0"/>
                    <w:bottom w:val="single" w:color="000000" w:sz="4" w:space="0"/>
                    <w:right w:val="single" w:color="000000" w:sz="4" w:space="0"/>
                  </w:tcBorders>
                  <w:noWrap/>
                  <w:vAlign w:val="center"/>
                </w:tcPr>
                <w:p w14:paraId="6061DCDE">
                  <w:pPr>
                    <w:keepNext w:val="0"/>
                    <w:keepLines w:val="0"/>
                    <w:pageBreakBefore w:val="0"/>
                    <w:widowControl/>
                    <w:kinsoku/>
                    <w:wordWrap/>
                    <w:overflowPunct/>
                    <w:topLinePunct w:val="0"/>
                    <w:autoSpaceDE w:val="0"/>
                    <w:autoSpaceDN/>
                    <w:bidi w:val="0"/>
                    <w:adjustRightInd/>
                    <w:snapToGrid/>
                    <w:spacing w:line="240" w:lineRule="auto"/>
                    <w:jc w:val="both"/>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1200人</w:t>
                  </w:r>
                </w:p>
              </w:tc>
              <w:tc>
                <w:tcPr>
                  <w:tcW w:w="1532" w:type="pct"/>
                  <w:tcBorders>
                    <w:top w:val="single" w:color="000000" w:sz="4" w:space="0"/>
                    <w:left w:val="single" w:color="000000" w:sz="4" w:space="0"/>
                    <w:bottom w:val="single" w:color="000000" w:sz="4" w:space="0"/>
                    <w:right w:val="single" w:color="000000" w:sz="4" w:space="0"/>
                  </w:tcBorders>
                  <w:noWrap/>
                  <w:vAlign w:val="center"/>
                </w:tcPr>
                <w:p w14:paraId="2B094272">
                  <w:pPr>
                    <w:keepNext w:val="0"/>
                    <w:keepLines w:val="0"/>
                    <w:pageBreakBefore w:val="0"/>
                    <w:widowControl/>
                    <w:kinsoku/>
                    <w:wordWrap/>
                    <w:overflowPunct/>
                    <w:topLinePunct w:val="0"/>
                    <w:autoSpaceDE w:val="0"/>
                    <w:autoSpaceDN/>
                    <w:bidi w:val="0"/>
                    <w:adjustRightInd/>
                    <w:snapToGrid/>
                    <w:spacing w:line="240" w:lineRule="auto"/>
                    <w:ind w:firstLine="480" w:firstLineChars="200"/>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270万</w:t>
                  </w:r>
                </w:p>
              </w:tc>
            </w:tr>
            <w:tr w14:paraId="63925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7" w:type="pct"/>
                  <w:tcBorders>
                    <w:top w:val="single" w:color="000000" w:sz="4" w:space="0"/>
                    <w:left w:val="single" w:color="000000" w:sz="4" w:space="0"/>
                    <w:bottom w:val="single" w:color="000000" w:sz="4" w:space="0"/>
                    <w:right w:val="single" w:color="000000" w:sz="4" w:space="0"/>
                  </w:tcBorders>
                  <w:noWrap/>
                  <w:vAlign w:val="center"/>
                </w:tcPr>
                <w:p w14:paraId="17B5BF8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6</w:t>
                  </w:r>
                </w:p>
              </w:tc>
              <w:tc>
                <w:tcPr>
                  <w:tcW w:w="2363" w:type="pct"/>
                  <w:tcBorders>
                    <w:top w:val="single" w:color="000000" w:sz="4" w:space="0"/>
                    <w:left w:val="single" w:color="000000" w:sz="4" w:space="0"/>
                    <w:bottom w:val="single" w:color="000000" w:sz="4" w:space="0"/>
                    <w:right w:val="single" w:color="000000" w:sz="4" w:space="0"/>
                  </w:tcBorders>
                  <w:noWrap/>
                  <w:vAlign w:val="center"/>
                </w:tcPr>
                <w:p w14:paraId="6F9236CC">
                  <w:pPr>
                    <w:keepNext w:val="0"/>
                    <w:keepLines w:val="0"/>
                    <w:pageBreakBefore w:val="0"/>
                    <w:widowControl/>
                    <w:kinsoku/>
                    <w:wordWrap/>
                    <w:overflowPunct/>
                    <w:topLinePunct w:val="0"/>
                    <w:autoSpaceDE w:val="0"/>
                    <w:autoSpaceDN/>
                    <w:bidi w:val="0"/>
                    <w:adjustRightInd/>
                    <w:snapToGrid/>
                    <w:spacing w:line="240" w:lineRule="auto"/>
                    <w:ind w:firstLine="480" w:firstLineChars="200"/>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color w:val="auto"/>
                      <w:kern w:val="0"/>
                      <w:sz w:val="24"/>
                      <w:szCs w:val="24"/>
                    </w:rPr>
                    <w:t>宜宾市第十初级中学校</w:t>
                  </w:r>
                </w:p>
              </w:tc>
              <w:tc>
                <w:tcPr>
                  <w:tcW w:w="836" w:type="pct"/>
                  <w:tcBorders>
                    <w:top w:val="single" w:color="000000" w:sz="4" w:space="0"/>
                    <w:left w:val="single" w:color="000000" w:sz="4" w:space="0"/>
                    <w:bottom w:val="single" w:color="000000" w:sz="4" w:space="0"/>
                    <w:right w:val="single" w:color="000000" w:sz="4" w:space="0"/>
                  </w:tcBorders>
                  <w:noWrap/>
                  <w:vAlign w:val="center"/>
                </w:tcPr>
                <w:p w14:paraId="2CBAF982">
                  <w:pPr>
                    <w:keepNext w:val="0"/>
                    <w:keepLines w:val="0"/>
                    <w:pageBreakBefore w:val="0"/>
                    <w:widowControl/>
                    <w:kinsoku/>
                    <w:wordWrap/>
                    <w:overflowPunct/>
                    <w:topLinePunct w:val="0"/>
                    <w:autoSpaceDE w:val="0"/>
                    <w:autoSpaceDN/>
                    <w:bidi w:val="0"/>
                    <w:adjustRightInd/>
                    <w:snapToGrid/>
                    <w:spacing w:line="240" w:lineRule="auto"/>
                    <w:jc w:val="both"/>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1100人</w:t>
                  </w:r>
                </w:p>
              </w:tc>
              <w:tc>
                <w:tcPr>
                  <w:tcW w:w="1532" w:type="pct"/>
                  <w:tcBorders>
                    <w:top w:val="single" w:color="000000" w:sz="4" w:space="0"/>
                    <w:left w:val="single" w:color="000000" w:sz="4" w:space="0"/>
                    <w:bottom w:val="single" w:color="000000" w:sz="4" w:space="0"/>
                    <w:right w:val="single" w:color="000000" w:sz="4" w:space="0"/>
                  </w:tcBorders>
                  <w:noWrap/>
                  <w:vAlign w:val="center"/>
                </w:tcPr>
                <w:p w14:paraId="701A33B0">
                  <w:pPr>
                    <w:keepNext w:val="0"/>
                    <w:keepLines w:val="0"/>
                    <w:pageBreakBefore w:val="0"/>
                    <w:widowControl/>
                    <w:kinsoku/>
                    <w:wordWrap/>
                    <w:overflowPunct/>
                    <w:topLinePunct w:val="0"/>
                    <w:autoSpaceDE w:val="0"/>
                    <w:autoSpaceDN/>
                    <w:bidi w:val="0"/>
                    <w:adjustRightInd/>
                    <w:snapToGrid/>
                    <w:spacing w:line="240" w:lineRule="auto"/>
                    <w:ind w:firstLine="480" w:firstLineChars="200"/>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262.65万</w:t>
                  </w:r>
                </w:p>
              </w:tc>
            </w:tr>
            <w:tr w14:paraId="10D9C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7" w:type="pct"/>
                  <w:tcBorders>
                    <w:top w:val="single" w:color="000000" w:sz="4" w:space="0"/>
                    <w:left w:val="single" w:color="000000" w:sz="4" w:space="0"/>
                    <w:bottom w:val="single" w:color="000000" w:sz="4" w:space="0"/>
                    <w:right w:val="single" w:color="000000" w:sz="4" w:space="0"/>
                  </w:tcBorders>
                  <w:noWrap/>
                  <w:vAlign w:val="center"/>
                </w:tcPr>
                <w:p w14:paraId="3BA9646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7</w:t>
                  </w:r>
                </w:p>
              </w:tc>
              <w:tc>
                <w:tcPr>
                  <w:tcW w:w="2363" w:type="pct"/>
                  <w:tcBorders>
                    <w:top w:val="single" w:color="000000" w:sz="4" w:space="0"/>
                    <w:left w:val="single" w:color="000000" w:sz="4" w:space="0"/>
                    <w:bottom w:val="single" w:color="000000" w:sz="4" w:space="0"/>
                    <w:right w:val="single" w:color="000000" w:sz="4" w:space="0"/>
                  </w:tcBorders>
                  <w:noWrap/>
                  <w:vAlign w:val="center"/>
                </w:tcPr>
                <w:p w14:paraId="70ED7F86">
                  <w:pPr>
                    <w:keepNext w:val="0"/>
                    <w:keepLines w:val="0"/>
                    <w:pageBreakBefore w:val="0"/>
                    <w:widowControl/>
                    <w:kinsoku/>
                    <w:wordWrap/>
                    <w:overflowPunct/>
                    <w:topLinePunct w:val="0"/>
                    <w:autoSpaceDE w:val="0"/>
                    <w:autoSpaceDN/>
                    <w:bidi w:val="0"/>
                    <w:adjustRightInd/>
                    <w:snapToGrid/>
                    <w:spacing w:line="240" w:lineRule="auto"/>
                    <w:ind w:firstLine="480" w:firstLineChars="200"/>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color w:val="auto"/>
                      <w:kern w:val="0"/>
                      <w:sz w:val="24"/>
                      <w:szCs w:val="24"/>
                      <w:lang w:val="en-US" w:eastAsia="zh-CN"/>
                    </w:rPr>
                    <w:t>宜宾三江新区第一高级中学校</w:t>
                  </w:r>
                </w:p>
              </w:tc>
              <w:tc>
                <w:tcPr>
                  <w:tcW w:w="836" w:type="pct"/>
                  <w:tcBorders>
                    <w:top w:val="single" w:color="000000" w:sz="4" w:space="0"/>
                    <w:left w:val="single" w:color="000000" w:sz="4" w:space="0"/>
                    <w:bottom w:val="single" w:color="000000" w:sz="4" w:space="0"/>
                    <w:right w:val="single" w:color="000000" w:sz="4" w:space="0"/>
                  </w:tcBorders>
                  <w:noWrap/>
                  <w:vAlign w:val="center"/>
                </w:tcPr>
                <w:p w14:paraId="4757321F">
                  <w:pPr>
                    <w:keepNext w:val="0"/>
                    <w:keepLines w:val="0"/>
                    <w:pageBreakBefore w:val="0"/>
                    <w:widowControl/>
                    <w:kinsoku/>
                    <w:wordWrap/>
                    <w:overflowPunct/>
                    <w:topLinePunct w:val="0"/>
                    <w:autoSpaceDE w:val="0"/>
                    <w:autoSpaceDN/>
                    <w:bidi w:val="0"/>
                    <w:adjustRightInd/>
                    <w:snapToGrid/>
                    <w:spacing w:line="240" w:lineRule="auto"/>
                    <w:jc w:val="both"/>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3970人</w:t>
                  </w:r>
                </w:p>
              </w:tc>
              <w:tc>
                <w:tcPr>
                  <w:tcW w:w="1532" w:type="pct"/>
                  <w:tcBorders>
                    <w:top w:val="single" w:color="000000" w:sz="4" w:space="0"/>
                    <w:left w:val="single" w:color="000000" w:sz="4" w:space="0"/>
                    <w:bottom w:val="single" w:color="000000" w:sz="4" w:space="0"/>
                    <w:right w:val="single" w:color="000000" w:sz="4" w:space="0"/>
                  </w:tcBorders>
                  <w:noWrap/>
                  <w:vAlign w:val="center"/>
                </w:tcPr>
                <w:p w14:paraId="679438AE">
                  <w:pPr>
                    <w:keepNext w:val="0"/>
                    <w:keepLines w:val="0"/>
                    <w:pageBreakBefore w:val="0"/>
                    <w:widowControl/>
                    <w:kinsoku/>
                    <w:wordWrap/>
                    <w:overflowPunct/>
                    <w:topLinePunct w:val="0"/>
                    <w:autoSpaceDE w:val="0"/>
                    <w:autoSpaceDN/>
                    <w:bidi w:val="0"/>
                    <w:adjustRightInd/>
                    <w:snapToGrid/>
                    <w:spacing w:line="240" w:lineRule="auto"/>
                    <w:ind w:firstLine="480" w:firstLineChars="200"/>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1111.14万</w:t>
                  </w:r>
                </w:p>
              </w:tc>
            </w:tr>
            <w:tr w14:paraId="2F8C5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67" w:type="pct"/>
                  <w:tcBorders>
                    <w:top w:val="single" w:color="000000" w:sz="4" w:space="0"/>
                    <w:left w:val="single" w:color="000000" w:sz="4" w:space="0"/>
                    <w:bottom w:val="single" w:color="000000" w:sz="4" w:space="0"/>
                    <w:right w:val="single" w:color="000000" w:sz="4" w:space="0"/>
                  </w:tcBorders>
                  <w:noWrap/>
                  <w:vAlign w:val="center"/>
                </w:tcPr>
                <w:p w14:paraId="234983F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8</w:t>
                  </w:r>
                </w:p>
              </w:tc>
              <w:tc>
                <w:tcPr>
                  <w:tcW w:w="2363" w:type="pct"/>
                  <w:tcBorders>
                    <w:top w:val="single" w:color="000000" w:sz="4" w:space="0"/>
                    <w:left w:val="single" w:color="000000" w:sz="4" w:space="0"/>
                    <w:bottom w:val="single" w:color="000000" w:sz="4" w:space="0"/>
                    <w:right w:val="single" w:color="000000" w:sz="4" w:space="0"/>
                  </w:tcBorders>
                  <w:noWrap/>
                  <w:vAlign w:val="center"/>
                </w:tcPr>
                <w:p w14:paraId="37D8DB18">
                  <w:pPr>
                    <w:keepNext w:val="0"/>
                    <w:keepLines w:val="0"/>
                    <w:pageBreakBefore w:val="0"/>
                    <w:widowControl/>
                    <w:kinsoku/>
                    <w:wordWrap/>
                    <w:overflowPunct/>
                    <w:topLinePunct w:val="0"/>
                    <w:autoSpaceDE w:val="0"/>
                    <w:autoSpaceDN/>
                    <w:bidi w:val="0"/>
                    <w:adjustRightInd/>
                    <w:snapToGrid/>
                    <w:spacing w:line="240" w:lineRule="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宜宾市三江新区成都外国语学校</w:t>
                  </w:r>
                </w:p>
              </w:tc>
              <w:tc>
                <w:tcPr>
                  <w:tcW w:w="836" w:type="pct"/>
                  <w:tcBorders>
                    <w:top w:val="single" w:color="000000" w:sz="4" w:space="0"/>
                    <w:left w:val="single" w:color="000000" w:sz="4" w:space="0"/>
                    <w:bottom w:val="single" w:color="000000" w:sz="4" w:space="0"/>
                    <w:right w:val="single" w:color="000000" w:sz="4" w:space="0"/>
                  </w:tcBorders>
                  <w:noWrap/>
                  <w:vAlign w:val="center"/>
                </w:tcPr>
                <w:p w14:paraId="3F9CF017">
                  <w:pPr>
                    <w:keepNext w:val="0"/>
                    <w:keepLines w:val="0"/>
                    <w:pageBreakBefore w:val="0"/>
                    <w:widowControl/>
                    <w:kinsoku/>
                    <w:wordWrap/>
                    <w:overflowPunct/>
                    <w:topLinePunct w:val="0"/>
                    <w:autoSpaceDE w:val="0"/>
                    <w:autoSpaceDN/>
                    <w:bidi w:val="0"/>
                    <w:adjustRightInd/>
                    <w:snapToGrid/>
                    <w:spacing w:line="240" w:lineRule="auto"/>
                    <w:jc w:val="both"/>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2600人</w:t>
                  </w:r>
                </w:p>
              </w:tc>
              <w:tc>
                <w:tcPr>
                  <w:tcW w:w="1532" w:type="pct"/>
                  <w:tcBorders>
                    <w:top w:val="single" w:color="000000" w:sz="4" w:space="0"/>
                    <w:left w:val="single" w:color="000000" w:sz="4" w:space="0"/>
                    <w:bottom w:val="single" w:color="000000" w:sz="4" w:space="0"/>
                    <w:right w:val="single" w:color="000000" w:sz="4" w:space="0"/>
                  </w:tcBorders>
                  <w:noWrap/>
                  <w:vAlign w:val="center"/>
                </w:tcPr>
                <w:p w14:paraId="53F805CB">
                  <w:pPr>
                    <w:keepNext w:val="0"/>
                    <w:keepLines w:val="0"/>
                    <w:pageBreakBefore w:val="0"/>
                    <w:widowControl/>
                    <w:kinsoku/>
                    <w:wordWrap/>
                    <w:overflowPunct/>
                    <w:topLinePunct w:val="0"/>
                    <w:autoSpaceDE w:val="0"/>
                    <w:autoSpaceDN/>
                    <w:bidi w:val="0"/>
                    <w:adjustRightInd/>
                    <w:snapToGrid/>
                    <w:spacing w:line="240" w:lineRule="auto"/>
                    <w:ind w:firstLine="480" w:firstLineChars="200"/>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1383.52万</w:t>
                  </w:r>
                </w:p>
              </w:tc>
            </w:tr>
          </w:tbl>
          <w:p w14:paraId="23247329">
            <w:pPr>
              <w:rPr>
                <w:rFonts w:hint="eastAsia" w:ascii="仿宋" w:hAnsi="仿宋" w:eastAsia="仿宋" w:cs="仿宋"/>
                <w:b w:val="0"/>
                <w:bCs w:val="0"/>
                <w:color w:val="auto"/>
                <w:sz w:val="24"/>
                <w:szCs w:val="24"/>
              </w:rPr>
            </w:pP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825"/>
              <w:gridCol w:w="1463"/>
              <w:gridCol w:w="1977"/>
              <w:gridCol w:w="1083"/>
            </w:tblGrid>
            <w:tr w14:paraId="3F3F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12" w:type="dxa"/>
                  <w:noWrap w:val="0"/>
                  <w:vAlign w:val="center"/>
                </w:tcPr>
                <w:p w14:paraId="6A463282">
                  <w:pPr>
                    <w:keepNext w:val="0"/>
                    <w:keepLines w:val="0"/>
                    <w:pageBreakBefore w:val="0"/>
                    <w:kinsoku/>
                    <w:wordWrap/>
                    <w:overflowPunct/>
                    <w:topLinePunct w:val="0"/>
                    <w:autoSpaceDN/>
                    <w:bidi w:val="0"/>
                    <w:adjustRightInd/>
                    <w:snapToGrid/>
                    <w:spacing w:line="240" w:lineRule="auto"/>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i w:val="0"/>
                      <w:iCs w:val="0"/>
                      <w:color w:val="auto"/>
                      <w:kern w:val="0"/>
                      <w:sz w:val="24"/>
                      <w:szCs w:val="24"/>
                      <w:highlight w:val="none"/>
                      <w:u w:val="none"/>
                      <w:lang w:val="zh-CN" w:eastAsia="zh-CN" w:bidi="ar"/>
                    </w:rPr>
                    <w:t>包号</w:t>
                  </w:r>
                </w:p>
              </w:tc>
              <w:tc>
                <w:tcPr>
                  <w:tcW w:w="3825" w:type="dxa"/>
                  <w:noWrap w:val="0"/>
                  <w:vAlign w:val="center"/>
                </w:tcPr>
                <w:p w14:paraId="3D009932">
                  <w:pPr>
                    <w:keepNext w:val="0"/>
                    <w:keepLines w:val="0"/>
                    <w:pageBreakBefore w:val="0"/>
                    <w:kinsoku/>
                    <w:wordWrap/>
                    <w:overflowPunct/>
                    <w:topLinePunct w:val="0"/>
                    <w:autoSpaceDN/>
                    <w:bidi w:val="0"/>
                    <w:adjustRightInd/>
                    <w:snapToGrid/>
                    <w:spacing w:line="240" w:lineRule="auto"/>
                    <w:ind w:firstLine="1200" w:firstLineChars="500"/>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i w:val="0"/>
                      <w:iCs w:val="0"/>
                      <w:color w:val="auto"/>
                      <w:kern w:val="0"/>
                      <w:sz w:val="24"/>
                      <w:szCs w:val="24"/>
                      <w:highlight w:val="none"/>
                      <w:u w:val="none"/>
                      <w:lang w:val="zh-CN" w:eastAsia="zh-CN" w:bidi="ar"/>
                    </w:rPr>
                    <w:t>配送主要内容</w:t>
                  </w:r>
                </w:p>
              </w:tc>
              <w:tc>
                <w:tcPr>
                  <w:tcW w:w="1463" w:type="dxa"/>
                  <w:noWrap w:val="0"/>
                  <w:vAlign w:val="center"/>
                </w:tcPr>
                <w:p w14:paraId="263BBB8C">
                  <w:pPr>
                    <w:keepNext w:val="0"/>
                    <w:keepLines w:val="0"/>
                    <w:pageBreakBefore w:val="0"/>
                    <w:kinsoku/>
                    <w:wordWrap/>
                    <w:overflowPunct/>
                    <w:topLinePunct w:val="0"/>
                    <w:autoSpaceDN/>
                    <w:bidi w:val="0"/>
                    <w:adjustRightInd/>
                    <w:snapToGrid/>
                    <w:spacing w:line="240" w:lineRule="auto"/>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i w:val="0"/>
                      <w:iCs w:val="0"/>
                      <w:color w:val="auto"/>
                      <w:kern w:val="0"/>
                      <w:sz w:val="24"/>
                      <w:szCs w:val="24"/>
                      <w:highlight w:val="none"/>
                      <w:u w:val="none"/>
                      <w:lang w:val="zh-CN" w:eastAsia="zh-CN" w:bidi="ar"/>
                    </w:rPr>
                    <w:t>中标投标人数量（家）</w:t>
                  </w:r>
                </w:p>
              </w:tc>
              <w:tc>
                <w:tcPr>
                  <w:tcW w:w="1977" w:type="dxa"/>
                  <w:noWrap w:val="0"/>
                  <w:vAlign w:val="center"/>
                </w:tcPr>
                <w:p w14:paraId="4CD28163">
                  <w:pPr>
                    <w:keepNext w:val="0"/>
                    <w:keepLines w:val="0"/>
                    <w:pageBreakBefore w:val="0"/>
                    <w:kinsoku/>
                    <w:wordWrap/>
                    <w:overflowPunct/>
                    <w:topLinePunct w:val="0"/>
                    <w:autoSpaceDN/>
                    <w:bidi w:val="0"/>
                    <w:adjustRightInd/>
                    <w:snapToGrid/>
                    <w:spacing w:line="240" w:lineRule="auto"/>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i w:val="0"/>
                      <w:iCs w:val="0"/>
                      <w:color w:val="auto"/>
                      <w:kern w:val="0"/>
                      <w:sz w:val="24"/>
                      <w:szCs w:val="24"/>
                      <w:highlight w:val="none"/>
                      <w:u w:val="none"/>
                      <w:lang w:val="en-US" w:eastAsia="zh-CN" w:bidi="ar"/>
                    </w:rPr>
                    <w:t>最高预算金额（万元））</w:t>
                  </w:r>
                </w:p>
              </w:tc>
              <w:tc>
                <w:tcPr>
                  <w:tcW w:w="1083" w:type="dxa"/>
                  <w:noWrap w:val="0"/>
                  <w:vAlign w:val="top"/>
                </w:tcPr>
                <w:p w14:paraId="082AC387">
                  <w:pPr>
                    <w:rPr>
                      <w:rFonts w:hint="eastAsia" w:ascii="仿宋" w:hAnsi="仿宋" w:eastAsia="仿宋" w:cs="仿宋"/>
                      <w:b w:val="0"/>
                      <w:bCs w:val="0"/>
                      <w:color w:val="auto"/>
                      <w:sz w:val="24"/>
                      <w:szCs w:val="24"/>
                      <w:vertAlign w:val="baseline"/>
                    </w:rPr>
                  </w:pPr>
                  <w:r>
                    <w:rPr>
                      <w:rFonts w:hint="eastAsia" w:ascii="仿宋" w:hAnsi="仿宋" w:eastAsia="仿宋" w:cs="仿宋"/>
                      <w:b w:val="0"/>
                      <w:bCs w:val="0"/>
                      <w:i w:val="0"/>
                      <w:iCs w:val="0"/>
                      <w:color w:val="auto"/>
                      <w:kern w:val="0"/>
                      <w:sz w:val="24"/>
                      <w:szCs w:val="24"/>
                      <w:highlight w:val="none"/>
                      <w:u w:val="none"/>
                      <w:lang w:val="en-US" w:eastAsia="zh-CN" w:bidi="ar"/>
                    </w:rPr>
                    <w:t>备注</w:t>
                  </w:r>
                </w:p>
              </w:tc>
            </w:tr>
            <w:tr w14:paraId="49F8C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14:paraId="6578E923">
                  <w:pPr>
                    <w:keepNext w:val="0"/>
                    <w:keepLines w:val="0"/>
                    <w:pageBreakBefore w:val="0"/>
                    <w:widowControl/>
                    <w:kinsoku/>
                    <w:wordWrap/>
                    <w:overflowPunct/>
                    <w:topLinePunct w:val="0"/>
                    <w:autoSpaceDE w:val="0"/>
                    <w:autoSpaceDN/>
                    <w:bidi w:val="0"/>
                    <w:adjustRightInd/>
                    <w:snapToGrid/>
                    <w:spacing w:line="240" w:lineRule="auto"/>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kern w:val="0"/>
                      <w:sz w:val="24"/>
                      <w:szCs w:val="24"/>
                      <w:highlight w:val="none"/>
                      <w:lang w:val="zh-CN" w:eastAsia="zh-CN"/>
                    </w:rPr>
                    <w:t>包1</w:t>
                  </w:r>
                </w:p>
              </w:tc>
              <w:tc>
                <w:tcPr>
                  <w:tcW w:w="3825" w:type="dxa"/>
                  <w:noWrap w:val="0"/>
                  <w:vAlign w:val="center"/>
                </w:tcPr>
                <w:p w14:paraId="0D84FBE8">
                  <w:pPr>
                    <w:keepNext w:val="0"/>
                    <w:keepLines w:val="0"/>
                    <w:pageBreakBefore w:val="0"/>
                    <w:widowControl/>
                    <w:kinsoku/>
                    <w:wordWrap/>
                    <w:overflowPunct/>
                    <w:topLinePunct w:val="0"/>
                    <w:autoSpaceDE w:val="0"/>
                    <w:autoSpaceDN/>
                    <w:bidi w:val="0"/>
                    <w:adjustRightInd/>
                    <w:snapToGrid/>
                    <w:spacing w:line="240" w:lineRule="auto"/>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kern w:val="0"/>
                      <w:sz w:val="24"/>
                      <w:szCs w:val="24"/>
                      <w:highlight w:val="none"/>
                      <w:lang w:val="en-US" w:eastAsia="zh-CN"/>
                    </w:rPr>
                    <w:t>大米、小米、小麦粉（面粉）、面条、食用油等</w:t>
                  </w:r>
                </w:p>
              </w:tc>
              <w:tc>
                <w:tcPr>
                  <w:tcW w:w="1463" w:type="dxa"/>
                  <w:noWrap w:val="0"/>
                  <w:vAlign w:val="center"/>
                </w:tcPr>
                <w:p w14:paraId="22B91AFB">
                  <w:pPr>
                    <w:keepNext w:val="0"/>
                    <w:keepLines w:val="0"/>
                    <w:pageBreakBefore w:val="0"/>
                    <w:widowControl/>
                    <w:kinsoku/>
                    <w:wordWrap/>
                    <w:overflowPunct/>
                    <w:topLinePunct w:val="0"/>
                    <w:autoSpaceDE w:val="0"/>
                    <w:autoSpaceDN/>
                    <w:bidi w:val="0"/>
                    <w:adjustRightInd/>
                    <w:snapToGrid/>
                    <w:spacing w:line="240" w:lineRule="auto"/>
                    <w:ind w:firstLine="480" w:firstLineChars="200"/>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kern w:val="0"/>
                      <w:sz w:val="24"/>
                      <w:szCs w:val="24"/>
                      <w:lang w:val="en-US" w:eastAsia="zh-CN"/>
                    </w:rPr>
                    <w:t>1</w:t>
                  </w:r>
                </w:p>
              </w:tc>
              <w:tc>
                <w:tcPr>
                  <w:tcW w:w="1977" w:type="dxa"/>
                  <w:noWrap w:val="0"/>
                  <w:vAlign w:val="center"/>
                </w:tcPr>
                <w:p w14:paraId="1CC3E211">
                  <w:pPr>
                    <w:keepNext w:val="0"/>
                    <w:keepLines w:val="0"/>
                    <w:pageBreakBefore w:val="0"/>
                    <w:widowControl/>
                    <w:kinsoku/>
                    <w:wordWrap/>
                    <w:overflowPunct/>
                    <w:topLinePunct w:val="0"/>
                    <w:autoSpaceDE w:val="0"/>
                    <w:autoSpaceDN/>
                    <w:bidi w:val="0"/>
                    <w:adjustRightInd/>
                    <w:snapToGrid/>
                    <w:spacing w:line="240" w:lineRule="auto"/>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1268.87</w:t>
                  </w:r>
                </w:p>
              </w:tc>
              <w:tc>
                <w:tcPr>
                  <w:tcW w:w="1083" w:type="dxa"/>
                  <w:noWrap w:val="0"/>
                  <w:vAlign w:val="center"/>
                </w:tcPr>
                <w:p w14:paraId="3E0653F5">
                  <w:pPr>
                    <w:widowControl/>
                    <w:autoSpaceDE w:val="0"/>
                    <w:spacing w:line="480" w:lineRule="auto"/>
                    <w:ind w:firstLine="480" w:firstLineChars="200"/>
                    <w:rPr>
                      <w:rFonts w:hint="eastAsia" w:ascii="仿宋" w:hAnsi="仿宋" w:eastAsia="仿宋" w:cs="仿宋"/>
                      <w:b w:val="0"/>
                      <w:bCs w:val="0"/>
                      <w:color w:val="auto"/>
                      <w:sz w:val="24"/>
                      <w:szCs w:val="24"/>
                      <w:vertAlign w:val="baseline"/>
                    </w:rPr>
                  </w:pPr>
                </w:p>
              </w:tc>
            </w:tr>
            <w:tr w14:paraId="24A7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14:paraId="7608E97F">
                  <w:pPr>
                    <w:keepNext w:val="0"/>
                    <w:keepLines w:val="0"/>
                    <w:pageBreakBefore w:val="0"/>
                    <w:widowControl/>
                    <w:kinsoku/>
                    <w:wordWrap/>
                    <w:overflowPunct/>
                    <w:topLinePunct w:val="0"/>
                    <w:autoSpaceDE w:val="0"/>
                    <w:autoSpaceDN/>
                    <w:bidi w:val="0"/>
                    <w:adjustRightInd/>
                    <w:snapToGrid/>
                    <w:spacing w:line="240" w:lineRule="auto"/>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kern w:val="0"/>
                      <w:sz w:val="24"/>
                      <w:szCs w:val="24"/>
                      <w:highlight w:val="none"/>
                      <w:lang w:val="zh-CN" w:eastAsia="zh-CN"/>
                    </w:rPr>
                    <w:t>包2</w:t>
                  </w:r>
                </w:p>
              </w:tc>
              <w:tc>
                <w:tcPr>
                  <w:tcW w:w="3825" w:type="dxa"/>
                  <w:noWrap w:val="0"/>
                  <w:vAlign w:val="center"/>
                </w:tcPr>
                <w:p w14:paraId="7771E07B">
                  <w:pPr>
                    <w:keepNext w:val="0"/>
                    <w:keepLines w:val="0"/>
                    <w:pageBreakBefore w:val="0"/>
                    <w:widowControl/>
                    <w:kinsoku/>
                    <w:wordWrap/>
                    <w:overflowPunct/>
                    <w:topLinePunct w:val="0"/>
                    <w:autoSpaceDE w:val="0"/>
                    <w:autoSpaceDN/>
                    <w:bidi w:val="0"/>
                    <w:adjustRightInd/>
                    <w:snapToGrid/>
                    <w:spacing w:line="240" w:lineRule="auto"/>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kern w:val="0"/>
                      <w:sz w:val="24"/>
                      <w:szCs w:val="24"/>
                      <w:highlight w:val="none"/>
                      <w:lang w:val="en-US" w:eastAsia="zh-CN"/>
                    </w:rPr>
                    <w:t>猪肉、牛肉、禽蛋及蛋制品、羊肉、禽类、水产品等。</w:t>
                  </w:r>
                </w:p>
              </w:tc>
              <w:tc>
                <w:tcPr>
                  <w:tcW w:w="1463" w:type="dxa"/>
                  <w:noWrap w:val="0"/>
                  <w:vAlign w:val="center"/>
                </w:tcPr>
                <w:p w14:paraId="205D8712">
                  <w:pPr>
                    <w:keepNext w:val="0"/>
                    <w:keepLines w:val="0"/>
                    <w:pageBreakBefore w:val="0"/>
                    <w:widowControl/>
                    <w:kinsoku/>
                    <w:wordWrap/>
                    <w:overflowPunct/>
                    <w:topLinePunct w:val="0"/>
                    <w:autoSpaceDE w:val="0"/>
                    <w:autoSpaceDN/>
                    <w:bidi w:val="0"/>
                    <w:adjustRightInd/>
                    <w:snapToGrid/>
                    <w:spacing w:line="240" w:lineRule="auto"/>
                    <w:ind w:firstLine="480" w:firstLineChars="200"/>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kern w:val="0"/>
                      <w:sz w:val="24"/>
                      <w:szCs w:val="24"/>
                      <w:lang w:val="en-US" w:eastAsia="zh-CN"/>
                    </w:rPr>
                    <w:t>1</w:t>
                  </w:r>
                </w:p>
              </w:tc>
              <w:tc>
                <w:tcPr>
                  <w:tcW w:w="1977" w:type="dxa"/>
                  <w:noWrap w:val="0"/>
                  <w:vAlign w:val="center"/>
                </w:tcPr>
                <w:p w14:paraId="3E69DA87">
                  <w:pPr>
                    <w:keepNext w:val="0"/>
                    <w:keepLines w:val="0"/>
                    <w:pageBreakBefore w:val="0"/>
                    <w:widowControl/>
                    <w:kinsoku/>
                    <w:wordWrap/>
                    <w:overflowPunct/>
                    <w:topLinePunct w:val="0"/>
                    <w:autoSpaceDE w:val="0"/>
                    <w:autoSpaceDN/>
                    <w:bidi w:val="0"/>
                    <w:adjustRightInd/>
                    <w:snapToGrid/>
                    <w:spacing w:line="240" w:lineRule="auto"/>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2114.78</w:t>
                  </w:r>
                </w:p>
              </w:tc>
              <w:tc>
                <w:tcPr>
                  <w:tcW w:w="1083" w:type="dxa"/>
                  <w:noWrap w:val="0"/>
                  <w:vAlign w:val="center"/>
                </w:tcPr>
                <w:p w14:paraId="4D38BC30">
                  <w:pPr>
                    <w:widowControl/>
                    <w:autoSpaceDE w:val="0"/>
                    <w:spacing w:line="480" w:lineRule="auto"/>
                    <w:ind w:firstLine="480" w:firstLineChars="200"/>
                    <w:rPr>
                      <w:rFonts w:hint="eastAsia" w:ascii="仿宋" w:hAnsi="仿宋" w:eastAsia="仿宋" w:cs="仿宋"/>
                      <w:b w:val="0"/>
                      <w:bCs w:val="0"/>
                      <w:color w:val="auto"/>
                      <w:sz w:val="24"/>
                      <w:szCs w:val="24"/>
                      <w:vertAlign w:val="baseline"/>
                    </w:rPr>
                  </w:pPr>
                </w:p>
              </w:tc>
            </w:tr>
            <w:tr w14:paraId="4C0A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14:paraId="4F2492DF">
                  <w:pPr>
                    <w:keepNext w:val="0"/>
                    <w:keepLines w:val="0"/>
                    <w:pageBreakBefore w:val="0"/>
                    <w:widowControl/>
                    <w:kinsoku/>
                    <w:wordWrap/>
                    <w:overflowPunct/>
                    <w:topLinePunct w:val="0"/>
                    <w:autoSpaceDE w:val="0"/>
                    <w:autoSpaceDN/>
                    <w:bidi w:val="0"/>
                    <w:adjustRightInd/>
                    <w:snapToGrid/>
                    <w:spacing w:line="240" w:lineRule="auto"/>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kern w:val="0"/>
                      <w:sz w:val="24"/>
                      <w:szCs w:val="24"/>
                      <w:highlight w:val="none"/>
                      <w:lang w:val="zh-CN" w:eastAsia="zh-CN"/>
                    </w:rPr>
                    <w:t>包3</w:t>
                  </w:r>
                </w:p>
              </w:tc>
              <w:tc>
                <w:tcPr>
                  <w:tcW w:w="3825" w:type="dxa"/>
                  <w:noWrap w:val="0"/>
                  <w:vAlign w:val="center"/>
                </w:tcPr>
                <w:p w14:paraId="6D8B24B2">
                  <w:pPr>
                    <w:keepNext w:val="0"/>
                    <w:keepLines w:val="0"/>
                    <w:pageBreakBefore w:val="0"/>
                    <w:widowControl/>
                    <w:kinsoku/>
                    <w:wordWrap/>
                    <w:overflowPunct/>
                    <w:topLinePunct w:val="0"/>
                    <w:autoSpaceDE w:val="0"/>
                    <w:autoSpaceDN/>
                    <w:bidi w:val="0"/>
                    <w:adjustRightInd/>
                    <w:snapToGrid/>
                    <w:spacing w:line="240" w:lineRule="auto"/>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kern w:val="0"/>
                      <w:sz w:val="24"/>
                      <w:szCs w:val="24"/>
                      <w:highlight w:val="none"/>
                      <w:lang w:val="en-US" w:eastAsia="zh-CN"/>
                    </w:rPr>
                    <w:t>蛋糕、面包原辅材料、奶制品、叶菜类、茄果类、瓜果类、根菜类、薯芋类、蒜类、豆类、水生菜类、食用菌类、芽苗类、水果、干杂、食盐、其他调味品、矿泉水、苏打水等</w:t>
                  </w:r>
                </w:p>
              </w:tc>
              <w:tc>
                <w:tcPr>
                  <w:tcW w:w="1463" w:type="dxa"/>
                  <w:noWrap w:val="0"/>
                  <w:vAlign w:val="center"/>
                </w:tcPr>
                <w:p w14:paraId="697911B7">
                  <w:pPr>
                    <w:keepNext w:val="0"/>
                    <w:keepLines w:val="0"/>
                    <w:pageBreakBefore w:val="0"/>
                    <w:widowControl/>
                    <w:kinsoku/>
                    <w:wordWrap/>
                    <w:overflowPunct/>
                    <w:topLinePunct w:val="0"/>
                    <w:autoSpaceDE w:val="0"/>
                    <w:autoSpaceDN/>
                    <w:bidi w:val="0"/>
                    <w:adjustRightInd/>
                    <w:snapToGrid/>
                    <w:spacing w:line="240" w:lineRule="auto"/>
                    <w:ind w:firstLine="480" w:firstLineChars="200"/>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kern w:val="0"/>
                      <w:sz w:val="24"/>
                      <w:szCs w:val="24"/>
                      <w:lang w:val="en-US" w:eastAsia="zh-CN"/>
                    </w:rPr>
                    <w:t>1</w:t>
                  </w:r>
                </w:p>
              </w:tc>
              <w:tc>
                <w:tcPr>
                  <w:tcW w:w="1977" w:type="dxa"/>
                  <w:noWrap w:val="0"/>
                  <w:vAlign w:val="center"/>
                </w:tcPr>
                <w:p w14:paraId="0B875613">
                  <w:pPr>
                    <w:keepNext w:val="0"/>
                    <w:keepLines w:val="0"/>
                    <w:pageBreakBefore w:val="0"/>
                    <w:widowControl/>
                    <w:kinsoku/>
                    <w:wordWrap/>
                    <w:overflowPunct/>
                    <w:topLinePunct w:val="0"/>
                    <w:autoSpaceDE w:val="0"/>
                    <w:autoSpaceDN/>
                    <w:bidi w:val="0"/>
                    <w:adjustRightInd/>
                    <w:snapToGrid/>
                    <w:spacing w:line="240" w:lineRule="auto"/>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845.92</w:t>
                  </w:r>
                </w:p>
              </w:tc>
              <w:tc>
                <w:tcPr>
                  <w:tcW w:w="1083" w:type="dxa"/>
                  <w:noWrap w:val="0"/>
                  <w:vAlign w:val="center"/>
                </w:tcPr>
                <w:p w14:paraId="653864B0">
                  <w:pPr>
                    <w:widowControl/>
                    <w:autoSpaceDE w:val="0"/>
                    <w:spacing w:line="480" w:lineRule="auto"/>
                    <w:ind w:firstLine="480" w:firstLineChars="200"/>
                    <w:rPr>
                      <w:rFonts w:hint="eastAsia" w:ascii="仿宋" w:hAnsi="仿宋" w:eastAsia="仿宋" w:cs="仿宋"/>
                      <w:b w:val="0"/>
                      <w:bCs w:val="0"/>
                      <w:color w:val="auto"/>
                      <w:sz w:val="24"/>
                      <w:szCs w:val="24"/>
                      <w:vertAlign w:val="baseline"/>
                    </w:rPr>
                  </w:pPr>
                </w:p>
              </w:tc>
            </w:tr>
          </w:tbl>
          <w:p w14:paraId="78CEF839">
            <w:pPr>
              <w:topLinePunct/>
              <w:spacing w:line="360" w:lineRule="auto"/>
              <w:rPr>
                <w:b/>
                <w:bCs/>
                <w:color w:val="auto"/>
                <w:szCs w:val="20"/>
              </w:rPr>
            </w:pPr>
          </w:p>
        </w:tc>
      </w:tr>
      <w:tr w14:paraId="0E2FD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0" w:hRule="atLeast"/>
          <w:jc w:val="center"/>
        </w:trPr>
        <w:tc>
          <w:tcPr>
            <w:tcW w:w="729" w:type="pct"/>
            <w:noWrap w:val="0"/>
            <w:vAlign w:val="center"/>
          </w:tcPr>
          <w:p w14:paraId="27A6F521">
            <w:pPr>
              <w:topLinePunct/>
              <w:spacing w:line="360" w:lineRule="auto"/>
              <w:jc w:val="center"/>
              <w:rPr>
                <w:rFonts w:ascii="宋体" w:hAnsi="宋体"/>
                <w:color w:val="auto"/>
                <w:szCs w:val="21"/>
              </w:rPr>
            </w:pPr>
            <w:r>
              <w:rPr>
                <w:rFonts w:hint="eastAsia" w:ascii="宋体" w:hAnsi="宋体"/>
                <w:color w:val="auto"/>
                <w:szCs w:val="21"/>
              </w:rPr>
              <w:t>12</w:t>
            </w:r>
          </w:p>
        </w:tc>
        <w:tc>
          <w:tcPr>
            <w:tcW w:w="354" w:type="pct"/>
            <w:noWrap w:val="0"/>
            <w:vAlign w:val="center"/>
          </w:tcPr>
          <w:p w14:paraId="5F7E7733">
            <w:pPr>
              <w:topLinePunct/>
              <w:spacing w:line="360" w:lineRule="auto"/>
              <w:jc w:val="center"/>
              <w:rPr>
                <w:rFonts w:ascii="宋体" w:hAnsi="宋体"/>
                <w:color w:val="auto"/>
                <w:szCs w:val="20"/>
              </w:rPr>
            </w:pPr>
            <w:r>
              <w:rPr>
                <w:rFonts w:hint="eastAsia" w:ascii="宋体" w:hAnsi="宋体"/>
                <w:color w:val="auto"/>
                <w:szCs w:val="20"/>
              </w:rPr>
              <w:t>最高限价及报价要求</w:t>
            </w:r>
          </w:p>
        </w:tc>
        <w:tc>
          <w:tcPr>
            <w:tcW w:w="3916" w:type="pct"/>
            <w:noWrap w:val="0"/>
            <w:vAlign w:val="center"/>
          </w:tcPr>
          <w:p w14:paraId="03461CFF">
            <w:pPr>
              <w:keepNext w:val="0"/>
              <w:keepLines w:val="0"/>
              <w:pageBreakBefore w:val="0"/>
              <w:widowControl/>
              <w:tabs>
                <w:tab w:val="left" w:pos="0"/>
              </w:tabs>
              <w:kinsoku/>
              <w:overflowPunct/>
              <w:autoSpaceDE/>
              <w:autoSpaceDN/>
              <w:bidi w:val="0"/>
              <w:adjustRightInd/>
              <w:snapToGrid/>
              <w:spacing w:line="440" w:lineRule="exact"/>
              <w:ind w:leftChars="0" w:firstLine="480"/>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1.本项目以统一下浮率(百分比)进行报价，并以下浮率（N%，N为0-100）作为价格评审因素和结算支付依据。</w:t>
            </w:r>
          </w:p>
          <w:p w14:paraId="543E9DD5">
            <w:pPr>
              <w:keepNext w:val="0"/>
              <w:keepLines w:val="0"/>
              <w:pageBreakBefore w:val="0"/>
              <w:widowControl/>
              <w:tabs>
                <w:tab w:val="left" w:pos="0"/>
              </w:tabs>
              <w:kinsoku/>
              <w:overflowPunct/>
              <w:autoSpaceDE/>
              <w:autoSpaceDN/>
              <w:bidi w:val="0"/>
              <w:adjustRightInd/>
              <w:snapToGrid/>
              <w:spacing w:line="440" w:lineRule="exact"/>
              <w:ind w:leftChars="0" w:firstLine="480"/>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2.结算标准</w:t>
            </w:r>
          </w:p>
          <w:p w14:paraId="6345EF9A">
            <w:pPr>
              <w:keepNext w:val="0"/>
              <w:keepLines w:val="0"/>
              <w:pageBreakBefore w:val="0"/>
              <w:widowControl/>
              <w:tabs>
                <w:tab w:val="left" w:pos="0"/>
              </w:tabs>
              <w:kinsoku/>
              <w:overflowPunct/>
              <w:autoSpaceDE/>
              <w:autoSpaceDN/>
              <w:bidi w:val="0"/>
              <w:adjustRightInd/>
              <w:snapToGrid/>
              <w:spacing w:line="440" w:lineRule="exact"/>
              <w:ind w:leftChars="0" w:firstLine="480"/>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结算方式为：按实际用量进行结算。</w:t>
            </w:r>
          </w:p>
          <w:p w14:paraId="54D41592">
            <w:pPr>
              <w:keepNext w:val="0"/>
              <w:keepLines w:val="0"/>
              <w:pageBreakBefore w:val="0"/>
              <w:widowControl/>
              <w:tabs>
                <w:tab w:val="left" w:pos="0"/>
              </w:tabs>
              <w:kinsoku/>
              <w:overflowPunct/>
              <w:autoSpaceDE/>
              <w:autoSpaceDN/>
              <w:bidi w:val="0"/>
              <w:adjustRightInd/>
              <w:snapToGrid/>
              <w:spacing w:line="440" w:lineRule="exact"/>
              <w:ind w:leftChars="0" w:firstLine="480"/>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其中：当月投标产品结算单价＝结算基准价×（1-下浮率）。</w:t>
            </w:r>
          </w:p>
          <w:p w14:paraId="02F4CC2F">
            <w:pPr>
              <w:keepNext w:val="0"/>
              <w:keepLines w:val="0"/>
              <w:pageBreakBefore w:val="0"/>
              <w:widowControl/>
              <w:tabs>
                <w:tab w:val="left" w:pos="0"/>
              </w:tabs>
              <w:kinsoku/>
              <w:overflowPunct/>
              <w:autoSpaceDE/>
              <w:autoSpaceDN/>
              <w:bidi w:val="0"/>
              <w:adjustRightInd/>
              <w:snapToGrid/>
              <w:spacing w:line="440" w:lineRule="exact"/>
              <w:ind w:leftChars="0" w:firstLine="480"/>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结算基准价特指：</w:t>
            </w:r>
          </w:p>
          <w:p w14:paraId="5314718E">
            <w:pPr>
              <w:keepNext w:val="0"/>
              <w:keepLines w:val="0"/>
              <w:pageBreakBefore w:val="0"/>
              <w:widowControl/>
              <w:tabs>
                <w:tab w:val="left" w:pos="0"/>
              </w:tabs>
              <w:kinsoku/>
              <w:overflowPunct/>
              <w:autoSpaceDE/>
              <w:autoSpaceDN/>
              <w:bidi w:val="0"/>
              <w:adjustRightInd/>
              <w:snapToGrid/>
              <w:spacing w:line="440" w:lineRule="exact"/>
              <w:ind w:leftChars="0" w:firstLine="480"/>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（1）宜宾市发展改革委员会官网发布的商品，按三江新区、翠屏区、叙州区、南溪区上月校园餐食材价格监测表平均价格作为结算基准价；</w:t>
            </w:r>
          </w:p>
          <w:p w14:paraId="049355A7">
            <w:pPr>
              <w:keepNext w:val="0"/>
              <w:keepLines w:val="0"/>
              <w:pageBreakBefore w:val="0"/>
              <w:widowControl/>
              <w:tabs>
                <w:tab w:val="left" w:pos="0"/>
              </w:tabs>
              <w:kinsoku/>
              <w:overflowPunct/>
              <w:autoSpaceDE/>
              <w:autoSpaceDN/>
              <w:bidi w:val="0"/>
              <w:adjustRightInd/>
              <w:snapToGrid/>
              <w:spacing w:line="440" w:lineRule="exact"/>
              <w:ind w:leftChars="0" w:firstLine="480"/>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（2）宜宾市发展改革委员会官网未发布商品以三江新区营养餐食材价格作为结算基准价（基准价为三江新区营养餐食材中标下浮前的价格）。</w:t>
            </w:r>
          </w:p>
          <w:p w14:paraId="4DD487A3">
            <w:pPr>
              <w:keepNext w:val="0"/>
              <w:keepLines w:val="0"/>
              <w:pageBreakBefore w:val="0"/>
              <w:widowControl/>
              <w:tabs>
                <w:tab w:val="left" w:pos="0"/>
              </w:tabs>
              <w:kinsoku/>
              <w:overflowPunct/>
              <w:autoSpaceDE/>
              <w:autoSpaceDN/>
              <w:bidi w:val="0"/>
              <w:adjustRightInd/>
              <w:snapToGrid/>
              <w:spacing w:line="440" w:lineRule="exact"/>
              <w:ind w:leftChars="0" w:firstLine="480"/>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宜宾市发展改革委员会官网公布标准和三江新区营养餐食材价格标准均没有的以市场询价为准（每月底询价以相应学校周边附近三家及以上大型超市或农贸市场的平均价为准，询价小组由学校代表、家长代表和供应商代表共同组成，询价结果作为下月结算基准价）。</w:t>
            </w:r>
          </w:p>
          <w:p w14:paraId="47250879">
            <w:pPr>
              <w:keepNext w:val="0"/>
              <w:keepLines w:val="0"/>
              <w:pageBreakBefore w:val="0"/>
              <w:widowControl/>
              <w:tabs>
                <w:tab w:val="left" w:pos="0"/>
              </w:tabs>
              <w:kinsoku/>
              <w:overflowPunct/>
              <w:autoSpaceDE/>
              <w:autoSpaceDN/>
              <w:bidi w:val="0"/>
              <w:adjustRightInd/>
              <w:snapToGrid/>
              <w:spacing w:line="440" w:lineRule="exact"/>
              <w:ind w:leftChars="0" w:firstLine="480"/>
              <w:textAlignment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eastAsia="zh-CN"/>
              </w:rPr>
              <w:t>本项目预算为预估金额，实际结算金额=市场基准价*</w:t>
            </w:r>
            <w:r>
              <w:rPr>
                <w:rFonts w:hint="eastAsia" w:ascii="仿宋" w:hAnsi="仿宋" w:eastAsia="仿宋" w:cs="仿宋"/>
                <w:b w:val="0"/>
                <w:bCs w:val="0"/>
                <w:color w:val="auto"/>
                <w:sz w:val="24"/>
                <w:szCs w:val="24"/>
                <w:highlight w:val="none"/>
                <w:lang w:val="en-US" w:eastAsia="zh-CN"/>
              </w:rPr>
              <w:t>（1-下浮率）</w:t>
            </w:r>
            <w:r>
              <w:rPr>
                <w:rFonts w:hint="eastAsia" w:ascii="仿宋" w:hAnsi="仿宋" w:eastAsia="仿宋" w:cs="仿宋"/>
                <w:b w:val="0"/>
                <w:bCs w:val="0"/>
                <w:color w:val="auto"/>
                <w:sz w:val="24"/>
                <w:szCs w:val="24"/>
                <w:highlight w:val="none"/>
                <w:lang w:eastAsia="zh-CN"/>
              </w:rPr>
              <w:t>*实际供货数量。</w:t>
            </w:r>
          </w:p>
          <w:p w14:paraId="2C423570">
            <w:pPr>
              <w:keepNext w:val="0"/>
              <w:keepLines w:val="0"/>
              <w:pageBreakBefore w:val="0"/>
              <w:widowControl/>
              <w:tabs>
                <w:tab w:val="left" w:pos="0"/>
              </w:tabs>
              <w:kinsoku/>
              <w:overflowPunct/>
              <w:autoSpaceDE/>
              <w:autoSpaceDN/>
              <w:bidi w:val="0"/>
              <w:adjustRightInd/>
              <w:snapToGrid/>
              <w:spacing w:line="440" w:lineRule="exact"/>
              <w:ind w:leftChars="0" w:firstLine="480"/>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.由实施学校与</w:t>
            </w:r>
            <w:r>
              <w:rPr>
                <w:rFonts w:hint="eastAsia" w:ascii="仿宋" w:hAnsi="仿宋" w:eastAsia="仿宋" w:cs="仿宋"/>
                <w:b w:val="0"/>
                <w:bCs w:val="0"/>
                <w:color w:val="auto"/>
                <w:sz w:val="24"/>
                <w:szCs w:val="24"/>
                <w:highlight w:val="none"/>
                <w:lang w:val="en-US" w:eastAsia="zh-CN"/>
              </w:rPr>
              <w:t>中标人</w:t>
            </w:r>
            <w:r>
              <w:rPr>
                <w:rFonts w:hint="eastAsia" w:ascii="仿宋" w:hAnsi="仿宋" w:eastAsia="仿宋" w:cs="仿宋"/>
                <w:b w:val="0"/>
                <w:bCs w:val="0"/>
                <w:color w:val="auto"/>
                <w:sz w:val="24"/>
                <w:szCs w:val="24"/>
                <w:highlight w:val="none"/>
              </w:rPr>
              <w:t>签订原材料采购合同，</w:t>
            </w:r>
            <w:r>
              <w:rPr>
                <w:rFonts w:hint="eastAsia" w:ascii="仿宋" w:hAnsi="仿宋" w:eastAsia="仿宋" w:cs="仿宋"/>
                <w:b w:val="0"/>
                <w:bCs w:val="0"/>
                <w:color w:val="auto"/>
                <w:sz w:val="24"/>
                <w:szCs w:val="24"/>
                <w:highlight w:val="none"/>
                <w:lang w:val="en-US" w:eastAsia="zh-CN"/>
              </w:rPr>
              <w:t>中标人</w:t>
            </w:r>
            <w:r>
              <w:rPr>
                <w:rFonts w:hint="eastAsia" w:ascii="仿宋" w:hAnsi="仿宋" w:eastAsia="仿宋" w:cs="仿宋"/>
                <w:b w:val="0"/>
                <w:bCs w:val="0"/>
                <w:color w:val="auto"/>
                <w:sz w:val="24"/>
                <w:szCs w:val="24"/>
                <w:highlight w:val="none"/>
              </w:rPr>
              <w:t>按照</w:t>
            </w:r>
            <w:r>
              <w:rPr>
                <w:rFonts w:hint="eastAsia" w:ascii="仿宋" w:hAnsi="仿宋" w:eastAsia="仿宋" w:cs="仿宋"/>
                <w:b w:val="0"/>
                <w:bCs w:val="0"/>
                <w:color w:val="auto"/>
                <w:sz w:val="24"/>
                <w:szCs w:val="24"/>
                <w:highlight w:val="none"/>
                <w:lang w:val="en-US" w:eastAsia="zh-CN"/>
              </w:rPr>
              <w:t>学校</w:t>
            </w:r>
            <w:r>
              <w:rPr>
                <w:rFonts w:hint="eastAsia" w:ascii="仿宋" w:hAnsi="仿宋" w:eastAsia="仿宋" w:cs="仿宋"/>
                <w:b w:val="0"/>
                <w:bCs w:val="0"/>
                <w:color w:val="auto"/>
                <w:sz w:val="24"/>
                <w:szCs w:val="24"/>
                <w:highlight w:val="none"/>
              </w:rPr>
              <w:t>食谱进行原材料的供应及配送，实施学校负责原材料验收工作。实施学校每天进行用餐公示，按月进行汇总，由实施学校支付到</w:t>
            </w:r>
            <w:r>
              <w:rPr>
                <w:rFonts w:hint="eastAsia" w:ascii="仿宋" w:hAnsi="仿宋" w:eastAsia="仿宋" w:cs="仿宋"/>
                <w:b w:val="0"/>
                <w:bCs w:val="0"/>
                <w:color w:val="auto"/>
                <w:sz w:val="24"/>
                <w:szCs w:val="24"/>
                <w:highlight w:val="none"/>
                <w:lang w:val="en-US" w:eastAsia="zh-CN"/>
              </w:rPr>
              <w:t>中标人</w:t>
            </w:r>
            <w:r>
              <w:rPr>
                <w:rFonts w:hint="eastAsia" w:ascii="仿宋" w:hAnsi="仿宋" w:eastAsia="仿宋" w:cs="仿宋"/>
                <w:b w:val="0"/>
                <w:bCs w:val="0"/>
                <w:color w:val="auto"/>
                <w:sz w:val="24"/>
                <w:szCs w:val="24"/>
                <w:highlight w:val="none"/>
              </w:rPr>
              <w:t>。原材料价格根据市场价格进行动态调整，据实进行结算。为确保原材料供货稳定和扶持中小微企业及确保民生资金拨付进度需要，签订合同后，</w:t>
            </w:r>
            <w:r>
              <w:rPr>
                <w:rFonts w:hint="eastAsia" w:ascii="仿宋" w:hAnsi="仿宋" w:eastAsia="仿宋" w:cs="仿宋"/>
                <w:b w:val="0"/>
                <w:bCs w:val="0"/>
                <w:color w:val="auto"/>
                <w:sz w:val="24"/>
                <w:szCs w:val="24"/>
                <w:highlight w:val="none"/>
                <w:lang w:val="en-US" w:eastAsia="zh-CN"/>
              </w:rPr>
              <w:t>采购人</w:t>
            </w:r>
            <w:r>
              <w:rPr>
                <w:rFonts w:hint="eastAsia" w:ascii="仿宋" w:hAnsi="仿宋" w:eastAsia="仿宋" w:cs="仿宋"/>
                <w:b w:val="0"/>
                <w:bCs w:val="0"/>
                <w:color w:val="auto"/>
                <w:sz w:val="24"/>
                <w:szCs w:val="24"/>
                <w:highlight w:val="none"/>
              </w:rPr>
              <w:t>按进度在第2个月支付上一个月所供应的食材款。</w:t>
            </w:r>
          </w:p>
          <w:p w14:paraId="398436B4">
            <w:pPr>
              <w:keepNext w:val="0"/>
              <w:keepLines w:val="0"/>
              <w:pageBreakBefore w:val="0"/>
              <w:widowControl/>
              <w:tabs>
                <w:tab w:val="left" w:pos="0"/>
              </w:tabs>
              <w:kinsoku/>
              <w:overflowPunct/>
              <w:autoSpaceDE/>
              <w:autoSpaceDN/>
              <w:bidi w:val="0"/>
              <w:adjustRightInd/>
              <w:snapToGrid/>
              <w:spacing w:line="440" w:lineRule="exact"/>
              <w:ind w:leftChars="0" w:firstLine="480"/>
              <w:textAlignment w:val="center"/>
              <w:rPr>
                <w:rFonts w:hint="eastAsia" w:ascii="仿宋" w:hAnsi="仿宋" w:eastAsia="仿宋" w:cs="仿宋"/>
                <w:b w:val="0"/>
                <w:bCs w:val="0"/>
                <w:color w:val="auto"/>
                <w:sz w:val="24"/>
                <w:szCs w:val="24"/>
                <w:highlight w:val="red"/>
                <w:lang w:eastAsia="zh-CN"/>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.中标人无故延迟交货时间、擅自更改</w:t>
            </w:r>
            <w:r>
              <w:rPr>
                <w:rFonts w:hint="eastAsia" w:ascii="仿宋" w:hAnsi="仿宋" w:eastAsia="仿宋" w:cs="仿宋"/>
                <w:b w:val="0"/>
                <w:bCs w:val="0"/>
                <w:color w:val="auto"/>
                <w:sz w:val="24"/>
                <w:szCs w:val="24"/>
                <w:highlight w:val="none"/>
                <w:lang w:val="en-US" w:eastAsia="zh-CN"/>
              </w:rPr>
              <w:t>货物</w:t>
            </w:r>
            <w:r>
              <w:rPr>
                <w:rFonts w:hint="eastAsia" w:ascii="仿宋" w:hAnsi="仿宋" w:eastAsia="仿宋" w:cs="仿宋"/>
                <w:b w:val="0"/>
                <w:bCs w:val="0"/>
                <w:color w:val="auto"/>
                <w:sz w:val="24"/>
                <w:szCs w:val="24"/>
                <w:highlight w:val="none"/>
              </w:rPr>
              <w:t>、短斤少两、质量达不到技术参数的行为，经</w:t>
            </w:r>
            <w:r>
              <w:rPr>
                <w:rFonts w:hint="eastAsia" w:ascii="仿宋" w:hAnsi="仿宋" w:eastAsia="仿宋" w:cs="仿宋"/>
                <w:b w:val="0"/>
                <w:bCs w:val="0"/>
                <w:color w:val="auto"/>
                <w:sz w:val="24"/>
                <w:szCs w:val="24"/>
                <w:highlight w:val="none"/>
                <w:lang w:eastAsia="zh-CN"/>
              </w:rPr>
              <w:t>采购人</w:t>
            </w:r>
            <w:r>
              <w:rPr>
                <w:rFonts w:hint="eastAsia" w:ascii="仿宋" w:hAnsi="仿宋" w:eastAsia="仿宋" w:cs="仿宋"/>
                <w:b w:val="0"/>
                <w:bCs w:val="0"/>
                <w:color w:val="auto"/>
                <w:sz w:val="24"/>
                <w:szCs w:val="24"/>
                <w:highlight w:val="none"/>
              </w:rPr>
              <w:t>认定后每项1次支付500元—2000元违约金</w:t>
            </w:r>
            <w:r>
              <w:rPr>
                <w:rFonts w:hint="eastAsia" w:ascii="仿宋" w:hAnsi="仿宋" w:eastAsia="仿宋" w:cs="仿宋"/>
                <w:b w:val="0"/>
                <w:bCs w:val="0"/>
                <w:color w:val="auto"/>
                <w:sz w:val="24"/>
                <w:szCs w:val="24"/>
                <w:highlight w:val="none"/>
                <w:lang w:val="en-US"/>
              </w:rPr>
              <w:t>(</w:t>
            </w:r>
            <w:r>
              <w:rPr>
                <w:rFonts w:hint="eastAsia" w:ascii="仿宋" w:hAnsi="仿宋" w:eastAsia="仿宋" w:cs="仿宋"/>
                <w:b w:val="0"/>
                <w:bCs w:val="0"/>
                <w:color w:val="auto"/>
                <w:sz w:val="24"/>
                <w:szCs w:val="24"/>
                <w:highlight w:val="none"/>
              </w:rPr>
              <w:t>不可抗拒的因素经采购人书面认可的除外</w:t>
            </w:r>
            <w:r>
              <w:rPr>
                <w:rFonts w:hint="eastAsia" w:ascii="仿宋" w:hAnsi="仿宋" w:eastAsia="仿宋" w:cs="仿宋"/>
                <w:b w:val="0"/>
                <w:bCs w:val="0"/>
                <w:color w:val="auto"/>
                <w:sz w:val="24"/>
                <w:szCs w:val="24"/>
                <w:highlight w:val="none"/>
                <w:lang w:val="en-US"/>
              </w:rPr>
              <w:t>)</w:t>
            </w:r>
            <w:r>
              <w:rPr>
                <w:rFonts w:hint="eastAsia" w:ascii="仿宋" w:hAnsi="仿宋" w:eastAsia="仿宋" w:cs="仿宋"/>
                <w:b w:val="0"/>
                <w:bCs w:val="0"/>
                <w:color w:val="auto"/>
                <w:sz w:val="24"/>
                <w:szCs w:val="24"/>
                <w:highlight w:val="none"/>
              </w:rPr>
              <w:t>，且还应赔偿采购人其他损失</w:t>
            </w:r>
            <w:r>
              <w:rPr>
                <w:rFonts w:hint="eastAsia" w:ascii="仿宋" w:hAnsi="仿宋" w:eastAsia="仿宋" w:cs="仿宋"/>
                <w:b w:val="0"/>
                <w:bCs w:val="0"/>
                <w:color w:val="auto"/>
                <w:sz w:val="24"/>
                <w:szCs w:val="24"/>
                <w:highlight w:val="none"/>
                <w:lang w:val="en-US"/>
              </w:rPr>
              <w:t>(</w:t>
            </w:r>
            <w:r>
              <w:rPr>
                <w:rFonts w:hint="eastAsia" w:ascii="仿宋" w:hAnsi="仿宋" w:eastAsia="仿宋" w:cs="仿宋"/>
                <w:b w:val="0"/>
                <w:bCs w:val="0"/>
                <w:color w:val="auto"/>
                <w:sz w:val="24"/>
                <w:szCs w:val="24"/>
                <w:highlight w:val="none"/>
              </w:rPr>
              <w:t>包</w:t>
            </w:r>
            <w:r>
              <w:rPr>
                <w:rFonts w:hint="eastAsia" w:ascii="仿宋" w:hAnsi="仿宋" w:eastAsia="仿宋" w:cs="仿宋"/>
                <w:b w:val="0"/>
                <w:bCs w:val="0"/>
                <w:color w:val="auto"/>
                <w:sz w:val="24"/>
                <w:szCs w:val="24"/>
                <w:highlight w:val="none"/>
                <w:lang w:val="en-US" w:eastAsia="zh-CN"/>
              </w:rPr>
              <w:t>含但</w:t>
            </w:r>
            <w:r>
              <w:rPr>
                <w:rFonts w:hint="eastAsia" w:ascii="仿宋" w:hAnsi="仿宋" w:eastAsia="仿宋" w:cs="仿宋"/>
                <w:b w:val="0"/>
                <w:bCs w:val="0"/>
                <w:color w:val="auto"/>
                <w:sz w:val="24"/>
                <w:szCs w:val="24"/>
                <w:highlight w:val="none"/>
              </w:rPr>
              <w:t>不仅限于应急处理措施支付的费用</w:t>
            </w:r>
            <w:r>
              <w:rPr>
                <w:rFonts w:hint="eastAsia" w:ascii="仿宋" w:hAnsi="仿宋" w:eastAsia="仿宋" w:cs="仿宋"/>
                <w:b w:val="0"/>
                <w:bCs w:val="0"/>
                <w:color w:val="auto"/>
                <w:sz w:val="24"/>
                <w:szCs w:val="24"/>
                <w:highlight w:val="none"/>
                <w:lang w:val="en-US"/>
              </w:rPr>
              <w:t>)</w:t>
            </w:r>
            <w:r>
              <w:rPr>
                <w:rFonts w:hint="eastAsia" w:ascii="仿宋" w:hAnsi="仿宋" w:eastAsia="仿宋" w:cs="仿宋"/>
                <w:b w:val="0"/>
                <w:bCs w:val="0"/>
                <w:color w:val="auto"/>
                <w:sz w:val="24"/>
                <w:szCs w:val="24"/>
                <w:highlight w:val="none"/>
              </w:rPr>
              <w:t>。</w:t>
            </w:r>
          </w:p>
          <w:p w14:paraId="6A859ECB">
            <w:pPr>
              <w:topLinePunct/>
              <w:spacing w:line="360" w:lineRule="auto"/>
              <w:rPr>
                <w:rFonts w:hint="eastAsia"/>
                <w:color w:val="auto"/>
                <w:kern w:val="0"/>
                <w:szCs w:val="21"/>
              </w:rPr>
            </w:pPr>
          </w:p>
        </w:tc>
      </w:tr>
      <w:tr w14:paraId="49965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7B5ED8BB">
            <w:pPr>
              <w:topLinePunct/>
              <w:spacing w:line="360" w:lineRule="auto"/>
              <w:jc w:val="center"/>
              <w:rPr>
                <w:rFonts w:ascii="宋体" w:hAnsi="宋体"/>
                <w:color w:val="auto"/>
                <w:szCs w:val="21"/>
              </w:rPr>
            </w:pPr>
            <w:r>
              <w:rPr>
                <w:rFonts w:hint="eastAsia" w:ascii="宋体" w:hAnsi="宋体"/>
                <w:color w:val="auto"/>
                <w:szCs w:val="21"/>
              </w:rPr>
              <w:t>13</w:t>
            </w:r>
          </w:p>
        </w:tc>
        <w:tc>
          <w:tcPr>
            <w:tcW w:w="354" w:type="pct"/>
            <w:noWrap w:val="0"/>
            <w:vAlign w:val="center"/>
          </w:tcPr>
          <w:p w14:paraId="6510C0B8">
            <w:pPr>
              <w:topLinePunct/>
              <w:spacing w:line="360" w:lineRule="auto"/>
              <w:jc w:val="center"/>
              <w:rPr>
                <w:rFonts w:ascii="宋体" w:hAnsi="宋体"/>
                <w:color w:val="auto"/>
                <w:szCs w:val="21"/>
              </w:rPr>
            </w:pPr>
            <w:r>
              <w:rPr>
                <w:rFonts w:hint="eastAsia" w:ascii="宋体" w:hAnsi="宋体"/>
                <w:color w:val="auto"/>
                <w:szCs w:val="20"/>
              </w:rPr>
              <w:t>投标截止时间</w:t>
            </w:r>
          </w:p>
        </w:tc>
        <w:tc>
          <w:tcPr>
            <w:tcW w:w="3916" w:type="pct"/>
            <w:noWrap w:val="0"/>
            <w:vAlign w:val="center"/>
          </w:tcPr>
          <w:p w14:paraId="0FF05E78">
            <w:pPr>
              <w:topLinePunct/>
              <w:spacing w:line="360" w:lineRule="auto"/>
              <w:rPr>
                <w:rFonts w:ascii="宋体" w:hAnsi="宋体"/>
                <w:color w:val="auto"/>
                <w:szCs w:val="21"/>
              </w:rPr>
            </w:pPr>
            <w:r>
              <w:rPr>
                <w:rFonts w:hint="eastAsia"/>
                <w:color w:val="auto"/>
                <w:kern w:val="0"/>
                <w:szCs w:val="21"/>
              </w:rPr>
              <w:t>2025年</w:t>
            </w:r>
            <w:r>
              <w:rPr>
                <w:rFonts w:hint="eastAsia"/>
                <w:color w:val="auto"/>
                <w:kern w:val="0"/>
                <w:szCs w:val="21"/>
                <w:lang w:val="en-US" w:eastAsia="zh-CN"/>
              </w:rPr>
              <w:t>8</w:t>
            </w:r>
            <w:r>
              <w:rPr>
                <w:rFonts w:hint="eastAsia"/>
                <w:color w:val="auto"/>
                <w:kern w:val="0"/>
                <w:szCs w:val="21"/>
              </w:rPr>
              <w:t>月</w:t>
            </w:r>
            <w:r>
              <w:rPr>
                <w:rFonts w:hint="eastAsia"/>
                <w:color w:val="auto"/>
                <w:kern w:val="0"/>
                <w:szCs w:val="21"/>
                <w:lang w:val="en-US" w:eastAsia="zh-CN"/>
              </w:rPr>
              <w:t>25</w:t>
            </w:r>
            <w:r>
              <w:rPr>
                <w:rFonts w:hint="eastAsia"/>
                <w:color w:val="auto"/>
                <w:kern w:val="0"/>
                <w:szCs w:val="21"/>
              </w:rPr>
              <w:t>日9时30分</w:t>
            </w:r>
          </w:p>
        </w:tc>
      </w:tr>
      <w:tr w14:paraId="33B0F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4FC336C0">
            <w:pPr>
              <w:topLinePunct/>
              <w:spacing w:line="360" w:lineRule="auto"/>
              <w:jc w:val="center"/>
              <w:rPr>
                <w:rFonts w:ascii="宋体" w:hAnsi="宋体"/>
                <w:color w:val="auto"/>
                <w:szCs w:val="21"/>
              </w:rPr>
            </w:pPr>
            <w:r>
              <w:rPr>
                <w:rFonts w:hint="eastAsia" w:ascii="宋体" w:hAnsi="宋体"/>
                <w:color w:val="auto"/>
                <w:szCs w:val="21"/>
              </w:rPr>
              <w:t>14</w:t>
            </w:r>
          </w:p>
        </w:tc>
        <w:tc>
          <w:tcPr>
            <w:tcW w:w="354" w:type="pct"/>
            <w:noWrap w:val="0"/>
            <w:vAlign w:val="center"/>
          </w:tcPr>
          <w:p w14:paraId="7CD27345">
            <w:pPr>
              <w:topLinePunct/>
              <w:spacing w:line="360" w:lineRule="auto"/>
              <w:jc w:val="center"/>
              <w:rPr>
                <w:rFonts w:ascii="宋体" w:hAnsi="宋体"/>
                <w:color w:val="auto"/>
                <w:szCs w:val="20"/>
              </w:rPr>
            </w:pPr>
            <w:r>
              <w:rPr>
                <w:rFonts w:hint="eastAsia" w:ascii="宋体" w:hAnsi="宋体"/>
                <w:color w:val="auto"/>
                <w:szCs w:val="20"/>
              </w:rPr>
              <w:t>投标文件递交</w:t>
            </w:r>
          </w:p>
          <w:p w14:paraId="2FF59632">
            <w:pPr>
              <w:topLinePunct/>
              <w:spacing w:line="360" w:lineRule="auto"/>
              <w:jc w:val="center"/>
              <w:rPr>
                <w:rFonts w:hint="eastAsia" w:ascii="宋体" w:hAnsi="宋体"/>
                <w:color w:val="auto"/>
                <w:szCs w:val="21"/>
              </w:rPr>
            </w:pPr>
            <w:r>
              <w:rPr>
                <w:rFonts w:hint="eastAsia" w:ascii="宋体" w:hAnsi="宋体"/>
                <w:color w:val="auto"/>
                <w:szCs w:val="20"/>
              </w:rPr>
              <w:t>（网上递交）</w:t>
            </w:r>
          </w:p>
        </w:tc>
        <w:tc>
          <w:tcPr>
            <w:tcW w:w="3916" w:type="pct"/>
            <w:noWrap w:val="0"/>
            <w:vAlign w:val="center"/>
          </w:tcPr>
          <w:p w14:paraId="703B82DD">
            <w:pPr>
              <w:topLinePunct/>
              <w:spacing w:line="360" w:lineRule="auto"/>
              <w:ind w:firstLine="420" w:firstLineChars="200"/>
              <w:rPr>
                <w:rFonts w:ascii="宋体" w:hAnsi="宋体" w:cs="宋体"/>
                <w:color w:val="auto"/>
                <w:sz w:val="24"/>
              </w:rPr>
            </w:pPr>
            <w:r>
              <w:rPr>
                <w:rFonts w:hint="eastAsia"/>
                <w:color w:val="auto"/>
                <w:kern w:val="0"/>
                <w:szCs w:val="21"/>
              </w:rPr>
              <w:t>投标人应登录</w:t>
            </w:r>
            <w:r>
              <w:rPr>
                <w:color w:val="auto"/>
                <w:kern w:val="0"/>
                <w:szCs w:val="21"/>
              </w:rPr>
              <w:t>宜</w:t>
            </w:r>
            <w:r>
              <w:rPr>
                <w:rFonts w:hint="eastAsia"/>
                <w:color w:val="auto"/>
                <w:kern w:val="0"/>
                <w:szCs w:val="21"/>
              </w:rPr>
              <w:t>宾市公共资源电子化交易平台</w:t>
            </w:r>
            <w:r>
              <w:rPr>
                <w:color w:val="auto"/>
                <w:kern w:val="0"/>
                <w:szCs w:val="21"/>
              </w:rPr>
              <w:t xml:space="preserve"> （具体操作方式</w:t>
            </w:r>
            <w:r>
              <w:rPr>
                <w:rFonts w:hint="eastAsia"/>
                <w:color w:val="auto"/>
                <w:kern w:val="0"/>
                <w:szCs w:val="21"/>
              </w:rPr>
              <w:t>详见宜宾市公共资源电子化交易平台操作指南</w:t>
            </w:r>
            <w:r>
              <w:rPr>
                <w:color w:val="auto"/>
                <w:kern w:val="0"/>
                <w:szCs w:val="21"/>
              </w:rPr>
              <w:t>&lt;</w:t>
            </w:r>
            <w:r>
              <w:rPr>
                <w:rFonts w:hint="eastAsia"/>
                <w:color w:val="auto"/>
                <w:kern w:val="0"/>
                <w:szCs w:val="21"/>
              </w:rPr>
              <w:t>仅适用于投标人</w:t>
            </w:r>
            <w:r>
              <w:rPr>
                <w:color w:val="auto"/>
                <w:kern w:val="0"/>
                <w:szCs w:val="21"/>
              </w:rPr>
              <w:t>&gt;），</w:t>
            </w:r>
            <w:r>
              <w:rPr>
                <w:rFonts w:hint="eastAsia"/>
                <w:color w:val="auto"/>
                <w:kern w:val="0"/>
                <w:szCs w:val="21"/>
              </w:rPr>
              <w:t>选择要递交投标文件的项目，</w:t>
            </w:r>
            <w:r>
              <w:rPr>
                <w:color w:val="auto"/>
                <w:kern w:val="0"/>
                <w:szCs w:val="21"/>
              </w:rPr>
              <w:t>在</w:t>
            </w:r>
            <w:r>
              <w:rPr>
                <w:rFonts w:hint="eastAsia"/>
                <w:color w:val="auto"/>
                <w:kern w:val="0"/>
                <w:szCs w:val="21"/>
              </w:rPr>
              <w:t>递交</w:t>
            </w:r>
            <w:r>
              <w:rPr>
                <w:color w:val="auto"/>
                <w:kern w:val="0"/>
                <w:szCs w:val="21"/>
              </w:rPr>
              <w:t>投</w:t>
            </w:r>
            <w:r>
              <w:rPr>
                <w:rFonts w:hint="eastAsia"/>
                <w:color w:val="auto"/>
                <w:kern w:val="0"/>
                <w:szCs w:val="21"/>
              </w:rPr>
              <w:t>标文件</w:t>
            </w:r>
            <w:r>
              <w:rPr>
                <w:color w:val="auto"/>
                <w:kern w:val="0"/>
                <w:szCs w:val="21"/>
              </w:rPr>
              <w:t>截止</w:t>
            </w:r>
            <w:r>
              <w:rPr>
                <w:rFonts w:hint="eastAsia"/>
                <w:color w:val="auto"/>
                <w:kern w:val="0"/>
                <w:szCs w:val="21"/>
              </w:rPr>
              <w:t>时间前完成所有投标文件的上传，并</w:t>
            </w:r>
            <w:r>
              <w:rPr>
                <w:color w:val="auto"/>
                <w:kern w:val="0"/>
                <w:szCs w:val="21"/>
              </w:rPr>
              <w:t>完成“确</w:t>
            </w:r>
            <w:r>
              <w:rPr>
                <w:rFonts w:hint="eastAsia"/>
                <w:color w:val="auto"/>
                <w:kern w:val="0"/>
                <w:szCs w:val="21"/>
              </w:rPr>
              <w:t>认并签名</w:t>
            </w:r>
            <w:r>
              <w:rPr>
                <w:color w:val="auto"/>
                <w:kern w:val="0"/>
                <w:szCs w:val="21"/>
              </w:rPr>
              <w:t>”后确</w:t>
            </w:r>
            <w:r>
              <w:rPr>
                <w:rFonts w:hint="eastAsia"/>
                <w:color w:val="auto"/>
                <w:kern w:val="0"/>
                <w:szCs w:val="21"/>
              </w:rPr>
              <w:t>认上传，并成功</w:t>
            </w:r>
            <w:r>
              <w:rPr>
                <w:color w:val="auto"/>
                <w:kern w:val="0"/>
                <w:szCs w:val="21"/>
              </w:rPr>
              <w:t>打印</w:t>
            </w:r>
            <w:r>
              <w:rPr>
                <w:rFonts w:hint="eastAsia"/>
                <w:color w:val="auto"/>
                <w:kern w:val="0"/>
                <w:szCs w:val="21"/>
              </w:rPr>
              <w:t>出</w:t>
            </w:r>
            <w:r>
              <w:rPr>
                <w:color w:val="auto"/>
                <w:kern w:val="0"/>
                <w:szCs w:val="21"/>
              </w:rPr>
              <w:t>“上</w:t>
            </w:r>
            <w:r>
              <w:rPr>
                <w:rFonts w:hint="eastAsia"/>
                <w:color w:val="auto"/>
                <w:kern w:val="0"/>
                <w:szCs w:val="21"/>
              </w:rPr>
              <w:t>传投标文件回执</w:t>
            </w:r>
            <w:r>
              <w:rPr>
                <w:color w:val="auto"/>
                <w:kern w:val="0"/>
                <w:szCs w:val="21"/>
              </w:rPr>
              <w:t>”</w:t>
            </w:r>
            <w:r>
              <w:rPr>
                <w:rFonts w:hint="eastAsia"/>
                <w:color w:val="auto"/>
                <w:kern w:val="0"/>
                <w:szCs w:val="21"/>
              </w:rPr>
              <w:t>方为网上递交成功</w:t>
            </w:r>
            <w:r>
              <w:rPr>
                <w:color w:val="auto"/>
                <w:kern w:val="0"/>
                <w:szCs w:val="21"/>
              </w:rPr>
              <w:t>。</w:t>
            </w:r>
          </w:p>
        </w:tc>
      </w:tr>
      <w:tr w14:paraId="5F668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37DA5EC6">
            <w:pPr>
              <w:topLinePunct/>
              <w:spacing w:line="360" w:lineRule="auto"/>
              <w:jc w:val="center"/>
              <w:rPr>
                <w:rFonts w:ascii="宋体" w:hAnsi="宋体"/>
                <w:color w:val="auto"/>
                <w:szCs w:val="21"/>
              </w:rPr>
            </w:pPr>
            <w:r>
              <w:rPr>
                <w:rFonts w:hint="eastAsia" w:ascii="宋体" w:hAnsi="宋体"/>
                <w:color w:val="auto"/>
                <w:szCs w:val="21"/>
              </w:rPr>
              <w:t>15</w:t>
            </w:r>
          </w:p>
        </w:tc>
        <w:tc>
          <w:tcPr>
            <w:tcW w:w="354" w:type="pct"/>
            <w:noWrap w:val="0"/>
            <w:vAlign w:val="center"/>
          </w:tcPr>
          <w:p w14:paraId="0F88BB1C">
            <w:pPr>
              <w:topLinePunct/>
              <w:spacing w:line="360" w:lineRule="auto"/>
              <w:jc w:val="center"/>
              <w:rPr>
                <w:rFonts w:ascii="宋体" w:hAnsi="宋体"/>
                <w:color w:val="auto"/>
                <w:szCs w:val="21"/>
              </w:rPr>
            </w:pPr>
            <w:r>
              <w:rPr>
                <w:rFonts w:hint="eastAsia" w:ascii="宋体" w:hAnsi="宋体"/>
                <w:color w:val="auto"/>
                <w:szCs w:val="20"/>
              </w:rPr>
              <w:t>开标时间和地点</w:t>
            </w:r>
          </w:p>
        </w:tc>
        <w:tc>
          <w:tcPr>
            <w:tcW w:w="3916" w:type="pct"/>
            <w:noWrap w:val="0"/>
            <w:vAlign w:val="center"/>
          </w:tcPr>
          <w:p w14:paraId="068C2215">
            <w:pPr>
              <w:topLinePunct/>
              <w:spacing w:line="360" w:lineRule="auto"/>
              <w:ind w:firstLine="420" w:firstLineChars="200"/>
              <w:rPr>
                <w:rFonts w:hint="eastAsia" w:ascii="宋体" w:hAnsi="宋体"/>
                <w:color w:val="auto"/>
                <w:szCs w:val="20"/>
              </w:rPr>
            </w:pPr>
            <w:r>
              <w:rPr>
                <w:rFonts w:hint="eastAsia" w:ascii="宋体" w:hAnsi="宋体"/>
                <w:color w:val="auto"/>
                <w:szCs w:val="20"/>
              </w:rPr>
              <w:t>开标时间：同投标截止时间</w:t>
            </w:r>
          </w:p>
          <w:p w14:paraId="050FD9F7">
            <w:pPr>
              <w:topLinePunct/>
              <w:spacing w:line="360" w:lineRule="auto"/>
              <w:ind w:firstLine="420" w:firstLineChars="200"/>
              <w:rPr>
                <w:rFonts w:ascii="宋体" w:hAnsi="宋体"/>
                <w:color w:val="auto"/>
                <w:szCs w:val="20"/>
              </w:rPr>
            </w:pPr>
            <w:r>
              <w:rPr>
                <w:color w:val="auto"/>
                <w:kern w:val="0"/>
                <w:szCs w:val="21"/>
              </w:rPr>
              <w:t>远程在线开标地点：网上开标室。</w:t>
            </w:r>
            <w:r>
              <w:rPr>
                <w:rFonts w:hint="eastAsia"/>
                <w:color w:val="auto"/>
                <w:kern w:val="0"/>
                <w:szCs w:val="21"/>
              </w:rPr>
              <w:t>投标人</w:t>
            </w:r>
            <w:r>
              <w:rPr>
                <w:color w:val="auto"/>
                <w:kern w:val="0"/>
                <w:szCs w:val="21"/>
              </w:rPr>
              <w:t>须在</w:t>
            </w:r>
            <w:r>
              <w:rPr>
                <w:rFonts w:hint="eastAsia"/>
                <w:color w:val="auto"/>
                <w:kern w:val="0"/>
                <w:szCs w:val="21"/>
              </w:rPr>
              <w:t>投标截止时间</w:t>
            </w:r>
            <w:r>
              <w:rPr>
                <w:color w:val="auto"/>
                <w:kern w:val="0"/>
                <w:szCs w:val="21"/>
              </w:rPr>
              <w:t>前，登录宜宾市公共资源电子化交易平台→政府采购模块→选择“网上开标室”并选择本项目参与网上开标。</w:t>
            </w:r>
          </w:p>
        </w:tc>
      </w:tr>
      <w:tr w14:paraId="0ADEC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39B65DC1">
            <w:pPr>
              <w:topLinePunct/>
              <w:spacing w:line="360" w:lineRule="auto"/>
              <w:jc w:val="center"/>
              <w:rPr>
                <w:rFonts w:ascii="宋体" w:hAnsi="宋体"/>
                <w:color w:val="auto"/>
                <w:szCs w:val="21"/>
              </w:rPr>
            </w:pPr>
            <w:r>
              <w:rPr>
                <w:rFonts w:hint="eastAsia" w:ascii="宋体" w:hAnsi="宋体"/>
                <w:color w:val="auto"/>
                <w:szCs w:val="21"/>
              </w:rPr>
              <w:t>16</w:t>
            </w:r>
          </w:p>
        </w:tc>
        <w:tc>
          <w:tcPr>
            <w:tcW w:w="354" w:type="pct"/>
            <w:noWrap w:val="0"/>
            <w:vAlign w:val="center"/>
          </w:tcPr>
          <w:p w14:paraId="79CC9434">
            <w:pPr>
              <w:topLinePunct/>
              <w:spacing w:line="360" w:lineRule="auto"/>
              <w:jc w:val="center"/>
              <w:rPr>
                <w:rFonts w:ascii="宋体" w:hAnsi="宋体"/>
                <w:color w:val="auto"/>
                <w:szCs w:val="21"/>
              </w:rPr>
            </w:pPr>
            <w:r>
              <w:rPr>
                <w:rFonts w:hint="eastAsia" w:ascii="宋体" w:hAnsi="宋体"/>
                <w:color w:val="auto"/>
                <w:szCs w:val="20"/>
              </w:rPr>
              <w:t>评标委员会的组建</w:t>
            </w:r>
          </w:p>
        </w:tc>
        <w:tc>
          <w:tcPr>
            <w:tcW w:w="3916" w:type="pct"/>
            <w:noWrap w:val="0"/>
            <w:vAlign w:val="center"/>
          </w:tcPr>
          <w:p w14:paraId="27056FB0">
            <w:pPr>
              <w:topLinePunct/>
              <w:spacing w:line="360" w:lineRule="auto"/>
              <w:rPr>
                <w:rFonts w:hint="eastAsia" w:ascii="宋体" w:hAnsi="宋体"/>
                <w:color w:val="auto"/>
                <w:szCs w:val="21"/>
              </w:rPr>
            </w:pPr>
            <w:r>
              <w:rPr>
                <w:rFonts w:hint="eastAsia" w:ascii="宋体" w:hAnsi="宋体"/>
                <w:color w:val="auto"/>
                <w:szCs w:val="20"/>
                <w:highlight w:val="none"/>
              </w:rPr>
              <w:t>评标委员会共</w:t>
            </w:r>
            <w:r>
              <w:rPr>
                <w:rFonts w:hint="eastAsia" w:ascii="Times New Roman" w:hAnsi="Times New Roman" w:eastAsia="宋体" w:cs="Times New Roman"/>
                <w:color w:val="auto"/>
                <w:kern w:val="0"/>
                <w:szCs w:val="21"/>
                <w:highlight w:val="none"/>
                <w:lang w:val="en-US" w:eastAsia="zh-CN"/>
              </w:rPr>
              <w:t>7</w:t>
            </w:r>
            <w:r>
              <w:rPr>
                <w:rFonts w:hint="eastAsia" w:ascii="Times New Roman" w:hAnsi="Times New Roman" w:eastAsia="宋体" w:cs="Times New Roman"/>
                <w:color w:val="auto"/>
                <w:kern w:val="0"/>
                <w:szCs w:val="21"/>
                <w:highlight w:val="none"/>
              </w:rPr>
              <w:t>人，其</w:t>
            </w:r>
            <w:r>
              <w:rPr>
                <w:rFonts w:hint="eastAsia" w:ascii="宋体" w:hAnsi="宋体"/>
                <w:color w:val="auto"/>
                <w:szCs w:val="21"/>
                <w:highlight w:val="none"/>
              </w:rPr>
              <w:t>中业主代表</w:t>
            </w:r>
            <w:r>
              <w:rPr>
                <w:rFonts w:hint="eastAsia" w:ascii="Times New Roman" w:hAnsi="Times New Roman" w:eastAsia="宋体" w:cs="Times New Roman"/>
                <w:color w:val="auto"/>
                <w:kern w:val="0"/>
                <w:szCs w:val="21"/>
                <w:highlight w:val="none"/>
                <w:lang w:val="en-US" w:eastAsia="zh-CN"/>
              </w:rPr>
              <w:t>2</w:t>
            </w:r>
            <w:r>
              <w:rPr>
                <w:rFonts w:hint="eastAsia" w:ascii="Times New Roman" w:hAnsi="Times New Roman" w:eastAsia="宋体" w:cs="Times New Roman"/>
                <w:color w:val="auto"/>
                <w:kern w:val="0"/>
                <w:szCs w:val="21"/>
                <w:highlight w:val="none"/>
              </w:rPr>
              <w:t>人。</w:t>
            </w:r>
          </w:p>
        </w:tc>
      </w:tr>
      <w:tr w14:paraId="2B3DC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66FAD799">
            <w:pPr>
              <w:topLinePunct/>
              <w:spacing w:line="360" w:lineRule="auto"/>
              <w:jc w:val="center"/>
              <w:rPr>
                <w:rFonts w:ascii="宋体" w:hAnsi="宋体"/>
                <w:color w:val="auto"/>
                <w:szCs w:val="21"/>
              </w:rPr>
            </w:pPr>
            <w:r>
              <w:rPr>
                <w:rFonts w:hint="eastAsia" w:ascii="宋体" w:hAnsi="宋体"/>
                <w:color w:val="auto"/>
                <w:szCs w:val="21"/>
              </w:rPr>
              <w:t>17</w:t>
            </w:r>
          </w:p>
        </w:tc>
        <w:tc>
          <w:tcPr>
            <w:tcW w:w="354" w:type="pct"/>
            <w:noWrap w:val="0"/>
            <w:vAlign w:val="center"/>
          </w:tcPr>
          <w:p w14:paraId="1BA9B54D">
            <w:pPr>
              <w:topLinePunct/>
              <w:spacing w:line="360" w:lineRule="auto"/>
              <w:jc w:val="center"/>
              <w:rPr>
                <w:rFonts w:ascii="宋体" w:hAnsi="宋体"/>
                <w:color w:val="auto"/>
                <w:szCs w:val="21"/>
              </w:rPr>
            </w:pPr>
            <w:r>
              <w:rPr>
                <w:rFonts w:hint="eastAsia" w:ascii="宋体" w:hAnsi="宋体"/>
                <w:color w:val="auto"/>
                <w:szCs w:val="20"/>
              </w:rPr>
              <w:t>评标方法</w:t>
            </w:r>
          </w:p>
        </w:tc>
        <w:tc>
          <w:tcPr>
            <w:tcW w:w="3916" w:type="pct"/>
            <w:noWrap w:val="0"/>
            <w:vAlign w:val="center"/>
          </w:tcPr>
          <w:p w14:paraId="7E28142E">
            <w:pPr>
              <w:topLinePunct/>
              <w:spacing w:line="360" w:lineRule="auto"/>
              <w:rPr>
                <w:rFonts w:ascii="宋体" w:hAnsi="宋体"/>
                <w:color w:val="auto"/>
                <w:szCs w:val="21"/>
              </w:rPr>
            </w:pPr>
            <w:r>
              <w:rPr>
                <w:rFonts w:hint="eastAsia" w:ascii="宋体" w:hAnsi="宋体"/>
                <w:color w:val="auto"/>
                <w:szCs w:val="20"/>
              </w:rPr>
              <w:t xml:space="preserve">综合评分法 </w:t>
            </w:r>
          </w:p>
        </w:tc>
      </w:tr>
      <w:tr w14:paraId="28203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4F20F6D5">
            <w:pPr>
              <w:topLinePunct/>
              <w:spacing w:line="360" w:lineRule="auto"/>
              <w:jc w:val="center"/>
              <w:rPr>
                <w:rFonts w:ascii="宋体" w:hAnsi="宋体"/>
                <w:color w:val="auto"/>
                <w:szCs w:val="21"/>
              </w:rPr>
            </w:pPr>
            <w:r>
              <w:rPr>
                <w:rFonts w:hint="eastAsia" w:ascii="宋体" w:hAnsi="宋体"/>
                <w:color w:val="auto"/>
                <w:szCs w:val="21"/>
              </w:rPr>
              <w:t>18</w:t>
            </w:r>
          </w:p>
        </w:tc>
        <w:tc>
          <w:tcPr>
            <w:tcW w:w="354" w:type="pct"/>
            <w:noWrap w:val="0"/>
            <w:vAlign w:val="center"/>
          </w:tcPr>
          <w:p w14:paraId="33953E86">
            <w:pPr>
              <w:topLinePunct/>
              <w:spacing w:line="360" w:lineRule="auto"/>
              <w:jc w:val="center"/>
              <w:rPr>
                <w:rFonts w:ascii="宋体" w:hAnsi="宋体"/>
                <w:color w:val="auto"/>
                <w:szCs w:val="21"/>
              </w:rPr>
            </w:pPr>
            <w:r>
              <w:rPr>
                <w:rFonts w:hint="eastAsia" w:ascii="宋体" w:hAnsi="宋体"/>
                <w:color w:val="auto"/>
                <w:szCs w:val="20"/>
              </w:rPr>
              <w:t>中标价</w:t>
            </w:r>
          </w:p>
        </w:tc>
        <w:tc>
          <w:tcPr>
            <w:tcW w:w="3916" w:type="pct"/>
            <w:noWrap w:val="0"/>
            <w:vAlign w:val="center"/>
          </w:tcPr>
          <w:p w14:paraId="027D78AA">
            <w:pPr>
              <w:topLinePunct/>
              <w:spacing w:line="360" w:lineRule="auto"/>
              <w:rPr>
                <w:rFonts w:ascii="宋体" w:hAnsi="宋体"/>
                <w:color w:val="auto"/>
                <w:szCs w:val="21"/>
              </w:rPr>
            </w:pPr>
            <w:r>
              <w:rPr>
                <w:rFonts w:hint="eastAsia" w:ascii="宋体" w:hAnsi="宋体"/>
                <w:color w:val="auto"/>
                <w:szCs w:val="20"/>
              </w:rPr>
              <w:t>以投标人在开标一览表中的总投标价为准，不保证报价最低的投标人中标。</w:t>
            </w:r>
          </w:p>
        </w:tc>
      </w:tr>
      <w:tr w14:paraId="65178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0FC0AA5E">
            <w:pPr>
              <w:topLinePunct/>
              <w:spacing w:line="360" w:lineRule="auto"/>
              <w:jc w:val="center"/>
              <w:rPr>
                <w:rFonts w:ascii="宋体" w:hAnsi="宋体"/>
                <w:color w:val="auto"/>
                <w:szCs w:val="21"/>
              </w:rPr>
            </w:pPr>
            <w:r>
              <w:rPr>
                <w:rFonts w:hint="eastAsia" w:ascii="宋体" w:hAnsi="宋体"/>
                <w:color w:val="auto"/>
                <w:szCs w:val="21"/>
              </w:rPr>
              <w:t>19</w:t>
            </w:r>
          </w:p>
        </w:tc>
        <w:tc>
          <w:tcPr>
            <w:tcW w:w="354" w:type="pct"/>
            <w:noWrap w:val="0"/>
            <w:vAlign w:val="center"/>
          </w:tcPr>
          <w:p w14:paraId="629FC6E9">
            <w:pPr>
              <w:topLinePunct/>
              <w:spacing w:line="360" w:lineRule="auto"/>
              <w:jc w:val="center"/>
              <w:rPr>
                <w:rFonts w:ascii="宋体" w:hAnsi="宋体"/>
                <w:color w:val="auto"/>
                <w:szCs w:val="21"/>
              </w:rPr>
            </w:pPr>
            <w:r>
              <w:rPr>
                <w:rFonts w:hint="eastAsia" w:ascii="宋体" w:hAnsi="宋体"/>
                <w:color w:val="auto"/>
                <w:szCs w:val="20"/>
              </w:rPr>
              <w:t>定标原则</w:t>
            </w:r>
          </w:p>
        </w:tc>
        <w:tc>
          <w:tcPr>
            <w:tcW w:w="3916" w:type="pct"/>
            <w:noWrap w:val="0"/>
            <w:vAlign w:val="center"/>
          </w:tcPr>
          <w:p w14:paraId="61B677E3">
            <w:pPr>
              <w:topLinePunct/>
              <w:spacing w:line="360" w:lineRule="auto"/>
              <w:ind w:firstLine="360" w:firstLineChars="150"/>
              <w:rPr>
                <w:rFonts w:ascii="宋体" w:hAnsi="宋体"/>
                <w:color w:val="auto"/>
                <w:szCs w:val="20"/>
              </w:rPr>
            </w:pPr>
            <w:r>
              <w:rPr>
                <w:rFonts w:hint="eastAsia" w:ascii="MS Mincho" w:hAnsi="MS Mincho" w:eastAsia="MS Mincho" w:cs="MS Mincho"/>
                <w:color w:val="auto"/>
                <w:sz w:val="24"/>
                <w:szCs w:val="24"/>
              </w:rPr>
              <w:t>☑</w:t>
            </w:r>
            <w:r>
              <w:rPr>
                <w:rFonts w:hint="eastAsia" w:ascii="宋体" w:hAnsi="宋体"/>
                <w:color w:val="auto"/>
                <w:szCs w:val="20"/>
              </w:rPr>
              <w:t>由评标委员会直接确定中标人，并推荐中标候选人2个。</w:t>
            </w:r>
          </w:p>
          <w:p w14:paraId="01E8A173">
            <w:pPr>
              <w:topLinePunct/>
              <w:spacing w:line="360" w:lineRule="auto"/>
              <w:ind w:firstLine="420" w:firstLineChars="200"/>
              <w:rPr>
                <w:rFonts w:ascii="宋体" w:hAnsi="宋体"/>
                <w:color w:val="auto"/>
                <w:szCs w:val="21"/>
              </w:rPr>
            </w:pPr>
            <w:r>
              <w:rPr>
                <w:rFonts w:hint="eastAsia" w:ascii="宋体" w:hAnsi="宋体"/>
                <w:color w:val="auto"/>
                <w:szCs w:val="20"/>
              </w:rPr>
              <w:t>□由评标委员会推荐中标候选人3个，再由招标人根据相关规定并按评审报告推荐的顺序确定中标人，</w:t>
            </w:r>
            <w:bookmarkStart w:id="0" w:name="_Hlk179722499"/>
            <w:r>
              <w:rPr>
                <w:rFonts w:hint="eastAsia" w:ascii="宋体" w:hAnsi="宋体"/>
                <w:color w:val="auto"/>
                <w:szCs w:val="20"/>
              </w:rPr>
              <w:t>当符合要求的投标人少于需推荐的人数，评标委员会推荐的人数可少于需推荐的人数。</w:t>
            </w:r>
            <w:bookmarkEnd w:id="0"/>
          </w:p>
        </w:tc>
      </w:tr>
      <w:tr w14:paraId="30EC9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0C151E11">
            <w:pPr>
              <w:topLinePunct/>
              <w:spacing w:line="360" w:lineRule="auto"/>
              <w:jc w:val="center"/>
              <w:rPr>
                <w:rFonts w:ascii="宋体" w:hAnsi="宋体"/>
                <w:color w:val="auto"/>
                <w:szCs w:val="21"/>
              </w:rPr>
            </w:pPr>
            <w:r>
              <w:rPr>
                <w:rFonts w:hint="eastAsia" w:ascii="宋体" w:hAnsi="宋体"/>
                <w:color w:val="auto"/>
                <w:szCs w:val="21"/>
              </w:rPr>
              <w:t>20</w:t>
            </w:r>
          </w:p>
        </w:tc>
        <w:tc>
          <w:tcPr>
            <w:tcW w:w="354" w:type="pct"/>
            <w:noWrap w:val="0"/>
            <w:vAlign w:val="center"/>
          </w:tcPr>
          <w:p w14:paraId="64577A1B">
            <w:pPr>
              <w:topLinePunct/>
              <w:spacing w:line="360" w:lineRule="auto"/>
              <w:jc w:val="center"/>
              <w:rPr>
                <w:rFonts w:ascii="宋体" w:hAnsi="宋体"/>
                <w:color w:val="auto"/>
                <w:szCs w:val="20"/>
              </w:rPr>
            </w:pPr>
            <w:r>
              <w:rPr>
                <w:rFonts w:hint="eastAsia" w:ascii="宋体" w:hAnsi="宋体"/>
                <w:color w:val="auto"/>
                <w:szCs w:val="21"/>
              </w:rPr>
              <w:t>投标保证金</w:t>
            </w:r>
          </w:p>
        </w:tc>
        <w:tc>
          <w:tcPr>
            <w:tcW w:w="3916" w:type="pct"/>
            <w:noWrap w:val="0"/>
            <w:vAlign w:val="center"/>
          </w:tcPr>
          <w:p w14:paraId="7F1E11CF">
            <w:pPr>
              <w:spacing w:line="360" w:lineRule="auto"/>
              <w:ind w:firstLine="315" w:firstLineChars="150"/>
              <w:rPr>
                <w:rFonts w:ascii="宋体" w:hAnsi="宋体"/>
                <w:color w:val="auto"/>
                <w:szCs w:val="20"/>
              </w:rPr>
            </w:pPr>
            <w:r>
              <w:rPr>
                <w:rFonts w:hint="eastAsia"/>
                <w:color w:val="auto"/>
                <w:kern w:val="0"/>
                <w:szCs w:val="21"/>
              </w:rPr>
              <w:t>本项目不收取投标保证金。</w:t>
            </w:r>
          </w:p>
        </w:tc>
      </w:tr>
      <w:tr w14:paraId="19C2B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749099D3">
            <w:pPr>
              <w:topLinePunct/>
              <w:spacing w:line="360" w:lineRule="auto"/>
              <w:jc w:val="center"/>
              <w:rPr>
                <w:rFonts w:ascii="宋体" w:hAnsi="宋体"/>
                <w:color w:val="auto"/>
                <w:szCs w:val="21"/>
              </w:rPr>
            </w:pPr>
            <w:r>
              <w:rPr>
                <w:rFonts w:hint="eastAsia" w:ascii="宋体" w:hAnsi="宋体"/>
                <w:color w:val="auto"/>
                <w:szCs w:val="21"/>
              </w:rPr>
              <w:t>21</w:t>
            </w:r>
          </w:p>
        </w:tc>
        <w:tc>
          <w:tcPr>
            <w:tcW w:w="354" w:type="pct"/>
            <w:noWrap w:val="0"/>
            <w:vAlign w:val="center"/>
          </w:tcPr>
          <w:p w14:paraId="3889126C">
            <w:pPr>
              <w:topLinePunct/>
              <w:spacing w:line="360" w:lineRule="auto"/>
              <w:jc w:val="center"/>
              <w:rPr>
                <w:rFonts w:ascii="宋体" w:hAnsi="宋体"/>
                <w:color w:val="auto"/>
                <w:szCs w:val="20"/>
              </w:rPr>
            </w:pPr>
            <w:r>
              <w:rPr>
                <w:rFonts w:hint="eastAsia" w:ascii="宋体" w:hAnsi="宋体"/>
                <w:color w:val="auto"/>
                <w:szCs w:val="21"/>
              </w:rPr>
              <w:t>履约保证金</w:t>
            </w:r>
          </w:p>
        </w:tc>
        <w:tc>
          <w:tcPr>
            <w:tcW w:w="3916" w:type="pct"/>
            <w:noWrap w:val="0"/>
            <w:vAlign w:val="center"/>
          </w:tcPr>
          <w:p w14:paraId="18ABDA16">
            <w:pPr>
              <w:keepNext w:val="0"/>
              <w:keepLines w:val="0"/>
              <w:pageBreakBefore w:val="0"/>
              <w:widowControl/>
              <w:tabs>
                <w:tab w:val="left" w:pos="0"/>
              </w:tabs>
              <w:kinsoku/>
              <w:overflowPunct/>
              <w:autoSpaceDE/>
              <w:autoSpaceDN/>
              <w:bidi w:val="0"/>
              <w:adjustRightInd/>
              <w:snapToGrid/>
              <w:spacing w:line="440" w:lineRule="exact"/>
              <w:ind w:leftChars="0" w:firstLine="480"/>
              <w:jc w:val="left"/>
              <w:textAlignment w:val="center"/>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金    额：</w:t>
            </w:r>
            <w:r>
              <w:rPr>
                <w:rFonts w:hint="eastAsia" w:ascii="仿宋" w:hAnsi="仿宋" w:eastAsia="仿宋" w:cs="仿宋"/>
                <w:b w:val="0"/>
                <w:bCs w:val="0"/>
                <w:color w:val="auto"/>
                <w:sz w:val="24"/>
                <w:szCs w:val="24"/>
                <w:highlight w:val="none"/>
                <w:lang w:val="en-US" w:eastAsia="zh-CN"/>
              </w:rPr>
              <w:t>中标价的10%，四舍五入取整。</w:t>
            </w:r>
          </w:p>
          <w:p w14:paraId="0A71010B">
            <w:pPr>
              <w:keepNext w:val="0"/>
              <w:keepLines w:val="0"/>
              <w:pageBreakBefore w:val="0"/>
              <w:widowControl/>
              <w:tabs>
                <w:tab w:val="left" w:pos="0"/>
              </w:tabs>
              <w:kinsoku/>
              <w:overflowPunct/>
              <w:autoSpaceDE/>
              <w:autoSpaceDN/>
              <w:bidi w:val="0"/>
              <w:adjustRightInd/>
              <w:snapToGrid/>
              <w:spacing w:line="440" w:lineRule="exact"/>
              <w:ind w:leftChars="0" w:firstLine="480"/>
              <w:jc w:val="left"/>
              <w:textAlignment w:val="center"/>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zh-CN"/>
              </w:rPr>
              <w:t>交款方式：</w:t>
            </w:r>
            <w:r>
              <w:rPr>
                <w:rFonts w:hint="eastAsia" w:ascii="仿宋" w:hAnsi="仿宋" w:eastAsia="仿宋" w:cs="仿宋"/>
                <w:b w:val="0"/>
                <w:bCs w:val="0"/>
                <w:color w:val="auto"/>
                <w:sz w:val="24"/>
                <w:szCs w:val="24"/>
                <w:highlight w:val="none"/>
              </w:rPr>
              <w:t>以支票、汇票、本票或者</w:t>
            </w:r>
            <w:r>
              <w:rPr>
                <w:rFonts w:hint="eastAsia" w:ascii="仿宋" w:hAnsi="仿宋" w:eastAsia="仿宋" w:cs="仿宋"/>
                <w:b w:val="0"/>
                <w:bCs w:val="0"/>
                <w:color w:val="auto"/>
                <w:sz w:val="24"/>
                <w:szCs w:val="24"/>
                <w:highlight w:val="none"/>
                <w:lang w:val="en-US" w:eastAsia="zh-CN"/>
              </w:rPr>
              <w:t>金融机构</w:t>
            </w:r>
            <w:r>
              <w:rPr>
                <w:rFonts w:hint="eastAsia" w:ascii="仿宋" w:hAnsi="仿宋" w:eastAsia="仿宋" w:cs="仿宋"/>
                <w:b w:val="0"/>
                <w:bCs w:val="0"/>
                <w:color w:val="auto"/>
                <w:sz w:val="24"/>
                <w:szCs w:val="24"/>
                <w:highlight w:val="none"/>
                <w:lang w:eastAsia="zh-CN"/>
              </w:rPr>
              <w:t>出具</w:t>
            </w:r>
            <w:r>
              <w:rPr>
                <w:rFonts w:hint="eastAsia" w:ascii="仿宋" w:hAnsi="仿宋" w:eastAsia="仿宋" w:cs="仿宋"/>
                <w:b w:val="0"/>
                <w:bCs w:val="0"/>
                <w:color w:val="auto"/>
                <w:sz w:val="24"/>
                <w:szCs w:val="24"/>
                <w:highlight w:val="none"/>
              </w:rPr>
              <w:t>的保函等非现金形式提交</w:t>
            </w:r>
            <w:r>
              <w:rPr>
                <w:rFonts w:hint="eastAsia" w:ascii="仿宋" w:hAnsi="仿宋" w:eastAsia="仿宋" w:cs="仿宋"/>
                <w:b w:val="0"/>
                <w:bCs w:val="0"/>
                <w:color w:val="auto"/>
                <w:sz w:val="24"/>
                <w:szCs w:val="24"/>
                <w:highlight w:val="none"/>
                <w:lang w:val="en-US" w:eastAsia="zh-CN"/>
              </w:rPr>
              <w:t>至采购人</w:t>
            </w:r>
            <w:r>
              <w:rPr>
                <w:rFonts w:hint="eastAsia" w:ascii="仿宋" w:hAnsi="仿宋" w:eastAsia="仿宋" w:cs="仿宋"/>
                <w:b w:val="0"/>
                <w:bCs w:val="0"/>
                <w:color w:val="auto"/>
                <w:sz w:val="24"/>
                <w:szCs w:val="24"/>
                <w:highlight w:val="none"/>
                <w:lang w:val="zh-CN"/>
              </w:rPr>
              <w:t>(</w:t>
            </w:r>
            <w:r>
              <w:rPr>
                <w:rFonts w:hint="eastAsia" w:ascii="仿宋" w:hAnsi="仿宋" w:eastAsia="仿宋" w:cs="仿宋"/>
                <w:b w:val="0"/>
                <w:bCs w:val="0"/>
                <w:color w:val="auto"/>
                <w:sz w:val="24"/>
                <w:szCs w:val="24"/>
                <w:highlight w:val="none"/>
                <w:lang w:val="en-US" w:eastAsia="zh-CN"/>
              </w:rPr>
              <w:t>包括网银转账，电汇等方式</w:t>
            </w:r>
            <w:r>
              <w:rPr>
                <w:rFonts w:hint="eastAsia" w:ascii="仿宋" w:hAnsi="仿宋" w:eastAsia="仿宋" w:cs="仿宋"/>
                <w:b w:val="0"/>
                <w:bCs w:val="0"/>
                <w:color w:val="auto"/>
                <w:sz w:val="24"/>
                <w:szCs w:val="24"/>
                <w:highlight w:val="none"/>
                <w:lang w:val="zh-CN"/>
              </w:rPr>
              <w:t>)</w:t>
            </w:r>
            <w:r>
              <w:rPr>
                <w:rFonts w:hint="eastAsia" w:ascii="仿宋" w:hAnsi="仿宋" w:eastAsia="仿宋" w:cs="仿宋"/>
                <w:b w:val="0"/>
                <w:bCs w:val="0"/>
                <w:color w:val="auto"/>
                <w:sz w:val="24"/>
                <w:szCs w:val="24"/>
                <w:highlight w:val="none"/>
                <w:lang w:eastAsia="zh-CN"/>
              </w:rPr>
              <w:t>。</w:t>
            </w:r>
          </w:p>
          <w:p w14:paraId="47BBC975">
            <w:pPr>
              <w:keepNext w:val="0"/>
              <w:keepLines w:val="0"/>
              <w:pageBreakBefore w:val="0"/>
              <w:widowControl/>
              <w:tabs>
                <w:tab w:val="left" w:pos="0"/>
              </w:tabs>
              <w:kinsoku/>
              <w:overflowPunct/>
              <w:autoSpaceDE/>
              <w:autoSpaceDN/>
              <w:bidi w:val="0"/>
              <w:adjustRightInd/>
              <w:snapToGrid/>
              <w:spacing w:line="440" w:lineRule="exact"/>
              <w:ind w:leftChars="0" w:firstLine="480"/>
              <w:jc w:val="left"/>
              <w:textAlignment w:val="center"/>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val="zh-CN"/>
              </w:rPr>
              <w:t>交款时间：中标通知书发放后，政府采购合同签订前。</w:t>
            </w:r>
            <w:r>
              <w:rPr>
                <w:rFonts w:hint="eastAsia" w:ascii="仿宋" w:hAnsi="仿宋" w:eastAsia="仿宋" w:cs="仿宋"/>
                <w:b w:val="0"/>
                <w:bCs w:val="0"/>
                <w:color w:val="auto"/>
                <w:sz w:val="24"/>
                <w:szCs w:val="24"/>
                <w:highlight w:val="none"/>
                <w:lang w:val="en-US" w:eastAsia="zh-CN"/>
              </w:rPr>
              <w:t>投标人</w:t>
            </w:r>
            <w:r>
              <w:rPr>
                <w:rFonts w:hint="eastAsia" w:ascii="仿宋" w:hAnsi="仿宋" w:eastAsia="仿宋" w:cs="仿宋"/>
                <w:b w:val="0"/>
                <w:bCs w:val="0"/>
                <w:color w:val="auto"/>
                <w:sz w:val="24"/>
                <w:szCs w:val="24"/>
                <w:highlight w:val="none"/>
                <w:lang w:val="zh-CN"/>
              </w:rPr>
              <w:t>未按照</w:t>
            </w:r>
            <w:r>
              <w:rPr>
                <w:rFonts w:hint="eastAsia" w:ascii="仿宋" w:hAnsi="仿宋" w:eastAsia="仿宋" w:cs="仿宋"/>
                <w:b w:val="0"/>
                <w:bCs w:val="0"/>
                <w:color w:val="auto"/>
                <w:sz w:val="24"/>
                <w:szCs w:val="24"/>
                <w:highlight w:val="none"/>
                <w:lang w:val="en-US" w:eastAsia="zh-CN"/>
              </w:rPr>
              <w:t>采购</w:t>
            </w:r>
            <w:r>
              <w:rPr>
                <w:rFonts w:hint="eastAsia" w:ascii="仿宋" w:hAnsi="仿宋" w:eastAsia="仿宋" w:cs="仿宋"/>
                <w:b w:val="0"/>
                <w:bCs w:val="0"/>
                <w:color w:val="auto"/>
                <w:sz w:val="24"/>
                <w:szCs w:val="24"/>
                <w:highlight w:val="none"/>
                <w:lang w:val="zh-CN"/>
              </w:rPr>
              <w:t>文件的规定交纳履约保证金，且又无正当理由的，将视为放弃</w:t>
            </w:r>
            <w:r>
              <w:rPr>
                <w:rFonts w:hint="eastAsia" w:ascii="仿宋" w:hAnsi="仿宋" w:eastAsia="仿宋" w:cs="仿宋"/>
                <w:b w:val="0"/>
                <w:bCs w:val="0"/>
                <w:color w:val="auto"/>
                <w:sz w:val="24"/>
                <w:szCs w:val="24"/>
                <w:highlight w:val="none"/>
                <w:lang w:val="en-US" w:eastAsia="zh-CN"/>
              </w:rPr>
              <w:t>中标。</w:t>
            </w:r>
          </w:p>
          <w:p w14:paraId="00F4966C">
            <w:pPr>
              <w:keepNext w:val="0"/>
              <w:keepLines w:val="0"/>
              <w:pageBreakBefore w:val="0"/>
              <w:widowControl/>
              <w:tabs>
                <w:tab w:val="left" w:pos="0"/>
              </w:tabs>
              <w:kinsoku/>
              <w:overflowPunct/>
              <w:autoSpaceDE/>
              <w:autoSpaceDN/>
              <w:bidi w:val="0"/>
              <w:adjustRightInd/>
              <w:snapToGrid/>
              <w:spacing w:line="440" w:lineRule="exact"/>
              <w:ind w:leftChars="0" w:firstLine="480"/>
              <w:jc w:val="left"/>
              <w:textAlignment w:val="center"/>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注：</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val="zh-CN"/>
              </w:rPr>
              <w:t>提供保函的担保机构必须是依法成立的具有相关资质和偿付能力的担保机构。保函是银行等金融机构出具的，保函必须要在中国人民银行征信系统能够进行查询，否则将取消</w:t>
            </w:r>
            <w:r>
              <w:rPr>
                <w:rFonts w:hint="eastAsia" w:ascii="仿宋" w:hAnsi="仿宋" w:eastAsia="仿宋" w:cs="仿宋"/>
                <w:b w:val="0"/>
                <w:bCs w:val="0"/>
                <w:color w:val="auto"/>
                <w:sz w:val="24"/>
                <w:szCs w:val="24"/>
                <w:highlight w:val="none"/>
                <w:lang w:val="en-US" w:eastAsia="zh-CN"/>
              </w:rPr>
              <w:t>中标</w:t>
            </w:r>
            <w:r>
              <w:rPr>
                <w:rFonts w:hint="eastAsia" w:ascii="仿宋" w:hAnsi="仿宋" w:eastAsia="仿宋" w:cs="仿宋"/>
                <w:b w:val="0"/>
                <w:bCs w:val="0"/>
                <w:color w:val="auto"/>
                <w:sz w:val="24"/>
                <w:szCs w:val="24"/>
                <w:highlight w:val="none"/>
                <w:lang w:val="zh-CN"/>
              </w:rPr>
              <w:t>资格，采购人将重新确定</w:t>
            </w:r>
            <w:r>
              <w:rPr>
                <w:rFonts w:hint="eastAsia" w:ascii="仿宋" w:hAnsi="仿宋" w:eastAsia="仿宋" w:cs="仿宋"/>
                <w:b w:val="0"/>
                <w:bCs w:val="0"/>
                <w:color w:val="auto"/>
                <w:sz w:val="24"/>
                <w:szCs w:val="24"/>
                <w:highlight w:val="none"/>
                <w:lang w:val="en-US" w:eastAsia="zh-CN"/>
              </w:rPr>
              <w:t>中标人</w:t>
            </w:r>
            <w:r>
              <w:rPr>
                <w:rFonts w:hint="eastAsia" w:ascii="仿宋" w:hAnsi="仿宋" w:eastAsia="仿宋" w:cs="仿宋"/>
                <w:b w:val="0"/>
                <w:bCs w:val="0"/>
                <w:color w:val="auto"/>
                <w:sz w:val="24"/>
                <w:szCs w:val="24"/>
                <w:highlight w:val="none"/>
                <w:lang w:val="zh-CN"/>
              </w:rPr>
              <w:t>，并依法追究法律责任。</w:t>
            </w:r>
          </w:p>
          <w:p w14:paraId="23A02D09">
            <w:pPr>
              <w:keepNext w:val="0"/>
              <w:keepLines w:val="0"/>
              <w:pageBreakBefore w:val="0"/>
              <w:widowControl/>
              <w:tabs>
                <w:tab w:val="left" w:pos="0"/>
              </w:tabs>
              <w:kinsoku/>
              <w:overflowPunct/>
              <w:autoSpaceDE/>
              <w:autoSpaceDN/>
              <w:bidi w:val="0"/>
              <w:adjustRightInd/>
              <w:snapToGrid/>
              <w:spacing w:line="440" w:lineRule="exact"/>
              <w:ind w:leftChars="0" w:firstLine="480"/>
              <w:jc w:val="left"/>
              <w:textAlignment w:val="center"/>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zh-CN"/>
              </w:rPr>
              <w:t>履约保证金退还</w:t>
            </w:r>
            <w:r>
              <w:rPr>
                <w:rFonts w:hint="eastAsia" w:ascii="仿宋" w:hAnsi="仿宋" w:eastAsia="仿宋" w:cs="仿宋"/>
                <w:b w:val="0"/>
                <w:bCs w:val="0"/>
                <w:color w:val="auto"/>
                <w:sz w:val="24"/>
                <w:szCs w:val="24"/>
                <w:highlight w:val="none"/>
                <w:lang w:val="en-US" w:eastAsia="zh-CN"/>
              </w:rPr>
              <w:t>时间及</w:t>
            </w:r>
            <w:r>
              <w:rPr>
                <w:rFonts w:hint="eastAsia" w:ascii="仿宋" w:hAnsi="仿宋" w:eastAsia="仿宋" w:cs="仿宋"/>
                <w:b w:val="0"/>
                <w:bCs w:val="0"/>
                <w:color w:val="auto"/>
                <w:sz w:val="24"/>
                <w:szCs w:val="24"/>
                <w:highlight w:val="none"/>
                <w:lang w:val="zh-CN"/>
              </w:rPr>
              <w:t>方式：</w:t>
            </w:r>
            <w:r>
              <w:rPr>
                <w:rFonts w:hint="eastAsia" w:ascii="仿宋" w:hAnsi="仿宋" w:eastAsia="仿宋" w:cs="仿宋"/>
                <w:b w:val="0"/>
                <w:bCs w:val="0"/>
                <w:color w:val="auto"/>
                <w:sz w:val="24"/>
                <w:szCs w:val="24"/>
                <w:highlight w:val="none"/>
                <w:lang w:val="en-US" w:eastAsia="zh-CN"/>
              </w:rPr>
              <w:t>投标人</w:t>
            </w:r>
            <w:r>
              <w:rPr>
                <w:rFonts w:hint="eastAsia" w:ascii="仿宋" w:hAnsi="仿宋" w:eastAsia="仿宋" w:cs="仿宋"/>
                <w:b w:val="0"/>
                <w:bCs w:val="0"/>
                <w:color w:val="auto"/>
                <w:sz w:val="24"/>
                <w:szCs w:val="24"/>
                <w:highlight w:val="none"/>
                <w:lang w:val="zh-CN"/>
              </w:rPr>
              <w:t>完成合同</w:t>
            </w:r>
            <w:r>
              <w:rPr>
                <w:rFonts w:hint="eastAsia" w:ascii="仿宋" w:hAnsi="仿宋" w:eastAsia="仿宋" w:cs="仿宋"/>
                <w:b w:val="0"/>
                <w:bCs w:val="0"/>
                <w:color w:val="auto"/>
                <w:sz w:val="24"/>
                <w:szCs w:val="24"/>
                <w:highlight w:val="none"/>
                <w:lang w:val="en-US" w:eastAsia="zh-CN"/>
              </w:rPr>
              <w:t>约定的所有内容并经采购人验收合格</w:t>
            </w:r>
            <w:r>
              <w:rPr>
                <w:rFonts w:hint="eastAsia" w:ascii="仿宋" w:hAnsi="仿宋" w:eastAsia="仿宋" w:cs="仿宋"/>
                <w:b w:val="0"/>
                <w:bCs w:val="0"/>
                <w:color w:val="auto"/>
                <w:sz w:val="24"/>
                <w:szCs w:val="24"/>
                <w:highlight w:val="none"/>
                <w:lang w:val="zh-CN"/>
              </w:rPr>
              <w:t>后10日内</w:t>
            </w:r>
            <w:r>
              <w:rPr>
                <w:rFonts w:hint="eastAsia" w:ascii="仿宋" w:hAnsi="仿宋" w:eastAsia="仿宋" w:cs="仿宋"/>
                <w:b w:val="0"/>
                <w:bCs w:val="0"/>
                <w:color w:val="auto"/>
                <w:sz w:val="24"/>
                <w:szCs w:val="24"/>
                <w:highlight w:val="none"/>
                <w:lang w:val="en-US" w:eastAsia="zh-CN"/>
              </w:rPr>
              <w:t>，由采购人一次性无息退还至中标人</w:t>
            </w:r>
            <w:r>
              <w:rPr>
                <w:rFonts w:hint="eastAsia" w:ascii="仿宋" w:hAnsi="仿宋" w:eastAsia="仿宋" w:cs="仿宋"/>
                <w:b w:val="0"/>
                <w:bCs w:val="0"/>
                <w:color w:val="auto"/>
                <w:sz w:val="24"/>
                <w:szCs w:val="24"/>
                <w:highlight w:val="none"/>
                <w:lang w:val="zh-CN"/>
              </w:rPr>
              <w:t>。</w:t>
            </w:r>
          </w:p>
          <w:p w14:paraId="21F09DD8">
            <w:pPr>
              <w:keepNext w:val="0"/>
              <w:keepLines w:val="0"/>
              <w:pageBreakBefore w:val="0"/>
              <w:widowControl/>
              <w:tabs>
                <w:tab w:val="left" w:pos="0"/>
              </w:tabs>
              <w:kinsoku/>
              <w:overflowPunct/>
              <w:autoSpaceDE/>
              <w:autoSpaceDN/>
              <w:bidi w:val="0"/>
              <w:adjustRightInd/>
              <w:snapToGrid/>
              <w:spacing w:line="440" w:lineRule="exact"/>
              <w:ind w:leftChars="0" w:firstLine="480"/>
              <w:jc w:val="left"/>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val="zh-CN"/>
              </w:rPr>
              <w:t>履约保证金不予退还情形：</w:t>
            </w:r>
            <w:r>
              <w:rPr>
                <w:rFonts w:hint="eastAsia" w:ascii="仿宋" w:hAnsi="仿宋" w:eastAsia="仿宋" w:cs="仿宋"/>
                <w:b w:val="0"/>
                <w:bCs w:val="0"/>
                <w:color w:val="auto"/>
                <w:sz w:val="24"/>
                <w:szCs w:val="24"/>
                <w:highlight w:val="none"/>
                <w:lang w:val="zh-CN"/>
              </w:rPr>
              <w:fldChar w:fldCharType="begin"/>
            </w:r>
            <w:r>
              <w:rPr>
                <w:rFonts w:hint="eastAsia" w:ascii="仿宋" w:hAnsi="仿宋" w:eastAsia="仿宋" w:cs="仿宋"/>
                <w:b w:val="0"/>
                <w:bCs w:val="0"/>
                <w:color w:val="auto"/>
                <w:sz w:val="24"/>
                <w:szCs w:val="24"/>
                <w:highlight w:val="none"/>
                <w:lang w:val="zh-CN"/>
              </w:rPr>
              <w:instrText xml:space="preserve"> = 1 \* GB3 \* MERGEFORMAT </w:instrText>
            </w:r>
            <w:r>
              <w:rPr>
                <w:rFonts w:hint="eastAsia" w:ascii="仿宋" w:hAnsi="仿宋" w:eastAsia="仿宋" w:cs="仿宋"/>
                <w:b w:val="0"/>
                <w:bCs w:val="0"/>
                <w:color w:val="auto"/>
                <w:sz w:val="24"/>
                <w:szCs w:val="24"/>
                <w:highlight w:val="none"/>
                <w:lang w:val="zh-CN"/>
              </w:rPr>
              <w:fldChar w:fldCharType="separate"/>
            </w:r>
            <w:r>
              <w:rPr>
                <w:rFonts w:hint="eastAsia" w:ascii="仿宋" w:hAnsi="仿宋" w:eastAsia="仿宋" w:cs="仿宋"/>
                <w:b w:val="0"/>
                <w:bCs w:val="0"/>
                <w:color w:val="auto"/>
                <w:sz w:val="24"/>
                <w:szCs w:val="24"/>
                <w:highlight w:val="none"/>
              </w:rPr>
              <w:t>①</w:t>
            </w:r>
            <w:r>
              <w:rPr>
                <w:rFonts w:hint="eastAsia" w:ascii="仿宋" w:hAnsi="仿宋" w:eastAsia="仿宋" w:cs="仿宋"/>
                <w:b w:val="0"/>
                <w:bCs w:val="0"/>
                <w:color w:val="auto"/>
                <w:sz w:val="24"/>
                <w:szCs w:val="24"/>
                <w:highlight w:val="none"/>
                <w:lang w:val="zh-CN"/>
              </w:rPr>
              <w:fldChar w:fldCharType="end"/>
            </w:r>
            <w:r>
              <w:rPr>
                <w:rFonts w:hint="eastAsia" w:ascii="仿宋" w:hAnsi="仿宋" w:eastAsia="仿宋" w:cs="仿宋"/>
                <w:b w:val="0"/>
                <w:bCs w:val="0"/>
                <w:color w:val="auto"/>
                <w:sz w:val="24"/>
                <w:szCs w:val="24"/>
                <w:highlight w:val="none"/>
                <w:lang w:val="en-US" w:eastAsia="zh-CN"/>
              </w:rPr>
              <w:t>中标人</w:t>
            </w:r>
            <w:r>
              <w:rPr>
                <w:rFonts w:hint="eastAsia" w:ascii="仿宋" w:hAnsi="仿宋" w:eastAsia="仿宋" w:cs="仿宋"/>
                <w:b w:val="0"/>
                <w:bCs w:val="0"/>
                <w:color w:val="auto"/>
                <w:sz w:val="24"/>
                <w:szCs w:val="24"/>
                <w:highlight w:val="none"/>
                <w:lang w:val="zh-CN"/>
              </w:rPr>
              <w:t>不履行与</w:t>
            </w:r>
            <w:r>
              <w:rPr>
                <w:rFonts w:hint="eastAsia" w:ascii="仿宋" w:hAnsi="仿宋" w:eastAsia="仿宋" w:cs="仿宋"/>
                <w:b w:val="0"/>
                <w:bCs w:val="0"/>
                <w:color w:val="auto"/>
                <w:sz w:val="24"/>
                <w:szCs w:val="24"/>
                <w:highlight w:val="none"/>
                <w:lang w:val="en-US" w:eastAsia="zh-CN"/>
              </w:rPr>
              <w:t>采购</w:t>
            </w:r>
            <w:r>
              <w:rPr>
                <w:rFonts w:hint="eastAsia" w:ascii="仿宋" w:hAnsi="仿宋" w:eastAsia="仿宋" w:cs="仿宋"/>
                <w:b w:val="0"/>
                <w:bCs w:val="0"/>
                <w:color w:val="auto"/>
                <w:sz w:val="24"/>
                <w:szCs w:val="24"/>
                <w:highlight w:val="none"/>
                <w:lang w:val="zh-CN"/>
              </w:rPr>
              <w:t>人订立的合同的，履约保证金不予退还，给</w:t>
            </w:r>
            <w:r>
              <w:rPr>
                <w:rFonts w:hint="eastAsia" w:ascii="仿宋" w:hAnsi="仿宋" w:eastAsia="仿宋" w:cs="仿宋"/>
                <w:b w:val="0"/>
                <w:bCs w:val="0"/>
                <w:color w:val="auto"/>
                <w:sz w:val="24"/>
                <w:szCs w:val="24"/>
                <w:highlight w:val="none"/>
                <w:lang w:val="en-US" w:eastAsia="zh-CN"/>
              </w:rPr>
              <w:t>采购</w:t>
            </w:r>
            <w:r>
              <w:rPr>
                <w:rFonts w:hint="eastAsia" w:ascii="仿宋" w:hAnsi="仿宋" w:eastAsia="仿宋" w:cs="仿宋"/>
                <w:b w:val="0"/>
                <w:bCs w:val="0"/>
                <w:color w:val="auto"/>
                <w:sz w:val="24"/>
                <w:szCs w:val="24"/>
                <w:highlight w:val="none"/>
                <w:lang w:val="zh-CN"/>
              </w:rPr>
              <w:t>人造成的损失超过履约保证金数额的，还应当对超过部分予以赔偿。</w:t>
            </w:r>
            <w:r>
              <w:rPr>
                <w:rFonts w:hint="eastAsia" w:ascii="仿宋" w:hAnsi="仿宋" w:eastAsia="仿宋" w:cs="仿宋"/>
                <w:b w:val="0"/>
                <w:bCs w:val="0"/>
                <w:color w:val="auto"/>
                <w:sz w:val="24"/>
                <w:szCs w:val="24"/>
                <w:highlight w:val="none"/>
                <w:lang w:val="zh-CN"/>
              </w:rPr>
              <w:fldChar w:fldCharType="begin"/>
            </w:r>
            <w:r>
              <w:rPr>
                <w:rFonts w:hint="eastAsia" w:ascii="仿宋" w:hAnsi="仿宋" w:eastAsia="仿宋" w:cs="仿宋"/>
                <w:b w:val="0"/>
                <w:bCs w:val="0"/>
                <w:color w:val="auto"/>
                <w:sz w:val="24"/>
                <w:szCs w:val="24"/>
                <w:highlight w:val="none"/>
                <w:lang w:val="zh-CN"/>
              </w:rPr>
              <w:instrText xml:space="preserve"> = 2 \* GB3 \* MERGEFORMAT </w:instrText>
            </w:r>
            <w:r>
              <w:rPr>
                <w:rFonts w:hint="eastAsia" w:ascii="仿宋" w:hAnsi="仿宋" w:eastAsia="仿宋" w:cs="仿宋"/>
                <w:b w:val="0"/>
                <w:bCs w:val="0"/>
                <w:color w:val="auto"/>
                <w:sz w:val="24"/>
                <w:szCs w:val="24"/>
                <w:highlight w:val="none"/>
                <w:lang w:val="zh-CN"/>
              </w:rPr>
              <w:fldChar w:fldCharType="separate"/>
            </w:r>
            <w:r>
              <w:rPr>
                <w:rFonts w:hint="eastAsia" w:ascii="仿宋" w:hAnsi="仿宋" w:eastAsia="仿宋" w:cs="仿宋"/>
                <w:b w:val="0"/>
                <w:bCs w:val="0"/>
                <w:color w:val="auto"/>
                <w:sz w:val="24"/>
                <w:szCs w:val="24"/>
                <w:highlight w:val="none"/>
              </w:rPr>
              <w:t>②</w:t>
            </w:r>
            <w:r>
              <w:rPr>
                <w:rFonts w:hint="eastAsia" w:ascii="仿宋" w:hAnsi="仿宋" w:eastAsia="仿宋" w:cs="仿宋"/>
                <w:b w:val="0"/>
                <w:bCs w:val="0"/>
                <w:color w:val="auto"/>
                <w:sz w:val="24"/>
                <w:szCs w:val="24"/>
                <w:highlight w:val="none"/>
                <w:lang w:val="zh-CN"/>
              </w:rPr>
              <w:fldChar w:fldCharType="end"/>
            </w:r>
            <w:r>
              <w:rPr>
                <w:rFonts w:hint="eastAsia" w:ascii="仿宋" w:hAnsi="仿宋" w:eastAsia="仿宋" w:cs="仿宋"/>
                <w:b w:val="0"/>
                <w:bCs w:val="0"/>
                <w:color w:val="auto"/>
                <w:sz w:val="24"/>
                <w:szCs w:val="24"/>
                <w:highlight w:val="none"/>
                <w:lang w:val="en-US" w:eastAsia="zh-CN"/>
              </w:rPr>
              <w:t>项目</w:t>
            </w:r>
            <w:r>
              <w:rPr>
                <w:rFonts w:hint="eastAsia" w:ascii="仿宋" w:hAnsi="仿宋" w:eastAsia="仿宋" w:cs="仿宋"/>
                <w:b w:val="0"/>
                <w:bCs w:val="0"/>
                <w:color w:val="auto"/>
                <w:sz w:val="24"/>
                <w:szCs w:val="24"/>
                <w:highlight w:val="none"/>
                <w:lang w:val="zh-CN"/>
              </w:rPr>
              <w:t>验收结果不合格的（质量、服务、数量等），履约保证金将不予退还</w:t>
            </w:r>
            <w:r>
              <w:rPr>
                <w:rFonts w:hint="eastAsia" w:ascii="仿宋" w:hAnsi="仿宋" w:eastAsia="仿宋" w:cs="仿宋"/>
                <w:b w:val="0"/>
                <w:bCs w:val="0"/>
                <w:color w:val="auto"/>
                <w:sz w:val="24"/>
                <w:szCs w:val="24"/>
                <w:highlight w:val="none"/>
                <w:lang w:val="zh-CN" w:eastAsia="zh-CN"/>
              </w:rPr>
              <w:t>。</w:t>
            </w:r>
            <w:r>
              <w:rPr>
                <w:rFonts w:hint="eastAsia" w:ascii="仿宋" w:hAnsi="仿宋" w:eastAsia="仿宋" w:cs="仿宋"/>
                <w:b w:val="0"/>
                <w:bCs w:val="0"/>
                <w:color w:val="auto"/>
                <w:sz w:val="24"/>
                <w:szCs w:val="24"/>
                <w:highlight w:val="none"/>
                <w:lang w:val="en-US" w:eastAsia="zh-CN"/>
              </w:rPr>
              <w:t>若存在争议的</w:t>
            </w:r>
            <w:r>
              <w:rPr>
                <w:rFonts w:hint="eastAsia" w:ascii="仿宋" w:hAnsi="仿宋" w:eastAsia="仿宋" w:cs="仿宋"/>
                <w:b w:val="0"/>
                <w:bCs w:val="0"/>
                <w:color w:val="auto"/>
                <w:sz w:val="24"/>
                <w:szCs w:val="24"/>
                <w:highlight w:val="none"/>
                <w:lang w:val="zh-CN"/>
              </w:rPr>
              <w:t>双方共同取样</w:t>
            </w:r>
            <w:r>
              <w:rPr>
                <w:rFonts w:hint="eastAsia" w:ascii="仿宋" w:hAnsi="仿宋" w:eastAsia="仿宋" w:cs="仿宋"/>
                <w:b w:val="0"/>
                <w:bCs w:val="0"/>
                <w:color w:val="auto"/>
                <w:sz w:val="24"/>
                <w:szCs w:val="24"/>
                <w:highlight w:val="none"/>
                <w:lang w:val="en-US" w:eastAsia="zh-CN"/>
              </w:rPr>
              <w:t>提交共同认可的</w:t>
            </w:r>
            <w:r>
              <w:rPr>
                <w:rFonts w:hint="eastAsia" w:ascii="仿宋" w:hAnsi="仿宋" w:eastAsia="仿宋" w:cs="仿宋"/>
                <w:b w:val="0"/>
                <w:bCs w:val="0"/>
                <w:color w:val="auto"/>
                <w:sz w:val="24"/>
                <w:szCs w:val="24"/>
                <w:highlight w:val="none"/>
                <w:lang w:val="zh-CN"/>
              </w:rPr>
              <w:t>具有资质的</w:t>
            </w:r>
            <w:r>
              <w:rPr>
                <w:rFonts w:hint="eastAsia" w:ascii="仿宋" w:hAnsi="仿宋" w:eastAsia="仿宋" w:cs="仿宋"/>
                <w:b w:val="0"/>
                <w:bCs w:val="0"/>
                <w:color w:val="auto"/>
                <w:sz w:val="24"/>
                <w:szCs w:val="24"/>
                <w:highlight w:val="none"/>
                <w:lang w:val="en-US" w:eastAsia="zh-CN"/>
              </w:rPr>
              <w:t>第三方</w:t>
            </w:r>
            <w:r>
              <w:rPr>
                <w:rFonts w:hint="eastAsia" w:ascii="仿宋" w:hAnsi="仿宋" w:eastAsia="仿宋" w:cs="仿宋"/>
                <w:b w:val="0"/>
                <w:bCs w:val="0"/>
                <w:color w:val="auto"/>
                <w:sz w:val="24"/>
                <w:szCs w:val="24"/>
                <w:highlight w:val="none"/>
                <w:lang w:val="zh-CN"/>
              </w:rPr>
              <w:t>的检测部门进行检测，</w:t>
            </w:r>
            <w:r>
              <w:rPr>
                <w:rFonts w:hint="eastAsia" w:ascii="仿宋" w:hAnsi="仿宋" w:eastAsia="仿宋" w:cs="仿宋"/>
                <w:b w:val="0"/>
                <w:bCs w:val="0"/>
                <w:color w:val="auto"/>
                <w:sz w:val="24"/>
                <w:szCs w:val="24"/>
                <w:highlight w:val="none"/>
                <w:lang w:val="en-US" w:eastAsia="zh-CN"/>
              </w:rPr>
              <w:t>并出具该批次第三方检测机构出具带CMA标识的检验检测报告复印件</w:t>
            </w:r>
            <w:r>
              <w:rPr>
                <w:rFonts w:hint="eastAsia" w:ascii="仿宋" w:hAnsi="仿宋" w:eastAsia="仿宋" w:cs="仿宋"/>
                <w:b w:val="0"/>
                <w:bCs w:val="0"/>
                <w:color w:val="auto"/>
                <w:sz w:val="24"/>
                <w:szCs w:val="24"/>
                <w:highlight w:val="none"/>
                <w:lang w:val="zh-CN" w:eastAsia="zh-CN"/>
              </w:rPr>
              <w:t>。</w:t>
            </w:r>
            <w:r>
              <w:rPr>
                <w:rFonts w:hint="eastAsia" w:ascii="仿宋" w:hAnsi="仿宋" w:eastAsia="仿宋" w:cs="仿宋"/>
                <w:b w:val="0"/>
                <w:bCs w:val="0"/>
                <w:color w:val="auto"/>
                <w:sz w:val="24"/>
                <w:szCs w:val="24"/>
                <w:highlight w:val="none"/>
                <w:lang w:val="en-US" w:eastAsia="zh-CN"/>
              </w:rPr>
              <w:fldChar w:fldCharType="begin"/>
            </w:r>
            <w:r>
              <w:rPr>
                <w:rFonts w:hint="eastAsia" w:ascii="仿宋" w:hAnsi="仿宋" w:eastAsia="仿宋" w:cs="仿宋"/>
                <w:b w:val="0"/>
                <w:bCs w:val="0"/>
                <w:color w:val="auto"/>
                <w:sz w:val="24"/>
                <w:szCs w:val="24"/>
                <w:highlight w:val="none"/>
                <w:lang w:val="en-US" w:eastAsia="zh-CN"/>
              </w:rPr>
              <w:instrText xml:space="preserve"> = 3 \* GB3 \* MERGEFORMAT </w:instrText>
            </w:r>
            <w:r>
              <w:rPr>
                <w:rFonts w:hint="eastAsia" w:ascii="仿宋" w:hAnsi="仿宋" w:eastAsia="仿宋" w:cs="仿宋"/>
                <w:b w:val="0"/>
                <w:bCs w:val="0"/>
                <w:color w:val="auto"/>
                <w:sz w:val="24"/>
                <w:szCs w:val="24"/>
                <w:highlight w:val="none"/>
                <w:lang w:val="en-US" w:eastAsia="zh-CN"/>
              </w:rPr>
              <w:fldChar w:fldCharType="separate"/>
            </w:r>
            <w:r>
              <w:rPr>
                <w:rFonts w:hint="eastAsia" w:ascii="仿宋" w:hAnsi="仿宋" w:eastAsia="仿宋" w:cs="仿宋"/>
                <w:b w:val="0"/>
                <w:bCs w:val="0"/>
                <w:color w:val="auto"/>
                <w:sz w:val="24"/>
                <w:szCs w:val="24"/>
                <w:highlight w:val="none"/>
                <w:lang w:val="zh-CN"/>
              </w:rPr>
              <w:t>③</w:t>
            </w:r>
            <w:r>
              <w:rPr>
                <w:rFonts w:hint="eastAsia" w:ascii="仿宋" w:hAnsi="仿宋" w:eastAsia="仿宋" w:cs="仿宋"/>
                <w:b w:val="0"/>
                <w:bCs w:val="0"/>
                <w:color w:val="auto"/>
                <w:sz w:val="24"/>
                <w:szCs w:val="24"/>
                <w:highlight w:val="none"/>
                <w:lang w:val="en-US" w:eastAsia="zh-CN"/>
              </w:rPr>
              <w:fldChar w:fldCharType="end"/>
            </w:r>
            <w:r>
              <w:rPr>
                <w:rFonts w:hint="eastAsia" w:ascii="仿宋" w:hAnsi="仿宋" w:eastAsia="仿宋" w:cs="仿宋"/>
                <w:b w:val="0"/>
                <w:bCs w:val="0"/>
                <w:color w:val="auto"/>
                <w:sz w:val="24"/>
                <w:szCs w:val="24"/>
                <w:highlight w:val="none"/>
                <w:lang w:val="en-US" w:eastAsia="zh-CN"/>
              </w:rPr>
              <w:t>其他违反国家相关法律法规的情形。</w:t>
            </w:r>
          </w:p>
          <w:p w14:paraId="02A95D3C">
            <w:pPr>
              <w:keepNext w:val="0"/>
              <w:keepLines w:val="0"/>
              <w:pageBreakBefore w:val="0"/>
              <w:widowControl/>
              <w:tabs>
                <w:tab w:val="left" w:pos="0"/>
              </w:tabs>
              <w:kinsoku/>
              <w:overflowPunct/>
              <w:autoSpaceDE/>
              <w:autoSpaceDN/>
              <w:bidi w:val="0"/>
              <w:adjustRightInd/>
              <w:snapToGrid/>
              <w:spacing w:line="440" w:lineRule="exact"/>
              <w:ind w:leftChars="0" w:firstLine="480"/>
              <w:jc w:val="left"/>
              <w:textAlignment w:val="center"/>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val="zh-CN"/>
              </w:rPr>
              <w:t>履约保证金不予退还的，将按照有关规定上缴国库。逾期退还履约保证金的，将依法承担法律责任，并赔偿投标人损失。</w:t>
            </w:r>
          </w:p>
          <w:p w14:paraId="42834893">
            <w:pPr>
              <w:spacing w:line="360" w:lineRule="auto"/>
              <w:outlineLvl w:val="1"/>
              <w:rPr>
                <w:rFonts w:hint="eastAsia" w:hAnsi="宋体"/>
                <w:color w:val="auto"/>
                <w:szCs w:val="20"/>
              </w:rPr>
            </w:pPr>
          </w:p>
        </w:tc>
      </w:tr>
      <w:tr w14:paraId="29134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616F6DFB">
            <w:pPr>
              <w:topLinePunct/>
              <w:spacing w:line="360" w:lineRule="auto"/>
              <w:jc w:val="center"/>
              <w:rPr>
                <w:rFonts w:ascii="宋体" w:hAnsi="宋体"/>
                <w:color w:val="auto"/>
                <w:szCs w:val="21"/>
              </w:rPr>
            </w:pPr>
            <w:r>
              <w:rPr>
                <w:rFonts w:hint="eastAsia" w:ascii="宋体" w:hAnsi="宋体"/>
                <w:color w:val="auto"/>
                <w:szCs w:val="21"/>
              </w:rPr>
              <w:t>22</w:t>
            </w:r>
          </w:p>
        </w:tc>
        <w:tc>
          <w:tcPr>
            <w:tcW w:w="354" w:type="pct"/>
            <w:noWrap w:val="0"/>
            <w:vAlign w:val="center"/>
          </w:tcPr>
          <w:p w14:paraId="1BE55654">
            <w:pPr>
              <w:spacing w:line="360" w:lineRule="auto"/>
              <w:jc w:val="center"/>
              <w:outlineLvl w:val="1"/>
              <w:rPr>
                <w:color w:val="auto"/>
                <w:szCs w:val="20"/>
              </w:rPr>
            </w:pPr>
            <w:r>
              <w:rPr>
                <w:rFonts w:hint="eastAsia" w:ascii="宋体" w:hAnsi="宋体"/>
                <w:color w:val="auto"/>
                <w:szCs w:val="20"/>
              </w:rPr>
              <w:t>服务地点及服务期限</w:t>
            </w:r>
          </w:p>
        </w:tc>
        <w:tc>
          <w:tcPr>
            <w:tcW w:w="3916" w:type="pct"/>
            <w:noWrap w:val="0"/>
            <w:vAlign w:val="center"/>
          </w:tcPr>
          <w:p w14:paraId="488AB581">
            <w:pPr>
              <w:spacing w:line="360" w:lineRule="auto"/>
              <w:jc w:val="center"/>
              <w:rPr>
                <w:rFonts w:ascii="宋体" w:hAnsi="宋体"/>
                <w:color w:val="auto"/>
                <w:sz w:val="32"/>
                <w:szCs w:val="32"/>
              </w:rPr>
            </w:pPr>
            <w:r>
              <w:rPr>
                <w:rFonts w:hint="eastAsia" w:hAnsi="宋体"/>
                <w:color w:val="auto"/>
                <w:szCs w:val="20"/>
              </w:rPr>
              <w:t>见第六章</w:t>
            </w:r>
          </w:p>
        </w:tc>
      </w:tr>
      <w:tr w14:paraId="6C11B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18C86E41">
            <w:pPr>
              <w:topLinePunct/>
              <w:spacing w:line="360" w:lineRule="auto"/>
              <w:jc w:val="center"/>
              <w:rPr>
                <w:rFonts w:ascii="宋体" w:hAnsi="宋体"/>
                <w:color w:val="auto"/>
                <w:szCs w:val="21"/>
              </w:rPr>
            </w:pPr>
            <w:r>
              <w:rPr>
                <w:rFonts w:hint="eastAsia" w:ascii="宋体" w:hAnsi="宋体"/>
                <w:color w:val="auto"/>
                <w:szCs w:val="21"/>
              </w:rPr>
              <w:t>23</w:t>
            </w:r>
          </w:p>
        </w:tc>
        <w:tc>
          <w:tcPr>
            <w:tcW w:w="354" w:type="pct"/>
            <w:noWrap w:val="0"/>
            <w:vAlign w:val="center"/>
          </w:tcPr>
          <w:p w14:paraId="0C196793">
            <w:pPr>
              <w:topLinePunct/>
              <w:spacing w:line="360" w:lineRule="auto"/>
              <w:jc w:val="center"/>
              <w:rPr>
                <w:color w:val="auto"/>
                <w:szCs w:val="21"/>
                <w:lang w:val="zh-CN"/>
              </w:rPr>
            </w:pPr>
            <w:r>
              <w:rPr>
                <w:rFonts w:hint="eastAsia"/>
                <w:color w:val="auto"/>
                <w:szCs w:val="21"/>
                <w:lang w:val="zh-CN"/>
              </w:rPr>
              <w:t>投标人资格审查方式</w:t>
            </w:r>
          </w:p>
        </w:tc>
        <w:tc>
          <w:tcPr>
            <w:tcW w:w="3916" w:type="pct"/>
            <w:noWrap w:val="0"/>
            <w:vAlign w:val="center"/>
          </w:tcPr>
          <w:p w14:paraId="6EABA382">
            <w:pPr>
              <w:topLinePunct/>
              <w:spacing w:line="360" w:lineRule="auto"/>
              <w:rPr>
                <w:color w:val="auto"/>
                <w:szCs w:val="21"/>
                <w:lang w:val="zh-CN"/>
              </w:rPr>
            </w:pPr>
            <w:r>
              <w:rPr>
                <w:rFonts w:hint="eastAsia" w:ascii="宋体" w:hAnsi="宋体"/>
                <w:color w:val="auto"/>
                <w:szCs w:val="20"/>
              </w:rPr>
              <w:t>由</w:t>
            </w:r>
            <w:r>
              <w:rPr>
                <w:rFonts w:hint="eastAsia"/>
                <w:color w:val="auto"/>
                <w:szCs w:val="21"/>
                <w:lang w:val="zh-CN"/>
              </w:rPr>
              <w:t>招标人</w:t>
            </w:r>
            <w:r>
              <w:rPr>
                <w:color w:val="auto"/>
                <w:szCs w:val="21"/>
                <w:lang w:val="zh-CN"/>
              </w:rPr>
              <w:t>对</w:t>
            </w:r>
            <w:r>
              <w:rPr>
                <w:rFonts w:hint="eastAsia"/>
                <w:color w:val="auto"/>
                <w:szCs w:val="21"/>
                <w:lang w:val="zh-CN"/>
              </w:rPr>
              <w:t>投标人</w:t>
            </w:r>
            <w:r>
              <w:rPr>
                <w:color w:val="auto"/>
                <w:szCs w:val="21"/>
                <w:lang w:val="zh-CN"/>
              </w:rPr>
              <w:t>资格进行审查。</w:t>
            </w:r>
          </w:p>
          <w:p w14:paraId="7137BED6">
            <w:pPr>
              <w:topLinePunct/>
              <w:spacing w:line="360" w:lineRule="auto"/>
              <w:rPr>
                <w:color w:val="auto"/>
                <w:szCs w:val="21"/>
              </w:rPr>
            </w:pPr>
            <w:r>
              <w:rPr>
                <w:color w:val="auto"/>
                <w:szCs w:val="21"/>
                <w:lang w:val="zh-CN"/>
              </w:rPr>
              <w:t>注：资格审查后，合格</w:t>
            </w:r>
            <w:r>
              <w:rPr>
                <w:rFonts w:hint="eastAsia"/>
                <w:color w:val="auto"/>
                <w:szCs w:val="21"/>
                <w:lang w:val="zh-CN"/>
              </w:rPr>
              <w:t>投标人</w:t>
            </w:r>
            <w:r>
              <w:rPr>
                <w:rFonts w:ascii="宋体" w:hAnsi="宋体"/>
                <w:color w:val="auto"/>
                <w:szCs w:val="21"/>
                <w:lang w:val="zh-CN"/>
              </w:rPr>
              <w:t>不足3家的</w:t>
            </w:r>
            <w:r>
              <w:rPr>
                <w:color w:val="auto"/>
                <w:szCs w:val="21"/>
                <w:lang w:val="zh-CN"/>
              </w:rPr>
              <w:t>，不得</w:t>
            </w:r>
            <w:r>
              <w:rPr>
                <w:rFonts w:hint="eastAsia"/>
                <w:color w:val="auto"/>
                <w:szCs w:val="21"/>
                <w:lang w:val="zh-CN"/>
              </w:rPr>
              <w:t>进入</w:t>
            </w:r>
            <w:r>
              <w:rPr>
                <w:color w:val="auto"/>
                <w:szCs w:val="21"/>
                <w:lang w:val="zh-CN"/>
              </w:rPr>
              <w:t>评标</w:t>
            </w:r>
            <w:r>
              <w:rPr>
                <w:rFonts w:hint="eastAsia"/>
                <w:color w:val="auto"/>
                <w:szCs w:val="21"/>
                <w:lang w:val="zh-CN"/>
              </w:rPr>
              <w:t>环节</w:t>
            </w:r>
            <w:r>
              <w:rPr>
                <w:color w:val="auto"/>
                <w:szCs w:val="21"/>
                <w:lang w:val="zh-CN"/>
              </w:rPr>
              <w:t>。</w:t>
            </w:r>
          </w:p>
        </w:tc>
      </w:tr>
      <w:tr w14:paraId="5E9B4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1B13372D">
            <w:pPr>
              <w:topLinePunct/>
              <w:spacing w:line="360" w:lineRule="auto"/>
              <w:jc w:val="center"/>
              <w:rPr>
                <w:rFonts w:ascii="宋体" w:hAnsi="宋体"/>
                <w:color w:val="auto"/>
                <w:szCs w:val="21"/>
              </w:rPr>
            </w:pPr>
            <w:r>
              <w:rPr>
                <w:rFonts w:hint="eastAsia" w:ascii="宋体" w:hAnsi="宋体"/>
                <w:color w:val="auto"/>
                <w:szCs w:val="21"/>
              </w:rPr>
              <w:t>24</w:t>
            </w:r>
          </w:p>
        </w:tc>
        <w:tc>
          <w:tcPr>
            <w:tcW w:w="354" w:type="pct"/>
            <w:noWrap w:val="0"/>
            <w:vAlign w:val="center"/>
          </w:tcPr>
          <w:p w14:paraId="228F7EDF">
            <w:pPr>
              <w:topLinePunct/>
              <w:spacing w:line="360" w:lineRule="auto"/>
              <w:jc w:val="center"/>
              <w:rPr>
                <w:rFonts w:ascii="宋体" w:hAnsi="宋体"/>
                <w:color w:val="auto"/>
                <w:szCs w:val="20"/>
              </w:rPr>
            </w:pPr>
            <w:r>
              <w:rPr>
                <w:rFonts w:hint="eastAsia" w:ascii="宋体" w:hAnsi="宋体"/>
                <w:color w:val="auto"/>
                <w:szCs w:val="20"/>
              </w:rPr>
              <w:t>投标人资质条件、</w:t>
            </w:r>
          </w:p>
          <w:p w14:paraId="0FE608C2">
            <w:pPr>
              <w:topLinePunct/>
              <w:spacing w:line="360" w:lineRule="auto"/>
              <w:jc w:val="center"/>
              <w:rPr>
                <w:color w:val="auto"/>
                <w:szCs w:val="21"/>
                <w:lang w:val="zh-CN"/>
              </w:rPr>
            </w:pPr>
            <w:r>
              <w:rPr>
                <w:rFonts w:hint="eastAsia" w:ascii="宋体" w:hAnsi="宋体"/>
                <w:color w:val="auto"/>
                <w:szCs w:val="20"/>
              </w:rPr>
              <w:t>能力和信誉</w:t>
            </w:r>
          </w:p>
        </w:tc>
        <w:tc>
          <w:tcPr>
            <w:tcW w:w="3916" w:type="pct"/>
            <w:noWrap w:val="0"/>
            <w:vAlign w:val="center"/>
          </w:tcPr>
          <w:p w14:paraId="6526CB40">
            <w:pPr>
              <w:topLinePunct/>
              <w:spacing w:line="360" w:lineRule="auto"/>
              <w:rPr>
                <w:rFonts w:ascii="宋体" w:hAnsi="宋体"/>
                <w:color w:val="auto"/>
                <w:szCs w:val="20"/>
              </w:rPr>
            </w:pPr>
            <w:r>
              <w:rPr>
                <w:rFonts w:hint="eastAsia" w:ascii="宋体" w:hAnsi="宋体"/>
                <w:color w:val="auto"/>
                <w:szCs w:val="20"/>
              </w:rPr>
              <w:t xml:space="preserve">  详见招标文件第四、五章。</w:t>
            </w:r>
          </w:p>
        </w:tc>
      </w:tr>
      <w:tr w14:paraId="25DB8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2162FF19">
            <w:pPr>
              <w:topLinePunct/>
              <w:spacing w:line="360" w:lineRule="auto"/>
              <w:jc w:val="center"/>
              <w:rPr>
                <w:rFonts w:ascii="宋体" w:hAnsi="宋体"/>
                <w:color w:val="auto"/>
                <w:szCs w:val="21"/>
              </w:rPr>
            </w:pPr>
            <w:r>
              <w:rPr>
                <w:rFonts w:hint="eastAsia" w:ascii="宋体" w:hAnsi="宋体"/>
                <w:color w:val="auto"/>
                <w:szCs w:val="21"/>
              </w:rPr>
              <w:t>25</w:t>
            </w:r>
          </w:p>
        </w:tc>
        <w:tc>
          <w:tcPr>
            <w:tcW w:w="354" w:type="pct"/>
            <w:noWrap w:val="0"/>
            <w:vAlign w:val="center"/>
          </w:tcPr>
          <w:p w14:paraId="3C4BC9FE">
            <w:pPr>
              <w:topLinePunct/>
              <w:jc w:val="center"/>
              <w:rPr>
                <w:color w:val="auto"/>
                <w:szCs w:val="21"/>
                <w:lang w:val="zh-CN"/>
              </w:rPr>
            </w:pPr>
            <w:r>
              <w:rPr>
                <w:rFonts w:hint="eastAsia" w:ascii="宋体" w:hAnsi="宋体"/>
                <w:color w:val="auto"/>
                <w:szCs w:val="21"/>
              </w:rPr>
              <w:t>投标有效期</w:t>
            </w:r>
          </w:p>
        </w:tc>
        <w:tc>
          <w:tcPr>
            <w:tcW w:w="3916" w:type="pct"/>
            <w:noWrap w:val="0"/>
            <w:vAlign w:val="center"/>
          </w:tcPr>
          <w:p w14:paraId="67BB148E">
            <w:pPr>
              <w:topLinePunct/>
              <w:spacing w:line="360" w:lineRule="auto"/>
              <w:rPr>
                <w:color w:val="auto"/>
                <w:szCs w:val="21"/>
              </w:rPr>
            </w:pPr>
            <w:r>
              <w:rPr>
                <w:rFonts w:hint="eastAsia" w:ascii="宋体" w:hAnsi="宋体"/>
                <w:color w:val="auto"/>
                <w:szCs w:val="21"/>
              </w:rPr>
              <w:t>投标截止时间届满后90日历天</w:t>
            </w:r>
          </w:p>
        </w:tc>
      </w:tr>
      <w:tr w14:paraId="03CF7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5ED94508">
            <w:pPr>
              <w:topLinePunct/>
              <w:spacing w:line="360" w:lineRule="auto"/>
              <w:jc w:val="center"/>
              <w:rPr>
                <w:rFonts w:ascii="宋体" w:hAnsi="宋体"/>
                <w:color w:val="auto"/>
                <w:szCs w:val="21"/>
              </w:rPr>
            </w:pPr>
            <w:r>
              <w:rPr>
                <w:rFonts w:hint="eastAsia" w:ascii="宋体" w:hAnsi="宋体"/>
                <w:color w:val="auto"/>
                <w:szCs w:val="21"/>
              </w:rPr>
              <w:t>26</w:t>
            </w:r>
          </w:p>
        </w:tc>
        <w:tc>
          <w:tcPr>
            <w:tcW w:w="354" w:type="pct"/>
            <w:noWrap w:val="0"/>
            <w:vAlign w:val="center"/>
          </w:tcPr>
          <w:p w14:paraId="795B12C3">
            <w:pPr>
              <w:topLinePunct/>
              <w:spacing w:line="360" w:lineRule="auto"/>
              <w:jc w:val="center"/>
              <w:rPr>
                <w:color w:val="auto"/>
                <w:szCs w:val="21"/>
                <w:lang w:val="zh-CN"/>
              </w:rPr>
            </w:pPr>
            <w:r>
              <w:rPr>
                <w:rFonts w:hint="eastAsia" w:ascii="宋体" w:hAnsi="宋体"/>
                <w:color w:val="auto"/>
                <w:szCs w:val="20"/>
              </w:rPr>
              <w:t>投标文件格式</w:t>
            </w:r>
          </w:p>
        </w:tc>
        <w:tc>
          <w:tcPr>
            <w:tcW w:w="3916" w:type="pct"/>
            <w:noWrap w:val="0"/>
            <w:vAlign w:val="center"/>
          </w:tcPr>
          <w:p w14:paraId="6ECE1389">
            <w:pPr>
              <w:topLinePunct/>
              <w:spacing w:line="360" w:lineRule="auto"/>
              <w:rPr>
                <w:color w:val="auto"/>
                <w:szCs w:val="21"/>
              </w:rPr>
            </w:pPr>
            <w:r>
              <w:rPr>
                <w:rFonts w:hint="eastAsia" w:ascii="宋体" w:hAnsi="宋体"/>
                <w:color w:val="auto"/>
                <w:szCs w:val="20"/>
              </w:rPr>
              <w:t>投标文件全部采用电子文档，必须使用宜宾市公共资源交易信息网“下载专区”</w:t>
            </w:r>
            <w:r>
              <w:rPr>
                <w:rFonts w:hint="eastAsia" w:ascii="MS Mincho" w:hAnsi="MS Mincho" w:eastAsia="MS Mincho" w:cs="MS Mincho"/>
                <w:color w:val="auto"/>
                <w:szCs w:val="20"/>
              </w:rPr>
              <w:t>➜</w:t>
            </w:r>
            <w:r>
              <w:rPr>
                <w:rFonts w:hint="eastAsia" w:ascii="宋体" w:hAnsi="宋体" w:cs="宋体"/>
                <w:color w:val="auto"/>
                <w:szCs w:val="20"/>
              </w:rPr>
              <w:t>“</w:t>
            </w:r>
            <w:r>
              <w:rPr>
                <w:rFonts w:hint="eastAsia" w:ascii="宋体" w:hAnsi="宋体"/>
                <w:color w:val="auto"/>
                <w:szCs w:val="20"/>
              </w:rPr>
              <w:t>软件下载”</w:t>
            </w:r>
            <w:r>
              <w:rPr>
                <w:rFonts w:hint="eastAsia" w:ascii="MS Mincho" w:hAnsi="MS Mincho" w:eastAsia="MS Mincho" w:cs="MS Mincho"/>
                <w:color w:val="auto"/>
                <w:szCs w:val="20"/>
              </w:rPr>
              <w:t>➜</w:t>
            </w:r>
            <w:r>
              <w:rPr>
                <w:rFonts w:ascii="宋体" w:hAnsi="宋体"/>
                <w:color w:val="auto"/>
                <w:szCs w:val="20"/>
              </w:rPr>
              <w:t xml:space="preserve"> “</w:t>
            </w:r>
            <w:r>
              <w:rPr>
                <w:rFonts w:hint="eastAsia" w:ascii="宋体" w:hAnsi="宋体"/>
                <w:color w:val="auto"/>
                <w:szCs w:val="20"/>
              </w:rPr>
              <w:t>综合”</w:t>
            </w:r>
            <w:r>
              <w:rPr>
                <w:rFonts w:hint="eastAsia" w:ascii="MS Mincho" w:hAnsi="MS Mincho" w:eastAsia="MS Mincho" w:cs="MS Mincho"/>
                <w:color w:val="auto"/>
                <w:szCs w:val="20"/>
              </w:rPr>
              <w:t>➜</w:t>
            </w:r>
            <w:r>
              <w:rPr>
                <w:rFonts w:ascii="宋体" w:hAnsi="宋体"/>
                <w:color w:val="auto"/>
                <w:szCs w:val="20"/>
              </w:rPr>
              <w:t xml:space="preserve"> “</w:t>
            </w:r>
            <w:r>
              <w:rPr>
                <w:rFonts w:hint="eastAsia" w:ascii="宋体" w:hAnsi="宋体"/>
                <w:color w:val="auto"/>
                <w:szCs w:val="20"/>
              </w:rPr>
              <w:t>筑龙招标采购助手”</w:t>
            </w:r>
            <w:r>
              <w:rPr>
                <w:rFonts w:ascii="宋体" w:hAnsi="宋体"/>
                <w:color w:val="auto"/>
                <w:szCs w:val="20"/>
              </w:rPr>
              <w:t xml:space="preserve"> </w:t>
            </w:r>
            <w:r>
              <w:rPr>
                <w:rFonts w:hint="eastAsia" w:ascii="MS Mincho" w:hAnsi="MS Mincho" w:eastAsia="MS Mincho" w:cs="MS Mincho"/>
                <w:color w:val="auto"/>
                <w:szCs w:val="20"/>
              </w:rPr>
              <w:t>➜</w:t>
            </w:r>
            <w:r>
              <w:rPr>
                <w:rFonts w:hint="eastAsia" w:ascii="宋体" w:hAnsi="宋体" w:cs="宋体"/>
                <w:color w:val="auto"/>
                <w:szCs w:val="20"/>
              </w:rPr>
              <w:t>“</w:t>
            </w:r>
            <w:r>
              <w:rPr>
                <w:rFonts w:hint="eastAsia" w:ascii="宋体" w:hAnsi="宋体"/>
                <w:color w:val="auto"/>
                <w:szCs w:val="20"/>
              </w:rPr>
              <w:t>软件管家”</w:t>
            </w:r>
            <w:r>
              <w:rPr>
                <w:rFonts w:hint="eastAsia" w:ascii="MS Mincho" w:hAnsi="MS Mincho" w:eastAsia="MS Mincho" w:cs="MS Mincho"/>
                <w:color w:val="auto"/>
                <w:szCs w:val="20"/>
              </w:rPr>
              <w:t>➜</w:t>
            </w:r>
            <w:r>
              <w:rPr>
                <w:rFonts w:hint="eastAsia" w:ascii="宋体" w:hAnsi="宋体" w:cs="宋体"/>
                <w:color w:val="auto"/>
                <w:szCs w:val="20"/>
              </w:rPr>
              <w:t>“</w:t>
            </w:r>
            <w:r>
              <w:rPr>
                <w:rFonts w:hint="eastAsia" w:ascii="宋体" w:hAnsi="宋体"/>
                <w:color w:val="auto"/>
                <w:szCs w:val="20"/>
              </w:rPr>
              <w:t>投标软件”</w:t>
            </w:r>
            <w:r>
              <w:rPr>
                <w:rFonts w:hint="eastAsia" w:ascii="MS Mincho" w:hAnsi="MS Mincho" w:eastAsia="MS Mincho" w:cs="MS Mincho"/>
                <w:color w:val="auto"/>
                <w:szCs w:val="20"/>
              </w:rPr>
              <w:t>➜</w:t>
            </w:r>
            <w:r>
              <w:rPr>
                <w:rFonts w:ascii="宋体" w:hAnsi="宋体"/>
                <w:color w:val="auto"/>
                <w:szCs w:val="20"/>
              </w:rPr>
              <w:t xml:space="preserve"> “</w:t>
            </w:r>
            <w:r>
              <w:rPr>
                <w:rFonts w:hint="eastAsia" w:ascii="宋体" w:hAnsi="宋体"/>
                <w:color w:val="auto"/>
                <w:szCs w:val="20"/>
              </w:rPr>
              <w:t>政府采购投标工具（</w:t>
            </w:r>
            <w:r>
              <w:rPr>
                <w:rFonts w:ascii="宋体" w:hAnsi="宋体"/>
                <w:color w:val="auto"/>
                <w:szCs w:val="20"/>
              </w:rPr>
              <w:t>2021</w:t>
            </w:r>
            <w:r>
              <w:rPr>
                <w:rFonts w:hint="eastAsia" w:ascii="宋体" w:hAnsi="宋体"/>
                <w:color w:val="auto"/>
                <w:szCs w:val="20"/>
              </w:rPr>
              <w:t>）”制作，投标文件格式为</w:t>
            </w:r>
            <w:r>
              <w:rPr>
                <w:rFonts w:ascii="宋体" w:hAnsi="宋体"/>
                <w:color w:val="auto"/>
                <w:szCs w:val="20"/>
              </w:rPr>
              <w:t>xxx.ZFTBJ</w:t>
            </w:r>
            <w:r>
              <w:rPr>
                <w:rFonts w:hint="eastAsia" w:ascii="宋体" w:hAnsi="宋体"/>
                <w:color w:val="auto"/>
                <w:szCs w:val="20"/>
              </w:rPr>
              <w:t>。</w:t>
            </w:r>
          </w:p>
        </w:tc>
      </w:tr>
      <w:tr w14:paraId="62C7F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3282B1FF">
            <w:pPr>
              <w:topLinePunct/>
              <w:spacing w:line="360" w:lineRule="auto"/>
              <w:jc w:val="center"/>
              <w:rPr>
                <w:rFonts w:ascii="宋体" w:hAnsi="宋体"/>
                <w:color w:val="auto"/>
                <w:szCs w:val="21"/>
              </w:rPr>
            </w:pPr>
            <w:r>
              <w:rPr>
                <w:rFonts w:hint="eastAsia" w:ascii="宋体" w:hAnsi="宋体"/>
                <w:color w:val="auto"/>
                <w:szCs w:val="21"/>
              </w:rPr>
              <w:t>27</w:t>
            </w:r>
          </w:p>
        </w:tc>
        <w:tc>
          <w:tcPr>
            <w:tcW w:w="354" w:type="pct"/>
            <w:noWrap w:val="0"/>
            <w:vAlign w:val="center"/>
          </w:tcPr>
          <w:p w14:paraId="1C91F737">
            <w:pPr>
              <w:topLinePunct/>
              <w:spacing w:line="360" w:lineRule="auto"/>
              <w:jc w:val="center"/>
              <w:rPr>
                <w:color w:val="auto"/>
                <w:szCs w:val="21"/>
                <w:lang w:val="zh-CN"/>
              </w:rPr>
            </w:pPr>
            <w:r>
              <w:rPr>
                <w:rFonts w:hint="eastAsia" w:ascii="宋体" w:hAnsi="宋体"/>
                <w:color w:val="auto"/>
                <w:szCs w:val="20"/>
              </w:rPr>
              <w:t>投标文件的签署</w:t>
            </w:r>
          </w:p>
        </w:tc>
        <w:tc>
          <w:tcPr>
            <w:tcW w:w="3916" w:type="pct"/>
            <w:noWrap w:val="0"/>
            <w:vAlign w:val="center"/>
          </w:tcPr>
          <w:p w14:paraId="7101A5F2">
            <w:pPr>
              <w:topLinePunct/>
              <w:spacing w:line="360" w:lineRule="auto"/>
              <w:rPr>
                <w:rFonts w:ascii="宋体" w:hAnsi="宋体" w:cs="宋体"/>
                <w:color w:val="auto"/>
                <w:kern w:val="0"/>
                <w:szCs w:val="20"/>
              </w:rPr>
            </w:pPr>
            <w:r>
              <w:rPr>
                <w:rFonts w:hint="eastAsia" w:ascii="宋体" w:hAnsi="宋体" w:cs="宋体"/>
                <w:color w:val="auto"/>
                <w:kern w:val="0"/>
                <w:szCs w:val="20"/>
              </w:rPr>
              <w:t>投标文件必须采用数字证书进行签名。</w:t>
            </w:r>
          </w:p>
          <w:p w14:paraId="30BEEA10">
            <w:pPr>
              <w:topLinePunct/>
              <w:spacing w:line="360" w:lineRule="auto"/>
              <w:rPr>
                <w:rFonts w:ascii="宋体" w:hAnsi="宋体" w:cs="宋体"/>
                <w:color w:val="auto"/>
                <w:kern w:val="0"/>
                <w:szCs w:val="20"/>
              </w:rPr>
            </w:pPr>
            <w:r>
              <w:rPr>
                <w:rFonts w:hint="eastAsia" w:ascii="宋体" w:hAnsi="宋体" w:cs="宋体"/>
                <w:color w:val="auto"/>
                <w:kern w:val="0"/>
                <w:szCs w:val="20"/>
              </w:rPr>
              <w:t>备注：</w:t>
            </w:r>
            <w:r>
              <w:rPr>
                <w:rFonts w:hint="eastAsia"/>
                <w:color w:val="auto"/>
                <w:kern w:val="0"/>
                <w:szCs w:val="20"/>
              </w:rPr>
              <w:t>相关规定详见</w:t>
            </w:r>
            <w:r>
              <w:rPr>
                <w:color w:val="auto"/>
                <w:kern w:val="0"/>
                <w:szCs w:val="20"/>
              </w:rPr>
              <w:t>第一章</w:t>
            </w:r>
            <w:r>
              <w:rPr>
                <w:rFonts w:hint="eastAsia"/>
                <w:color w:val="auto"/>
                <w:kern w:val="0"/>
                <w:szCs w:val="20"/>
              </w:rPr>
              <w:t>第六条第</w:t>
            </w:r>
            <w:r>
              <w:rPr>
                <w:color w:val="auto"/>
                <w:kern w:val="0"/>
                <w:szCs w:val="20"/>
              </w:rPr>
              <w:t>（</w:t>
            </w:r>
            <w:r>
              <w:rPr>
                <w:rFonts w:hint="eastAsia"/>
                <w:color w:val="auto"/>
                <w:kern w:val="0"/>
                <w:szCs w:val="20"/>
              </w:rPr>
              <w:t>二</w:t>
            </w:r>
            <w:r>
              <w:rPr>
                <w:color w:val="auto"/>
                <w:kern w:val="0"/>
                <w:szCs w:val="20"/>
              </w:rPr>
              <w:t>）</w:t>
            </w:r>
            <w:r>
              <w:rPr>
                <w:rFonts w:hint="eastAsia"/>
                <w:color w:val="auto"/>
                <w:kern w:val="0"/>
                <w:szCs w:val="20"/>
              </w:rPr>
              <w:t>项“</w:t>
            </w:r>
            <w:r>
              <w:rPr>
                <w:color w:val="auto"/>
                <w:kern w:val="0"/>
                <w:szCs w:val="20"/>
              </w:rPr>
              <w:t>投标文件签署</w:t>
            </w:r>
            <w:r>
              <w:rPr>
                <w:rFonts w:hint="eastAsia"/>
                <w:color w:val="auto"/>
                <w:kern w:val="0"/>
                <w:szCs w:val="20"/>
              </w:rPr>
              <w:t>”。</w:t>
            </w:r>
          </w:p>
        </w:tc>
      </w:tr>
      <w:tr w14:paraId="6AB41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729" w:type="pct"/>
            <w:tcBorders>
              <w:bottom w:val="single" w:color="auto" w:sz="4" w:space="0"/>
            </w:tcBorders>
            <w:noWrap w:val="0"/>
            <w:vAlign w:val="center"/>
          </w:tcPr>
          <w:p w14:paraId="0C48A2E2">
            <w:pPr>
              <w:topLinePunct/>
              <w:spacing w:line="360" w:lineRule="auto"/>
              <w:jc w:val="center"/>
              <w:rPr>
                <w:rFonts w:ascii="宋体" w:hAnsi="宋体"/>
                <w:color w:val="auto"/>
                <w:szCs w:val="21"/>
              </w:rPr>
            </w:pPr>
            <w:r>
              <w:rPr>
                <w:rFonts w:hint="eastAsia" w:ascii="宋体" w:hAnsi="宋体"/>
                <w:color w:val="auto"/>
                <w:szCs w:val="21"/>
              </w:rPr>
              <w:t>28</w:t>
            </w:r>
          </w:p>
        </w:tc>
        <w:tc>
          <w:tcPr>
            <w:tcW w:w="354" w:type="pct"/>
            <w:tcBorders>
              <w:bottom w:val="single" w:color="auto" w:sz="4" w:space="0"/>
            </w:tcBorders>
            <w:noWrap w:val="0"/>
            <w:vAlign w:val="center"/>
          </w:tcPr>
          <w:p w14:paraId="77756721">
            <w:pPr>
              <w:topLinePunct/>
              <w:spacing w:line="440" w:lineRule="exact"/>
              <w:jc w:val="center"/>
              <w:rPr>
                <w:rFonts w:ascii="宋体" w:hAnsi="宋体"/>
                <w:color w:val="auto"/>
                <w:szCs w:val="21"/>
              </w:rPr>
            </w:pPr>
            <w:r>
              <w:rPr>
                <w:rFonts w:hint="eastAsia" w:ascii="宋体" w:hAnsi="宋体"/>
                <w:color w:val="auto"/>
                <w:szCs w:val="21"/>
              </w:rPr>
              <w:t>开标</w:t>
            </w:r>
          </w:p>
          <w:p w14:paraId="3C315383">
            <w:pPr>
              <w:topLinePunct/>
              <w:spacing w:line="360" w:lineRule="auto"/>
              <w:jc w:val="center"/>
              <w:rPr>
                <w:color w:val="auto"/>
                <w:szCs w:val="21"/>
                <w:lang w:val="zh-CN"/>
              </w:rPr>
            </w:pPr>
            <w:r>
              <w:rPr>
                <w:rFonts w:hint="eastAsia" w:ascii="宋体" w:hAnsi="宋体"/>
                <w:color w:val="auto"/>
                <w:szCs w:val="21"/>
              </w:rPr>
              <w:t>(远程在线开标）</w:t>
            </w:r>
          </w:p>
        </w:tc>
        <w:tc>
          <w:tcPr>
            <w:tcW w:w="3916" w:type="pct"/>
            <w:tcBorders>
              <w:bottom w:val="single" w:color="auto" w:sz="4" w:space="0"/>
            </w:tcBorders>
            <w:noWrap w:val="0"/>
            <w:vAlign w:val="center"/>
          </w:tcPr>
          <w:p w14:paraId="59CEB29F">
            <w:pPr>
              <w:spacing w:line="400" w:lineRule="exact"/>
              <w:ind w:firstLine="420" w:firstLineChars="200"/>
              <w:rPr>
                <w:color w:val="auto"/>
                <w:kern w:val="0"/>
                <w:szCs w:val="21"/>
              </w:rPr>
            </w:pPr>
            <w:r>
              <w:rPr>
                <w:color w:val="auto"/>
                <w:kern w:val="0"/>
                <w:szCs w:val="21"/>
              </w:rPr>
              <w:t>1.</w:t>
            </w:r>
            <w:r>
              <w:rPr>
                <w:rFonts w:hint="eastAsia"/>
                <w:color w:val="auto"/>
                <w:kern w:val="0"/>
                <w:szCs w:val="21"/>
              </w:rPr>
              <w:t>招标</w:t>
            </w:r>
            <w:r>
              <w:rPr>
                <w:color w:val="auto"/>
                <w:kern w:val="0"/>
                <w:szCs w:val="21"/>
              </w:rPr>
              <w:t>代理机构在开标系统中设置解密时间（即供应商完成解密操作的时间，下同），并下达“网上解密”指令，解密时间不得少于30分钟。</w:t>
            </w:r>
          </w:p>
          <w:p w14:paraId="09CE5474">
            <w:pPr>
              <w:spacing w:line="400" w:lineRule="exact"/>
              <w:ind w:firstLine="420" w:firstLineChars="200"/>
              <w:rPr>
                <w:color w:val="auto"/>
                <w:kern w:val="0"/>
                <w:szCs w:val="21"/>
              </w:rPr>
            </w:pPr>
            <w:r>
              <w:rPr>
                <w:color w:val="auto"/>
                <w:kern w:val="0"/>
                <w:szCs w:val="21"/>
              </w:rPr>
              <w:t>2.</w:t>
            </w:r>
            <w:r>
              <w:rPr>
                <w:rFonts w:hint="eastAsia"/>
                <w:color w:val="auto"/>
                <w:kern w:val="0"/>
                <w:szCs w:val="21"/>
              </w:rPr>
              <w:t>投标人</w:t>
            </w:r>
            <w:r>
              <w:rPr>
                <w:color w:val="auto"/>
                <w:kern w:val="0"/>
                <w:szCs w:val="21"/>
              </w:rPr>
              <w:t>应在递交投标文件截止时间前登录宜宾市公共资源电子化交易平台→政府采购→网上开标室，选择本项目进入本项目在线开标界面，并在投标文件解密环节在规定的解密时间内，使用对本项目投标文件进行加密的数字证书完成本单位所有投标文件解密操作（即，点击解密→输入密码→密码确认）。否则，由</w:t>
            </w:r>
            <w:r>
              <w:rPr>
                <w:rFonts w:hint="eastAsia"/>
                <w:color w:val="auto"/>
                <w:kern w:val="0"/>
                <w:szCs w:val="21"/>
              </w:rPr>
              <w:t>投标人</w:t>
            </w:r>
            <w:r>
              <w:rPr>
                <w:color w:val="auto"/>
                <w:kern w:val="0"/>
                <w:szCs w:val="21"/>
              </w:rPr>
              <w:t>自行承担一切不利后果。</w:t>
            </w:r>
          </w:p>
          <w:p w14:paraId="2FEEF933">
            <w:pPr>
              <w:spacing w:line="400" w:lineRule="exact"/>
              <w:ind w:firstLine="420" w:firstLineChars="200"/>
              <w:rPr>
                <w:color w:val="auto"/>
                <w:kern w:val="0"/>
                <w:szCs w:val="21"/>
              </w:rPr>
            </w:pPr>
            <w:r>
              <w:rPr>
                <w:color w:val="auto"/>
                <w:kern w:val="0"/>
                <w:szCs w:val="21"/>
              </w:rPr>
              <w:t>3.若</w:t>
            </w:r>
            <w:r>
              <w:rPr>
                <w:rFonts w:hint="eastAsia"/>
                <w:color w:val="auto"/>
                <w:kern w:val="0"/>
                <w:szCs w:val="21"/>
              </w:rPr>
              <w:t>投标人</w:t>
            </w:r>
            <w:r>
              <w:rPr>
                <w:color w:val="auto"/>
                <w:kern w:val="0"/>
                <w:szCs w:val="21"/>
              </w:rPr>
              <w:t>未在规定的解密时间内完成解密操作或因</w:t>
            </w:r>
            <w:r>
              <w:rPr>
                <w:rFonts w:hint="eastAsia"/>
                <w:color w:val="auto"/>
                <w:kern w:val="0"/>
                <w:szCs w:val="21"/>
              </w:rPr>
              <w:t>投标人</w:t>
            </w:r>
            <w:r>
              <w:rPr>
                <w:color w:val="auto"/>
                <w:kern w:val="0"/>
                <w:szCs w:val="21"/>
              </w:rPr>
              <w:t>自身原因致使其投标文件未被成功解密，其本次投标视为无效投标。</w:t>
            </w:r>
          </w:p>
          <w:p w14:paraId="3B66C33E">
            <w:pPr>
              <w:spacing w:line="400" w:lineRule="exact"/>
              <w:ind w:firstLine="420" w:firstLineChars="200"/>
              <w:rPr>
                <w:color w:val="auto"/>
                <w:kern w:val="0"/>
                <w:szCs w:val="21"/>
              </w:rPr>
            </w:pPr>
            <w:r>
              <w:rPr>
                <w:color w:val="auto"/>
                <w:kern w:val="0"/>
                <w:szCs w:val="21"/>
              </w:rPr>
              <w:t>4.</w:t>
            </w:r>
            <w:r>
              <w:rPr>
                <w:rFonts w:hint="eastAsia"/>
                <w:color w:val="auto"/>
                <w:kern w:val="0"/>
                <w:szCs w:val="21"/>
              </w:rPr>
              <w:t>投标人</w:t>
            </w:r>
            <w:r>
              <w:rPr>
                <w:color w:val="auto"/>
                <w:kern w:val="0"/>
                <w:szCs w:val="21"/>
              </w:rPr>
              <w:t>若对本项目在线开标过程有任何异议，应在开标结束指令下达前提出。否则，视为</w:t>
            </w:r>
            <w:r>
              <w:rPr>
                <w:rFonts w:hint="eastAsia"/>
                <w:color w:val="auto"/>
                <w:kern w:val="0"/>
                <w:szCs w:val="21"/>
              </w:rPr>
              <w:t>投标人</w:t>
            </w:r>
            <w:r>
              <w:rPr>
                <w:color w:val="auto"/>
                <w:kern w:val="0"/>
                <w:szCs w:val="21"/>
              </w:rPr>
              <w:t>对本项目开标过程无任何异议。</w:t>
            </w:r>
          </w:p>
          <w:p w14:paraId="416D3F94">
            <w:pPr>
              <w:spacing w:line="400" w:lineRule="exact"/>
              <w:ind w:firstLine="420" w:firstLineChars="200"/>
              <w:rPr>
                <w:color w:val="auto"/>
                <w:kern w:val="0"/>
                <w:szCs w:val="21"/>
              </w:rPr>
            </w:pPr>
            <w:r>
              <w:rPr>
                <w:rFonts w:hint="eastAsia"/>
                <w:color w:val="auto"/>
                <w:kern w:val="0"/>
                <w:szCs w:val="21"/>
              </w:rPr>
              <w:t>5</w:t>
            </w:r>
            <w:r>
              <w:rPr>
                <w:color w:val="auto"/>
                <w:kern w:val="0"/>
                <w:szCs w:val="21"/>
              </w:rPr>
              <w:t>.</w:t>
            </w:r>
            <w:r>
              <w:rPr>
                <w:rFonts w:hint="eastAsia"/>
                <w:color w:val="auto"/>
                <w:kern w:val="0"/>
                <w:szCs w:val="21"/>
              </w:rPr>
              <w:t>投标人</w:t>
            </w:r>
            <w:r>
              <w:rPr>
                <w:color w:val="auto"/>
                <w:kern w:val="0"/>
                <w:szCs w:val="21"/>
              </w:rPr>
              <w:t>应对其递交的电子投标文件中的所有材料和内容的真实性、合法性、完整性负责，并承担一切不利后果。同时，在本项目开评标活动结束后，</w:t>
            </w:r>
            <w:r>
              <w:rPr>
                <w:rFonts w:hint="eastAsia"/>
                <w:color w:val="auto"/>
                <w:kern w:val="0"/>
                <w:szCs w:val="21"/>
              </w:rPr>
              <w:t>招标人</w:t>
            </w:r>
            <w:r>
              <w:rPr>
                <w:color w:val="auto"/>
                <w:kern w:val="0"/>
                <w:szCs w:val="21"/>
              </w:rPr>
              <w:t>、</w:t>
            </w:r>
            <w:r>
              <w:rPr>
                <w:rFonts w:hint="eastAsia"/>
                <w:color w:val="auto"/>
                <w:kern w:val="0"/>
                <w:szCs w:val="21"/>
              </w:rPr>
              <w:t>招标</w:t>
            </w:r>
            <w:r>
              <w:rPr>
                <w:color w:val="auto"/>
                <w:kern w:val="0"/>
                <w:szCs w:val="21"/>
              </w:rPr>
              <w:t>代理机构有权对</w:t>
            </w:r>
            <w:r>
              <w:rPr>
                <w:rFonts w:hint="eastAsia"/>
                <w:color w:val="auto"/>
                <w:kern w:val="0"/>
                <w:szCs w:val="21"/>
              </w:rPr>
              <w:t>投标人</w:t>
            </w:r>
            <w:r>
              <w:rPr>
                <w:color w:val="auto"/>
                <w:kern w:val="0"/>
                <w:szCs w:val="21"/>
              </w:rPr>
              <w:t>递交的电子投标文件中的材料和内容进行核实，若发现有虚假情形的，依法依规和本项目招标文件相关规定对相应</w:t>
            </w:r>
            <w:r>
              <w:rPr>
                <w:rFonts w:hint="eastAsia"/>
                <w:color w:val="auto"/>
                <w:kern w:val="0"/>
                <w:szCs w:val="21"/>
              </w:rPr>
              <w:t>投标人</w:t>
            </w:r>
            <w:r>
              <w:rPr>
                <w:color w:val="auto"/>
                <w:kern w:val="0"/>
                <w:szCs w:val="21"/>
              </w:rPr>
              <w:t>进行处理。</w:t>
            </w:r>
          </w:p>
          <w:p w14:paraId="512F8DE8">
            <w:pPr>
              <w:spacing w:line="400" w:lineRule="exact"/>
              <w:ind w:firstLine="420" w:firstLineChars="200"/>
              <w:rPr>
                <w:color w:val="auto"/>
                <w:kern w:val="0"/>
                <w:szCs w:val="21"/>
              </w:rPr>
            </w:pPr>
            <w:r>
              <w:rPr>
                <w:rFonts w:hint="eastAsia"/>
                <w:color w:val="auto"/>
                <w:kern w:val="0"/>
                <w:szCs w:val="21"/>
              </w:rPr>
              <w:t>6</w:t>
            </w:r>
            <w:r>
              <w:rPr>
                <w:color w:val="auto"/>
                <w:kern w:val="0"/>
                <w:szCs w:val="21"/>
              </w:rPr>
              <w:t>.因断电、断网、系统故障或其他不可抗力等因素导致远程在线开标系统无法正常运行的，开标活动中止或延迟，待在线开标系统恢复正常后继续进行开标活动。</w:t>
            </w:r>
          </w:p>
          <w:p w14:paraId="3867EA46">
            <w:pPr>
              <w:spacing w:line="400" w:lineRule="exact"/>
              <w:ind w:firstLine="420" w:firstLineChars="200"/>
              <w:rPr>
                <w:color w:val="auto"/>
                <w:kern w:val="0"/>
                <w:szCs w:val="21"/>
              </w:rPr>
            </w:pPr>
            <w:r>
              <w:rPr>
                <w:rFonts w:hint="eastAsia"/>
                <w:color w:val="auto"/>
                <w:kern w:val="0"/>
                <w:szCs w:val="21"/>
              </w:rPr>
              <w:t>7</w:t>
            </w:r>
            <w:r>
              <w:rPr>
                <w:color w:val="auto"/>
                <w:kern w:val="0"/>
                <w:szCs w:val="21"/>
              </w:rPr>
              <w:t>.</w:t>
            </w:r>
            <w:r>
              <w:rPr>
                <w:rFonts w:hint="eastAsia"/>
                <w:color w:val="auto"/>
                <w:kern w:val="0"/>
                <w:szCs w:val="21"/>
              </w:rPr>
              <w:t>投标人</w:t>
            </w:r>
            <w:r>
              <w:rPr>
                <w:color w:val="auto"/>
                <w:kern w:val="0"/>
                <w:szCs w:val="21"/>
              </w:rPr>
              <w:t>应在本项目开标、评标过程中，</w:t>
            </w:r>
            <w:r>
              <w:rPr>
                <w:rFonts w:hint="eastAsia"/>
                <w:color w:val="auto"/>
                <w:kern w:val="0"/>
                <w:szCs w:val="21"/>
              </w:rPr>
              <w:t>登录</w:t>
            </w:r>
            <w:r>
              <w:rPr>
                <w:color w:val="auto"/>
                <w:kern w:val="0"/>
                <w:szCs w:val="21"/>
              </w:rPr>
              <w:t>宜宾市公共资源电子化交易平台→政府采购→“网上开标室”或“网上评标→网上澄清答疑”模块</w:t>
            </w:r>
            <w:r>
              <w:rPr>
                <w:rFonts w:hint="eastAsia"/>
                <w:color w:val="auto"/>
                <w:kern w:val="0"/>
                <w:szCs w:val="21"/>
              </w:rPr>
              <w:t>，选择投标项目并实时关注</w:t>
            </w:r>
            <w:r>
              <w:rPr>
                <w:color w:val="auto"/>
                <w:kern w:val="0"/>
                <w:szCs w:val="21"/>
              </w:rPr>
              <w:t>项目开标、评标信息。因</w:t>
            </w:r>
            <w:r>
              <w:rPr>
                <w:rFonts w:hint="eastAsia"/>
                <w:color w:val="auto"/>
                <w:kern w:val="0"/>
                <w:szCs w:val="21"/>
              </w:rPr>
              <w:t>投标人</w:t>
            </w:r>
            <w:r>
              <w:rPr>
                <w:color w:val="auto"/>
                <w:kern w:val="0"/>
                <w:szCs w:val="21"/>
              </w:rPr>
              <w:t>未</w:t>
            </w:r>
            <w:r>
              <w:rPr>
                <w:rFonts w:hint="eastAsia"/>
                <w:color w:val="auto"/>
                <w:kern w:val="0"/>
                <w:szCs w:val="21"/>
              </w:rPr>
              <w:t>及时</w:t>
            </w:r>
            <w:r>
              <w:rPr>
                <w:color w:val="auto"/>
                <w:kern w:val="0"/>
                <w:szCs w:val="21"/>
              </w:rPr>
              <w:t>查看相关信息并未按要求处理，且影响其开标</w:t>
            </w:r>
            <w:r>
              <w:rPr>
                <w:rFonts w:hint="eastAsia"/>
                <w:color w:val="auto"/>
                <w:kern w:val="0"/>
                <w:szCs w:val="21"/>
              </w:rPr>
              <w:t>、</w:t>
            </w:r>
            <w:r>
              <w:rPr>
                <w:color w:val="auto"/>
                <w:kern w:val="0"/>
                <w:szCs w:val="21"/>
              </w:rPr>
              <w:t>评标结果的，由</w:t>
            </w:r>
            <w:r>
              <w:rPr>
                <w:rFonts w:hint="eastAsia"/>
                <w:color w:val="auto"/>
                <w:kern w:val="0"/>
                <w:szCs w:val="21"/>
              </w:rPr>
              <w:t>投标人</w:t>
            </w:r>
            <w:r>
              <w:rPr>
                <w:color w:val="auto"/>
                <w:kern w:val="0"/>
                <w:szCs w:val="21"/>
              </w:rPr>
              <w:t>自行承担一切不利后果。</w:t>
            </w:r>
          </w:p>
          <w:p w14:paraId="49A9271D">
            <w:pPr>
              <w:spacing w:line="400" w:lineRule="exact"/>
              <w:ind w:firstLine="420" w:firstLineChars="200"/>
              <w:rPr>
                <w:color w:val="auto"/>
                <w:kern w:val="0"/>
                <w:szCs w:val="21"/>
              </w:rPr>
            </w:pPr>
            <w:r>
              <w:rPr>
                <w:rFonts w:hint="eastAsia"/>
                <w:color w:val="auto"/>
                <w:kern w:val="0"/>
                <w:szCs w:val="21"/>
              </w:rPr>
              <w:t>8</w:t>
            </w:r>
            <w:r>
              <w:rPr>
                <w:color w:val="auto"/>
                <w:kern w:val="0"/>
                <w:szCs w:val="21"/>
              </w:rPr>
              <w:t>.</w:t>
            </w:r>
            <w:r>
              <w:rPr>
                <w:rFonts w:hint="eastAsia"/>
                <w:color w:val="auto"/>
                <w:kern w:val="0"/>
                <w:szCs w:val="21"/>
              </w:rPr>
              <w:t>投标人</w:t>
            </w:r>
            <w:r>
              <w:rPr>
                <w:color w:val="auto"/>
                <w:kern w:val="0"/>
                <w:szCs w:val="21"/>
              </w:rPr>
              <w:t>未参加开标的，视同认可开标结果。</w:t>
            </w:r>
          </w:p>
          <w:p w14:paraId="21150BF2">
            <w:pPr>
              <w:spacing w:line="400" w:lineRule="exact"/>
              <w:ind w:firstLine="420" w:firstLineChars="200"/>
              <w:rPr>
                <w:color w:val="auto"/>
                <w:kern w:val="0"/>
                <w:szCs w:val="21"/>
              </w:rPr>
            </w:pPr>
            <w:r>
              <w:rPr>
                <w:rFonts w:hint="eastAsia"/>
                <w:color w:val="auto"/>
                <w:kern w:val="0"/>
                <w:szCs w:val="21"/>
              </w:rPr>
              <w:t>9</w:t>
            </w:r>
            <w:r>
              <w:rPr>
                <w:color w:val="auto"/>
                <w:kern w:val="0"/>
                <w:szCs w:val="21"/>
              </w:rPr>
              <w:t>.成功获取招标文件或者投标文件成功导入开标系统的</w:t>
            </w:r>
            <w:r>
              <w:rPr>
                <w:rFonts w:hint="eastAsia"/>
                <w:color w:val="auto"/>
                <w:kern w:val="0"/>
                <w:szCs w:val="21"/>
              </w:rPr>
              <w:t>投标人</w:t>
            </w:r>
            <w:r>
              <w:rPr>
                <w:color w:val="auto"/>
                <w:kern w:val="0"/>
                <w:szCs w:val="21"/>
              </w:rPr>
              <w:t>不足3家的，不得开启投标文件。</w:t>
            </w:r>
          </w:p>
          <w:p w14:paraId="5DD3111B">
            <w:pPr>
              <w:spacing w:line="400" w:lineRule="exact"/>
              <w:ind w:firstLine="420" w:firstLineChars="200"/>
              <w:rPr>
                <w:color w:val="auto"/>
                <w:kern w:val="0"/>
                <w:szCs w:val="21"/>
              </w:rPr>
            </w:pPr>
            <w:r>
              <w:rPr>
                <w:color w:val="auto"/>
                <w:kern w:val="0"/>
                <w:szCs w:val="21"/>
              </w:rPr>
              <w:t>1</w:t>
            </w:r>
            <w:r>
              <w:rPr>
                <w:rFonts w:hint="eastAsia"/>
                <w:color w:val="auto"/>
                <w:kern w:val="0"/>
                <w:szCs w:val="21"/>
              </w:rPr>
              <w:t>0.</w:t>
            </w:r>
            <w:r>
              <w:rPr>
                <w:rFonts w:hint="eastAsia"/>
                <w:color w:val="auto"/>
                <w:szCs w:val="21"/>
              </w:rPr>
              <w:t xml:space="preserve"> </w:t>
            </w:r>
            <w:r>
              <w:rPr>
                <w:rFonts w:hint="eastAsia"/>
                <w:color w:val="auto"/>
                <w:kern w:val="0"/>
                <w:szCs w:val="21"/>
              </w:rPr>
              <w:t>投标人参加远程在线开标的，应自行准备电脑、音视频设备，并确保设施设备运行状况良好、网络状况良好。因投标人自身原因致使其不能正常参与开标、评标活动，或错过澄清答疑、解密等环节的，由投标人自行承担一切不利后果。</w:t>
            </w:r>
          </w:p>
        </w:tc>
      </w:tr>
      <w:tr w14:paraId="778D8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4F6EF891">
            <w:pPr>
              <w:topLinePunct/>
              <w:spacing w:line="360" w:lineRule="auto"/>
              <w:jc w:val="center"/>
              <w:rPr>
                <w:rFonts w:ascii="宋体" w:hAnsi="宋体"/>
                <w:color w:val="auto"/>
                <w:szCs w:val="20"/>
              </w:rPr>
            </w:pPr>
            <w:r>
              <w:rPr>
                <w:rFonts w:hint="eastAsia" w:ascii="宋体" w:hAnsi="宋体"/>
                <w:color w:val="auto"/>
                <w:szCs w:val="20"/>
              </w:rPr>
              <w:t>29</w:t>
            </w:r>
          </w:p>
        </w:tc>
        <w:tc>
          <w:tcPr>
            <w:tcW w:w="354" w:type="pct"/>
            <w:noWrap w:val="0"/>
            <w:vAlign w:val="center"/>
          </w:tcPr>
          <w:p w14:paraId="1032A770">
            <w:pPr>
              <w:topLinePunct/>
              <w:spacing w:line="360" w:lineRule="auto"/>
              <w:jc w:val="center"/>
              <w:rPr>
                <w:rFonts w:ascii="宋体" w:hAnsi="宋体"/>
                <w:color w:val="auto"/>
                <w:szCs w:val="20"/>
              </w:rPr>
            </w:pPr>
            <w:r>
              <w:rPr>
                <w:rFonts w:hint="eastAsia" w:ascii="宋体" w:hAnsi="宋体"/>
                <w:color w:val="auto"/>
                <w:szCs w:val="20"/>
              </w:rPr>
              <w:t>报价唯一</w:t>
            </w:r>
          </w:p>
        </w:tc>
        <w:tc>
          <w:tcPr>
            <w:tcW w:w="3916" w:type="pct"/>
            <w:noWrap w:val="0"/>
            <w:vAlign w:val="center"/>
          </w:tcPr>
          <w:p w14:paraId="25779D21">
            <w:pPr>
              <w:topLinePunct/>
              <w:spacing w:line="360" w:lineRule="auto"/>
              <w:ind w:firstLine="420" w:firstLineChars="200"/>
              <w:rPr>
                <w:rFonts w:hint="eastAsia" w:ascii="宋体" w:hAnsi="宋体"/>
                <w:color w:val="auto"/>
                <w:szCs w:val="20"/>
              </w:rPr>
            </w:pPr>
            <w:r>
              <w:rPr>
                <w:rFonts w:hint="eastAsia" w:ascii="宋体" w:hAnsi="宋体"/>
                <w:color w:val="auto"/>
                <w:szCs w:val="20"/>
              </w:rPr>
              <w:t>只能有一个有效报价。即：</w:t>
            </w:r>
          </w:p>
          <w:p w14:paraId="4012CADC">
            <w:pPr>
              <w:topLinePunct/>
              <w:spacing w:line="360" w:lineRule="auto"/>
              <w:ind w:firstLine="420" w:firstLineChars="200"/>
              <w:rPr>
                <w:rFonts w:hint="eastAsia" w:ascii="宋体" w:hAnsi="宋体"/>
                <w:color w:val="auto"/>
                <w:szCs w:val="20"/>
              </w:rPr>
            </w:pPr>
            <w:r>
              <w:rPr>
                <w:rFonts w:hint="eastAsia" w:ascii="宋体" w:hAnsi="宋体"/>
                <w:color w:val="auto"/>
                <w:szCs w:val="20"/>
              </w:rPr>
              <w:t>1.只允许有一个报价，任何有选择或可调整的报价将不予接受，并按无效投标处理。</w:t>
            </w:r>
          </w:p>
          <w:p w14:paraId="69284994">
            <w:pPr>
              <w:topLinePunct/>
              <w:spacing w:line="360" w:lineRule="auto"/>
              <w:ind w:firstLine="420" w:firstLineChars="200"/>
              <w:rPr>
                <w:rFonts w:ascii="宋体" w:hAnsi="宋体"/>
                <w:color w:val="auto"/>
                <w:szCs w:val="20"/>
              </w:rPr>
            </w:pPr>
            <w:r>
              <w:rPr>
                <w:rFonts w:hint="eastAsia" w:ascii="宋体" w:hAnsi="宋体"/>
                <w:color w:val="auto"/>
                <w:szCs w:val="20"/>
              </w:rPr>
              <w:t>2.开标一览表中记录的投标报价、投标文件中投标函的投标报价应完全一致。</w:t>
            </w:r>
          </w:p>
        </w:tc>
      </w:tr>
      <w:tr w14:paraId="435E8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204715A7">
            <w:pPr>
              <w:topLinePunct/>
              <w:spacing w:line="440" w:lineRule="exact"/>
              <w:jc w:val="center"/>
              <w:rPr>
                <w:rFonts w:ascii="宋体" w:hAnsi="宋体"/>
                <w:color w:val="auto"/>
                <w:szCs w:val="20"/>
              </w:rPr>
            </w:pPr>
            <w:r>
              <w:rPr>
                <w:rFonts w:hint="eastAsia" w:ascii="宋体" w:hAnsi="宋体"/>
                <w:color w:val="auto"/>
                <w:szCs w:val="20"/>
              </w:rPr>
              <w:t>30</w:t>
            </w:r>
          </w:p>
        </w:tc>
        <w:tc>
          <w:tcPr>
            <w:tcW w:w="354" w:type="pct"/>
            <w:noWrap w:val="0"/>
            <w:vAlign w:val="center"/>
          </w:tcPr>
          <w:p w14:paraId="2509F19D">
            <w:pPr>
              <w:topLinePunct/>
              <w:spacing w:line="440" w:lineRule="exact"/>
              <w:jc w:val="center"/>
              <w:rPr>
                <w:rFonts w:ascii="宋体" w:hAnsi="宋体"/>
                <w:color w:val="auto"/>
                <w:szCs w:val="20"/>
              </w:rPr>
            </w:pPr>
            <w:r>
              <w:rPr>
                <w:rFonts w:hint="eastAsia" w:ascii="宋体" w:hAnsi="宋体"/>
                <w:color w:val="auto"/>
                <w:szCs w:val="20"/>
              </w:rPr>
              <w:t>充分、公平竞争</w:t>
            </w:r>
          </w:p>
          <w:p w14:paraId="3B467D76">
            <w:pPr>
              <w:topLinePunct/>
              <w:spacing w:line="440" w:lineRule="exact"/>
              <w:jc w:val="center"/>
              <w:rPr>
                <w:rFonts w:ascii="宋体" w:hAnsi="宋体"/>
                <w:color w:val="auto"/>
                <w:szCs w:val="20"/>
              </w:rPr>
            </w:pPr>
            <w:r>
              <w:rPr>
                <w:rFonts w:hint="eastAsia" w:ascii="宋体" w:hAnsi="宋体"/>
                <w:color w:val="auto"/>
                <w:szCs w:val="20"/>
              </w:rPr>
              <w:t>保障措施</w:t>
            </w:r>
          </w:p>
        </w:tc>
        <w:tc>
          <w:tcPr>
            <w:tcW w:w="3916" w:type="pct"/>
            <w:noWrap w:val="0"/>
            <w:vAlign w:val="center"/>
          </w:tcPr>
          <w:p w14:paraId="66318F32">
            <w:pPr>
              <w:topLinePunct/>
              <w:spacing w:line="400" w:lineRule="exact"/>
              <w:ind w:firstLine="420" w:firstLineChars="200"/>
              <w:textAlignment w:val="baseline"/>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w:t>
            </w:r>
            <w:r>
              <w:rPr>
                <w:rFonts w:hint="eastAsia" w:ascii="宋体"/>
                <w:color w:val="auto"/>
                <w:kern w:val="0"/>
              </w:rPr>
              <w:t>利害关系投标人处理。</w:t>
            </w:r>
            <w:r>
              <w:rPr>
                <w:rFonts w:hint="eastAsia"/>
                <w:color w:val="auto"/>
              </w:rPr>
              <w:t>单位负责人为同一人或者存在直接控股、管理关系的不同投标人不得参加同一合同项下的招标活动。</w:t>
            </w:r>
            <w:r>
              <w:rPr>
                <w:rFonts w:ascii="宋体"/>
                <w:color w:val="auto"/>
                <w:kern w:val="0"/>
              </w:rPr>
              <w:t>否则，其投标</w:t>
            </w:r>
            <w:r>
              <w:rPr>
                <w:rFonts w:hint="eastAsia" w:ascii="宋体"/>
                <w:color w:val="auto"/>
                <w:kern w:val="0"/>
              </w:rPr>
              <w:t>均</w:t>
            </w:r>
            <w:r>
              <w:rPr>
                <w:rFonts w:ascii="宋体"/>
                <w:color w:val="auto"/>
                <w:kern w:val="0"/>
              </w:rPr>
              <w:t>无效。</w:t>
            </w:r>
          </w:p>
          <w:p w14:paraId="3A127C9F">
            <w:pPr>
              <w:topLinePunct/>
              <w:spacing w:line="400" w:lineRule="exact"/>
              <w:ind w:firstLine="420" w:firstLineChars="200"/>
              <w:textAlignment w:val="baseline"/>
              <w:rPr>
                <w:rFonts w:hint="eastAsia" w:ascii="宋体" w:hAnsi="宋体"/>
                <w:color w:val="auto"/>
                <w:kern w:val="0"/>
                <w:szCs w:val="21"/>
              </w:rPr>
            </w:pPr>
            <w:r>
              <w:rPr>
                <w:rFonts w:ascii="宋体" w:hAnsi="宋体"/>
                <w:color w:val="auto"/>
                <w:kern w:val="0"/>
                <w:szCs w:val="21"/>
              </w:rPr>
              <w:t>2</w:t>
            </w:r>
            <w:r>
              <w:rPr>
                <w:rFonts w:hint="eastAsia" w:ascii="宋体" w:hAnsi="宋体"/>
                <w:color w:val="auto"/>
                <w:kern w:val="0"/>
                <w:szCs w:val="21"/>
              </w:rPr>
              <w:t>．利害关系代理人处理。</w:t>
            </w:r>
            <w:r>
              <w:rPr>
                <w:rFonts w:ascii="宋体" w:hAnsi="宋体"/>
                <w:color w:val="auto"/>
                <w:kern w:val="0"/>
                <w:szCs w:val="21"/>
              </w:rPr>
              <w:t>二家（含）以上的</w:t>
            </w:r>
            <w:r>
              <w:rPr>
                <w:rFonts w:hint="eastAsia" w:ascii="宋体" w:hAnsi="宋体"/>
                <w:color w:val="auto"/>
                <w:kern w:val="0"/>
                <w:szCs w:val="21"/>
              </w:rPr>
              <w:t>投标人</w:t>
            </w:r>
            <w:r>
              <w:rPr>
                <w:rFonts w:ascii="宋体" w:hAnsi="宋体"/>
                <w:color w:val="auto"/>
                <w:kern w:val="0"/>
                <w:szCs w:val="21"/>
              </w:rPr>
              <w:t>不得在同一合同项下的</w:t>
            </w:r>
            <w:r>
              <w:rPr>
                <w:rFonts w:hint="eastAsia" w:ascii="宋体" w:hAnsi="宋体"/>
                <w:color w:val="auto"/>
                <w:kern w:val="0"/>
                <w:szCs w:val="21"/>
              </w:rPr>
              <w:t>招标</w:t>
            </w:r>
            <w:r>
              <w:rPr>
                <w:rFonts w:ascii="宋体" w:hAnsi="宋体"/>
                <w:color w:val="auto"/>
                <w:kern w:val="0"/>
                <w:szCs w:val="21"/>
              </w:rPr>
              <w:t>项目中，同时委托同一个自然人、同一家庭的人员、同一单位的人员作为其代理人</w:t>
            </w:r>
            <w:r>
              <w:rPr>
                <w:rFonts w:hint="eastAsia" w:ascii="宋体" w:hAnsi="宋体"/>
                <w:color w:val="auto"/>
                <w:kern w:val="0"/>
                <w:szCs w:val="21"/>
              </w:rPr>
              <w:t>。</w:t>
            </w:r>
            <w:r>
              <w:rPr>
                <w:rFonts w:ascii="宋体" w:hAnsi="宋体"/>
                <w:color w:val="auto"/>
                <w:kern w:val="0"/>
                <w:szCs w:val="21"/>
              </w:rPr>
              <w:t>否则，其投标</w:t>
            </w:r>
            <w:r>
              <w:rPr>
                <w:rFonts w:hint="eastAsia" w:ascii="宋体" w:hAnsi="宋体"/>
                <w:color w:val="auto"/>
                <w:kern w:val="0"/>
                <w:szCs w:val="21"/>
              </w:rPr>
              <w:t>均</w:t>
            </w:r>
            <w:r>
              <w:rPr>
                <w:rFonts w:ascii="宋体" w:hAnsi="宋体"/>
                <w:color w:val="auto"/>
                <w:kern w:val="0"/>
                <w:szCs w:val="21"/>
              </w:rPr>
              <w:t>无效。</w:t>
            </w:r>
          </w:p>
          <w:p w14:paraId="727CA966">
            <w:pPr>
              <w:topLinePunct/>
              <w:spacing w:line="400" w:lineRule="exact"/>
              <w:ind w:firstLine="420" w:firstLineChars="200"/>
              <w:textAlignment w:val="baseline"/>
              <w:rPr>
                <w:rFonts w:ascii="宋体" w:hAnsi="宋体"/>
                <w:color w:val="auto"/>
                <w:kern w:val="0"/>
                <w:szCs w:val="21"/>
              </w:rPr>
            </w:pPr>
            <w:r>
              <w:rPr>
                <w:rFonts w:ascii="宋体" w:hAnsi="宋体"/>
                <w:color w:val="auto"/>
                <w:kern w:val="0"/>
                <w:szCs w:val="21"/>
              </w:rPr>
              <w:t>3</w:t>
            </w:r>
            <w:r>
              <w:rPr>
                <w:rFonts w:hint="eastAsia" w:ascii="宋体" w:hAnsi="宋体"/>
                <w:color w:val="auto"/>
                <w:kern w:val="0"/>
                <w:szCs w:val="21"/>
              </w:rPr>
              <w:t>．前期参与投标人处理。</w:t>
            </w:r>
            <w:r>
              <w:rPr>
                <w:rFonts w:ascii="宋体" w:hAnsi="宋体"/>
                <w:color w:val="auto"/>
                <w:kern w:val="0"/>
                <w:szCs w:val="21"/>
              </w:rPr>
              <w:t>为</w:t>
            </w:r>
            <w:r>
              <w:rPr>
                <w:rFonts w:hint="eastAsia" w:ascii="宋体" w:hAnsi="宋体"/>
                <w:color w:val="auto"/>
                <w:kern w:val="0"/>
                <w:szCs w:val="21"/>
              </w:rPr>
              <w:t>招标</w:t>
            </w:r>
            <w:r>
              <w:rPr>
                <w:rFonts w:ascii="宋体" w:hAnsi="宋体"/>
                <w:color w:val="auto"/>
                <w:kern w:val="0"/>
                <w:szCs w:val="21"/>
              </w:rPr>
              <w:t>项目提供整体设计、规范编制或者项目管理、监理、检测等服务的</w:t>
            </w:r>
            <w:r>
              <w:rPr>
                <w:rFonts w:hint="eastAsia" w:ascii="宋体" w:hAnsi="宋体"/>
                <w:color w:val="auto"/>
                <w:kern w:val="0"/>
                <w:szCs w:val="21"/>
              </w:rPr>
              <w:t>投标人</w:t>
            </w:r>
            <w:r>
              <w:rPr>
                <w:rFonts w:ascii="宋体" w:hAnsi="宋体"/>
                <w:color w:val="auto"/>
                <w:kern w:val="0"/>
                <w:szCs w:val="21"/>
              </w:rPr>
              <w:t>，不得再参加该</w:t>
            </w:r>
            <w:r>
              <w:rPr>
                <w:rFonts w:hint="eastAsia" w:ascii="宋体" w:hAnsi="宋体"/>
                <w:color w:val="auto"/>
                <w:kern w:val="0"/>
                <w:szCs w:val="21"/>
              </w:rPr>
              <w:t>招标</w:t>
            </w:r>
            <w:r>
              <w:rPr>
                <w:rFonts w:ascii="宋体" w:hAnsi="宋体"/>
                <w:color w:val="auto"/>
                <w:kern w:val="0"/>
                <w:szCs w:val="21"/>
              </w:rPr>
              <w:t>项目的其他</w:t>
            </w:r>
            <w:r>
              <w:rPr>
                <w:rFonts w:hint="eastAsia" w:ascii="宋体" w:hAnsi="宋体"/>
                <w:color w:val="auto"/>
                <w:kern w:val="0"/>
                <w:szCs w:val="21"/>
              </w:rPr>
              <w:t>招标</w:t>
            </w:r>
            <w:r>
              <w:rPr>
                <w:rFonts w:ascii="宋体" w:hAnsi="宋体"/>
                <w:color w:val="auto"/>
                <w:kern w:val="0"/>
                <w:szCs w:val="21"/>
              </w:rPr>
              <w:t>活动。</w:t>
            </w:r>
            <w:r>
              <w:rPr>
                <w:rFonts w:hint="eastAsia" w:ascii="宋体" w:hAnsi="宋体"/>
                <w:color w:val="auto"/>
                <w:kern w:val="0"/>
                <w:szCs w:val="21"/>
              </w:rPr>
              <w:t>投标人</w:t>
            </w:r>
            <w:r>
              <w:rPr>
                <w:rFonts w:ascii="宋体" w:hAnsi="宋体"/>
                <w:color w:val="auto"/>
                <w:kern w:val="0"/>
                <w:szCs w:val="21"/>
              </w:rPr>
              <w:t>为</w:t>
            </w:r>
            <w:r>
              <w:rPr>
                <w:rFonts w:hint="eastAsia" w:ascii="宋体" w:hAnsi="宋体"/>
                <w:color w:val="auto"/>
                <w:kern w:val="0"/>
                <w:szCs w:val="21"/>
              </w:rPr>
              <w:t>招标人</w:t>
            </w:r>
            <w:r>
              <w:rPr>
                <w:rFonts w:ascii="宋体" w:hAnsi="宋体"/>
                <w:color w:val="auto"/>
                <w:kern w:val="0"/>
                <w:szCs w:val="21"/>
              </w:rPr>
              <w:t>在确定</w:t>
            </w:r>
            <w:r>
              <w:rPr>
                <w:rFonts w:hint="eastAsia" w:ascii="宋体" w:hAnsi="宋体"/>
                <w:color w:val="auto"/>
                <w:kern w:val="0"/>
                <w:szCs w:val="21"/>
              </w:rPr>
              <w:t>招标</w:t>
            </w:r>
            <w:r>
              <w:rPr>
                <w:rFonts w:ascii="宋体" w:hAnsi="宋体"/>
                <w:color w:val="auto"/>
                <w:kern w:val="0"/>
                <w:szCs w:val="21"/>
              </w:rPr>
              <w:t>需求、编制招标文件过程中提供咨询论证，其提供的咨询论证意见成为招标文件中规定的</w:t>
            </w:r>
            <w:r>
              <w:rPr>
                <w:rFonts w:hint="eastAsia" w:ascii="宋体" w:hAnsi="宋体"/>
                <w:color w:val="auto"/>
                <w:kern w:val="0"/>
                <w:szCs w:val="21"/>
              </w:rPr>
              <w:t>投标人</w:t>
            </w:r>
            <w:r>
              <w:rPr>
                <w:rFonts w:ascii="宋体" w:hAnsi="宋体"/>
                <w:color w:val="auto"/>
                <w:kern w:val="0"/>
                <w:szCs w:val="21"/>
              </w:rPr>
              <w:t>资格条件、技术服务商务要求、评审因素和标准、合同等实质性内容条款的，视同为</w:t>
            </w:r>
            <w:r>
              <w:rPr>
                <w:rFonts w:hint="eastAsia" w:ascii="宋体" w:hAnsi="宋体"/>
                <w:color w:val="auto"/>
                <w:kern w:val="0"/>
                <w:szCs w:val="21"/>
              </w:rPr>
              <w:t>招标</w:t>
            </w:r>
            <w:r>
              <w:rPr>
                <w:rFonts w:ascii="宋体" w:hAnsi="宋体"/>
                <w:color w:val="auto"/>
                <w:kern w:val="0"/>
                <w:szCs w:val="21"/>
              </w:rPr>
              <w:t>项目提供规范编制。否则，其投标无效。</w:t>
            </w:r>
          </w:p>
        </w:tc>
      </w:tr>
      <w:tr w14:paraId="5D965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504D5AA8">
            <w:pPr>
              <w:topLinePunct/>
              <w:spacing w:line="360" w:lineRule="auto"/>
              <w:jc w:val="center"/>
              <w:rPr>
                <w:rFonts w:ascii="宋体" w:hAnsi="宋体"/>
                <w:color w:val="auto"/>
                <w:szCs w:val="20"/>
              </w:rPr>
            </w:pPr>
            <w:r>
              <w:rPr>
                <w:rFonts w:hint="eastAsia" w:ascii="宋体" w:hAnsi="宋体"/>
                <w:color w:val="auto"/>
                <w:szCs w:val="20"/>
              </w:rPr>
              <w:t>31</w:t>
            </w:r>
          </w:p>
        </w:tc>
        <w:tc>
          <w:tcPr>
            <w:tcW w:w="354" w:type="pct"/>
            <w:noWrap w:val="0"/>
            <w:vAlign w:val="center"/>
          </w:tcPr>
          <w:p w14:paraId="2CCEBE6D">
            <w:pPr>
              <w:topLinePunct/>
              <w:spacing w:line="360" w:lineRule="auto"/>
              <w:jc w:val="center"/>
              <w:rPr>
                <w:rFonts w:ascii="宋体"/>
                <w:color w:val="auto"/>
                <w:szCs w:val="21"/>
              </w:rPr>
            </w:pPr>
            <w:r>
              <w:rPr>
                <w:rFonts w:hint="eastAsia" w:ascii="宋体"/>
                <w:color w:val="auto"/>
                <w:szCs w:val="21"/>
              </w:rPr>
              <w:t>低于成本价不正当</w:t>
            </w:r>
          </w:p>
          <w:p w14:paraId="7D55B2BA">
            <w:pPr>
              <w:topLinePunct/>
              <w:spacing w:line="360" w:lineRule="auto"/>
              <w:jc w:val="center"/>
              <w:rPr>
                <w:rFonts w:ascii="宋体" w:hAnsi="宋体"/>
                <w:color w:val="auto"/>
                <w:szCs w:val="20"/>
              </w:rPr>
            </w:pPr>
            <w:r>
              <w:rPr>
                <w:rFonts w:hint="eastAsia" w:ascii="宋体"/>
                <w:color w:val="auto"/>
                <w:szCs w:val="21"/>
              </w:rPr>
              <w:t>竞争预防措施</w:t>
            </w:r>
          </w:p>
        </w:tc>
        <w:tc>
          <w:tcPr>
            <w:tcW w:w="3916" w:type="pct"/>
            <w:noWrap w:val="0"/>
            <w:vAlign w:val="center"/>
          </w:tcPr>
          <w:p w14:paraId="21A7F53E">
            <w:pPr>
              <w:topLinePunct/>
              <w:spacing w:line="400" w:lineRule="exact"/>
              <w:ind w:firstLine="420" w:firstLineChars="200"/>
              <w:textAlignment w:val="baseline"/>
              <w:rPr>
                <w:rFonts w:hint="eastAsia" w:ascii="宋体" w:hAnsi="宋体"/>
                <w:color w:val="auto"/>
                <w:kern w:val="0"/>
                <w:szCs w:val="21"/>
              </w:rPr>
            </w:pPr>
            <w:r>
              <w:rPr>
                <w:rFonts w:hint="eastAsia" w:ascii="宋体" w:hAnsi="宋体"/>
                <w:color w:val="auto"/>
                <w:kern w:val="0"/>
                <w:szCs w:val="21"/>
              </w:rPr>
              <w:t>在评审过程中，评标委员会认为投标人的报价明显低于其他投标报价，可能降低服务质量或者不能诚信履约的，应当要求其作出书面说明并提供相关证明材料，评标委员会应从招标项目要求和投标人的合同履行成本、报价构成等方面对投标人是否低于个别成本进行认定，评标委员会经评审认为其不低于成本的，应当书面说明理由。投标人不能说明或评标委员会认为说明不合理的，由评标委员会认定该投标人以低于成本报价竞标，其投标应按无效投标处理。</w:t>
            </w:r>
          </w:p>
          <w:p w14:paraId="73D5D407">
            <w:pPr>
              <w:topLinePunct/>
              <w:spacing w:line="400" w:lineRule="exact"/>
              <w:ind w:firstLine="420" w:firstLineChars="200"/>
              <w:textAlignment w:val="baseline"/>
              <w:rPr>
                <w:rFonts w:ascii="宋体" w:hAnsi="宋体"/>
                <w:color w:val="auto"/>
                <w:kern w:val="0"/>
                <w:szCs w:val="21"/>
              </w:rPr>
            </w:pPr>
            <w:r>
              <w:rPr>
                <w:rFonts w:hint="eastAsia" w:ascii="宋体" w:hAnsi="宋体"/>
                <w:color w:val="auto"/>
                <w:kern w:val="0"/>
                <w:szCs w:val="21"/>
              </w:rPr>
              <w:t>评标委员会全体成员半数以上认为该投标人不能合理说明的，认定该投标人以低于成本报价竞标，其投标应按无效投标处理。持有异议的评标委员会成员可以书面方式阐述其不同意见和理由，拒绝签字且不陈述其不同意见和理由的，视为同意。</w:t>
            </w:r>
          </w:p>
        </w:tc>
      </w:tr>
      <w:tr w14:paraId="63FC9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0D8B93BE">
            <w:pPr>
              <w:topLinePunct/>
              <w:spacing w:line="360" w:lineRule="auto"/>
              <w:jc w:val="center"/>
              <w:rPr>
                <w:rFonts w:ascii="宋体" w:hAnsi="宋体"/>
                <w:color w:val="auto"/>
                <w:szCs w:val="20"/>
              </w:rPr>
            </w:pPr>
            <w:r>
              <w:rPr>
                <w:rFonts w:hint="eastAsia" w:ascii="宋体" w:hAnsi="宋体"/>
                <w:color w:val="auto"/>
                <w:szCs w:val="20"/>
              </w:rPr>
              <w:t>32</w:t>
            </w:r>
          </w:p>
        </w:tc>
        <w:tc>
          <w:tcPr>
            <w:tcW w:w="354" w:type="pct"/>
            <w:noWrap w:val="0"/>
            <w:vAlign w:val="center"/>
          </w:tcPr>
          <w:p w14:paraId="413BBC92">
            <w:pPr>
              <w:topLinePunct/>
              <w:spacing w:line="360" w:lineRule="auto"/>
              <w:jc w:val="center"/>
              <w:rPr>
                <w:rFonts w:ascii="宋体" w:hAnsi="宋体"/>
                <w:color w:val="auto"/>
                <w:szCs w:val="20"/>
              </w:rPr>
            </w:pPr>
            <w:r>
              <w:rPr>
                <w:rFonts w:hint="eastAsia" w:ascii="宋体" w:hAnsi="宋体"/>
                <w:color w:val="auto"/>
                <w:szCs w:val="20"/>
              </w:rPr>
              <w:t>招标文件的澄清或修改</w:t>
            </w:r>
          </w:p>
        </w:tc>
        <w:tc>
          <w:tcPr>
            <w:tcW w:w="3916" w:type="pct"/>
            <w:noWrap w:val="0"/>
            <w:vAlign w:val="center"/>
          </w:tcPr>
          <w:p w14:paraId="710EBE51">
            <w:pPr>
              <w:tabs>
                <w:tab w:val="left" w:pos="720"/>
              </w:tabs>
              <w:topLinePunct/>
              <w:spacing w:line="360" w:lineRule="auto"/>
              <w:ind w:firstLine="420" w:firstLineChars="200"/>
              <w:rPr>
                <w:rFonts w:ascii="宋体" w:hAnsi="宋体"/>
                <w:color w:val="auto"/>
                <w:spacing w:val="-4"/>
                <w:kern w:val="0"/>
                <w:szCs w:val="21"/>
              </w:rPr>
            </w:pPr>
            <w:r>
              <w:rPr>
                <w:rFonts w:hint="eastAsia" w:ascii="宋体" w:hAnsi="宋体"/>
                <w:color w:val="auto"/>
                <w:kern w:val="0"/>
                <w:szCs w:val="21"/>
              </w:rPr>
              <w:t>招标人或招标代理机构可对已发出的招标文件进行澄清或者修改。澄清或者修改内容可能影响投标文件编制的，须在招标文件要求的投标截止时间十五日前进行，不足十五日则顺延投标截止时间。澄清或者修改内容一律在宜宾市公共资源交易信息网以更正公告形式公开发布，并视为已将更正内容书面通知所有获取了招标文件的投标人。在此期间，相关投标人应自行上网查询相关信息；投标人因自身原因未及时查阅、下载而带来的一切后果，均由投标人自行承担。该澄清或者修改的内容为招标文件的组成部分。</w:t>
            </w:r>
          </w:p>
        </w:tc>
      </w:tr>
      <w:tr w14:paraId="00BDB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4788C464">
            <w:pPr>
              <w:topLinePunct/>
              <w:spacing w:line="360" w:lineRule="auto"/>
              <w:jc w:val="center"/>
              <w:rPr>
                <w:rFonts w:ascii="宋体" w:hAnsi="宋体"/>
                <w:color w:val="auto"/>
                <w:szCs w:val="20"/>
              </w:rPr>
            </w:pPr>
            <w:r>
              <w:rPr>
                <w:rFonts w:hint="eastAsia" w:ascii="宋体" w:hAnsi="宋体"/>
                <w:color w:val="auto"/>
                <w:szCs w:val="20"/>
              </w:rPr>
              <w:t>33</w:t>
            </w:r>
          </w:p>
        </w:tc>
        <w:tc>
          <w:tcPr>
            <w:tcW w:w="354" w:type="pct"/>
            <w:noWrap w:val="0"/>
            <w:vAlign w:val="center"/>
          </w:tcPr>
          <w:p w14:paraId="50DBC0CA">
            <w:pPr>
              <w:topLinePunct/>
              <w:spacing w:line="440" w:lineRule="exact"/>
              <w:jc w:val="center"/>
              <w:rPr>
                <w:rFonts w:ascii="宋体" w:hAnsi="宋体"/>
                <w:color w:val="auto"/>
                <w:szCs w:val="20"/>
              </w:rPr>
            </w:pPr>
            <w:r>
              <w:rPr>
                <w:rFonts w:hint="eastAsia" w:ascii="宋体" w:hAnsi="宋体"/>
                <w:color w:val="auto"/>
                <w:szCs w:val="20"/>
              </w:rPr>
              <w:t>投标人提出问题的</w:t>
            </w:r>
          </w:p>
          <w:p w14:paraId="303508B7">
            <w:pPr>
              <w:topLinePunct/>
              <w:spacing w:line="440" w:lineRule="exact"/>
              <w:jc w:val="center"/>
              <w:rPr>
                <w:rFonts w:ascii="宋体" w:hAnsi="宋体"/>
                <w:color w:val="auto"/>
                <w:szCs w:val="20"/>
              </w:rPr>
            </w:pPr>
            <w:r>
              <w:rPr>
                <w:rFonts w:hint="eastAsia" w:ascii="宋体" w:hAnsi="宋体"/>
                <w:color w:val="auto"/>
                <w:szCs w:val="20"/>
              </w:rPr>
              <w:t>截止时间</w:t>
            </w:r>
          </w:p>
        </w:tc>
        <w:tc>
          <w:tcPr>
            <w:tcW w:w="3916" w:type="pct"/>
            <w:noWrap w:val="0"/>
            <w:vAlign w:val="center"/>
          </w:tcPr>
          <w:p w14:paraId="6EB81FCF">
            <w:pPr>
              <w:spacing w:line="400" w:lineRule="exact"/>
              <w:ind w:firstLine="420" w:firstLineChars="200"/>
              <w:outlineLvl w:val="1"/>
              <w:rPr>
                <w:rFonts w:hint="eastAsia" w:ascii="宋体" w:hAnsi="宋体"/>
                <w:color w:val="auto"/>
                <w:szCs w:val="20"/>
              </w:rPr>
            </w:pPr>
            <w:r>
              <w:rPr>
                <w:rFonts w:hint="eastAsia" w:ascii="宋体" w:hAnsi="宋体"/>
                <w:color w:val="auto"/>
                <w:szCs w:val="20"/>
              </w:rPr>
              <w:t>1.投标人对招标文件进行质疑的，应在获取招标文件之日起七个工作日内或者招标文件公告期限届满之日起七个工作日内书面递交。</w:t>
            </w:r>
          </w:p>
          <w:p w14:paraId="51BA04CF">
            <w:pPr>
              <w:topLinePunct/>
              <w:spacing w:line="400" w:lineRule="exact"/>
              <w:ind w:firstLine="420" w:firstLineChars="200"/>
              <w:rPr>
                <w:rFonts w:hint="eastAsia" w:ascii="宋体" w:hAnsi="宋体"/>
                <w:color w:val="auto"/>
                <w:szCs w:val="20"/>
              </w:rPr>
            </w:pPr>
            <w:r>
              <w:rPr>
                <w:rFonts w:hint="eastAsia" w:ascii="宋体" w:hAnsi="宋体"/>
                <w:color w:val="auto"/>
                <w:szCs w:val="20"/>
              </w:rPr>
              <w:t>2.投标人对招标过程进行质疑的，应在各招标程序环节结束之日起七个工作日内书面递交。</w:t>
            </w:r>
          </w:p>
          <w:p w14:paraId="381AA8C5">
            <w:pPr>
              <w:topLinePunct/>
              <w:spacing w:line="400" w:lineRule="exact"/>
              <w:ind w:firstLine="420" w:firstLineChars="200"/>
              <w:rPr>
                <w:rFonts w:hint="eastAsia" w:ascii="宋体" w:hAnsi="宋体"/>
                <w:color w:val="auto"/>
                <w:szCs w:val="20"/>
              </w:rPr>
            </w:pPr>
            <w:r>
              <w:rPr>
                <w:rFonts w:hint="eastAsia" w:ascii="宋体" w:hAnsi="宋体"/>
                <w:color w:val="auto"/>
                <w:szCs w:val="20"/>
              </w:rPr>
              <w:t>3.投标人对招标结果进行质疑的，应在中标结果公告期限届满之日起七个工作日内书面递交。</w:t>
            </w:r>
          </w:p>
          <w:p w14:paraId="1DBDB221">
            <w:pPr>
              <w:topLinePunct/>
              <w:spacing w:line="400" w:lineRule="exact"/>
              <w:ind w:firstLine="420" w:firstLineChars="200"/>
              <w:rPr>
                <w:color w:val="auto"/>
              </w:rPr>
            </w:pPr>
            <w:r>
              <w:rPr>
                <w:rFonts w:hint="eastAsia" w:ascii="宋体" w:hAnsi="宋体"/>
                <w:color w:val="auto"/>
                <w:szCs w:val="20"/>
              </w:rPr>
              <w:t>4.供应商应在文件规定质疑期内一次性提出针对同一采购程序环节的质疑。</w:t>
            </w:r>
          </w:p>
        </w:tc>
      </w:tr>
      <w:tr w14:paraId="45812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6E597E8D">
            <w:pPr>
              <w:topLinePunct/>
              <w:spacing w:line="360" w:lineRule="auto"/>
              <w:jc w:val="center"/>
              <w:rPr>
                <w:rFonts w:ascii="宋体" w:hAnsi="宋体"/>
                <w:color w:val="auto"/>
                <w:szCs w:val="20"/>
              </w:rPr>
            </w:pPr>
            <w:r>
              <w:rPr>
                <w:rFonts w:hint="eastAsia" w:ascii="宋体" w:hAnsi="宋体"/>
                <w:color w:val="auto"/>
                <w:szCs w:val="20"/>
              </w:rPr>
              <w:t>34</w:t>
            </w:r>
          </w:p>
        </w:tc>
        <w:tc>
          <w:tcPr>
            <w:tcW w:w="354" w:type="pct"/>
            <w:noWrap w:val="0"/>
            <w:vAlign w:val="center"/>
          </w:tcPr>
          <w:p w14:paraId="401933A2">
            <w:pPr>
              <w:topLinePunct/>
              <w:spacing w:line="440" w:lineRule="exact"/>
              <w:jc w:val="center"/>
              <w:rPr>
                <w:rFonts w:ascii="宋体" w:hAnsi="宋体"/>
                <w:color w:val="auto"/>
                <w:szCs w:val="20"/>
              </w:rPr>
            </w:pPr>
            <w:r>
              <w:rPr>
                <w:rFonts w:hint="eastAsia" w:ascii="宋体" w:hAnsi="宋体"/>
                <w:color w:val="auto"/>
                <w:szCs w:val="20"/>
              </w:rPr>
              <w:t>招标文件内容冲突的解决及优先适用次序</w:t>
            </w:r>
          </w:p>
        </w:tc>
        <w:tc>
          <w:tcPr>
            <w:tcW w:w="3916" w:type="pct"/>
            <w:noWrap w:val="0"/>
            <w:vAlign w:val="center"/>
          </w:tcPr>
          <w:p w14:paraId="07C0F068">
            <w:pPr>
              <w:topLinePunct/>
              <w:spacing w:line="400" w:lineRule="exact"/>
              <w:ind w:firstLine="420" w:firstLineChars="200"/>
              <w:rPr>
                <w:rFonts w:ascii="宋体" w:hAnsi="宋体"/>
                <w:color w:val="auto"/>
                <w:szCs w:val="20"/>
              </w:rPr>
            </w:pPr>
            <w:r>
              <w:rPr>
                <w:rFonts w:hint="eastAsia" w:ascii="宋体" w:hAnsi="宋体"/>
                <w:color w:val="auto"/>
                <w:szCs w:val="20"/>
              </w:rPr>
              <w:t>招标文件中编制的内容前后有矛盾或不一致，有时间先后顺序的，以时间在后的修改、澄清或补正文件为准；没有时间先后顺序的，则以有利于投标人的原则进行处理。</w:t>
            </w:r>
          </w:p>
        </w:tc>
      </w:tr>
      <w:tr w14:paraId="0BFD7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39B7ACF7">
            <w:pPr>
              <w:topLinePunct/>
              <w:spacing w:line="360" w:lineRule="auto"/>
              <w:jc w:val="center"/>
              <w:rPr>
                <w:rFonts w:ascii="宋体" w:hAnsi="宋体"/>
                <w:color w:val="auto"/>
                <w:szCs w:val="20"/>
              </w:rPr>
            </w:pPr>
            <w:r>
              <w:rPr>
                <w:rFonts w:hint="eastAsia" w:ascii="宋体" w:hAnsi="宋体"/>
                <w:color w:val="auto"/>
                <w:szCs w:val="20"/>
              </w:rPr>
              <w:t>35</w:t>
            </w:r>
          </w:p>
        </w:tc>
        <w:tc>
          <w:tcPr>
            <w:tcW w:w="354" w:type="pct"/>
            <w:noWrap w:val="0"/>
            <w:vAlign w:val="center"/>
          </w:tcPr>
          <w:p w14:paraId="3990994B">
            <w:pPr>
              <w:topLinePunct/>
              <w:spacing w:line="440" w:lineRule="exact"/>
              <w:jc w:val="center"/>
              <w:rPr>
                <w:rFonts w:ascii="宋体" w:hAnsi="宋体"/>
                <w:color w:val="auto"/>
                <w:szCs w:val="20"/>
              </w:rPr>
            </w:pPr>
            <w:r>
              <w:rPr>
                <w:rFonts w:hint="eastAsia" w:ascii="宋体" w:hAnsi="宋体"/>
                <w:color w:val="auto"/>
                <w:szCs w:val="20"/>
              </w:rPr>
              <w:t>中标通知书的领取</w:t>
            </w:r>
          </w:p>
        </w:tc>
        <w:tc>
          <w:tcPr>
            <w:tcW w:w="3916" w:type="pct"/>
            <w:noWrap w:val="0"/>
            <w:vAlign w:val="center"/>
          </w:tcPr>
          <w:p w14:paraId="7823D848">
            <w:pPr>
              <w:spacing w:line="400" w:lineRule="exact"/>
              <w:ind w:firstLine="420" w:firstLineChars="200"/>
              <w:outlineLvl w:val="1"/>
              <w:rPr>
                <w:rFonts w:ascii="宋体" w:hAnsi="宋体"/>
                <w:color w:val="auto"/>
                <w:szCs w:val="20"/>
              </w:rPr>
            </w:pPr>
            <w:r>
              <w:rPr>
                <w:rFonts w:hint="eastAsia" w:ascii="宋体" w:hAnsi="宋体"/>
                <w:color w:val="auto"/>
                <w:szCs w:val="20"/>
              </w:rPr>
              <w:t>中标结果公告发出后，中标人应及时</w:t>
            </w:r>
            <w:r>
              <w:rPr>
                <w:rFonts w:ascii="宋体" w:hAnsi="宋体"/>
                <w:color w:val="auto"/>
                <w:szCs w:val="20"/>
              </w:rPr>
              <w:t>登录宜宾市公共资源电子化交易平台--&gt;政府采购--&gt;“查询</w:t>
            </w:r>
            <w:bookmarkStart w:id="1" w:name="_Hlk179102381"/>
            <w:r>
              <w:rPr>
                <w:rFonts w:ascii="宋体" w:hAnsi="宋体"/>
                <w:color w:val="auto"/>
                <w:szCs w:val="20"/>
              </w:rPr>
              <w:t>中标通知书</w:t>
            </w:r>
            <w:bookmarkEnd w:id="1"/>
            <w:r>
              <w:rPr>
                <w:rFonts w:ascii="宋体" w:hAnsi="宋体"/>
                <w:color w:val="auto"/>
                <w:szCs w:val="20"/>
              </w:rPr>
              <w:t>”模块中自行打印中标通知书</w:t>
            </w:r>
            <w:r>
              <w:rPr>
                <w:rFonts w:hint="eastAsia" w:ascii="宋体" w:hAnsi="宋体"/>
                <w:color w:val="auto"/>
                <w:szCs w:val="20"/>
              </w:rPr>
              <w:t>。</w:t>
            </w:r>
          </w:p>
        </w:tc>
      </w:tr>
      <w:tr w14:paraId="582FB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24606174">
            <w:pPr>
              <w:topLinePunct/>
              <w:spacing w:line="360" w:lineRule="auto"/>
              <w:jc w:val="center"/>
              <w:rPr>
                <w:rFonts w:ascii="宋体" w:hAnsi="宋体"/>
                <w:color w:val="auto"/>
                <w:szCs w:val="20"/>
              </w:rPr>
            </w:pPr>
            <w:r>
              <w:rPr>
                <w:rFonts w:hint="eastAsia" w:ascii="宋体" w:hAnsi="宋体"/>
                <w:color w:val="auto"/>
                <w:szCs w:val="20"/>
              </w:rPr>
              <w:t>36</w:t>
            </w:r>
          </w:p>
        </w:tc>
        <w:tc>
          <w:tcPr>
            <w:tcW w:w="354" w:type="pct"/>
            <w:noWrap w:val="0"/>
            <w:vAlign w:val="center"/>
          </w:tcPr>
          <w:p w14:paraId="1ADCBADD">
            <w:pPr>
              <w:topLinePunct/>
              <w:spacing w:line="440" w:lineRule="exact"/>
              <w:jc w:val="center"/>
              <w:rPr>
                <w:rFonts w:hint="eastAsia" w:ascii="宋体" w:hAnsi="宋体"/>
                <w:color w:val="auto"/>
                <w:szCs w:val="20"/>
              </w:rPr>
            </w:pPr>
            <w:r>
              <w:rPr>
                <w:rFonts w:hint="eastAsia" w:ascii="宋体" w:hAnsi="宋体"/>
                <w:color w:val="auto"/>
                <w:szCs w:val="20"/>
              </w:rPr>
              <w:t>费用及支付条件</w:t>
            </w:r>
          </w:p>
        </w:tc>
        <w:tc>
          <w:tcPr>
            <w:tcW w:w="3916" w:type="pct"/>
            <w:noWrap w:val="0"/>
            <w:vAlign w:val="center"/>
          </w:tcPr>
          <w:p w14:paraId="65719B38">
            <w:pPr>
              <w:spacing w:line="400" w:lineRule="exact"/>
              <w:ind w:firstLine="420" w:firstLineChars="200"/>
              <w:outlineLvl w:val="1"/>
              <w:rPr>
                <w:rFonts w:hint="eastAsia" w:ascii="宋体" w:hAnsi="宋体"/>
                <w:color w:val="auto"/>
                <w:szCs w:val="20"/>
              </w:rPr>
            </w:pPr>
            <w:r>
              <w:rPr>
                <w:rFonts w:hint="eastAsia" w:ascii="宋体" w:hAnsi="宋体"/>
                <w:color w:val="auto"/>
                <w:szCs w:val="20"/>
              </w:rPr>
              <w:t>见第六章。</w:t>
            </w:r>
          </w:p>
        </w:tc>
      </w:tr>
      <w:tr w14:paraId="06841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2AB017C6">
            <w:pPr>
              <w:topLinePunct/>
              <w:spacing w:line="360" w:lineRule="auto"/>
              <w:jc w:val="center"/>
              <w:rPr>
                <w:rFonts w:ascii="宋体" w:hAnsi="宋体"/>
                <w:color w:val="auto"/>
                <w:szCs w:val="20"/>
              </w:rPr>
            </w:pPr>
            <w:r>
              <w:rPr>
                <w:rFonts w:hint="eastAsia" w:ascii="宋体" w:hAnsi="宋体"/>
                <w:color w:val="auto"/>
                <w:szCs w:val="20"/>
              </w:rPr>
              <w:t>37</w:t>
            </w:r>
          </w:p>
        </w:tc>
        <w:tc>
          <w:tcPr>
            <w:tcW w:w="354" w:type="pct"/>
            <w:noWrap w:val="0"/>
            <w:vAlign w:val="center"/>
          </w:tcPr>
          <w:p w14:paraId="0BE55CD5">
            <w:pPr>
              <w:jc w:val="center"/>
              <w:rPr>
                <w:rFonts w:ascii="宋体" w:hAnsi="宋体"/>
                <w:color w:val="auto"/>
                <w:szCs w:val="20"/>
              </w:rPr>
            </w:pPr>
            <w:r>
              <w:rPr>
                <w:rFonts w:hint="eastAsia" w:ascii="宋体" w:hAnsi="宋体"/>
                <w:color w:val="auto"/>
                <w:szCs w:val="20"/>
              </w:rPr>
              <w:t>实质性要求</w:t>
            </w:r>
          </w:p>
        </w:tc>
        <w:tc>
          <w:tcPr>
            <w:tcW w:w="3916" w:type="pct"/>
            <w:noWrap w:val="0"/>
            <w:vAlign w:val="center"/>
          </w:tcPr>
          <w:p w14:paraId="5CECB0D7">
            <w:pPr>
              <w:topLinePunct/>
              <w:spacing w:line="400" w:lineRule="exact"/>
              <w:ind w:firstLine="420" w:firstLineChars="200"/>
              <w:rPr>
                <w:rFonts w:ascii="宋体" w:hAnsi="宋体"/>
                <w:color w:val="auto"/>
                <w:szCs w:val="20"/>
              </w:rPr>
            </w:pPr>
            <w:r>
              <w:rPr>
                <w:rFonts w:hint="eastAsia" w:ascii="宋体" w:hAnsi="宋体"/>
                <w:color w:val="auto"/>
                <w:szCs w:val="20"/>
              </w:rPr>
              <w:t>本招标文件中有★标识的条款、明确为投标无效（无效投标、无效处理）和投标文件不予受理的条款，以及关于低于成本价不正当竞争预防措施、充分公平竞争保障措施、投标费用（投标人参加投标的有关费用由投标人自行承担）、合同分包、合同转包、履约保证金等相关规定的条款均为实质性要求。</w:t>
            </w:r>
          </w:p>
        </w:tc>
      </w:tr>
      <w:tr w14:paraId="61E12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52A7AD40">
            <w:pPr>
              <w:topLinePunct/>
              <w:spacing w:line="440" w:lineRule="exact"/>
              <w:jc w:val="center"/>
              <w:rPr>
                <w:rFonts w:ascii="宋体" w:hAnsi="宋体"/>
                <w:color w:val="auto"/>
                <w:szCs w:val="20"/>
              </w:rPr>
            </w:pPr>
            <w:r>
              <w:rPr>
                <w:rFonts w:hint="eastAsia" w:ascii="宋体" w:hAnsi="宋体"/>
                <w:color w:val="auto"/>
                <w:szCs w:val="20"/>
              </w:rPr>
              <w:t>38</w:t>
            </w:r>
          </w:p>
        </w:tc>
        <w:tc>
          <w:tcPr>
            <w:tcW w:w="354" w:type="pct"/>
            <w:noWrap w:val="0"/>
            <w:vAlign w:val="center"/>
          </w:tcPr>
          <w:p w14:paraId="19349676">
            <w:pPr>
              <w:topLinePunct/>
              <w:spacing w:line="440" w:lineRule="exact"/>
              <w:jc w:val="center"/>
              <w:rPr>
                <w:rFonts w:ascii="宋体" w:hAnsi="宋体"/>
                <w:color w:val="auto"/>
                <w:szCs w:val="20"/>
              </w:rPr>
            </w:pPr>
            <w:r>
              <w:rPr>
                <w:rFonts w:hint="eastAsia" w:ascii="宋体" w:hAnsi="宋体"/>
                <w:color w:val="auto"/>
                <w:szCs w:val="20"/>
              </w:rPr>
              <w:t>招标文件的</w:t>
            </w:r>
          </w:p>
          <w:p w14:paraId="58832DCB">
            <w:pPr>
              <w:topLinePunct/>
              <w:spacing w:line="440" w:lineRule="exact"/>
              <w:jc w:val="center"/>
              <w:rPr>
                <w:rFonts w:ascii="宋体" w:hAnsi="宋体"/>
                <w:color w:val="auto"/>
                <w:szCs w:val="20"/>
              </w:rPr>
            </w:pPr>
            <w:r>
              <w:rPr>
                <w:rFonts w:hint="eastAsia" w:ascii="宋体" w:hAnsi="宋体"/>
                <w:color w:val="auto"/>
                <w:szCs w:val="20"/>
              </w:rPr>
              <w:t>询问、质疑</w:t>
            </w:r>
          </w:p>
        </w:tc>
        <w:tc>
          <w:tcPr>
            <w:tcW w:w="3916" w:type="pct"/>
            <w:noWrap w:val="0"/>
            <w:vAlign w:val="center"/>
          </w:tcPr>
          <w:p w14:paraId="7CA54AD1">
            <w:pPr>
              <w:topLinePunct/>
              <w:spacing w:line="440" w:lineRule="exact"/>
              <w:ind w:firstLine="420" w:firstLineChars="200"/>
              <w:rPr>
                <w:rFonts w:ascii="宋体" w:hAnsi="宋体"/>
                <w:color w:val="auto"/>
                <w:szCs w:val="20"/>
              </w:rPr>
            </w:pPr>
            <w:r>
              <w:rPr>
                <w:rFonts w:hint="eastAsia" w:ascii="宋体" w:hAnsi="宋体"/>
                <w:color w:val="auto"/>
                <w:szCs w:val="20"/>
              </w:rPr>
              <w:t>对招标文件、评标结果的询问、质疑，投标人</w:t>
            </w:r>
            <w:bookmarkStart w:id="2" w:name="_Hlk179732107"/>
            <w:r>
              <w:rPr>
                <w:rFonts w:hint="eastAsia" w:ascii="宋体" w:hAnsi="宋体"/>
                <w:color w:val="auto"/>
                <w:szCs w:val="20"/>
              </w:rPr>
              <w:t>应向招标人提出，并由招标人按相关规定作出答复。</w:t>
            </w:r>
            <w:bookmarkEnd w:id="2"/>
          </w:p>
          <w:p w14:paraId="318D34A0">
            <w:pPr>
              <w:topLinePunct/>
              <w:spacing w:line="440" w:lineRule="exact"/>
              <w:rPr>
                <w:rFonts w:hint="eastAsia" w:ascii="宋体" w:hAnsi="宋体" w:eastAsia="宋体"/>
                <w:color w:val="auto"/>
                <w:szCs w:val="21"/>
                <w:lang w:eastAsia="zh-CN"/>
              </w:rPr>
            </w:pPr>
            <w:r>
              <w:rPr>
                <w:rFonts w:hint="eastAsia" w:ascii="宋体" w:hAnsi="宋体"/>
                <w:color w:val="auto"/>
                <w:szCs w:val="20"/>
              </w:rPr>
              <w:t>联 系 人：</w:t>
            </w:r>
            <w:r>
              <w:rPr>
                <w:rFonts w:hint="eastAsia" w:ascii="宋体" w:hAnsi="宋体"/>
                <w:color w:val="auto"/>
                <w:szCs w:val="28"/>
                <w:lang w:eastAsia="zh-CN"/>
              </w:rPr>
              <w:t>于老师</w:t>
            </w:r>
          </w:p>
          <w:p w14:paraId="00435AB4">
            <w:pPr>
              <w:topLinePunct/>
              <w:spacing w:line="440" w:lineRule="exact"/>
              <w:rPr>
                <w:rFonts w:hint="eastAsia" w:ascii="宋体" w:hAnsi="宋体" w:eastAsia="宋体"/>
                <w:color w:val="auto"/>
                <w:szCs w:val="20"/>
                <w:lang w:eastAsia="zh-CN"/>
              </w:rPr>
            </w:pPr>
            <w:r>
              <w:rPr>
                <w:rFonts w:hint="eastAsia" w:ascii="宋体" w:hAnsi="宋体"/>
                <w:color w:val="auto"/>
                <w:szCs w:val="21"/>
              </w:rPr>
              <w:t>联</w:t>
            </w:r>
            <w:r>
              <w:rPr>
                <w:rFonts w:hint="eastAsia" w:ascii="宋体" w:hAnsi="宋体" w:eastAsia="宋体" w:cs="Times New Roman"/>
                <w:color w:val="auto"/>
                <w:szCs w:val="20"/>
              </w:rPr>
              <w:t>系电话：</w:t>
            </w:r>
            <w:r>
              <w:rPr>
                <w:rFonts w:hint="eastAsia" w:ascii="宋体" w:hAnsi="宋体" w:eastAsia="宋体" w:cs="Times New Roman"/>
                <w:color w:val="auto"/>
                <w:szCs w:val="20"/>
                <w:lang w:eastAsia="zh-CN"/>
              </w:rPr>
              <w:t>15682232271</w:t>
            </w:r>
          </w:p>
        </w:tc>
      </w:tr>
      <w:tr w14:paraId="21BBA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7A154866">
            <w:pPr>
              <w:topLinePunct/>
              <w:spacing w:line="440" w:lineRule="exact"/>
              <w:jc w:val="center"/>
              <w:rPr>
                <w:rFonts w:hint="default" w:ascii="宋体" w:hAnsi="宋体" w:eastAsia="宋体"/>
                <w:color w:val="auto"/>
                <w:szCs w:val="20"/>
                <w:lang w:val="en-US" w:eastAsia="zh-CN"/>
              </w:rPr>
            </w:pPr>
            <w:r>
              <w:rPr>
                <w:rFonts w:hint="eastAsia" w:ascii="宋体" w:hAnsi="宋体"/>
                <w:color w:val="auto"/>
                <w:szCs w:val="20"/>
                <w:lang w:val="en-US" w:eastAsia="zh-CN"/>
              </w:rPr>
              <w:t>39</w:t>
            </w:r>
          </w:p>
        </w:tc>
        <w:tc>
          <w:tcPr>
            <w:tcW w:w="354" w:type="pct"/>
            <w:noWrap w:val="0"/>
            <w:vAlign w:val="center"/>
          </w:tcPr>
          <w:p w14:paraId="6F3BCF95">
            <w:pPr>
              <w:topLinePunct/>
              <w:spacing w:line="440" w:lineRule="exact"/>
              <w:jc w:val="center"/>
              <w:rPr>
                <w:rFonts w:hint="eastAsia" w:ascii="宋体" w:hAnsi="宋体"/>
                <w:color w:val="auto"/>
                <w:szCs w:val="20"/>
              </w:rPr>
            </w:pPr>
            <w:r>
              <w:rPr>
                <w:rFonts w:hint="eastAsia" w:ascii="宋体" w:hAnsi="宋体"/>
                <w:color w:val="auto"/>
                <w:szCs w:val="20"/>
              </w:rPr>
              <w:t>兼投的要求</w:t>
            </w:r>
          </w:p>
        </w:tc>
        <w:tc>
          <w:tcPr>
            <w:tcW w:w="3916" w:type="pct"/>
            <w:noWrap w:val="0"/>
            <w:vAlign w:val="center"/>
          </w:tcPr>
          <w:p w14:paraId="16787F32">
            <w:pPr>
              <w:topLinePunct/>
              <w:spacing w:line="440" w:lineRule="exact"/>
              <w:ind w:firstLine="420" w:firstLineChars="200"/>
              <w:rPr>
                <w:rFonts w:hint="default" w:ascii="宋体" w:hAnsi="宋体" w:eastAsia="宋体"/>
                <w:color w:val="auto"/>
                <w:szCs w:val="21"/>
                <w:lang w:val="en-US" w:eastAsia="zh-CN"/>
              </w:rPr>
            </w:pPr>
            <w:r>
              <w:rPr>
                <w:rFonts w:hint="eastAsia" w:ascii="宋体" w:hAnsi="宋体"/>
                <w:color w:val="auto"/>
                <w:szCs w:val="21"/>
                <w:highlight w:val="none"/>
                <w:lang w:val="en-US" w:eastAsia="zh-CN"/>
              </w:rPr>
              <w:t>本项目允许</w:t>
            </w:r>
            <w:r>
              <w:rPr>
                <w:rFonts w:hint="eastAsia" w:ascii="宋体" w:hAnsi="宋体"/>
                <w:color w:val="auto"/>
                <w:szCs w:val="21"/>
                <w:highlight w:val="none"/>
              </w:rPr>
              <w:t>兼投兼中</w:t>
            </w:r>
          </w:p>
        </w:tc>
      </w:tr>
      <w:tr w14:paraId="73AF0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29" w:type="pct"/>
            <w:noWrap w:val="0"/>
            <w:vAlign w:val="center"/>
          </w:tcPr>
          <w:p w14:paraId="2E5E9827">
            <w:pPr>
              <w:topLinePunct/>
              <w:spacing w:line="440" w:lineRule="exact"/>
              <w:jc w:val="center"/>
              <w:rPr>
                <w:rFonts w:hint="default" w:ascii="宋体" w:hAnsi="宋体" w:eastAsia="宋体"/>
                <w:color w:val="auto"/>
                <w:szCs w:val="20"/>
                <w:lang w:val="en-US" w:eastAsia="zh-CN"/>
              </w:rPr>
            </w:pPr>
            <w:r>
              <w:rPr>
                <w:rFonts w:hint="eastAsia" w:ascii="宋体" w:hAnsi="宋体"/>
                <w:color w:val="auto"/>
                <w:szCs w:val="20"/>
                <w:lang w:val="en-US" w:eastAsia="zh-CN"/>
              </w:rPr>
              <w:t>40</w:t>
            </w:r>
          </w:p>
        </w:tc>
        <w:tc>
          <w:tcPr>
            <w:tcW w:w="354" w:type="pct"/>
            <w:noWrap w:val="0"/>
            <w:vAlign w:val="center"/>
          </w:tcPr>
          <w:p w14:paraId="47C11DD1">
            <w:pPr>
              <w:topLinePunct/>
              <w:spacing w:line="440" w:lineRule="exact"/>
              <w:jc w:val="center"/>
              <w:rPr>
                <w:rFonts w:hint="eastAsia" w:ascii="宋体" w:hAnsi="宋体"/>
                <w:color w:val="auto"/>
                <w:szCs w:val="20"/>
              </w:rPr>
            </w:pPr>
            <w:r>
              <w:rPr>
                <w:color w:val="auto"/>
              </w:rPr>
              <w:t>核心产品</w:t>
            </w:r>
          </w:p>
        </w:tc>
        <w:tc>
          <w:tcPr>
            <w:tcW w:w="3916" w:type="pct"/>
            <w:noWrap w:val="0"/>
            <w:vAlign w:val="center"/>
          </w:tcPr>
          <w:p w14:paraId="40260AFC">
            <w:pPr>
              <w:topLinePunct/>
              <w:spacing w:line="440" w:lineRule="exact"/>
              <w:ind w:firstLine="420" w:firstLineChars="200"/>
              <w:rPr>
                <w:rFonts w:hint="default" w:ascii="宋体" w:hAnsi="宋体" w:eastAsia="宋体"/>
                <w:color w:val="auto"/>
                <w:szCs w:val="21"/>
                <w:lang w:val="en-US" w:eastAsia="zh-CN"/>
              </w:rPr>
            </w:pPr>
            <w:r>
              <w:rPr>
                <w:rFonts w:hint="eastAsia" w:ascii="宋体" w:hAnsi="宋体"/>
                <w:color w:val="auto"/>
                <w:szCs w:val="21"/>
                <w:lang w:val="en-US" w:eastAsia="zh-CN"/>
              </w:rPr>
              <w:t>包1：大米；包2：猪肉；包3：食盐</w:t>
            </w:r>
          </w:p>
        </w:tc>
      </w:tr>
    </w:tbl>
    <w:p w14:paraId="7995ADD1">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MS Mincho">
    <w:panose1 w:val="02020609040205080304"/>
    <w:charset w:val="80"/>
    <w:family w:val="roma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B4FF7"/>
    <w:rsid w:val="7A9B4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2025-08-04T09:02:00Z</dcterms:created>
  <dc:creator>三江新区交易中心</dc:creator>
  <cp:lastModifiedBy>三江新区交易中心</cp:lastModifiedBy>
  <dcterms:modified xsi:type="dcterms:W3CDTF">2025-08-04T09:03:50Z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3BA33F86B79D436182D5C1D8F3094471_11</vt:lpwstr>
  </property>
  <property fmtid="{D5CDD505-2E9C-101B-9397-08002B2CF9AE}" pid="4" name="KSOTemplateDocerSaveRecord">
    <vt:lpwstr>eyJoZGlkIjoiZTFhMjVlNjYzNThlZjVmNzcxNDRlZjBlZDA3ZDMwMmMiLCJ1c2VySWQiOiIzNzQ1NTYxOTkifQ==</vt:lpwstr>
  </property>
</Properties>
</file>