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15"/>
        <w:gridCol w:w="2026"/>
        <w:gridCol w:w="2787"/>
        <w:gridCol w:w="733"/>
        <w:gridCol w:w="446"/>
        <w:gridCol w:w="1083"/>
        <w:gridCol w:w="6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0" w:hRule="atLeast"/>
        </w:trPr>
        <w:tc>
          <w:tcPr>
            <w:tcW w:w="12164" w:type="dxa"/>
            <w:gridSpan w:val="7"/>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40"/>
                <w:szCs w:val="40"/>
                <w:u w:val="none"/>
              </w:rPr>
            </w:pPr>
            <w:bookmarkStart w:id="0" w:name="_GoBack"/>
            <w:r>
              <w:rPr>
                <w:rFonts w:hint="eastAsia" w:ascii="黑体" w:hAnsi="宋体" w:eastAsia="黑体" w:cs="黑体"/>
                <w:b/>
                <w:i w:val="0"/>
                <w:color w:val="000000"/>
                <w:kern w:val="0"/>
                <w:sz w:val="40"/>
                <w:szCs w:val="40"/>
                <w:u w:val="none"/>
                <w:bdr w:val="none" w:color="auto" w:sz="0" w:space="0"/>
                <w:lang w:val="en-US" w:eastAsia="zh-CN" w:bidi="ar"/>
              </w:rPr>
              <w:t>长庆油田分公司第一采油厂2024年延安区域井场及道路使用林地林木采伐作业设计编制服务项目-3</w:t>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0" w:hRule="atLeast"/>
        </w:trPr>
        <w:tc>
          <w:tcPr>
            <w:tcW w:w="0" w:type="auto"/>
            <w:gridSpan w:val="7"/>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32"/>
                <w:szCs w:val="32"/>
                <w:u w:val="none"/>
              </w:rPr>
            </w:pPr>
            <w:r>
              <w:rPr>
                <w:rFonts w:hint="eastAsia" w:ascii="黑体" w:hAnsi="宋体" w:eastAsia="黑体" w:cs="黑体"/>
                <w:b/>
                <w:i w:val="0"/>
                <w:color w:val="000000"/>
                <w:kern w:val="0"/>
                <w:sz w:val="32"/>
                <w:szCs w:val="32"/>
                <w:u w:val="none"/>
                <w:bdr w:val="none" w:color="auto" w:sz="0" w:space="0"/>
                <w:lang w:val="en-US" w:eastAsia="zh-CN" w:bidi="ar"/>
              </w:rPr>
              <w:t>非招标采购结果公告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0" w:hRule="atLeast"/>
        </w:trPr>
        <w:tc>
          <w:tcPr>
            <w:tcW w:w="0" w:type="auto"/>
            <w:gridSpan w:val="2"/>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bdr w:val="none" w:color="auto" w:sz="0" w:space="0"/>
                <w:lang w:val="en-US" w:eastAsia="zh-CN" w:bidi="ar"/>
              </w:rPr>
              <w:t>项目编号：</w:t>
            </w:r>
          </w:p>
        </w:tc>
        <w:tc>
          <w:tcPr>
            <w:tcW w:w="6839" w:type="dxa"/>
            <w:gridSpan w:val="4"/>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bdr w:val="none" w:color="auto" w:sz="0" w:space="0"/>
                <w:lang w:val="en-US" w:eastAsia="zh-CN" w:bidi="ar"/>
              </w:rPr>
              <w:t>CY1C-JZTP-2024-0090-3</w:t>
            </w:r>
          </w:p>
        </w:tc>
        <w:tc>
          <w:tcPr>
            <w:tcW w:w="0" w:type="auto"/>
            <w:tcBorders>
              <w:top w:val="nil"/>
              <w:left w:val="nil"/>
              <w:bottom w:val="nil"/>
              <w:right w:val="nil"/>
            </w:tcBorders>
            <w:shd w:val="clear"/>
            <w:noWrap/>
            <w:tcMar>
              <w:top w:w="15" w:type="dxa"/>
              <w:left w:w="15" w:type="dxa"/>
              <w:right w:w="15" w:type="dxa"/>
            </w:tcMar>
            <w:vAlign w:val="bottom"/>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80" w:hRule="atLeast"/>
        </w:trPr>
        <w:tc>
          <w:tcPr>
            <w:tcW w:w="0" w:type="auto"/>
            <w:gridSpan w:val="7"/>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bdr w:val="none" w:color="auto" w:sz="0" w:space="0"/>
                <w:lang w:val="en-US" w:eastAsia="zh-CN" w:bidi="ar"/>
              </w:rPr>
              <w:t>一、基本情况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60" w:hRule="atLeast"/>
        </w:trPr>
        <w:tc>
          <w:tcPr>
            <w:tcW w:w="12164" w:type="dxa"/>
            <w:gridSpan w:val="7"/>
            <w:vMerge w:val="restart"/>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xml:space="preserve">    本项目非招标采购内容包括：长庆油田分公司第一采油厂2024年延安区域井场及道路使用林地林木采伐作业设计编制服务项目-3，资金已落实。该项目已按要求履行了相关报批及备案等手续，并依据国家相关法律法规及集团公司相关规定组织开展非招标采购工作。本项目采用谈判采购方式，在陕西省西安市经济技术开发区凤城二路37号蓝海风中心22楼进行非招标采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2164" w:type="dxa"/>
            <w:gridSpan w:val="7"/>
            <w:vMerge w:val="continue"/>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0" w:type="auto"/>
            <w:gridSpan w:val="7"/>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bdr w:val="none" w:color="auto" w:sz="0" w:space="0"/>
                <w:lang w:val="en-US" w:eastAsia="zh-CN" w:bidi="ar"/>
              </w:rPr>
              <w:t>二、采购小组组成：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12164" w:type="dxa"/>
            <w:gridSpan w:val="7"/>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本项目采购小组共 3 人，由采购人代表 1 人，技术、商务专家 2 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60" w:hRule="atLeast"/>
        </w:trPr>
        <w:tc>
          <w:tcPr>
            <w:tcW w:w="0" w:type="auto"/>
            <w:gridSpan w:val="7"/>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bdr w:val="none" w:color="auto" w:sz="0" w:space="0"/>
                <w:lang w:val="en-US" w:eastAsia="zh-CN" w:bidi="ar"/>
              </w:rPr>
              <w:t>三、响应及响应文件递交情况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12164" w:type="dxa"/>
            <w:gridSpan w:val="7"/>
            <w:vMerge w:val="restart"/>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本次购买采购文件的共2个“三商”，实际递交响应文件的共2个“三商”，0个“三商”未在响应文件递交截止时间前递交响应文件。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20" w:hRule="atLeast"/>
        </w:trPr>
        <w:tc>
          <w:tcPr>
            <w:tcW w:w="12164" w:type="dxa"/>
            <w:gridSpan w:val="7"/>
            <w:vMerge w:val="continue"/>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0" w:type="auto"/>
            <w:gridSpan w:val="7"/>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bdr w:val="none" w:color="auto" w:sz="0" w:space="0"/>
                <w:lang w:val="en-US" w:eastAsia="zh-CN" w:bidi="ar"/>
              </w:rPr>
              <w:t>四、评审情况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70" w:hRule="atLeast"/>
        </w:trPr>
        <w:tc>
          <w:tcPr>
            <w:tcW w:w="12164" w:type="dxa"/>
            <w:gridSpan w:val="7"/>
            <w:vMerge w:val="restart"/>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　　本项目采用综合评价法。具体评审方法、标准及程序详见采购文件。初步评审阶段按照本项目采购文件规定，对 2 个“三商”递交的响应文件进行了初步评审，通过的 2 个响应人，未通过的 0 个响应人。“三商”按采购文件及谈判要求，重新提交了报价（或方案），采购小组对“三商”的响应文件、最终报价（或最终方案）进行详细评审。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12164" w:type="dxa"/>
            <w:gridSpan w:val="7"/>
            <w:vMerge w:val="continue"/>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12164" w:type="dxa"/>
            <w:gridSpan w:val="7"/>
            <w:vMerge w:val="continue"/>
            <w:tcBorders>
              <w:top w:val="nil"/>
              <w:left w:val="nil"/>
              <w:bottom w:val="nil"/>
              <w:right w:val="nil"/>
            </w:tcBorders>
            <w:shd w:val="clear"/>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0" w:hRule="atLeast"/>
        </w:trPr>
        <w:tc>
          <w:tcPr>
            <w:tcW w:w="0" w:type="auto"/>
            <w:gridSpan w:val="7"/>
            <w:tcBorders>
              <w:top w:val="nil"/>
              <w:left w:val="nil"/>
              <w:bottom w:val="nil"/>
              <w:right w:val="nil"/>
            </w:tcBorders>
            <w:shd w:val="clear"/>
            <w:noWrap/>
            <w:tcMar>
              <w:top w:w="15" w:type="dxa"/>
              <w:left w:w="15" w:type="dxa"/>
              <w:right w:w="15" w:type="dxa"/>
            </w:tcMar>
            <w:vAlign w:val="center"/>
          </w:tcPr>
          <w:p>
            <w:pPr>
              <w:keepNext w:val="0"/>
              <w:keepLines w:val="0"/>
              <w:widowControl/>
              <w:suppressLineNumbers w:val="0"/>
              <w:jc w:val="left"/>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bdr w:val="none" w:color="auto" w:sz="0" w:space="0"/>
                <w:lang w:val="en-US" w:eastAsia="zh-CN" w:bidi="ar"/>
              </w:rPr>
              <w:t>五、采购小组依据采购文件对响应文件进行评审，推荐成交候选人排名如下：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0" w:hRule="atLeast"/>
        </w:trPr>
        <w:tc>
          <w:tcPr>
            <w:tcW w:w="6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bdr w:val="none" w:color="auto" w:sz="0" w:space="0"/>
                <w:lang w:val="en-US" w:eastAsia="zh-CN" w:bidi="ar"/>
              </w:rPr>
              <w:t>排名</w:t>
            </w:r>
          </w:p>
        </w:tc>
        <w:tc>
          <w:tcPr>
            <w:tcW w:w="35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bdr w:val="none" w:color="auto" w:sz="0" w:space="0"/>
                <w:lang w:val="en-US" w:eastAsia="zh-CN" w:bidi="ar"/>
              </w:rPr>
              <w:t>“三商”名称</w:t>
            </w:r>
          </w:p>
        </w:tc>
        <w:tc>
          <w:tcPr>
            <w:tcW w:w="3479"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bdr w:val="none" w:color="auto" w:sz="0" w:space="0"/>
                <w:lang w:val="en-US" w:eastAsia="zh-CN" w:bidi="ar"/>
              </w:rPr>
              <w:t>响应报价(下浮率）</w:t>
            </w:r>
          </w:p>
        </w:tc>
        <w:tc>
          <w:tcPr>
            <w:tcW w:w="216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bdr w:val="none" w:color="auto" w:sz="0" w:space="0"/>
                <w:lang w:val="en-US" w:eastAsia="zh-CN" w:bidi="ar"/>
              </w:rPr>
              <w:t>综合得分</w:t>
            </w:r>
          </w:p>
        </w:tc>
        <w:tc>
          <w:tcPr>
            <w:tcW w:w="120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bdr w:val="none" w:color="auto" w:sz="0" w:space="0"/>
                <w:lang w:val="en-US" w:eastAsia="zh-CN" w:bidi="ar"/>
              </w:rPr>
              <w:t>工期（服务期限/交货期）</w:t>
            </w:r>
          </w:p>
        </w:tc>
        <w:tc>
          <w:tcPr>
            <w:tcW w:w="11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00" w:hRule="atLeast"/>
        </w:trPr>
        <w:tc>
          <w:tcPr>
            <w:tcW w:w="6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bdr w:val="none" w:color="auto" w:sz="0" w:space="0"/>
                <w:lang w:val="en-US" w:eastAsia="zh-CN" w:bidi="ar"/>
              </w:rPr>
              <w:t>1</w:t>
            </w:r>
          </w:p>
        </w:tc>
        <w:tc>
          <w:tcPr>
            <w:tcW w:w="35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陕西中寰生态规划设计研究院有限公司</w:t>
            </w:r>
          </w:p>
        </w:tc>
        <w:tc>
          <w:tcPr>
            <w:tcW w:w="3479"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bdr w:val="none" w:color="auto" w:sz="0" w:space="0"/>
                <w:lang w:val="en-US" w:eastAsia="zh-CN" w:bidi="ar"/>
              </w:rPr>
              <w:t>2.00%</w:t>
            </w:r>
          </w:p>
        </w:tc>
        <w:tc>
          <w:tcPr>
            <w:tcW w:w="216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bdr w:val="none" w:color="auto" w:sz="0" w:space="0"/>
                <w:lang w:val="en-US" w:eastAsia="zh-CN" w:bidi="ar"/>
              </w:rPr>
              <w:t xml:space="preserve">89.75 </w:t>
            </w:r>
          </w:p>
        </w:tc>
        <w:tc>
          <w:tcPr>
            <w:tcW w:w="1200"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bdr w:val="none" w:color="auto" w:sz="0" w:space="0"/>
                <w:lang w:val="en-US" w:eastAsia="zh-CN" w:bidi="ar"/>
              </w:rPr>
              <w:t>自合同签订之日起至2024年12月31日</w:t>
            </w:r>
          </w:p>
        </w:tc>
        <w:tc>
          <w:tcPr>
            <w:tcW w:w="11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不含税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700" w:hRule="atLeast"/>
        </w:trPr>
        <w:tc>
          <w:tcPr>
            <w:tcW w:w="6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bdr w:val="none" w:color="auto" w:sz="0" w:space="0"/>
                <w:lang w:val="en-US" w:eastAsia="zh-CN" w:bidi="ar"/>
              </w:rPr>
              <w:t>2</w:t>
            </w:r>
          </w:p>
        </w:tc>
        <w:tc>
          <w:tcPr>
            <w:tcW w:w="35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西安宝歌达工程咨询有限公司</w:t>
            </w:r>
          </w:p>
        </w:tc>
        <w:tc>
          <w:tcPr>
            <w:tcW w:w="3479"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bdr w:val="none" w:color="auto" w:sz="0" w:space="0"/>
                <w:lang w:val="en-US" w:eastAsia="zh-CN" w:bidi="ar"/>
              </w:rPr>
              <w:t>1.00%</w:t>
            </w:r>
          </w:p>
        </w:tc>
        <w:tc>
          <w:tcPr>
            <w:tcW w:w="216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bdr w:val="none" w:color="auto" w:sz="0" w:space="0"/>
                <w:lang w:val="en-US" w:eastAsia="zh-CN" w:bidi="ar"/>
              </w:rPr>
              <w:t xml:space="preserve">78.49 </w:t>
            </w:r>
          </w:p>
        </w:tc>
        <w:tc>
          <w:tcPr>
            <w:tcW w:w="1200"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bdr w:val="none" w:color="auto" w:sz="0" w:space="0"/>
                <w:lang w:val="en-US" w:eastAsia="zh-CN" w:bidi="ar"/>
              </w:rPr>
              <w:t>自合同签订之日起至2024年12月31日</w:t>
            </w:r>
          </w:p>
        </w:tc>
        <w:tc>
          <w:tcPr>
            <w:tcW w:w="11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不含税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155" w:type="dxa"/>
            <w:gridSpan w:val="2"/>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公示时间：</w:t>
            </w:r>
          </w:p>
        </w:tc>
        <w:tc>
          <w:tcPr>
            <w:tcW w:w="3479" w:type="dxa"/>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2024/5/17</w:t>
            </w:r>
          </w:p>
        </w:tc>
        <w:tc>
          <w:tcPr>
            <w:tcW w:w="990" w:type="dxa"/>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至</w:t>
            </w:r>
          </w:p>
        </w:tc>
        <w:tc>
          <w:tcPr>
            <w:tcW w:w="3540" w:type="dxa"/>
            <w:gridSpan w:val="3"/>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2024/5/20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12164" w:type="dxa"/>
            <w:gridSpan w:val="7"/>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异议受理部门：大庆油田招标中心有限责任公司西安分公司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80" w:hRule="atLeast"/>
        </w:trPr>
        <w:tc>
          <w:tcPr>
            <w:tcW w:w="12164" w:type="dxa"/>
            <w:gridSpan w:val="7"/>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异议受理电话：029-68320531</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0646D0"/>
    <w:rsid w:val="6F0646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2024-05-17T10:49:00Z</dcterms:created>
  <dc:creator>Administrator</dc:creator>
  <cp:lastModifiedBy>Administrator</cp:lastModifiedBy>
  <dcterms:modified xsi:type="dcterms:W3CDTF">2024-05-17T10:50:40Z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