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numPr>
          <w:ilvl w:val="0"/>
          <w:numId w:val="1"/>
        </w:numPr>
        <w:jc w:val="center"/>
        <w:outlineLvl w:val="0"/>
        <w:rPr>
          <w:rFonts w:ascii="Helvetica" w:hAnsi="Helvetica" w:eastAsia="宋体" w:cs="Helvetica"/>
          <w:b/>
          <w:bCs/>
          <w:color w:val="222222"/>
          <w:kern w:val="0"/>
          <w:sz w:val="27"/>
          <w:szCs w:val="27"/>
        </w:rPr>
      </w:pPr>
      <w:r>
        <w:rPr>
          <w:rFonts w:hint="eastAsia" w:ascii="Helvetica" w:hAnsi="Helvetica" w:eastAsia="宋体" w:cs="Helvetica"/>
          <w:b/>
          <w:bCs/>
          <w:color w:val="222222"/>
          <w:kern w:val="0"/>
          <w:sz w:val="27"/>
          <w:szCs w:val="27"/>
        </w:rPr>
        <w:t>用户</w:t>
      </w:r>
      <w:r>
        <w:rPr>
          <w:rFonts w:ascii="Helvetica" w:hAnsi="Helvetica" w:eastAsia="宋体" w:cs="Helvetica"/>
          <w:b/>
          <w:bCs/>
          <w:color w:val="222222"/>
          <w:kern w:val="0"/>
          <w:sz w:val="27"/>
          <w:szCs w:val="27"/>
        </w:rPr>
        <w:t>需求书</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投标人须对所投项目采购标的进行整体投标，任何只对项目采购标的其中一部分内容、数量进行的投标都被视为无效投标。</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采购需求中标注“▲”号条款为重要技术条款，但不作为无效投标条款。</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采购需求中标注“★”号条款为实质性条款，必须一一响应。若投标文件未完全满足实质性条款，将被视为投标无效。</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宋体"/>
          <w:sz w:val="21"/>
          <w:szCs w:val="21"/>
        </w:rPr>
      </w:pPr>
      <w:r>
        <w:rPr>
          <w:rFonts w:hint="eastAsia" w:ascii="宋体" w:hAnsi="宋体" w:eastAsia="宋体" w:cs="宋体"/>
          <w:sz w:val="21"/>
          <w:szCs w:val="21"/>
          <w:lang w:val="en-US" w:eastAsia="zh-CN"/>
        </w:rPr>
        <w:t>4.投标报价</w:t>
      </w:r>
      <w:r>
        <w:rPr>
          <w:rFonts w:hint="eastAsia" w:ascii="宋体" w:hAnsi="宋体" w:eastAsia="宋体" w:cs="宋体"/>
          <w:sz w:val="21"/>
          <w:szCs w:val="21"/>
        </w:rPr>
        <w:t>不得高于采购预算，且总报价不能高于最高投标限价。</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投标报价：供应商完成项目过程中的发生的全部费用，包含但不限于：直接费用、间接费用、其它费用、各项税金及利润，以及应由中标单位承担的义务、责任和风险所发生的一切费用。中标后不得再向采购人收取任何其他费用。</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投标人没有在投标文件中注明偏离（文字说明或在响应表注明）的参数、配置、条款视为被投标人完全接受。</w:t>
      </w:r>
    </w:p>
    <w:p>
      <w:pPr>
        <w:pStyle w:val="3"/>
        <w:spacing w:before="0" w:after="0" w:line="360" w:lineRule="auto"/>
        <w:rPr>
          <w:rFonts w:ascii="Calibri" w:hAnsi="Calibri"/>
          <w:sz w:val="21"/>
          <w:szCs w:val="24"/>
        </w:rPr>
      </w:pPr>
      <w:r>
        <w:rPr>
          <w:rFonts w:hint="eastAsia" w:ascii="Calibri" w:hAnsi="Calibri"/>
          <w:sz w:val="21"/>
          <w:szCs w:val="24"/>
        </w:rPr>
        <w:t>一、项目概况：</w:t>
      </w:r>
    </w:p>
    <w:p>
      <w:pPr>
        <w:pStyle w:val="4"/>
        <w:spacing w:after="0" w:line="360" w:lineRule="auto"/>
        <w:ind w:firstLine="420" w:firstLineChars="200"/>
      </w:pPr>
      <w:r>
        <w:rPr>
          <w:rFonts w:hint="eastAsia"/>
        </w:rPr>
        <w:t>★供应商拟采购的产品属于《节能产品政府采购品目清单》范围中政府强制采购产品类别的，响应供应商须在响应文件中提供：1.该产品属于《节能产品政府采购品目清单》范围中政府强制采购产品类别的相关内容页，并对相关内容作圈记；2.市场监管总局公布的参与实施政府采购节能产品认证机构名录截图；3.该产品获得的由国家确定的认证机构出具的、处于有效期之内的节能产品认证证书(注：1.《节能产品政府采购品目清单》响应供应商可查询中国政府采购网，网址http://www.ccgp.gov.cn;2.根据《节能产品政府采购品目清单》 注2要求，上述产品中认证标准发生变更的，依据原认证标准获得的、仍在有效期内的认证证书）。</w:t>
      </w:r>
    </w:p>
    <w:p>
      <w:pPr>
        <w:pStyle w:val="4"/>
        <w:spacing w:after="0" w:line="360" w:lineRule="auto"/>
        <w:ind w:firstLine="420" w:firstLineChars="200"/>
      </w:pPr>
      <w:r>
        <w:rPr>
          <w:rFonts w:hint="eastAsia"/>
        </w:rPr>
        <w:t>本项目采购的1个采购包的货物对应的中小微企业划分标准所属行业为：其他未列明行业。</w:t>
      </w:r>
    </w:p>
    <w:p>
      <w:pPr>
        <w:widowControl/>
        <w:textAlignment w:val="center"/>
        <w:rPr>
          <w:rFonts w:ascii="Calibri" w:hAnsi="Calibri" w:eastAsia="宋体" w:cs="Times New Roman"/>
          <w:b/>
          <w:bCs/>
          <w:szCs w:val="24"/>
        </w:rPr>
      </w:pPr>
      <w:r>
        <w:rPr>
          <w:rFonts w:hint="eastAsia" w:ascii="Calibri" w:hAnsi="Calibri" w:eastAsia="宋体" w:cs="Times New Roman"/>
          <w:b/>
          <w:bCs/>
          <w:szCs w:val="24"/>
        </w:rPr>
        <w:t>二、需求清单</w:t>
      </w:r>
    </w:p>
    <w:p>
      <w:pPr>
        <w:pStyle w:val="4"/>
        <w:spacing w:after="0" w:line="360" w:lineRule="auto"/>
        <w:rPr>
          <w:b/>
          <w:bCs/>
        </w:rPr>
      </w:pPr>
      <w:r>
        <w:rPr>
          <w:rFonts w:hint="eastAsia"/>
          <w:b/>
          <w:bCs/>
        </w:rPr>
        <w:t>采购包1：广州市技师学院重点专业——工业机器人应用与维护项目需求</w:t>
      </w:r>
    </w:p>
    <w:p>
      <w:pPr>
        <w:pStyle w:val="4"/>
        <w:spacing w:after="0" w:line="360" w:lineRule="auto"/>
        <w:rPr>
          <w:b/>
          <w:bCs/>
        </w:rPr>
      </w:pPr>
      <w:r>
        <w:rPr>
          <w:rFonts w:hint="eastAsia"/>
          <w:b/>
          <w:bCs/>
        </w:rPr>
        <w:t>具体要求：</w:t>
      </w:r>
    </w:p>
    <w:tbl>
      <w:tblPr>
        <w:tblStyle w:val="7"/>
        <w:tblW w:w="885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702"/>
        <w:gridCol w:w="1842"/>
        <w:gridCol w:w="3402"/>
        <w:gridCol w:w="1276"/>
        <w:gridCol w:w="163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90" w:hRule="atLeast"/>
          <w:tblHeader/>
          <w:jc w:val="center"/>
        </w:trPr>
        <w:tc>
          <w:tcPr>
            <w:tcW w:w="702" w:type="dxa"/>
            <w:shd w:val="clear" w:color="auto" w:fill="E0E0E0"/>
            <w:vAlign w:val="center"/>
          </w:tcPr>
          <w:p>
            <w:pPr>
              <w:spacing w:line="360" w:lineRule="exact"/>
              <w:jc w:val="center"/>
              <w:rPr>
                <w:rFonts w:ascii="宋体" w:hAnsi="宋体" w:eastAsia="宋体" w:cs="宋体"/>
                <w:b/>
                <w:szCs w:val="21"/>
              </w:rPr>
            </w:pPr>
            <w:r>
              <w:rPr>
                <w:rFonts w:hint="eastAsia" w:ascii="宋体" w:hAnsi="宋体" w:eastAsia="宋体" w:cs="宋体"/>
                <w:b/>
                <w:szCs w:val="21"/>
              </w:rPr>
              <w:t>序号</w:t>
            </w:r>
          </w:p>
        </w:tc>
        <w:tc>
          <w:tcPr>
            <w:tcW w:w="1842" w:type="dxa"/>
            <w:shd w:val="clear" w:color="auto" w:fill="E0E0E0"/>
            <w:vAlign w:val="center"/>
          </w:tcPr>
          <w:p>
            <w:pPr>
              <w:spacing w:line="360" w:lineRule="exact"/>
              <w:jc w:val="center"/>
              <w:rPr>
                <w:rFonts w:ascii="宋体" w:hAnsi="宋体" w:eastAsia="宋体" w:cs="宋体"/>
                <w:b/>
                <w:szCs w:val="21"/>
              </w:rPr>
            </w:pPr>
            <w:r>
              <w:rPr>
                <w:rFonts w:hint="eastAsia" w:ascii="宋体" w:hAnsi="宋体" w:eastAsia="宋体" w:cs="宋体"/>
                <w:b/>
                <w:szCs w:val="21"/>
              </w:rPr>
              <w:t>设备名称</w:t>
            </w:r>
          </w:p>
        </w:tc>
        <w:tc>
          <w:tcPr>
            <w:tcW w:w="3402" w:type="dxa"/>
            <w:shd w:val="clear" w:color="auto" w:fill="E0E0E0"/>
            <w:vAlign w:val="center"/>
          </w:tcPr>
          <w:p>
            <w:pPr>
              <w:spacing w:line="360" w:lineRule="exact"/>
              <w:jc w:val="center"/>
              <w:rPr>
                <w:rFonts w:ascii="宋体" w:hAnsi="宋体" w:eastAsia="宋体" w:cs="宋体"/>
                <w:b/>
                <w:szCs w:val="21"/>
              </w:rPr>
            </w:pPr>
            <w:r>
              <w:rPr>
                <w:rFonts w:hint="eastAsia" w:ascii="宋体" w:hAnsi="宋体" w:eastAsia="宋体" w:cs="宋体"/>
                <w:b/>
                <w:szCs w:val="21"/>
              </w:rPr>
              <w:t>主要功能</w:t>
            </w:r>
          </w:p>
        </w:tc>
        <w:tc>
          <w:tcPr>
            <w:tcW w:w="1276" w:type="dxa"/>
            <w:shd w:val="clear" w:color="auto" w:fill="E0E0E0"/>
            <w:vAlign w:val="center"/>
          </w:tcPr>
          <w:p>
            <w:pPr>
              <w:spacing w:line="360" w:lineRule="exact"/>
              <w:jc w:val="center"/>
              <w:rPr>
                <w:rFonts w:ascii="宋体" w:hAnsi="宋体" w:eastAsia="宋体" w:cs="宋体"/>
                <w:b/>
                <w:szCs w:val="21"/>
              </w:rPr>
            </w:pPr>
            <w:r>
              <w:rPr>
                <w:rFonts w:hint="eastAsia" w:ascii="宋体" w:hAnsi="宋体" w:eastAsia="宋体" w:cs="宋体"/>
                <w:b/>
                <w:szCs w:val="21"/>
              </w:rPr>
              <w:t>单位</w:t>
            </w:r>
          </w:p>
        </w:tc>
        <w:tc>
          <w:tcPr>
            <w:tcW w:w="1635" w:type="dxa"/>
            <w:shd w:val="clear" w:color="auto" w:fill="E0E0E0"/>
            <w:vAlign w:val="center"/>
          </w:tcPr>
          <w:p>
            <w:pPr>
              <w:spacing w:line="360" w:lineRule="exact"/>
              <w:jc w:val="center"/>
              <w:rPr>
                <w:rFonts w:ascii="宋体" w:hAnsi="宋体" w:eastAsia="宋体" w:cs="宋体"/>
                <w:b/>
                <w:szCs w:val="21"/>
              </w:rPr>
            </w:pPr>
            <w:r>
              <w:rPr>
                <w:rFonts w:hint="eastAsia" w:ascii="宋体" w:hAnsi="宋体" w:eastAsia="宋体" w:cs="宋体"/>
                <w:b/>
                <w:szCs w:val="21"/>
              </w:rPr>
              <w:t>数量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823" w:hRule="atLeast"/>
          <w:jc w:val="center"/>
        </w:trPr>
        <w:tc>
          <w:tcPr>
            <w:tcW w:w="702" w:type="dxa"/>
            <w:vAlign w:val="center"/>
          </w:tcPr>
          <w:p>
            <w:pPr>
              <w:spacing w:line="360" w:lineRule="exact"/>
              <w:ind w:firstLine="199" w:firstLineChars="95"/>
              <w:jc w:val="center"/>
              <w:rPr>
                <w:rFonts w:ascii="宋体" w:hAnsi="宋体" w:eastAsia="宋体" w:cs="宋体"/>
                <w:szCs w:val="21"/>
              </w:rPr>
            </w:pPr>
            <w:r>
              <w:rPr>
                <w:rFonts w:hint="eastAsia" w:ascii="宋体" w:hAnsi="宋体" w:eastAsia="宋体" w:cs="宋体"/>
                <w:szCs w:val="21"/>
              </w:rPr>
              <w:t>1</w:t>
            </w:r>
          </w:p>
        </w:tc>
        <w:tc>
          <w:tcPr>
            <w:tcW w:w="1842" w:type="dxa"/>
            <w:vAlign w:val="center"/>
          </w:tcPr>
          <w:p>
            <w:pPr>
              <w:spacing w:line="360" w:lineRule="exact"/>
              <w:jc w:val="center"/>
              <w:rPr>
                <w:rFonts w:ascii="宋体" w:hAnsi="宋体" w:eastAsia="宋体" w:cs="宋体"/>
                <w:szCs w:val="21"/>
              </w:rPr>
            </w:pPr>
            <w:r>
              <w:rPr>
                <w:rFonts w:hint="eastAsia" w:ascii="宋体" w:hAnsi="宋体" w:eastAsia="宋体" w:cs="宋体"/>
                <w:strike w:val="0"/>
                <w:szCs w:val="21"/>
              </w:rPr>
              <w:t>工业机器人应用与维护综合实训台</w:t>
            </w:r>
          </w:p>
        </w:tc>
        <w:tc>
          <w:tcPr>
            <w:tcW w:w="3402" w:type="dxa"/>
            <w:vAlign w:val="center"/>
          </w:tcPr>
          <w:p>
            <w:pPr>
              <w:spacing w:line="360" w:lineRule="exact"/>
              <w:ind w:firstLine="420" w:firstLineChars="200"/>
              <w:rPr>
                <w:rFonts w:ascii="宋体" w:hAnsi="宋体" w:eastAsia="宋体" w:cs="宋体"/>
                <w:szCs w:val="21"/>
              </w:rPr>
            </w:pPr>
            <w:r>
              <w:rPr>
                <w:rFonts w:hint="eastAsia" w:ascii="宋体" w:hAnsi="宋体" w:eastAsia="宋体" w:cs="宋体"/>
                <w:szCs w:val="21"/>
              </w:rPr>
              <w:t>工业机器人典型应用领域多功能实训平台依据工业机器人在当前实际工业生产中的码垛、分拣、涂胶、视觉等各种常见应用进行设计，结合系统运维员及操作员操作技能认定标准，也包含新一代机器人应用技术，主要体现为：在工业相机的辅助下，机器人能在“视觉”上对工件物料进行形状与尺寸精度的测量及对颜色的分辨等；压力传感器的使用，使机器人能在“触觉”上判断工件物料的质量是否达标；各类接近式传感器的使用，使得设备能够清晰地获取到任务的运行情况；以上功能的使用使得机器人拥有较强的决策及交互能力。为保障周遭人与物的安全，设备台架上加装了安全光栅，在设备自动任务运行流程中，安全光栅能检测到经过的人或物，并在极短时间内使设备停止运行。</w:t>
            </w:r>
          </w:p>
          <w:p>
            <w:pPr>
              <w:spacing w:line="360" w:lineRule="exact"/>
              <w:rPr>
                <w:rFonts w:ascii="宋体" w:hAnsi="宋体" w:eastAsia="宋体" w:cs="宋体"/>
                <w:szCs w:val="21"/>
              </w:rPr>
            </w:pPr>
            <w:r>
              <w:rPr>
                <w:rFonts w:hint="eastAsia" w:ascii="宋体" w:hAnsi="宋体" w:eastAsia="宋体" w:cs="宋体"/>
                <w:szCs w:val="21"/>
              </w:rPr>
              <w:t>1.本项目包含工业机器人典型应用领域多功能实训平台两套，每套包含以下项目：</w:t>
            </w:r>
          </w:p>
          <w:p>
            <w:pPr>
              <w:spacing w:line="360" w:lineRule="exact"/>
              <w:rPr>
                <w:rFonts w:ascii="宋体" w:hAnsi="宋体" w:eastAsia="宋体" w:cs="宋体"/>
                <w:szCs w:val="21"/>
              </w:rPr>
            </w:pPr>
            <w:r>
              <w:rPr>
                <w:rFonts w:hint="eastAsia" w:ascii="宋体" w:hAnsi="宋体" w:eastAsia="宋体" w:cs="宋体"/>
                <w:szCs w:val="21"/>
              </w:rPr>
              <w:t>①一台六自由度工业机器人，</w:t>
            </w:r>
          </w:p>
          <w:p>
            <w:pPr>
              <w:spacing w:line="360" w:lineRule="exact"/>
              <w:rPr>
                <w:rFonts w:ascii="宋体" w:hAnsi="宋体" w:eastAsia="宋体" w:cs="宋体"/>
                <w:szCs w:val="21"/>
              </w:rPr>
            </w:pPr>
            <w:r>
              <w:rPr>
                <w:rFonts w:hint="eastAsia" w:ascii="宋体" w:hAnsi="宋体" w:eastAsia="宋体" w:cs="宋体"/>
                <w:szCs w:val="21"/>
              </w:rPr>
              <w:t>②机器人典型应用多功能实训模块一套，包括：汽车玻璃安装和模拟模块；模拟焊接模块；PLC 控制系统模块；供料及输送皮带传输模块；视觉检测模块、轨迹规划模块、搬运码垛模块、称重模块、颜色识别模块、智能电表模块、打磨模块和快换工具。可以实现触摸屏控制，以及对工件进行检测、搬运、加工、码垛存储等操作。</w:t>
            </w:r>
          </w:p>
          <w:p>
            <w:pPr>
              <w:spacing w:line="360" w:lineRule="exact"/>
              <w:rPr>
                <w:rFonts w:ascii="宋体" w:hAnsi="宋体" w:eastAsia="宋体" w:cs="宋体"/>
                <w:szCs w:val="21"/>
              </w:rPr>
            </w:pPr>
            <w:r>
              <w:rPr>
                <w:rFonts w:hint="eastAsia" w:ascii="宋体" w:hAnsi="宋体" w:eastAsia="宋体" w:cs="宋体"/>
                <w:szCs w:val="21"/>
              </w:rPr>
              <w:t>②备用模块两套：与典型应用多功能实训模块一致，用于系统集成和安装的考核和培训。</w:t>
            </w:r>
          </w:p>
          <w:p>
            <w:pPr>
              <w:spacing w:line="360" w:lineRule="exact"/>
              <w:rPr>
                <w:rFonts w:ascii="宋体" w:hAnsi="宋体" w:eastAsia="宋体" w:cs="宋体"/>
                <w:szCs w:val="21"/>
              </w:rPr>
            </w:pPr>
            <w:r>
              <w:rPr>
                <w:rFonts w:hint="eastAsia" w:ascii="宋体" w:hAnsi="宋体" w:eastAsia="宋体" w:cs="宋体"/>
                <w:szCs w:val="21"/>
              </w:rPr>
              <w:t>③安装训练模块两套：包括供料、输送皮带传送颜色识别等模块，用测试盒检测。用于典型应用案例的安装调试训练。</w:t>
            </w:r>
          </w:p>
          <w:p>
            <w:pPr>
              <w:spacing w:line="360" w:lineRule="exact"/>
              <w:rPr>
                <w:rFonts w:ascii="宋体" w:hAnsi="宋体" w:eastAsia="宋体" w:cs="宋体"/>
                <w:szCs w:val="21"/>
              </w:rPr>
            </w:pPr>
            <w:r>
              <w:rPr>
                <w:rFonts w:hint="eastAsia" w:ascii="宋体" w:hAnsi="宋体" w:eastAsia="宋体" w:cs="宋体"/>
                <w:szCs w:val="21"/>
              </w:rPr>
              <w:t>④对应模块的安装手册和图纸等资料</w:t>
            </w:r>
          </w:p>
          <w:p>
            <w:pPr>
              <w:spacing w:line="360" w:lineRule="exact"/>
              <w:rPr>
                <w:rFonts w:hint="eastAsia" w:ascii="宋体" w:hAnsi="宋体" w:eastAsia="宋体" w:cs="宋体"/>
                <w:szCs w:val="21"/>
                <w:lang w:eastAsia="zh-CN"/>
              </w:rPr>
            </w:pPr>
            <w:r>
              <w:rPr>
                <w:rFonts w:hint="eastAsia" w:ascii="宋体" w:hAnsi="宋体" w:eastAsia="宋体" w:cs="宋体"/>
                <w:szCs w:val="21"/>
              </w:rPr>
              <w:t>2.实践教学环境配套建设</w:t>
            </w:r>
            <w:r>
              <w:rPr>
                <w:rFonts w:hint="eastAsia" w:ascii="宋体" w:hAnsi="宋体" w:eastAsia="宋体" w:cs="宋体"/>
                <w:szCs w:val="21"/>
                <w:lang w:eastAsia="zh-CN"/>
              </w:rPr>
              <w:t>。</w:t>
            </w:r>
          </w:p>
          <w:p>
            <w:pPr>
              <w:spacing w:line="360" w:lineRule="exact"/>
              <w:rPr>
                <w:rFonts w:hint="default" w:ascii="宋体" w:hAnsi="宋体" w:eastAsia="宋体" w:cs="宋体"/>
                <w:szCs w:val="21"/>
                <w:lang w:val="en-US" w:eastAsia="zh-CN"/>
              </w:rPr>
            </w:pPr>
            <w:r>
              <w:rPr>
                <w:rFonts w:hint="eastAsia" w:ascii="宋体" w:hAnsi="宋体" w:eastAsia="宋体" w:cs="宋体"/>
                <w:szCs w:val="21"/>
                <w:lang w:val="en-US" w:eastAsia="zh-CN"/>
              </w:rPr>
              <w:t>3.具体详见附表一。</w:t>
            </w:r>
          </w:p>
        </w:tc>
        <w:tc>
          <w:tcPr>
            <w:tcW w:w="1276"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套</w:t>
            </w:r>
          </w:p>
        </w:tc>
        <w:tc>
          <w:tcPr>
            <w:tcW w:w="1635"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818" w:hRule="atLeast"/>
          <w:jc w:val="center"/>
        </w:trPr>
        <w:tc>
          <w:tcPr>
            <w:tcW w:w="702" w:type="dxa"/>
            <w:vAlign w:val="center"/>
          </w:tcPr>
          <w:p>
            <w:pPr>
              <w:spacing w:line="360" w:lineRule="exact"/>
              <w:ind w:firstLine="199" w:firstLineChars="95"/>
              <w:jc w:val="center"/>
              <w:rPr>
                <w:rFonts w:ascii="宋体" w:hAnsi="宋体" w:eastAsia="宋体" w:cs="宋体"/>
                <w:szCs w:val="21"/>
              </w:rPr>
            </w:pPr>
            <w:r>
              <w:rPr>
                <w:rFonts w:hint="eastAsia" w:ascii="宋体" w:hAnsi="宋体" w:eastAsia="宋体" w:cs="宋体"/>
                <w:szCs w:val="21"/>
              </w:rPr>
              <w:t>2</w:t>
            </w:r>
          </w:p>
        </w:tc>
        <w:tc>
          <w:tcPr>
            <w:tcW w:w="1842"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视觉训练设备</w:t>
            </w:r>
          </w:p>
        </w:tc>
        <w:tc>
          <w:tcPr>
            <w:tcW w:w="3402" w:type="dxa"/>
            <w:vAlign w:val="center"/>
          </w:tcPr>
          <w:p>
            <w:pPr>
              <w:spacing w:line="360" w:lineRule="exact"/>
              <w:ind w:firstLine="420" w:firstLineChars="200"/>
              <w:rPr>
                <w:rFonts w:ascii="宋体" w:hAnsi="宋体" w:eastAsia="宋体" w:cs="宋体"/>
                <w:szCs w:val="21"/>
              </w:rPr>
            </w:pPr>
            <w:r>
              <w:rPr>
                <w:rFonts w:hint="eastAsia" w:ascii="宋体" w:hAnsi="宋体" w:eastAsia="宋体" w:cs="宋体"/>
                <w:szCs w:val="21"/>
              </w:rPr>
              <w:t>每套设备包含一个高清工业相机，相机安装支架及待测工件平台；配套工件若干，含有多种颜色及形状，适用于多种视觉识别训练任务。</w:t>
            </w:r>
            <w:r>
              <w:rPr>
                <w:rFonts w:hint="eastAsia" w:ascii="宋体" w:hAnsi="宋体" w:eastAsia="宋体" w:cs="宋体"/>
                <w:szCs w:val="21"/>
                <w:lang w:val="en-US" w:eastAsia="zh-CN"/>
              </w:rPr>
              <w:t>具体详见附表一。</w:t>
            </w:r>
          </w:p>
        </w:tc>
        <w:tc>
          <w:tcPr>
            <w:tcW w:w="1276"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套</w:t>
            </w:r>
          </w:p>
        </w:tc>
        <w:tc>
          <w:tcPr>
            <w:tcW w:w="1635" w:type="dxa"/>
            <w:vAlign w:val="center"/>
          </w:tcPr>
          <w:p>
            <w:pPr>
              <w:spacing w:line="360" w:lineRule="exact"/>
              <w:jc w:val="center"/>
              <w:rPr>
                <w:rFonts w:ascii="宋体" w:hAnsi="宋体" w:eastAsia="宋体" w:cs="宋体"/>
                <w:szCs w:val="21"/>
              </w:rPr>
            </w:pPr>
            <w:r>
              <w:rPr>
                <w:rFonts w:hint="eastAsia" w:ascii="宋体" w:hAnsi="宋体" w:eastAsia="宋体" w:cs="宋体"/>
                <w:szCs w:val="21"/>
              </w:rPr>
              <w:t>30</w:t>
            </w:r>
          </w:p>
        </w:tc>
      </w:tr>
    </w:tbl>
    <w:p>
      <w:pPr>
        <w:widowControl/>
        <w:spacing w:line="360" w:lineRule="auto"/>
        <w:rPr>
          <w:rFonts w:hint="eastAsia" w:ascii="宋体" w:hAnsi="宋体" w:eastAsia="宋体" w:cs="宋体"/>
          <w:szCs w:val="21"/>
          <w:lang w:val="en-US" w:eastAsia="zh-CN"/>
        </w:rPr>
      </w:pPr>
      <w:r>
        <w:rPr>
          <w:rFonts w:hint="eastAsia" w:ascii="宋体" w:hAnsi="宋体" w:eastAsia="宋体" w:cs="宋体"/>
          <w:szCs w:val="21"/>
          <w:lang w:val="en-US" w:eastAsia="zh-CN"/>
        </w:rPr>
        <w:t>核心产品：工业机器人应用与维护综合实训台、视觉训练设备</w:t>
      </w:r>
    </w:p>
    <w:p>
      <w:pPr>
        <w:widowControl/>
        <w:spacing w:line="360" w:lineRule="auto"/>
        <w:rPr>
          <w:rFonts w:hint="default" w:ascii="宋体" w:hAnsi="宋体" w:eastAsia="宋体" w:cs="宋体"/>
          <w:bCs/>
          <w:szCs w:val="21"/>
          <w:lang w:val="en-US" w:eastAsia="zh-CN"/>
        </w:rPr>
      </w:pPr>
      <w:r>
        <w:rPr>
          <w:rFonts w:hint="eastAsia" w:ascii="宋体" w:hAnsi="宋体" w:eastAsia="宋体" w:cs="宋体"/>
          <w:bCs/>
          <w:szCs w:val="21"/>
        </w:rPr>
        <w:t>新建一体化实践教学环境布局图</w:t>
      </w:r>
      <w:r>
        <w:rPr>
          <w:rFonts w:hint="eastAsia" w:ascii="宋体" w:hAnsi="宋体" w:eastAsia="宋体" w:cs="宋体"/>
          <w:bCs/>
          <w:szCs w:val="21"/>
          <w:lang w:val="en-US" w:eastAsia="zh-CN"/>
        </w:rPr>
        <w:t>详见附件2。</w:t>
      </w:r>
    </w:p>
    <w:p>
      <w:pPr>
        <w:widowControl/>
        <w:spacing w:line="360" w:lineRule="auto"/>
        <w:rPr>
          <w:rFonts w:hint="default" w:ascii="宋体" w:hAnsi="宋体" w:eastAsia="宋体" w:cs="宋体"/>
          <w:szCs w:val="21"/>
          <w:lang w:val="en-US" w:eastAsia="zh-CN"/>
        </w:rPr>
      </w:pPr>
      <w:r>
        <w:rPr>
          <w:rFonts w:hint="eastAsia" w:ascii="宋体" w:hAnsi="宋体" w:eastAsia="宋体" w:cs="宋体"/>
          <w:szCs w:val="21"/>
          <w:lang w:val="en-US" w:eastAsia="zh-CN"/>
        </w:rPr>
        <w:t>附件2：</w:t>
      </w:r>
    </w:p>
    <w:tbl>
      <w:tblPr>
        <w:tblStyle w:val="7"/>
        <w:tblW w:w="885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859"/>
        <w:gridCol w:w="799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90" w:hRule="atLeast"/>
          <w:jc w:val="center"/>
        </w:trPr>
        <w:tc>
          <w:tcPr>
            <w:tcW w:w="859" w:type="dxa"/>
            <w:vAlign w:val="center"/>
          </w:tcPr>
          <w:p>
            <w:pPr>
              <w:spacing w:line="360" w:lineRule="exact"/>
              <w:jc w:val="center"/>
              <w:rPr>
                <w:rFonts w:ascii="宋体" w:hAnsi="宋体" w:eastAsia="宋体" w:cs="宋体"/>
                <w:b/>
                <w:szCs w:val="21"/>
              </w:rPr>
            </w:pPr>
            <w:r>
              <w:rPr>
                <w:rFonts w:hint="eastAsia" w:ascii="宋体" w:hAnsi="宋体" w:eastAsia="宋体" w:cs="宋体"/>
                <w:bCs/>
                <w:szCs w:val="21"/>
              </w:rPr>
              <w:t>新建一体化</w:t>
            </w:r>
            <w:bookmarkStart w:id="0" w:name="_GoBack"/>
            <w:bookmarkEnd w:id="0"/>
            <w:r>
              <w:rPr>
                <w:rFonts w:hint="eastAsia" w:ascii="宋体" w:hAnsi="宋体" w:eastAsia="宋体" w:cs="宋体"/>
                <w:bCs/>
                <w:szCs w:val="21"/>
              </w:rPr>
              <w:t>实践教学环境布局图</w:t>
            </w:r>
          </w:p>
        </w:tc>
        <w:tc>
          <w:tcPr>
            <w:tcW w:w="7998" w:type="dxa"/>
            <w:vAlign w:val="center"/>
          </w:tcPr>
          <w:p>
            <w:pPr>
              <w:spacing w:line="360" w:lineRule="auto"/>
              <w:jc w:val="center"/>
              <w:rPr>
                <w:rFonts w:ascii="宋体" w:hAnsi="宋体" w:eastAsia="宋体" w:cs="宋体"/>
                <w:b/>
                <w:szCs w:val="21"/>
              </w:rPr>
            </w:pPr>
            <w:r>
              <w:rPr>
                <w:rFonts w:hint="eastAsia" w:ascii="宋体" w:hAnsi="宋体" w:eastAsia="宋体" w:cs="宋体"/>
                <w:szCs w:val="21"/>
              </w:rPr>
              <mc:AlternateContent>
                <mc:Choice Requires="wps">
                  <w:drawing>
                    <wp:anchor distT="0" distB="0" distL="114300" distR="114300" simplePos="0" relativeHeight="251661312" behindDoc="0" locked="0" layoutInCell="1" allowOverlap="1">
                      <wp:simplePos x="0" y="0"/>
                      <wp:positionH relativeFrom="column">
                        <wp:posOffset>1038225</wp:posOffset>
                      </wp:positionH>
                      <wp:positionV relativeFrom="paragraph">
                        <wp:posOffset>1835150</wp:posOffset>
                      </wp:positionV>
                      <wp:extent cx="906780" cy="739140"/>
                      <wp:effectExtent l="0" t="0" r="0" b="0"/>
                      <wp:wrapNone/>
                      <wp:docPr id="10" name="文本框 10"/>
                      <wp:cNvGraphicFramePr/>
                      <a:graphic xmlns:a="http://schemas.openxmlformats.org/drawingml/2006/main">
                        <a:graphicData uri="http://schemas.microsoft.com/office/word/2010/wordprocessingShape">
                          <wps:wsp>
                            <wps:cNvSpPr txBox="1">
                              <a:spLocks noChangeArrowheads="1"/>
                            </wps:cNvSpPr>
                            <wps:spPr bwMode="auto">
                              <a:xfrm>
                                <a:off x="0" y="0"/>
                                <a:ext cx="906780" cy="739140"/>
                              </a:xfrm>
                              <a:prstGeom prst="rect">
                                <a:avLst/>
                              </a:prstGeom>
                              <a:noFill/>
                              <a:ln w="9525">
                                <a:noFill/>
                                <a:miter lim="800000"/>
                              </a:ln>
                              <a:effectLst/>
                            </wps:spPr>
                            <wps:txbx>
                              <w:txbxContent>
                                <w:p>
                                  <w:pPr>
                                    <w:rPr>
                                      <w:color w:val="FF0000"/>
                                      <w:sz w:val="52"/>
                                      <w:szCs w:val="56"/>
                                    </w:rPr>
                                  </w:pPr>
                                  <w:r>
                                    <w:rPr>
                                      <w:color w:val="FF0000"/>
                                      <w:sz w:val="52"/>
                                      <w:szCs w:val="56"/>
                                    </w:rPr>
                                    <w:t>C</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81.75pt;margin-top:144.5pt;height:58.2pt;width:71.4pt;z-index:251661312;mso-width-relative:page;mso-height-relative:page;" filled="f" stroked="f" coordsize="21600,21600" o:gfxdata="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cpVBt2AAAAAsBAAAPAAAAAAAAAAEAIAAAACIAAABkcnMvZG93bnJldi54bWxQSwECFAAUAAAA&#10;CACHTuJAH8sRDScCAAA4BAAADgAAAAAAAAABACAAAAAnAQAAZHJzL2Uyb0RvYy54bWxQSwUGAAAA&#10;AAYABgBZAQAAwAUAAAAA&#10;">
                      <v:fill on="f" focussize="0,0"/>
                      <v:stroke on="f" miterlimit="8" joinstyle="miter"/>
                      <v:imagedata o:title=""/>
                      <o:lock v:ext="edit" aspectratio="f"/>
                      <v:textbox>
                        <w:txbxContent>
                          <w:p>
                            <w:pPr>
                              <w:rPr>
                                <w:color w:val="FF0000"/>
                                <w:sz w:val="52"/>
                                <w:szCs w:val="56"/>
                              </w:rPr>
                            </w:pPr>
                            <w:r>
                              <w:rPr>
                                <w:color w:val="FF0000"/>
                                <w:sz w:val="52"/>
                                <w:szCs w:val="56"/>
                              </w:rPr>
                              <w:t>C</w:t>
                            </w:r>
                          </w:p>
                        </w:txbxContent>
                      </v:textbox>
                    </v:shape>
                  </w:pict>
                </mc:Fallback>
              </mc:AlternateContent>
            </w:r>
            <w:r>
              <w:rPr>
                <w:rFonts w:hint="eastAsia" w:ascii="宋体" w:hAnsi="宋体" w:eastAsia="宋体" w:cs="宋体"/>
                <w:szCs w:val="21"/>
              </w:rPr>
              <mc:AlternateContent>
                <mc:Choice Requires="wps">
                  <w:drawing>
                    <wp:anchor distT="0" distB="0" distL="114300" distR="114300" simplePos="0" relativeHeight="251660288" behindDoc="0" locked="0" layoutInCell="1" allowOverlap="1">
                      <wp:simplePos x="0" y="0"/>
                      <wp:positionH relativeFrom="column">
                        <wp:posOffset>3188970</wp:posOffset>
                      </wp:positionH>
                      <wp:positionV relativeFrom="paragraph">
                        <wp:posOffset>1772285</wp:posOffset>
                      </wp:positionV>
                      <wp:extent cx="906780" cy="739140"/>
                      <wp:effectExtent l="0" t="0" r="0" b="0"/>
                      <wp:wrapNone/>
                      <wp:docPr id="1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906780" cy="739140"/>
                              </a:xfrm>
                              <a:prstGeom prst="rect">
                                <a:avLst/>
                              </a:prstGeom>
                              <a:noFill/>
                              <a:ln w="9525">
                                <a:noFill/>
                                <a:miter lim="800000"/>
                              </a:ln>
                              <a:effectLst/>
                            </wps:spPr>
                            <wps:txbx>
                              <w:txbxContent>
                                <w:p>
                                  <w:pPr>
                                    <w:rPr>
                                      <w:color w:val="FF0000"/>
                                      <w:sz w:val="52"/>
                                      <w:szCs w:val="56"/>
                                    </w:rPr>
                                  </w:pPr>
                                  <w:r>
                                    <w:rPr>
                                      <w:color w:val="FF0000"/>
                                      <w:sz w:val="52"/>
                                      <w:szCs w:val="56"/>
                                    </w:rPr>
                                    <w:t>B</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251.1pt;margin-top:139.55pt;height:58.2pt;width:71.4pt;z-index:251660288;mso-width-relative:page;mso-height-relative:page;" filled="f" stroked="f" coordsize="21600,21600" o:gfxdata="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gl2ovdgAAAALAQAADwAAAAAAAAABACAAAAAiAAAAZHJzL2Rvd25yZXYueG1sUEsBAhQAFAAA&#10;AAgAh07iQBQ/g5woAgAAOAQAAA4AAAAAAAAAAQAgAAAAJwEAAGRycy9lMm9Eb2MueG1sUEsFBgAA&#10;AAAGAAYAWQEAAMEFAAAAAA==&#10;">
                      <v:fill on="f" focussize="0,0"/>
                      <v:stroke on="f" miterlimit="8" joinstyle="miter"/>
                      <v:imagedata o:title=""/>
                      <o:lock v:ext="edit" aspectratio="f"/>
                      <v:textbox>
                        <w:txbxContent>
                          <w:p>
                            <w:pPr>
                              <w:rPr>
                                <w:color w:val="FF0000"/>
                                <w:sz w:val="52"/>
                                <w:szCs w:val="56"/>
                              </w:rPr>
                            </w:pPr>
                            <w:r>
                              <w:rPr>
                                <w:color w:val="FF0000"/>
                                <w:sz w:val="52"/>
                                <w:szCs w:val="56"/>
                              </w:rPr>
                              <w:t>B</w:t>
                            </w:r>
                          </w:p>
                        </w:txbxContent>
                      </v:textbox>
                    </v:shape>
                  </w:pict>
                </mc:Fallback>
              </mc:AlternateContent>
            </w:r>
            <w:r>
              <w:rPr>
                <w:rFonts w:hint="eastAsia" w:ascii="宋体" w:hAnsi="宋体" w:eastAsia="宋体" w:cs="宋体"/>
                <w:szCs w:val="21"/>
              </w:rPr>
              <mc:AlternateContent>
                <mc:Choice Requires="wps">
                  <w:drawing>
                    <wp:anchor distT="0" distB="0" distL="114300" distR="114300" simplePos="0" relativeHeight="251662336" behindDoc="0" locked="0" layoutInCell="1" allowOverlap="1">
                      <wp:simplePos x="0" y="0"/>
                      <wp:positionH relativeFrom="column">
                        <wp:posOffset>1297305</wp:posOffset>
                      </wp:positionH>
                      <wp:positionV relativeFrom="paragraph">
                        <wp:posOffset>666750</wp:posOffset>
                      </wp:positionV>
                      <wp:extent cx="906780" cy="739140"/>
                      <wp:effectExtent l="0" t="0" r="0" b="0"/>
                      <wp:wrapNone/>
                      <wp:docPr id="12"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906780" cy="739140"/>
                              </a:xfrm>
                              <a:prstGeom prst="rect">
                                <a:avLst/>
                              </a:prstGeom>
                              <a:noFill/>
                              <a:ln w="9525">
                                <a:noFill/>
                                <a:miter lim="800000"/>
                              </a:ln>
                              <a:effectLst/>
                            </wps:spPr>
                            <wps:txbx>
                              <w:txbxContent>
                                <w:p>
                                  <w:pPr>
                                    <w:rPr>
                                      <w:color w:val="FF0000"/>
                                      <w:sz w:val="52"/>
                                      <w:szCs w:val="56"/>
                                    </w:rPr>
                                  </w:pPr>
                                  <w:r>
                                    <w:rPr>
                                      <w:color w:val="FF0000"/>
                                      <w:sz w:val="52"/>
                                      <w:szCs w:val="56"/>
                                    </w:rPr>
                                    <w:t>A</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102.15pt;margin-top:52.5pt;height:58.2pt;width:71.4pt;z-index:251662336;mso-width-relative:page;mso-height-relative:page;" filled="f" stroked="f" coordsize="21600,21600" o:gfxdata="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1LjYi1wAAAAsBAAAPAAAAAAAAAAEAIAAAACIAAABkcnMvZG93bnJldi54bWxQSwECFAAUAAAA&#10;CACHTuJASCVF9SgCAAA4BAAADgAAAAAAAAABACAAAAAmAQAAZHJzL2Uyb0RvYy54bWxQSwUGAAAA&#10;AAYABgBZAQAAwAUAAAAA&#10;">
                      <v:fill on="f" focussize="0,0"/>
                      <v:stroke on="f" miterlimit="8" joinstyle="miter"/>
                      <v:imagedata o:title=""/>
                      <o:lock v:ext="edit" aspectratio="f"/>
                      <v:textbox>
                        <w:txbxContent>
                          <w:p>
                            <w:pPr>
                              <w:rPr>
                                <w:color w:val="FF0000"/>
                                <w:sz w:val="52"/>
                                <w:szCs w:val="56"/>
                              </w:rPr>
                            </w:pPr>
                            <w:r>
                              <w:rPr>
                                <w:color w:val="FF0000"/>
                                <w:sz w:val="52"/>
                                <w:szCs w:val="56"/>
                              </w:rPr>
                              <w:t>A</w:t>
                            </w:r>
                          </w:p>
                        </w:txbxContent>
                      </v:textbox>
                    </v:shape>
                  </w:pict>
                </mc:Fallback>
              </mc:AlternateContent>
            </w:r>
            <w:r>
              <w:rPr>
                <w:rFonts w:hint="eastAsia" w:ascii="宋体" w:hAnsi="宋体" w:eastAsia="宋体" w:cs="宋体"/>
                <w:szCs w:val="21"/>
              </w:rPr>
              <mc:AlternateContent>
                <mc:Choice Requires="wps">
                  <w:drawing>
                    <wp:anchor distT="0" distB="0" distL="114300" distR="114300" simplePos="0" relativeHeight="251659264" behindDoc="0" locked="0" layoutInCell="1" allowOverlap="1">
                      <wp:simplePos x="0" y="0"/>
                      <wp:positionH relativeFrom="column">
                        <wp:posOffset>716280</wp:posOffset>
                      </wp:positionH>
                      <wp:positionV relativeFrom="paragraph">
                        <wp:posOffset>2898775</wp:posOffset>
                      </wp:positionV>
                      <wp:extent cx="906780" cy="739140"/>
                      <wp:effectExtent l="0" t="0" r="0" b="0"/>
                      <wp:wrapNone/>
                      <wp:docPr id="14" name="文本框 14"/>
                      <wp:cNvGraphicFramePr/>
                      <a:graphic xmlns:a="http://schemas.openxmlformats.org/drawingml/2006/main">
                        <a:graphicData uri="http://schemas.microsoft.com/office/word/2010/wordprocessingShape">
                          <wps:wsp>
                            <wps:cNvSpPr txBox="1">
                              <a:spLocks noChangeArrowheads="1"/>
                            </wps:cNvSpPr>
                            <wps:spPr bwMode="auto">
                              <a:xfrm>
                                <a:off x="0" y="0"/>
                                <a:ext cx="906780" cy="739140"/>
                              </a:xfrm>
                              <a:prstGeom prst="rect">
                                <a:avLst/>
                              </a:prstGeom>
                              <a:noFill/>
                              <a:ln w="9525">
                                <a:noFill/>
                                <a:miter lim="800000"/>
                              </a:ln>
                              <a:effectLst/>
                            </wps:spPr>
                            <wps:txbx>
                              <w:txbxContent>
                                <w:p>
                                  <w:pPr>
                                    <w:rPr>
                                      <w:color w:val="FF0000"/>
                                      <w:sz w:val="52"/>
                                      <w:szCs w:val="56"/>
                                    </w:rPr>
                                  </w:pPr>
                                  <w:r>
                                    <w:rPr>
                                      <w:color w:val="FF0000"/>
                                      <w:sz w:val="52"/>
                                      <w:szCs w:val="56"/>
                                    </w:rPr>
                                    <w:t>A</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56.4pt;margin-top:228.25pt;height:58.2pt;width:71.4pt;z-index:251659264;mso-width-relative:page;mso-height-relative:page;" filled="f" stroked="f" coordsize="21600,21600" o:gfxdata="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saSbC1wAAAAsBAAAPAAAAAAAAAAEAIAAAACIAAABkcnMvZG93bnJldi54bWxQSwECFAAUAAAA&#10;CACHTuJA8BHJJigCAAA4BAAADgAAAAAAAAABACAAAAAmAQAAZHJzL2Uyb0RvYy54bWxQSwUGAAAA&#10;AAYABgBZAQAAwAUAAAAA&#10;">
                      <v:fill on="f" focussize="0,0"/>
                      <v:stroke on="f" miterlimit="8" joinstyle="miter"/>
                      <v:imagedata o:title=""/>
                      <o:lock v:ext="edit" aspectratio="f"/>
                      <v:textbox>
                        <w:txbxContent>
                          <w:p>
                            <w:pPr>
                              <w:rPr>
                                <w:color w:val="FF0000"/>
                                <w:sz w:val="52"/>
                                <w:szCs w:val="56"/>
                              </w:rPr>
                            </w:pPr>
                            <w:r>
                              <w:rPr>
                                <w:color w:val="FF0000"/>
                                <w:sz w:val="52"/>
                                <w:szCs w:val="56"/>
                              </w:rPr>
                              <w:t>A</w:t>
                            </w:r>
                          </w:p>
                        </w:txbxContent>
                      </v:textbox>
                    </v:shape>
                  </w:pict>
                </mc:Fallback>
              </mc:AlternateContent>
            </w:r>
            <w:r>
              <w:rPr>
                <w:rFonts w:hint="eastAsia" w:ascii="宋体" w:hAnsi="宋体" w:eastAsia="宋体" w:cs="宋体"/>
                <w:szCs w:val="21"/>
              </w:rPr>
              <w:drawing>
                <wp:inline distT="0" distB="0" distL="114300" distR="114300">
                  <wp:extent cx="5008880" cy="4111625"/>
                  <wp:effectExtent l="0" t="0" r="1270" b="3175"/>
                  <wp:docPr id="13" name="图片 2" descr="图形用户界面, 图示,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descr="图形用户界面, 图示, 应用程序&#10;&#10;描述已自动生成"/>
                          <pic:cNvPicPr>
                            <a:picLocks noChangeAspect="1"/>
                          </pic:cNvPicPr>
                        </pic:nvPicPr>
                        <pic:blipFill>
                          <a:blip r:embed="rId4"/>
                          <a:stretch>
                            <a:fillRect/>
                          </a:stretch>
                        </pic:blipFill>
                        <pic:spPr>
                          <a:xfrm>
                            <a:off x="0" y="0"/>
                            <a:ext cx="5008880" cy="4111625"/>
                          </a:xfrm>
                          <a:prstGeom prst="rect">
                            <a:avLst/>
                          </a:prstGeom>
                          <a:noFill/>
                          <a:ln>
                            <a:noFill/>
                          </a:ln>
                        </pic:spPr>
                      </pic:pic>
                    </a:graphicData>
                  </a:graphic>
                </wp:inline>
              </w:drawing>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590" w:hRule="atLeast"/>
          <w:jc w:val="center"/>
        </w:trPr>
        <w:tc>
          <w:tcPr>
            <w:tcW w:w="859" w:type="dxa"/>
            <w:vAlign w:val="center"/>
          </w:tcPr>
          <w:p>
            <w:pPr>
              <w:spacing w:line="360" w:lineRule="exact"/>
              <w:jc w:val="center"/>
              <w:rPr>
                <w:rFonts w:ascii="宋体" w:hAnsi="宋体" w:eastAsia="宋体" w:cs="宋体"/>
                <w:bCs/>
                <w:szCs w:val="21"/>
              </w:rPr>
            </w:pPr>
            <w:r>
              <w:rPr>
                <w:rFonts w:hint="eastAsia" w:ascii="宋体" w:hAnsi="宋体" w:eastAsia="宋体" w:cs="宋体"/>
                <w:szCs w:val="21"/>
              </w:rPr>
              <w:t>功能区布局说明</w:t>
            </w:r>
          </w:p>
        </w:tc>
        <w:tc>
          <w:tcPr>
            <w:tcW w:w="7998" w:type="dxa"/>
            <w:vAlign w:val="center"/>
          </w:tcPr>
          <w:p>
            <w:pPr>
              <w:pStyle w:val="9"/>
              <w:numPr>
                <w:ilvl w:val="0"/>
                <w:numId w:val="2"/>
              </w:numPr>
              <w:spacing w:line="360" w:lineRule="exact"/>
              <w:ind w:firstLineChars="0"/>
              <w:rPr>
                <w:rFonts w:ascii="宋体" w:hAnsi="宋体" w:eastAsia="宋体" w:cs="宋体"/>
                <w:szCs w:val="21"/>
              </w:rPr>
            </w:pPr>
            <w:r>
              <w:rPr>
                <w:rFonts w:hint="eastAsia" w:ascii="宋体" w:hAnsi="宋体" w:eastAsia="宋体" w:cs="宋体"/>
                <w:szCs w:val="21"/>
              </w:rPr>
              <w:t>工业机器人典型应用多功能实训平台操作应用工作区域</w:t>
            </w:r>
          </w:p>
          <w:p>
            <w:pPr>
              <w:pStyle w:val="9"/>
              <w:numPr>
                <w:ilvl w:val="0"/>
                <w:numId w:val="2"/>
              </w:numPr>
              <w:spacing w:line="360" w:lineRule="exact"/>
              <w:ind w:firstLineChars="0"/>
              <w:rPr>
                <w:rFonts w:ascii="宋体" w:hAnsi="宋体" w:eastAsia="宋体" w:cs="宋体"/>
                <w:szCs w:val="21"/>
              </w:rPr>
            </w:pPr>
            <w:r>
              <w:rPr>
                <w:rFonts w:hint="eastAsia" w:ascii="宋体" w:hAnsi="宋体" w:eastAsia="宋体" w:cs="宋体"/>
                <w:szCs w:val="21"/>
              </w:rPr>
              <w:t>工业机器人系统集成、典型应用模块的安装与调试工作区域</w:t>
            </w:r>
          </w:p>
          <w:p>
            <w:pPr>
              <w:pStyle w:val="9"/>
              <w:numPr>
                <w:ilvl w:val="0"/>
                <w:numId w:val="2"/>
              </w:numPr>
              <w:spacing w:line="360" w:lineRule="exact"/>
              <w:ind w:firstLineChars="0"/>
              <w:rPr>
                <w:rFonts w:ascii="宋体" w:hAnsi="宋体" w:eastAsia="宋体" w:cs="宋体"/>
                <w:szCs w:val="21"/>
              </w:rPr>
            </w:pPr>
            <w:r>
              <w:rPr>
                <w:rFonts w:hint="eastAsia" w:ascii="宋体" w:hAnsi="宋体" w:eastAsia="宋体" w:cs="宋体"/>
                <w:szCs w:val="21"/>
              </w:rPr>
              <w:t>教师集中讲授和学生集中学习区域</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44C5AE"/>
    <w:multiLevelType w:val="singleLevel"/>
    <w:tmpl w:val="F144C5AE"/>
    <w:lvl w:ilvl="0" w:tentative="0">
      <w:start w:val="2"/>
      <w:numFmt w:val="chineseCounting"/>
      <w:suff w:val="space"/>
      <w:lvlText w:val="第%1章"/>
      <w:lvlJc w:val="left"/>
      <w:rPr>
        <w:rFonts w:hint="eastAsia"/>
      </w:rPr>
    </w:lvl>
  </w:abstractNum>
  <w:abstractNum w:abstractNumId="1">
    <w:nsid w:val="181F211F"/>
    <w:multiLevelType w:val="multilevel"/>
    <w:tmpl w:val="181F211F"/>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NzQ5ODNlZjIwNWJmMGJlNzQ0OTVkYjgzNWJmNGQifQ=="/>
  </w:docVars>
  <w:rsids>
    <w:rsidRoot w:val="55C81943"/>
    <w:rsid w:val="55C819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5"/>
    <w:basedOn w:val="1"/>
    <w:next w:val="1"/>
    <w:qFormat/>
    <w:uiPriority w:val="0"/>
    <w:pPr>
      <w:keepNext/>
      <w:keepLines/>
      <w:tabs>
        <w:tab w:val="left" w:pos="1008"/>
      </w:tabs>
      <w:spacing w:before="280" w:after="290" w:line="372" w:lineRule="auto"/>
      <w:outlineLvl w:val="4"/>
    </w:pPr>
    <w:rPr>
      <w:rFonts w:ascii="Times New Roman" w:hAnsi="Times New Roman" w:eastAsia="宋体" w:cs="Times New Roman"/>
      <w:b/>
      <w:bCs/>
      <w:sz w:val="28"/>
      <w:szCs w:val="28"/>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Arial" w:hAnsi="Arial"/>
      <w:sz w:val="24"/>
    </w:rPr>
  </w:style>
  <w:style w:type="paragraph" w:styleId="4">
    <w:name w:val="Body Text"/>
    <w:basedOn w:val="1"/>
    <w:qFormat/>
    <w:uiPriority w:val="0"/>
    <w:pPr>
      <w:spacing w:after="120"/>
    </w:pPr>
    <w:rPr>
      <w:rFonts w:ascii="Calibri" w:hAnsi="Calibri" w:eastAsia="宋体" w:cs="Times New Roman"/>
      <w:szCs w:val="24"/>
    </w:rPr>
  </w:style>
  <w:style w:type="paragraph" w:styleId="5">
    <w:name w:val="Body Text Indent"/>
    <w:basedOn w:val="1"/>
    <w:qFormat/>
    <w:uiPriority w:val="0"/>
    <w:pPr>
      <w:ind w:firstLine="830" w:firstLineChars="352"/>
    </w:pPr>
    <w:rPr>
      <w:rFonts w:ascii="仿宋_GB2312" w:eastAsia="仿宋_GB2312"/>
      <w:kern w:val="0"/>
      <w:sz w:val="32"/>
    </w:rPr>
  </w:style>
  <w:style w:type="paragraph" w:styleId="6">
    <w:name w:val="Body Text First Indent 2"/>
    <w:basedOn w:val="5"/>
    <w:qFormat/>
    <w:uiPriority w:val="0"/>
    <w:pPr>
      <w:ind w:left="200" w:firstLine="200"/>
    </w:pPr>
  </w:style>
  <w:style w:type="paragraph" w:styleId="9">
    <w:name w:val="List Paragraph"/>
    <w:basedOn w:val="1"/>
    <w:unhideWhenUsed/>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2022-09-02T05:32:00Z</dcterms:created>
  <dc:creator>07</dc:creator>
  <cp:lastModifiedBy>07</cp:lastModifiedBy>
  <dcterms:modified xsi:type="dcterms:W3CDTF">2022-09-02T05:34:05Z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E9EA2F2FCA594A3780D826C6E5BF408D</vt:lpwstr>
  </property>
</Properties>
</file>