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Style w:val="7"/>
          <w:rFonts w:hint="eastAsia" w:ascii="宋体" w:hAnsi="宋体" w:eastAsia="宋体" w:cs="宋体"/>
          <w:b/>
          <w:bCs w:val="0"/>
          <w:color w:val="auto"/>
          <w:sz w:val="28"/>
          <w:szCs w:val="28"/>
          <w:highlight w:val="none"/>
          <w:lang w:val="en-US" w:eastAsia="zh-CN"/>
        </w:rPr>
      </w:pPr>
      <w:bookmarkStart w:id="0" w:name="_Toc407182663"/>
      <w:r>
        <w:rPr>
          <w:rStyle w:val="7"/>
          <w:rFonts w:hint="eastAsia" w:ascii="宋体" w:hAnsi="宋体" w:eastAsia="宋体" w:cs="宋体"/>
          <w:b/>
          <w:bCs w:val="0"/>
          <w:color w:val="auto"/>
          <w:sz w:val="28"/>
          <w:szCs w:val="28"/>
          <w:highlight w:val="none"/>
        </w:rPr>
        <w:t>中国邮政储蓄银行安顺市分行2023-2025年新增律师库入库名单采购项目</w:t>
      </w:r>
      <w:r>
        <w:rPr>
          <w:rStyle w:val="7"/>
          <w:rFonts w:hint="eastAsia" w:ascii="宋体" w:hAnsi="宋体" w:eastAsia="宋体" w:cs="宋体"/>
          <w:b/>
          <w:bCs w:val="0"/>
          <w:color w:val="auto"/>
          <w:sz w:val="28"/>
          <w:szCs w:val="28"/>
          <w:highlight w:val="none"/>
          <w:lang w:eastAsia="zh-CN"/>
        </w:rPr>
        <w:t>（二次）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Style w:val="7"/>
          <w:rFonts w:hint="eastAsia" w:ascii="宋体" w:hAnsi="宋体" w:eastAsia="宋体" w:cs="宋体"/>
          <w:b/>
          <w:bCs w:val="0"/>
          <w:color w:val="auto"/>
          <w:sz w:val="28"/>
          <w:szCs w:val="28"/>
          <w:highlight w:val="none"/>
          <w:lang w:val="en-US" w:eastAsia="zh-CN"/>
        </w:rPr>
      </w:pPr>
      <w:r>
        <w:rPr>
          <w:rStyle w:val="7"/>
          <w:rFonts w:hint="eastAsia" w:ascii="宋体" w:hAnsi="宋体" w:eastAsia="宋体" w:cs="宋体"/>
          <w:b/>
          <w:bCs w:val="0"/>
          <w:color w:val="auto"/>
          <w:sz w:val="28"/>
          <w:szCs w:val="28"/>
          <w:highlight w:val="none"/>
          <w:lang w:eastAsia="zh-CN"/>
        </w:rPr>
        <w:t>采购公告</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Style w:val="7"/>
          <w:rFonts w:hint="eastAsia" w:ascii="宋体" w:hAnsi="宋体" w:eastAsia="宋体" w:cs="宋体"/>
          <w:b/>
          <w:bCs w:val="0"/>
          <w:color w:val="auto"/>
          <w:highlight w:val="none"/>
        </w:rPr>
      </w:pPr>
      <w:r>
        <w:rPr>
          <w:rStyle w:val="7"/>
          <w:rFonts w:hint="eastAsia" w:ascii="宋体" w:hAnsi="宋体" w:eastAsia="宋体" w:cs="宋体"/>
          <w:b/>
          <w:bCs w:val="0"/>
          <w:color w:val="auto"/>
          <w:highlight w:val="none"/>
        </w:rPr>
        <w:t>一、项目概述：</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bookmarkStart w:id="1" w:name="_Toc406670714"/>
      <w:bookmarkStart w:id="2" w:name="_Toc406671085"/>
      <w:r>
        <w:rPr>
          <w:rFonts w:hint="eastAsia" w:ascii="宋体" w:hAnsi="宋体" w:eastAsia="宋体" w:cs="宋体"/>
          <w:color w:val="auto"/>
          <w:sz w:val="24"/>
          <w:szCs w:val="24"/>
          <w:highlight w:val="none"/>
          <w:u w:val="none"/>
          <w:lang w:val="en-US" w:eastAsia="zh-CN"/>
        </w:rPr>
        <w:t>1、项目名称：中国邮政储蓄银行安顺市分行2023-2025年新增律师库入库名单采购项目</w:t>
      </w:r>
      <w:r>
        <w:rPr>
          <w:rFonts w:hint="eastAsia" w:ascii="宋体" w:hAnsi="宋体" w:cs="宋体"/>
          <w:color w:val="auto"/>
          <w:sz w:val="24"/>
          <w:szCs w:val="24"/>
          <w:highlight w:val="none"/>
          <w:u w:val="none"/>
          <w:lang w:val="en-US" w:eastAsia="zh-CN"/>
        </w:rPr>
        <w:t>（二次）</w:t>
      </w:r>
      <w:r>
        <w:rPr>
          <w:rFonts w:hint="eastAsia" w:ascii="宋体" w:hAnsi="宋体" w:eastAsia="宋体"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2、采购方式：公开招标</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3、项目编号：PYYT2023-ZB3092</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4、采购预算：250万元，实际支付以后期收回贷款金额实际支付费用为准。</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5、服务期：2年；</w:t>
      </w:r>
    </w:p>
    <w:bookmarkEnd w:id="1"/>
    <w:bookmarkEnd w:id="2"/>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6、服务地点：采购人指定地点；</w:t>
      </w:r>
      <w:bookmarkStart w:id="6" w:name="_GoBack"/>
      <w:bookmarkEnd w:id="6"/>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7、采购内容：拟增补入围3家律师事务所，做好常规法律顾问服务，代理我行不良贷款诉讼、执行等工作。</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8、入围供应商数量：3家。</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9、中标原则：原则上选择综合排名前3的供应商入围，综合排名第4名、第5名作为备选供应商，当主选供应商不符合需求或退出时，则启用备选供应商。为保证项目的充分竞争性，若符合资格要求的供应商数量小于需入围数量与备选供应商之和时，该项目重新进行招标流程。入库后律所抽取标准由需求部门或使用部门双人按照实际情况随机进行抽取。</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10、最高投标限价：</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10.1 一案一议价，根据风险代理模式，不同案件标的额（实际收回金额）确定律师代理费率。</w:t>
      </w:r>
    </w:p>
    <w:tbl>
      <w:tblPr>
        <w:tblStyle w:val="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2271"/>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案件标的额</w:t>
            </w:r>
          </w:p>
        </w:tc>
        <w:tc>
          <w:tcPr>
            <w:tcW w:w="22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报价限额</w:t>
            </w:r>
          </w:p>
        </w:tc>
        <w:tc>
          <w:tcPr>
            <w:tcW w:w="2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价格分占比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100万以下（含）</w:t>
            </w:r>
          </w:p>
        </w:tc>
        <w:tc>
          <w:tcPr>
            <w:tcW w:w="22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16%</w:t>
            </w:r>
          </w:p>
        </w:tc>
        <w:tc>
          <w:tcPr>
            <w:tcW w:w="2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100万（不含）-500万（含）</w:t>
            </w:r>
          </w:p>
        </w:tc>
        <w:tc>
          <w:tcPr>
            <w:tcW w:w="22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14%</w:t>
            </w:r>
          </w:p>
        </w:tc>
        <w:tc>
          <w:tcPr>
            <w:tcW w:w="2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500万（不含）-1000万（含）</w:t>
            </w:r>
          </w:p>
        </w:tc>
        <w:tc>
          <w:tcPr>
            <w:tcW w:w="22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12%</w:t>
            </w:r>
          </w:p>
        </w:tc>
        <w:tc>
          <w:tcPr>
            <w:tcW w:w="2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1000万（不含）以上</w:t>
            </w:r>
          </w:p>
        </w:tc>
        <w:tc>
          <w:tcPr>
            <w:tcW w:w="22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9%</w:t>
            </w:r>
          </w:p>
        </w:tc>
        <w:tc>
          <w:tcPr>
            <w:tcW w:w="2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3分</w:t>
            </w:r>
          </w:p>
        </w:tc>
      </w:tr>
    </w:tbl>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注：该代理方式采取一案一议价的方式进行确定具体费率，根据不同案件标的额金额确定费率上限（100万元以下上限为16%、100万元-500万元上限为14%、500万元-1000万元上限为12%、1000万元以上上限为9%），如一笔150万元代理案件收回50万元，计算方式为500000*14%=70000元。</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10.2 一般代理模式：根据一般代理模式要求，不同案件确定律师代理费。</w:t>
      </w:r>
    </w:p>
    <w:tbl>
      <w:tblPr>
        <w:tblStyle w:val="5"/>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554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案件性质</w:t>
            </w:r>
          </w:p>
        </w:tc>
        <w:tc>
          <w:tcPr>
            <w:tcW w:w="55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报价限额</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价格分占比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贷款</w:t>
            </w:r>
          </w:p>
        </w:tc>
        <w:tc>
          <w:tcPr>
            <w:tcW w:w="55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2500元/笔+回款3%（回款3%为固定回款率）</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信用卡</w:t>
            </w:r>
          </w:p>
        </w:tc>
        <w:tc>
          <w:tcPr>
            <w:tcW w:w="55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1500元/笔+回款5%（回款5%为固定回款率）</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auto"/>
                <w:kern w:val="2"/>
                <w:sz w:val="24"/>
                <w:szCs w:val="24"/>
                <w:highlight w:val="none"/>
                <w:u w:val="none"/>
                <w:lang w:val="en-US" w:eastAsia="zh-CN" w:bidi="ar-SA"/>
              </w:rPr>
            </w:pPr>
            <w:r>
              <w:rPr>
                <w:rFonts w:hint="eastAsia" w:ascii="宋体" w:hAnsi="宋体" w:cs="宋体"/>
                <w:b w:val="0"/>
                <w:bCs w:val="0"/>
                <w:color w:val="auto"/>
                <w:kern w:val="2"/>
                <w:sz w:val="24"/>
                <w:szCs w:val="24"/>
                <w:highlight w:val="none"/>
                <w:u w:val="none"/>
                <w:lang w:val="en-US" w:eastAsia="zh-CN" w:bidi="ar-SA"/>
              </w:rPr>
              <w:t>6分</w:t>
            </w:r>
          </w:p>
        </w:tc>
      </w:tr>
    </w:tbl>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注：以上回款率为固定回款率，只需对单笔案件金额报价。</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Style w:val="7"/>
          <w:rFonts w:hint="eastAsia" w:ascii="宋体" w:hAnsi="宋体" w:eastAsia="宋体" w:cs="宋体"/>
          <w:b/>
          <w:bCs w:val="0"/>
          <w:color w:val="auto"/>
          <w:sz w:val="24"/>
          <w:szCs w:val="24"/>
          <w:highlight w:val="none"/>
        </w:rPr>
      </w:pPr>
      <w:r>
        <w:rPr>
          <w:rStyle w:val="7"/>
          <w:rFonts w:hint="eastAsia" w:ascii="宋体" w:hAnsi="宋体" w:eastAsia="宋体" w:cs="宋体"/>
          <w:b/>
          <w:bCs w:val="0"/>
          <w:color w:val="auto"/>
          <w:sz w:val="24"/>
          <w:szCs w:val="24"/>
          <w:highlight w:val="none"/>
        </w:rPr>
        <w:t>二、资金来源：</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本项目资金来源为：</w:t>
      </w:r>
      <w:r>
        <w:rPr>
          <w:rFonts w:hint="eastAsia" w:ascii="宋体" w:hAnsi="宋体" w:eastAsia="宋体" w:cs="宋体"/>
          <w:color w:val="auto"/>
          <w:sz w:val="24"/>
          <w:szCs w:val="24"/>
          <w:highlight w:val="none"/>
          <w:u w:val="none"/>
        </w:rPr>
        <w:t>企业自筹；</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firstLine="482"/>
        <w:textAlignment w:val="auto"/>
        <w:rPr>
          <w:rFonts w:hint="eastAsia" w:ascii="宋体" w:hAnsi="宋体" w:eastAsia="宋体" w:cs="宋体"/>
          <w:b/>
          <w:color w:val="auto"/>
          <w:sz w:val="24"/>
          <w:szCs w:val="24"/>
          <w:highlight w:val="none"/>
        </w:rPr>
      </w:pPr>
      <w:r>
        <w:rPr>
          <w:rStyle w:val="7"/>
          <w:rFonts w:hint="eastAsia" w:ascii="宋体" w:hAnsi="宋体" w:eastAsia="宋体" w:cs="宋体"/>
          <w:b/>
          <w:bCs w:val="0"/>
          <w:color w:val="auto"/>
          <w:sz w:val="24"/>
          <w:szCs w:val="24"/>
          <w:highlight w:val="none"/>
        </w:rPr>
        <w:t>三、</w:t>
      </w:r>
      <w:r>
        <w:rPr>
          <w:rFonts w:hint="eastAsia" w:ascii="宋体" w:hAnsi="宋体" w:eastAsia="宋体" w:cs="宋体"/>
          <w:b/>
          <w:color w:val="auto"/>
          <w:sz w:val="24"/>
          <w:szCs w:val="24"/>
          <w:highlight w:val="none"/>
        </w:rPr>
        <w:t>公开招标</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文件解释权：</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文件的最终解释权归采购人。</w:t>
      </w:r>
    </w:p>
    <w:p>
      <w:pPr>
        <w:keepNext w:val="0"/>
        <w:keepLines w:val="0"/>
        <w:pageBreakBefore w:val="0"/>
        <w:widowControl w:val="0"/>
        <w:numPr>
          <w:ilvl w:val="0"/>
          <w:numId w:val="1"/>
        </w:numPr>
        <w:kinsoku/>
        <w:wordWrap/>
        <w:overflowPunct/>
        <w:topLinePunct w:val="0"/>
        <w:autoSpaceDE/>
        <w:autoSpaceDN/>
        <w:bidi w:val="0"/>
        <w:adjustRightInd/>
        <w:snapToGrid/>
        <w:spacing w:before="120" w:beforeLines="50" w:after="120" w:afterLines="50" w:line="240" w:lineRule="auto"/>
        <w:ind w:firstLine="482"/>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供应商资格要求：</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1.投标人应为中华人民共和国境内（不含香港、澳门、台湾地区）法律上和财务上独立的法人或依法登记注册的组织，投标人合法运作并独立于招标人和招标代理机构，具备律师事务所执业许可证，并通过年检。</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2.本次招标不接受联合体。</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3.本次招标不接受代理商。</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4.律师事务所应具备以下条件：最近三年无重大违法违纪行为及不良记录，声誉良好提供承诺书并加盖公章。</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5.项目主办律师应具备以下条件：</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（1）持有有效的律师执业证；</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（2）擅长金融法律事务，理论功底扎实，实践经验丰富，提供承诺书并加盖公章；</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（3）职业道德良好，无违法违纪行为及不良记录，提供承诺书并加盖公章。</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函加盖投标单位公章。</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7.投标人不得存在下列情形之一（提供承诺函加盖投标单位公章）：</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（1）投标人被责令停业停产或破产状态的；</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（2）投标人财产被重组、接管、查封、扣押或冻结的；</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（3）投标人或其投标产品/服务被列入招标人供应商管理灰名单或黑名单，且在禁入期内被暂停或取消投标资格的；</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投标人近三年内在经营活动中有重大税收违法案件当事人名单或被中国政府采购网（www.ccgp.gov.cn）列入政府采购严重违法失信行为记录名单或被国家企业信用信息公示系统（www.gsxt.gov.cn）列入严重违法失信企业名单；</w:t>
      </w:r>
    </w:p>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（5）投标人（含其母子公司、关联公司）在邮储银行或邮政集团采购供货或服务中有不良记录的，其货物或服务在使用过程中出现过重大质量或安全问题且未妥善解决的。</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firstLine="482"/>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文件的获取：</w:t>
      </w:r>
    </w:p>
    <w:p>
      <w:pPr>
        <w:adjustRightInd w:val="0"/>
        <w:snapToGrid w:val="0"/>
        <w:spacing w:line="240" w:lineRule="auto"/>
        <w:ind w:firstLine="480"/>
        <w:jc w:val="left"/>
        <w:outlineLvl w:val="9"/>
        <w:rPr>
          <w:rFonts w:hint="eastAsia" w:ascii="宋体" w:hAnsi="宋体" w:eastAsia="宋体" w:cs="宋体"/>
          <w:color w:val="auto"/>
          <w:sz w:val="24"/>
          <w:szCs w:val="24"/>
        </w:rPr>
      </w:pPr>
      <w:bookmarkStart w:id="3" w:name="_Toc30048"/>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获取采购文件时间：</w:t>
      </w:r>
      <w:r>
        <w:rPr>
          <w:rFonts w:hint="eastAsia" w:ascii="宋体" w:hAnsi="宋体" w:eastAsia="宋体" w:cs="宋体"/>
          <w:color w:val="0000FF"/>
          <w:sz w:val="24"/>
          <w:szCs w:val="24"/>
        </w:rPr>
        <w:t>2023年</w:t>
      </w:r>
      <w:r>
        <w:rPr>
          <w:rFonts w:hint="eastAsia" w:ascii="宋体" w:hAnsi="宋体" w:cs="宋体"/>
          <w:color w:val="0000FF"/>
          <w:sz w:val="24"/>
          <w:szCs w:val="24"/>
          <w:lang w:val="en-US" w:eastAsia="zh-CN"/>
        </w:rPr>
        <w:t>9</w:t>
      </w:r>
      <w:r>
        <w:rPr>
          <w:rFonts w:hint="eastAsia" w:ascii="宋体" w:hAnsi="宋体" w:eastAsia="宋体" w:cs="宋体"/>
          <w:color w:val="0000FF"/>
          <w:sz w:val="24"/>
          <w:szCs w:val="24"/>
        </w:rPr>
        <w:t>月</w:t>
      </w:r>
      <w:r>
        <w:rPr>
          <w:rFonts w:hint="eastAsia" w:ascii="宋体" w:hAnsi="宋体" w:cs="宋体"/>
          <w:color w:val="0000FF"/>
          <w:sz w:val="24"/>
          <w:szCs w:val="24"/>
          <w:lang w:val="en-US" w:eastAsia="zh-CN"/>
        </w:rPr>
        <w:t>21</w:t>
      </w:r>
      <w:r>
        <w:rPr>
          <w:rFonts w:hint="eastAsia" w:ascii="宋体" w:hAnsi="宋体" w:eastAsia="宋体" w:cs="宋体"/>
          <w:color w:val="0000FF"/>
          <w:sz w:val="24"/>
          <w:szCs w:val="24"/>
        </w:rPr>
        <w:t>日09时00分至2023年</w:t>
      </w:r>
      <w:r>
        <w:rPr>
          <w:rFonts w:hint="eastAsia" w:ascii="宋体" w:hAnsi="宋体" w:cs="宋体"/>
          <w:color w:val="0000FF"/>
          <w:sz w:val="24"/>
          <w:szCs w:val="24"/>
          <w:lang w:val="en-US" w:eastAsia="zh-CN"/>
        </w:rPr>
        <w:t>9</w:t>
      </w:r>
      <w:r>
        <w:rPr>
          <w:rFonts w:hint="eastAsia" w:ascii="宋体" w:hAnsi="宋体" w:eastAsia="宋体" w:cs="宋体"/>
          <w:color w:val="0000FF"/>
          <w:sz w:val="24"/>
          <w:szCs w:val="24"/>
        </w:rPr>
        <w:t>月</w:t>
      </w:r>
      <w:r>
        <w:rPr>
          <w:rFonts w:hint="eastAsia" w:ascii="宋体" w:hAnsi="宋体" w:cs="宋体"/>
          <w:color w:val="0000FF"/>
          <w:sz w:val="24"/>
          <w:szCs w:val="24"/>
          <w:lang w:val="en-US" w:eastAsia="zh-CN"/>
        </w:rPr>
        <w:t>28</w:t>
      </w:r>
      <w:r>
        <w:rPr>
          <w:rFonts w:hint="eastAsia" w:ascii="宋体" w:hAnsi="宋体" w:eastAsia="宋体" w:cs="宋体"/>
          <w:color w:val="0000FF"/>
          <w:sz w:val="24"/>
          <w:szCs w:val="24"/>
        </w:rPr>
        <w:t>日17时00分</w:t>
      </w:r>
      <w:r>
        <w:rPr>
          <w:rFonts w:hint="eastAsia" w:ascii="宋体" w:hAnsi="宋体" w:eastAsia="宋体" w:cs="宋体"/>
          <w:color w:val="auto"/>
          <w:sz w:val="24"/>
          <w:szCs w:val="24"/>
        </w:rPr>
        <w:t>。</w:t>
      </w:r>
    </w:p>
    <w:p>
      <w:pPr>
        <w:adjustRightInd w:val="0"/>
        <w:snapToGrid w:val="0"/>
        <w:spacing w:line="240" w:lineRule="auto"/>
        <w:ind w:firstLine="480"/>
        <w:jc w:val="left"/>
        <w:outlineLvl w:val="9"/>
        <w:rPr>
          <w:rFonts w:hint="eastAsia" w:ascii="宋体" w:hAnsi="宋体" w:eastAsia="宋体" w:cs="宋体"/>
          <w:color w:val="auto"/>
          <w:sz w:val="24"/>
          <w:szCs w:val="24"/>
        </w:rPr>
      </w:pPr>
      <w:bookmarkStart w:id="4" w:name="_Toc302"/>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获取采购文件地点：鹏业云通建设咨询有限公司（贵州省贵阳市观山湖区高新区联合广场4号楼33层）</w:t>
      </w:r>
      <w:bookmarkEnd w:id="4"/>
    </w:p>
    <w:p>
      <w:pPr>
        <w:adjustRightInd w:val="0"/>
        <w:snapToGrid w:val="0"/>
        <w:spacing w:line="240" w:lineRule="auto"/>
        <w:ind w:firstLine="480"/>
        <w:jc w:val="left"/>
        <w:outlineLvl w:val="9"/>
        <w:rPr>
          <w:rFonts w:hint="eastAsia" w:ascii="宋体" w:hAnsi="宋体" w:eastAsia="宋体" w:cs="宋体"/>
          <w:color w:val="auto"/>
          <w:sz w:val="24"/>
          <w:szCs w:val="24"/>
          <w:lang w:val="en-US" w:eastAsia="zh-CN"/>
        </w:rPr>
      </w:pPr>
      <w:bookmarkStart w:id="5" w:name="_Toc19430"/>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文件售价：人民币500.00元（含电子文档）售后不退。</w:t>
      </w:r>
      <w:bookmarkEnd w:id="5"/>
    </w:p>
    <w:p>
      <w:pPr>
        <w:adjustRightInd w:val="0"/>
        <w:snapToGrid w:val="0"/>
        <w:spacing w:line="240" w:lineRule="auto"/>
        <w:ind w:firstLine="480"/>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获取方式：</w:t>
      </w:r>
      <w:r>
        <w:rPr>
          <w:rFonts w:hint="eastAsia" w:ascii="宋体" w:hAnsi="宋体" w:eastAsia="宋体" w:cs="宋体"/>
          <w:color w:val="auto"/>
          <w:sz w:val="24"/>
          <w:szCs w:val="24"/>
          <w:lang w:val="en-US" w:eastAsia="zh-CN"/>
        </w:rPr>
        <w:t>现场获取或网上获取。</w:t>
      </w:r>
    </w:p>
    <w:p>
      <w:pPr>
        <w:adjustRightInd w:val="0"/>
        <w:snapToGrid w:val="0"/>
        <w:spacing w:line="240" w:lineRule="auto"/>
        <w:ind w:firstLine="480"/>
        <w:jc w:val="left"/>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（1）现场获取所需资料</w:t>
      </w:r>
      <w:bookmarkEnd w:id="3"/>
      <w:r>
        <w:rPr>
          <w:rFonts w:hint="eastAsia" w:ascii="宋体" w:hAnsi="宋体" w:eastAsia="宋体" w:cs="宋体"/>
          <w:color w:val="auto"/>
          <w:sz w:val="24"/>
          <w:szCs w:val="24"/>
          <w:lang w:eastAsia="zh-CN"/>
        </w:rPr>
        <w:t>：①律</w:t>
      </w:r>
      <w:r>
        <w:rPr>
          <w:rFonts w:hint="eastAsia" w:ascii="宋体" w:hAnsi="宋体" w:eastAsia="宋体" w:cs="宋体"/>
          <w:color w:val="auto"/>
          <w:sz w:val="24"/>
          <w:szCs w:val="24"/>
          <w:highlight w:val="none"/>
          <w:u w:val="none"/>
          <w:lang w:val="en-US" w:eastAsia="zh-CN"/>
        </w:rPr>
        <w:t>师事务所执业许可证</w:t>
      </w:r>
      <w:r>
        <w:rPr>
          <w:rFonts w:hint="eastAsia" w:ascii="宋体" w:hAnsi="宋体" w:eastAsia="宋体" w:cs="宋体"/>
          <w:color w:val="auto"/>
          <w:sz w:val="24"/>
          <w:szCs w:val="24"/>
          <w:lang w:eastAsia="zh-CN"/>
        </w:rPr>
        <w:t>复印件，②负责人身份证明原件</w:t>
      </w:r>
      <w:r>
        <w:rPr>
          <w:rFonts w:hint="eastAsia" w:ascii="宋体" w:hAnsi="宋体" w:eastAsia="宋体" w:cs="宋体"/>
          <w:b/>
          <w:bCs/>
          <w:color w:val="auto"/>
          <w:sz w:val="24"/>
          <w:szCs w:val="24"/>
          <w:lang w:eastAsia="zh-CN"/>
        </w:rPr>
        <w:t>或</w:t>
      </w:r>
      <w:r>
        <w:rPr>
          <w:rFonts w:hint="eastAsia" w:ascii="宋体" w:hAnsi="宋体" w:eastAsia="宋体" w:cs="宋体"/>
          <w:color w:val="auto"/>
          <w:sz w:val="24"/>
          <w:szCs w:val="24"/>
          <w:lang w:eastAsia="zh-CN"/>
        </w:rPr>
        <w:t>授权委托书原件及本人身份证原件（需加盖投标单位公章）。</w:t>
      </w:r>
    </w:p>
    <w:p>
      <w:pPr>
        <w:adjustRightInd w:val="0"/>
        <w:snapToGrid w:val="0"/>
        <w:spacing w:line="240" w:lineRule="auto"/>
        <w:ind w:firstLine="480"/>
        <w:jc w:val="left"/>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）网上获取所需资料：律</w:t>
      </w:r>
      <w:r>
        <w:rPr>
          <w:rFonts w:hint="eastAsia" w:ascii="宋体" w:hAnsi="宋体" w:eastAsia="宋体" w:cs="宋体"/>
          <w:color w:val="auto"/>
          <w:sz w:val="24"/>
          <w:szCs w:val="24"/>
          <w:highlight w:val="none"/>
          <w:u w:val="none"/>
          <w:lang w:val="en-US" w:eastAsia="zh-CN"/>
        </w:rPr>
        <w:t>师事务所执业许可证</w:t>
      </w:r>
      <w:r>
        <w:rPr>
          <w:rFonts w:hint="eastAsia" w:ascii="宋体" w:hAnsi="宋体" w:eastAsia="宋体" w:cs="宋体"/>
          <w:color w:val="auto"/>
          <w:sz w:val="24"/>
          <w:szCs w:val="24"/>
          <w:lang w:eastAsia="zh-CN"/>
        </w:rPr>
        <w:t>、负责人身份证明原件或授权委托书原件及本人身份证原件（需加盖投标单位公章的扫描件）（以上资料扫描成一个PDF文档）发至代理机构电子邮箱：</w:t>
      </w:r>
      <w:r>
        <w:rPr>
          <w:rFonts w:hint="eastAsia" w:ascii="宋体" w:hAnsi="宋体" w:cs="宋体"/>
          <w:color w:val="auto"/>
          <w:sz w:val="24"/>
          <w:szCs w:val="24"/>
          <w:lang w:val="en-US" w:eastAsia="zh-CN"/>
        </w:rPr>
        <w:t>1507508832</w:t>
      </w:r>
      <w:r>
        <w:rPr>
          <w:rFonts w:hint="eastAsia" w:ascii="宋体" w:hAnsi="宋体" w:eastAsia="宋体" w:cs="宋体"/>
          <w:color w:val="auto"/>
          <w:sz w:val="24"/>
          <w:szCs w:val="24"/>
          <w:lang w:eastAsia="zh-CN"/>
        </w:rPr>
        <w:t>@qq.com（邮件以项目编号、联系人姓名、联系人手机号、投标单位名称进行命名，收到采购文件即为获取成功）。</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投标文件递交的截止时间：</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投标文件递交的截止时间为</w:t>
      </w:r>
      <w:r>
        <w:rPr>
          <w:rFonts w:hint="eastAsia" w:ascii="宋体" w:hAnsi="宋体" w:eastAsia="宋体" w:cs="宋体"/>
          <w:color w:val="0000FF"/>
          <w:sz w:val="24"/>
          <w:szCs w:val="24"/>
          <w:highlight w:val="none"/>
          <w:lang w:val="en-US" w:eastAsia="zh-CN"/>
        </w:rPr>
        <w:t>2023年</w:t>
      </w:r>
      <w:r>
        <w:rPr>
          <w:rFonts w:hint="eastAsia" w:ascii="宋体" w:hAnsi="宋体" w:cs="宋体"/>
          <w:color w:val="0000FF"/>
          <w:sz w:val="24"/>
          <w:szCs w:val="24"/>
          <w:highlight w:val="none"/>
          <w:lang w:val="en-US" w:eastAsia="zh-CN"/>
        </w:rPr>
        <w:t>10</w:t>
      </w:r>
      <w:r>
        <w:rPr>
          <w:rFonts w:hint="eastAsia" w:ascii="宋体" w:hAnsi="宋体" w:eastAsia="宋体" w:cs="宋体"/>
          <w:color w:val="0000FF"/>
          <w:sz w:val="24"/>
          <w:szCs w:val="24"/>
          <w:highlight w:val="none"/>
          <w:lang w:val="en-US" w:eastAsia="zh-CN"/>
        </w:rPr>
        <w:t>月</w:t>
      </w:r>
      <w:r>
        <w:rPr>
          <w:rFonts w:hint="eastAsia" w:ascii="宋体" w:hAnsi="宋体" w:cs="宋体"/>
          <w:color w:val="0000FF"/>
          <w:sz w:val="24"/>
          <w:szCs w:val="24"/>
          <w:highlight w:val="none"/>
          <w:lang w:val="en-US" w:eastAsia="zh-CN"/>
        </w:rPr>
        <w:t>12</w:t>
      </w:r>
      <w:r>
        <w:rPr>
          <w:rFonts w:hint="eastAsia" w:ascii="宋体" w:hAnsi="宋体" w:eastAsia="宋体" w:cs="宋体"/>
          <w:color w:val="0000FF"/>
          <w:sz w:val="24"/>
          <w:szCs w:val="24"/>
          <w:highlight w:val="none"/>
          <w:lang w:val="en-US" w:eastAsia="zh-CN"/>
        </w:rPr>
        <w:t>日1</w:t>
      </w:r>
      <w:r>
        <w:rPr>
          <w:rFonts w:hint="eastAsia" w:ascii="宋体" w:hAnsi="宋体" w:cs="宋体"/>
          <w:color w:val="0000FF"/>
          <w:sz w:val="24"/>
          <w:szCs w:val="24"/>
          <w:highlight w:val="none"/>
          <w:lang w:val="en-US" w:eastAsia="zh-CN"/>
        </w:rPr>
        <w:t>4</w:t>
      </w:r>
      <w:r>
        <w:rPr>
          <w:rFonts w:hint="eastAsia" w:ascii="宋体" w:hAnsi="宋体" w:eastAsia="宋体" w:cs="宋体"/>
          <w:color w:val="0000FF"/>
          <w:sz w:val="24"/>
          <w:szCs w:val="24"/>
          <w:highlight w:val="none"/>
          <w:lang w:val="en-US" w:eastAsia="zh-CN"/>
        </w:rPr>
        <w:t>时00分</w:t>
      </w:r>
      <w:r>
        <w:rPr>
          <w:rFonts w:hint="eastAsia" w:ascii="宋体" w:hAnsi="宋体" w:eastAsia="宋体" w:cs="宋体"/>
          <w:color w:val="auto"/>
          <w:sz w:val="24"/>
          <w:szCs w:val="24"/>
          <w:highlight w:val="none"/>
          <w:lang w:val="en-US" w:eastAsia="zh-CN"/>
        </w:rPr>
        <w:t>，地点：贵州省贵阳市观山湖区高新区联合广场4号楼M层。</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逾期送达的或者未送达指定地点的投标文件，采购人不予受理。</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firstLine="482"/>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发布公告的媒介：</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firstLine="482"/>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本次招标公告同时在</w:t>
      </w:r>
      <w:r>
        <w:rPr>
          <w:rFonts w:hint="eastAsia" w:ascii="宋体" w:hAnsi="宋体" w:eastAsia="宋体" w:cs="宋体"/>
          <w:b w:val="0"/>
          <w:bCs w:val="0"/>
          <w:color w:val="auto"/>
          <w:sz w:val="24"/>
          <w:szCs w:val="24"/>
          <w:highlight w:val="none"/>
          <w:u w:val="single"/>
        </w:rPr>
        <w:t>中国邮政网、中国金融集中采购网</w:t>
      </w:r>
      <w:r>
        <w:rPr>
          <w:rFonts w:hint="eastAsia" w:ascii="宋体" w:hAnsi="宋体" w:eastAsia="宋体" w:cs="宋体"/>
          <w:b w:val="0"/>
          <w:bCs w:val="0"/>
          <w:color w:val="auto"/>
          <w:sz w:val="24"/>
          <w:szCs w:val="24"/>
          <w:highlight w:val="none"/>
          <w:u w:val="single"/>
          <w:lang w:eastAsia="zh-CN"/>
        </w:rPr>
        <w:t>（金采网）</w:t>
      </w:r>
      <w:r>
        <w:rPr>
          <w:rFonts w:hint="eastAsia" w:ascii="宋体" w:hAnsi="宋体" w:eastAsia="宋体" w:cs="宋体"/>
          <w:b w:val="0"/>
          <w:bCs w:val="0"/>
          <w:color w:val="auto"/>
          <w:sz w:val="24"/>
          <w:szCs w:val="24"/>
          <w:highlight w:val="none"/>
          <w:u w:val="single"/>
        </w:rPr>
        <w:t>、贵州省招标投标公共服务平台</w:t>
      </w:r>
      <w:r>
        <w:rPr>
          <w:rFonts w:hint="eastAsia" w:ascii="宋体" w:hAnsi="宋体" w:eastAsia="宋体" w:cs="宋体"/>
          <w:b w:val="0"/>
          <w:bCs w:val="0"/>
          <w:color w:val="auto"/>
          <w:sz w:val="24"/>
          <w:szCs w:val="24"/>
          <w:highlight w:val="none"/>
        </w:rPr>
        <w:t>上发布（转载无效）。</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firstLine="482"/>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、采购人</w:t>
      </w:r>
      <w:r>
        <w:rPr>
          <w:rFonts w:hint="eastAsia" w:ascii="宋体" w:hAnsi="宋体" w:eastAsia="宋体" w:cs="宋体"/>
          <w:b/>
          <w:bCs/>
          <w:color w:val="auto"/>
          <w:sz w:val="24"/>
          <w:szCs w:val="24"/>
          <w:highlight w:val="none"/>
          <w:lang w:eastAsia="zh-CN"/>
        </w:rPr>
        <w:t>及代理机构信息</w:t>
      </w:r>
      <w:r>
        <w:rPr>
          <w:rFonts w:hint="eastAsia" w:ascii="宋体" w:hAnsi="宋体" w:eastAsia="宋体" w:cs="宋体"/>
          <w:b/>
          <w:bCs/>
          <w:color w:val="auto"/>
          <w:sz w:val="24"/>
          <w:szCs w:val="24"/>
          <w:highlight w:val="none"/>
        </w:rPr>
        <w:t>：</w:t>
      </w:r>
    </w:p>
    <w:tbl>
      <w:tblPr>
        <w:tblStyle w:val="4"/>
        <w:tblW w:w="9119" w:type="dxa"/>
        <w:jc w:val="center"/>
        <w:tblLayout w:type="fixed"/>
        <w:tblCellMar>
          <w:top w:w="0" w:type="dxa"/>
          <w:left w:w="108" w:type="dxa"/>
          <w:bottom w:w="0" w:type="dxa"/>
          <w:right w:w="108" w:type="dxa"/>
        </w:tblCellMar>
      </w:tblPr>
      <w:tblGrid>
        <w:gridCol w:w="4647"/>
        <w:gridCol w:w="4472"/>
      </w:tblGrid>
      <w:tr>
        <w:tblPrEx>
          <w:tblCellMar>
            <w:top w:w="0" w:type="dxa"/>
            <w:left w:w="108" w:type="dxa"/>
            <w:bottom w:w="0" w:type="dxa"/>
            <w:right w:w="108" w:type="dxa"/>
          </w:tblCellMar>
        </w:tblPrEx>
        <w:trPr>
          <w:trHeight w:val="405" w:hRule="atLeast"/>
          <w:jc w:val="center"/>
        </w:trPr>
        <w:tc>
          <w:tcPr>
            <w:tcW w:w="4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中国邮政储蓄银行安顺市分行</w:t>
            </w:r>
          </w:p>
        </w:tc>
        <w:tc>
          <w:tcPr>
            <w:tcW w:w="4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rPr>
              <w:t>鹏业云通建设咨询有限公司</w:t>
            </w:r>
          </w:p>
        </w:tc>
      </w:tr>
      <w:tr>
        <w:tblPrEx>
          <w:tblCellMar>
            <w:top w:w="0" w:type="dxa"/>
            <w:left w:w="108" w:type="dxa"/>
            <w:bottom w:w="0" w:type="dxa"/>
            <w:right w:w="108" w:type="dxa"/>
          </w:tblCellMar>
        </w:tblPrEx>
        <w:trPr>
          <w:trHeight w:val="896" w:hRule="atLeast"/>
          <w:jc w:val="center"/>
        </w:trPr>
        <w:tc>
          <w:tcPr>
            <w:tcW w:w="4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贵州省安顺市西秀区东关龙青路中段龙凤花园5号楼1层</w:t>
            </w:r>
          </w:p>
        </w:tc>
        <w:tc>
          <w:tcPr>
            <w:tcW w:w="4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地址：贵阳市观山湖区毕节路 58 号联合广场4号楼33层</w:t>
            </w:r>
          </w:p>
        </w:tc>
      </w:tr>
      <w:tr>
        <w:tblPrEx>
          <w:tblCellMar>
            <w:top w:w="0" w:type="dxa"/>
            <w:left w:w="108" w:type="dxa"/>
            <w:bottom w:w="0" w:type="dxa"/>
            <w:right w:w="108" w:type="dxa"/>
          </w:tblCellMar>
        </w:tblPrEx>
        <w:trPr>
          <w:trHeight w:val="405" w:hRule="atLeast"/>
          <w:jc w:val="center"/>
        </w:trPr>
        <w:tc>
          <w:tcPr>
            <w:tcW w:w="4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李老师</w:t>
            </w:r>
          </w:p>
        </w:tc>
        <w:tc>
          <w:tcPr>
            <w:tcW w:w="4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杨答</w:t>
            </w:r>
          </w:p>
        </w:tc>
      </w:tr>
      <w:tr>
        <w:tblPrEx>
          <w:tblCellMar>
            <w:top w:w="0" w:type="dxa"/>
            <w:left w:w="108" w:type="dxa"/>
            <w:bottom w:w="0" w:type="dxa"/>
            <w:right w:w="108" w:type="dxa"/>
          </w:tblCellMar>
        </w:tblPrEx>
        <w:trPr>
          <w:trHeight w:val="418" w:hRule="atLeast"/>
          <w:jc w:val="center"/>
        </w:trPr>
        <w:tc>
          <w:tcPr>
            <w:tcW w:w="4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0851-</w:t>
            </w:r>
            <w:r>
              <w:rPr>
                <w:rFonts w:hint="eastAsia" w:ascii="宋体" w:hAnsi="宋体" w:eastAsia="宋体" w:cs="宋体"/>
                <w:color w:val="auto"/>
                <w:sz w:val="24"/>
                <w:szCs w:val="24"/>
                <w:highlight w:val="none"/>
                <w:lang w:val="en-US" w:eastAsia="zh-CN"/>
              </w:rPr>
              <w:t>33237010</w:t>
            </w:r>
          </w:p>
        </w:tc>
        <w:tc>
          <w:tcPr>
            <w:tcW w:w="4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lang w:eastAsia="zh-CN"/>
              </w:rPr>
              <w:t>0851-86782308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18385683800</w:t>
            </w:r>
          </w:p>
        </w:tc>
      </w:tr>
      <w:bookmarkEnd w:id="0"/>
    </w:tbl>
    <w:p/>
    <w:sectPr>
      <w:pgSz w:w="11906" w:h="16838"/>
      <w:pgMar w:top="1157" w:right="1080" w:bottom="1157"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81859"/>
    <w:multiLevelType w:val="singleLevel"/>
    <w:tmpl w:val="CD78185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YThlMmM5NzBmODVmZTAzMTFhYmQ4MmYxMjc3ZmUifQ=="/>
  </w:docVars>
  <w:rsids>
    <w:rsidRoot w:val="7F840666"/>
    <w:rsid w:val="2F902D24"/>
    <w:rsid w:val="5892521E"/>
    <w:rsid w:val="73D76BC6"/>
    <w:rsid w:val="7F84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style>
  <w:style w:type="paragraph" w:customStyle="1" w:styleId="3">
    <w:name w:val="Body Text Indent1"/>
    <w:basedOn w:val="1"/>
    <w:qFormat/>
    <w:uiPriority w:val="0"/>
    <w:pPr>
      <w:spacing w:line="500" w:lineRule="exact"/>
      <w:ind w:left="0" w:leftChars="0" w:firstLine="880" w:firstLineChars="200"/>
    </w:pPr>
    <w:rPr>
      <w:rFonts w:ascii="Times New Roman" w:hAnsi="Times New Roman" w:eastAsia="宋体"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99"/>
    <w:rPr>
      <w:rFonts w:ascii="Times New Roman" w:hAnsi="Times New Roman" w:eastAsia="黑体" w:cs="Times New Roman"/>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2065</Words>
  <Characters>2291</Characters>
  <Lines>0</Lines>
  <Paragraphs>0</Paragraphs>
  <TotalTime>43</TotalTime>
  <ScaleCrop>false</ScaleCrop>
  <LinksUpToDate>false</LinksUpToDate>
  <CharactersWithSpaces>2295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2023-08-10T09:31:00Z</dcterms:created>
  <dc:creator>18285033814</dc:creator>
  <cp:lastModifiedBy>18285033814</cp:lastModifiedBy>
  <dcterms:modified xsi:type="dcterms:W3CDTF">2023-09-19T06:51:03Z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690C39978985483C9BB9F01F5C43EDAF_11</vt:lpwstr>
  </property>
</Properties>
</file>