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pPr>
    </w:p>
    <w:p>
      <w:pPr>
        <w:spacing w:line="360" w:lineRule="auto"/>
        <w:ind w:firstLine="0" w:firstLineChars="0"/>
        <w:jc w:val="center"/>
        <w:rPr>
          <w:rFonts w:hint="eastAsia" w:eastAsia="黑体"/>
          <w:sz w:val="36"/>
          <w:szCs w:val="22"/>
          <w:u w:val="single"/>
        </w:rPr>
      </w:pPr>
      <w:r>
        <w:rPr>
          <w:rFonts w:hint="eastAsia" w:eastAsia="黑体"/>
          <w:sz w:val="36"/>
          <w:szCs w:val="22"/>
          <w:u w:val="single"/>
        </w:rPr>
        <w:t>玉环分公司输吸水胶管等物资采购（R）</w:t>
      </w:r>
      <w:bookmarkStart w:id="7" w:name="_GoBack"/>
      <w:bookmarkEnd w:id="7"/>
    </w:p>
    <w:p>
      <w:pPr>
        <w:spacing w:line="360" w:lineRule="auto"/>
        <w:ind w:firstLine="0" w:firstLineChars="0"/>
        <w:jc w:val="center"/>
        <w:rPr>
          <w:rFonts w:eastAsia="黑体"/>
          <w:sz w:val="36"/>
          <w:szCs w:val="22"/>
        </w:rPr>
      </w:pPr>
      <w:r>
        <w:rPr>
          <w:rFonts w:hint="eastAsia" w:eastAsia="黑体"/>
          <w:sz w:val="36"/>
          <w:szCs w:val="22"/>
        </w:rPr>
        <w:t>询价</w:t>
      </w:r>
      <w:r>
        <w:rPr>
          <w:rFonts w:eastAsia="黑体"/>
          <w:sz w:val="36"/>
          <w:szCs w:val="22"/>
        </w:rPr>
        <w:t>公告</w:t>
      </w:r>
    </w:p>
    <w:p>
      <w:pPr>
        <w:spacing w:before="120"/>
        <w:ind w:firstLine="0" w:firstLineChars="0"/>
      </w:pPr>
    </w:p>
    <w:p>
      <w:pPr>
        <w:pStyle w:val="4"/>
        <w:spacing w:before="156"/>
      </w:pPr>
      <w:bookmarkStart w:id="0" w:name="_Toc369531507"/>
      <w:bookmarkEnd w:id="0"/>
      <w:bookmarkStart w:id="1" w:name="_Toc384308199"/>
      <w:bookmarkEnd w:id="1"/>
      <w:bookmarkStart w:id="2" w:name="_Toc18885"/>
      <w:bookmarkEnd w:id="2"/>
      <w:bookmarkStart w:id="3" w:name="_Toc352691465"/>
      <w:bookmarkEnd w:id="3"/>
      <w:bookmarkStart w:id="4" w:name="_Toc361508574"/>
      <w:bookmarkEnd w:id="4"/>
      <w:bookmarkStart w:id="5" w:name="_Toc384308200"/>
      <w:bookmarkStart w:id="6" w:name="_Toc361508575"/>
      <w:r>
        <w:rPr>
          <w:rFonts w:hint="eastAsia"/>
        </w:rPr>
        <w:t>一、</w:t>
      </w:r>
      <w:r>
        <w:t>项目介绍</w:t>
      </w:r>
    </w:p>
    <w:p>
      <w:pPr>
        <w:ind w:firstLine="480"/>
        <w:rPr>
          <w:rFonts w:ascii="宋体" w:hAnsi="宋体" w:cs="宋体"/>
          <w:szCs w:val="24"/>
        </w:rPr>
      </w:pPr>
      <w:r>
        <w:rPr>
          <w:rFonts w:hint="eastAsia" w:ascii="宋体" w:hAnsi="宋体" w:cs="宋体"/>
          <w:szCs w:val="24"/>
        </w:rPr>
        <w:t>1.</w:t>
      </w:r>
      <w:r>
        <w:rPr>
          <w:rFonts w:ascii="宋体" w:hAnsi="宋体" w:cs="宋体"/>
          <w:szCs w:val="24"/>
        </w:rPr>
        <w:t xml:space="preserve"> </w:t>
      </w:r>
      <w:r>
        <w:rPr>
          <w:rFonts w:hint="eastAsia" w:ascii="宋体" w:hAnsi="宋体" w:cs="宋体"/>
          <w:szCs w:val="24"/>
        </w:rPr>
        <w:t>项目概况：</w:t>
      </w:r>
      <w:r>
        <w:rPr>
          <w:rFonts w:hint="eastAsia" w:ascii="宋体" w:hAnsi="宋体" w:cs="宋体"/>
          <w:szCs w:val="24"/>
          <w:u w:val="single"/>
          <w:lang w:eastAsia="zh-CN"/>
        </w:rPr>
        <w:t>见华能电子商务平台</w:t>
      </w:r>
      <w:r>
        <w:rPr>
          <w:rFonts w:hint="eastAsia" w:ascii="宋体" w:hAnsi="宋体" w:cs="宋体"/>
          <w:szCs w:val="24"/>
        </w:rPr>
        <w:t>。</w:t>
      </w:r>
    </w:p>
    <w:p>
      <w:pPr>
        <w:ind w:firstLine="480"/>
        <w:rPr>
          <w:rFonts w:ascii="宋体" w:hAnsi="宋体" w:cs="宋体"/>
          <w:szCs w:val="24"/>
        </w:rPr>
      </w:pPr>
      <w:r>
        <w:rPr>
          <w:rFonts w:hint="eastAsia" w:ascii="宋体" w:hAnsi="宋体" w:cs="宋体"/>
          <w:szCs w:val="24"/>
        </w:rPr>
        <w:t>2.</w:t>
      </w:r>
      <w:r>
        <w:rPr>
          <w:rFonts w:ascii="宋体" w:hAnsi="宋体" w:cs="宋体"/>
          <w:szCs w:val="24"/>
        </w:rPr>
        <w:t xml:space="preserve"> </w:t>
      </w:r>
      <w:r>
        <w:rPr>
          <w:rFonts w:hint="eastAsia" w:ascii="宋体" w:hAnsi="宋体" w:cs="宋体"/>
          <w:szCs w:val="24"/>
        </w:rPr>
        <w:t>交货/施工/服务地点：</w:t>
      </w:r>
      <w:r>
        <w:rPr>
          <w:rFonts w:hint="eastAsia" w:ascii="宋体" w:hAnsi="宋体" w:cs="宋体"/>
          <w:szCs w:val="24"/>
          <w:u w:val="single"/>
          <w:lang w:eastAsia="zh-CN"/>
        </w:rPr>
        <w:t>浙江省玉环市华能玉环电厂物资站</w:t>
      </w:r>
      <w:r>
        <w:rPr>
          <w:rFonts w:hint="eastAsia" w:ascii="宋体" w:hAnsi="宋体" w:cs="宋体"/>
          <w:szCs w:val="24"/>
        </w:rPr>
        <w:t>。</w:t>
      </w:r>
    </w:p>
    <w:p>
      <w:pPr>
        <w:ind w:firstLine="480"/>
        <w:rPr>
          <w:rFonts w:ascii="宋体" w:hAnsi="宋体" w:cs="宋体"/>
          <w:szCs w:val="24"/>
        </w:rPr>
      </w:pPr>
      <w:r>
        <w:rPr>
          <w:rFonts w:hint="eastAsia" w:ascii="宋体" w:hAnsi="宋体" w:cs="宋体"/>
          <w:szCs w:val="24"/>
        </w:rPr>
        <w:t>3.</w:t>
      </w:r>
      <w:r>
        <w:rPr>
          <w:rFonts w:ascii="宋体" w:hAnsi="宋体" w:cs="宋体"/>
          <w:szCs w:val="24"/>
        </w:rPr>
        <w:t xml:space="preserve"> </w:t>
      </w:r>
      <w:r>
        <w:rPr>
          <w:rFonts w:hint="eastAsia" w:ascii="宋体" w:hAnsi="宋体" w:cs="宋体"/>
          <w:szCs w:val="24"/>
        </w:rPr>
        <w:t>采购内容：</w:t>
      </w:r>
      <w:r>
        <w:rPr>
          <w:rFonts w:hint="eastAsia" w:ascii="宋体" w:hAnsi="宋体" w:cs="宋体"/>
          <w:szCs w:val="24"/>
          <w:u w:val="single"/>
          <w:lang w:eastAsia="zh-CN"/>
        </w:rPr>
        <w:t>见华能电子商务平台</w:t>
      </w:r>
      <w:r>
        <w:rPr>
          <w:rFonts w:hint="eastAsia" w:ascii="宋体" w:hAnsi="宋体" w:cs="宋体"/>
          <w:szCs w:val="24"/>
        </w:rPr>
        <w:t>。</w:t>
      </w:r>
    </w:p>
    <w:p>
      <w:pPr>
        <w:ind w:firstLine="480"/>
        <w:rPr>
          <w:rFonts w:ascii="宋体" w:hAnsi="宋体" w:cs="宋体"/>
          <w:szCs w:val="24"/>
        </w:rPr>
      </w:pPr>
      <w:r>
        <w:rPr>
          <w:rFonts w:hint="eastAsia" w:ascii="宋体" w:hAnsi="宋体" w:cs="宋体"/>
          <w:szCs w:val="24"/>
        </w:rPr>
        <w:t>4.</w:t>
      </w:r>
      <w:r>
        <w:rPr>
          <w:rFonts w:ascii="宋体" w:hAnsi="宋体" w:cs="宋体"/>
          <w:szCs w:val="24"/>
        </w:rPr>
        <w:t xml:space="preserve"> </w:t>
      </w:r>
      <w:r>
        <w:rPr>
          <w:rFonts w:hint="eastAsia" w:ascii="宋体" w:hAnsi="宋体" w:cs="宋体"/>
          <w:szCs w:val="24"/>
        </w:rPr>
        <w:t>交货期/施工期/服务期：</w:t>
      </w:r>
      <w:r>
        <w:rPr>
          <w:rFonts w:hint="eastAsia" w:ascii="宋体" w:hAnsi="宋体" w:cs="宋体"/>
          <w:szCs w:val="24"/>
          <w:u w:val="single"/>
          <w:lang w:eastAsia="zh-CN"/>
        </w:rPr>
        <w:t>见华能电子商务平台</w:t>
      </w:r>
      <w:r>
        <w:rPr>
          <w:rFonts w:hint="eastAsia" w:ascii="宋体" w:hAnsi="宋体" w:cs="宋体"/>
          <w:szCs w:val="24"/>
        </w:rPr>
        <w:t>。</w:t>
      </w:r>
    </w:p>
    <w:p>
      <w:pPr>
        <w:ind w:firstLine="480"/>
        <w:rPr>
          <w:rFonts w:ascii="宋体" w:hAnsi="宋体" w:cs="宋体"/>
          <w:szCs w:val="24"/>
        </w:rPr>
      </w:pPr>
      <w:r>
        <w:rPr>
          <w:rFonts w:hint="eastAsia" w:ascii="宋体" w:hAnsi="宋体" w:cs="宋体"/>
          <w:szCs w:val="24"/>
        </w:rPr>
        <w:t>5</w:t>
      </w:r>
      <w:r>
        <w:rPr>
          <w:rFonts w:ascii="宋体" w:hAnsi="宋体" w:cs="宋体"/>
          <w:szCs w:val="24"/>
        </w:rPr>
        <w:t xml:space="preserve">. </w:t>
      </w:r>
      <w:r>
        <w:rPr>
          <w:rFonts w:hint="eastAsia" w:ascii="宋体" w:hAnsi="宋体" w:cs="宋体"/>
          <w:szCs w:val="24"/>
        </w:rPr>
        <w:t>其他需要说明内容：</w:t>
      </w:r>
      <w:r>
        <w:rPr>
          <w:rFonts w:hint="eastAsia" w:ascii="宋体" w:hAnsi="宋体" w:cs="宋体"/>
          <w:szCs w:val="24"/>
          <w:u w:val="single"/>
        </w:rPr>
        <w:t xml:space="preserve"> </w:t>
      </w:r>
      <w:r>
        <w:rPr>
          <w:rFonts w:ascii="宋体" w:hAnsi="宋体" w:cs="宋体"/>
          <w:szCs w:val="24"/>
          <w:u w:val="single"/>
        </w:rPr>
        <w:t xml:space="preserve">        </w:t>
      </w:r>
      <w:r>
        <w:rPr>
          <w:rFonts w:hint="eastAsia" w:ascii="宋体" w:hAnsi="宋体" w:cs="宋体"/>
          <w:szCs w:val="24"/>
          <w:u w:val="single"/>
          <w:lang w:val="en-US" w:eastAsia="zh-CN"/>
        </w:rPr>
        <w:t>/</w:t>
      </w:r>
      <w:r>
        <w:rPr>
          <w:rFonts w:ascii="宋体" w:hAnsi="宋体" w:cs="宋体"/>
          <w:szCs w:val="24"/>
          <w:u w:val="single"/>
        </w:rPr>
        <w:t xml:space="preserve">              </w:t>
      </w:r>
      <w:r>
        <w:rPr>
          <w:rFonts w:hint="eastAsia" w:ascii="宋体" w:hAnsi="宋体" w:cs="宋体"/>
          <w:szCs w:val="24"/>
        </w:rPr>
        <w:t>。</w:t>
      </w:r>
    </w:p>
    <w:p>
      <w:pPr>
        <w:pStyle w:val="4"/>
        <w:spacing w:before="156"/>
      </w:pPr>
      <w:r>
        <w:rPr>
          <w:rFonts w:hint="eastAsia"/>
        </w:rPr>
        <w:t>二、报价须知</w:t>
      </w:r>
    </w:p>
    <w:p>
      <w:pPr>
        <w:ind w:firstLine="480"/>
      </w:pPr>
      <w:r>
        <w:t xml:space="preserve">1. </w:t>
      </w:r>
      <w:r>
        <w:rPr>
          <w:rFonts w:hint="eastAsia"/>
        </w:rPr>
        <w:t>供应商资格要求：</w:t>
      </w:r>
    </w:p>
    <w:p>
      <w:pPr>
        <w:ind w:firstLine="480"/>
        <w:jc w:val="left"/>
      </w:pPr>
      <w:r>
        <w:rPr>
          <w:rFonts w:hint="eastAsia"/>
        </w:rPr>
        <w:t>（1）供应商须为华能集团供应商库内合格供应商，且未处于暂停参加采购活动的处罚期限内，满足供应商参与业务的权限。</w:t>
      </w:r>
    </w:p>
    <w:p>
      <w:pPr>
        <w:ind w:firstLine="480"/>
        <w:jc w:val="left"/>
      </w:pPr>
      <w:r>
        <w:rPr>
          <w:rFonts w:hint="eastAsia"/>
        </w:rPr>
        <w:t>（</w:t>
      </w:r>
      <w:r>
        <w:t>2</w:t>
      </w:r>
      <w:r>
        <w:rPr>
          <w:rFonts w:hint="eastAsia"/>
        </w:rPr>
        <w:t>）近三年没有严重违约，没有经鉴定部门认定的因其产品/服务/工程引起的重大及以上质量事故或重大及以上安全事故；</w:t>
      </w:r>
    </w:p>
    <w:p>
      <w:pPr>
        <w:ind w:firstLine="480"/>
        <w:jc w:val="left"/>
      </w:pPr>
      <w:r>
        <w:rPr>
          <w:rFonts w:hint="eastAsia"/>
        </w:rPr>
        <w:t>（</w:t>
      </w:r>
      <w:r>
        <w:t>3</w:t>
      </w:r>
      <w:r>
        <w:rPr>
          <w:rFonts w:hint="eastAsia"/>
        </w:rPr>
        <w:t>）未被市场监督管理部门在全国企业信用信息公示系统中列入经营异常名录或者严重违法企业名单；</w:t>
      </w:r>
    </w:p>
    <w:p>
      <w:pPr>
        <w:ind w:firstLine="480"/>
        <w:jc w:val="left"/>
      </w:pPr>
      <w:r>
        <w:rPr>
          <w:rFonts w:hint="eastAsia"/>
        </w:rPr>
        <w:t>（</w:t>
      </w:r>
      <w:r>
        <w:t>4</w:t>
      </w:r>
      <w:r>
        <w:rPr>
          <w:rFonts w:hint="eastAsia"/>
        </w:rPr>
        <w:t>）未被最高人民法院在“信用中国”网站（www.creditchina.gov.cn）或各级信用信息共享平台中列入失信被执行人名单；</w:t>
      </w:r>
    </w:p>
    <w:p>
      <w:pPr>
        <w:ind w:firstLine="480"/>
        <w:jc w:val="left"/>
      </w:pPr>
      <w:r>
        <w:rPr>
          <w:rFonts w:hint="eastAsia"/>
        </w:rPr>
        <w:t>（</w:t>
      </w:r>
      <w:r>
        <w:t>5</w:t>
      </w:r>
      <w:r>
        <w:rPr>
          <w:rFonts w:hint="eastAsia"/>
        </w:rPr>
        <w:t>）不存在不同供应商的响应文件的互联网协议地址（</w:t>
      </w:r>
      <w:r>
        <w:t>IP</w:t>
      </w:r>
      <w:r>
        <w:rPr>
          <w:rFonts w:hint="eastAsia"/>
        </w:rPr>
        <w:t>地址）信息检查一致的情况。</w:t>
      </w:r>
    </w:p>
    <w:p>
      <w:pPr>
        <w:ind w:firstLine="480"/>
        <w:jc w:val="left"/>
      </w:pPr>
      <w:r>
        <w:rPr>
          <w:rFonts w:hint="eastAsia"/>
        </w:rPr>
        <w:t>（6） 与采购人存在利害关系可能影响采购公正性的法人、其他组织或者个人，不得参加询价；单位负责人为同一人或者存在控股、管理关系的不同单位，不得参加同一询价项目。</w:t>
      </w:r>
    </w:p>
    <w:p>
      <w:pPr>
        <w:ind w:firstLine="480"/>
        <w:jc w:val="left"/>
      </w:pPr>
      <w:r>
        <w:rPr>
          <w:rFonts w:hint="eastAsia"/>
        </w:rPr>
        <w:t>（</w:t>
      </w:r>
      <w:r>
        <w:t>7</w:t>
      </w:r>
      <w:r>
        <w:rPr>
          <w:rFonts w:hint="eastAsia"/>
        </w:rPr>
        <w:t>）不存在违反国家相关法规和华能集团相关制度的情况。</w:t>
      </w:r>
    </w:p>
    <w:p>
      <w:pPr>
        <w:ind w:firstLine="480"/>
      </w:pPr>
      <w:r>
        <w:t xml:space="preserve">2. </w:t>
      </w:r>
      <w:r>
        <w:rPr>
          <w:rFonts w:hint="eastAsia"/>
        </w:rPr>
        <w:t>报价要求：</w:t>
      </w:r>
    </w:p>
    <w:p>
      <w:pPr>
        <w:ind w:firstLine="480"/>
        <w:rPr>
          <w:u w:val="single"/>
        </w:rPr>
      </w:pPr>
      <w:r>
        <w:rPr>
          <w:rFonts w:hint="eastAsia"/>
        </w:rPr>
        <w:t>本次报价要求为</w:t>
      </w:r>
      <w:r>
        <w:rPr>
          <w:rFonts w:hint="eastAsia"/>
          <w:u w:val="single"/>
        </w:rPr>
        <w:sym w:font="Wingdings 2" w:char="0052"/>
      </w:r>
      <w:r>
        <w:rPr>
          <w:rFonts w:hint="eastAsia"/>
          <w:u w:val="single"/>
        </w:rPr>
        <w:t>含税价/□不含税价</w:t>
      </w:r>
      <w:r>
        <w:rPr>
          <w:rFonts w:hint="eastAsia"/>
        </w:rPr>
        <w:t>，需提供增值税发票类型：</w:t>
      </w:r>
      <w:r>
        <w:rPr>
          <w:rFonts w:hint="eastAsia"/>
          <w:u w:val="single"/>
        </w:rPr>
        <w:sym w:font="Wingdings 2" w:char="0052"/>
      </w:r>
      <w:r>
        <w:rPr>
          <w:rFonts w:hint="eastAsia"/>
          <w:u w:val="single"/>
        </w:rPr>
        <w:t>专用/□普通/□不作要求</w:t>
      </w:r>
      <w:r>
        <w:rPr>
          <w:rFonts w:hint="eastAsia"/>
        </w:rPr>
        <w:t>，税率要求：</w:t>
      </w:r>
      <w:r>
        <w:rPr>
          <w:rFonts w:hint="eastAsia"/>
          <w:u w:val="single"/>
          <w:lang w:val="en-US" w:eastAsia="zh-CN"/>
        </w:rPr>
        <w:t>13</w:t>
      </w:r>
      <w:r>
        <w:rPr>
          <w:u w:val="single"/>
        </w:rPr>
        <w:t>%</w:t>
      </w:r>
      <w:r>
        <w:rPr>
          <w:rFonts w:hint="eastAsia"/>
        </w:rPr>
        <w:t>。</w:t>
      </w:r>
    </w:p>
    <w:p>
      <w:pPr>
        <w:ind w:firstLine="480"/>
      </w:pPr>
      <w:r>
        <w:t xml:space="preserve">3. </w:t>
      </w:r>
      <w:r>
        <w:rPr>
          <w:rFonts w:hint="eastAsia"/>
        </w:rPr>
        <w:t>价格评审：</w:t>
      </w:r>
    </w:p>
    <w:p>
      <w:pPr>
        <w:ind w:firstLine="480"/>
      </w:pPr>
      <w:r>
        <w:rPr>
          <w:rFonts w:hint="eastAsia"/>
        </w:rPr>
        <w:sym w:font="Wingdings 2" w:char="0052"/>
      </w:r>
      <w:r>
        <w:rPr>
          <w:rFonts w:hint="eastAsia"/>
        </w:rPr>
        <w:t>以</w:t>
      </w:r>
      <w:r>
        <w:rPr>
          <w:rFonts w:hint="eastAsia"/>
          <w:lang w:eastAsia="zh-CN"/>
        </w:rPr>
        <w:t>不</w:t>
      </w:r>
      <w:r>
        <w:rPr>
          <w:rFonts w:hint="eastAsia"/>
        </w:rPr>
        <w:t>含税总价进行评审。</w:t>
      </w:r>
    </w:p>
    <w:p>
      <w:pPr>
        <w:ind w:firstLine="480"/>
      </w:pPr>
      <w:r>
        <w:rPr>
          <w:rFonts w:hint="eastAsia"/>
        </w:rPr>
        <w:t>□其他：</w:t>
      </w:r>
      <w:r>
        <w:rPr>
          <w:rFonts w:hint="eastAsia"/>
          <w:u w:val="single"/>
        </w:rPr>
        <w:t xml:space="preserve"> </w:t>
      </w:r>
      <w:r>
        <w:rPr>
          <w:u w:val="single"/>
        </w:rPr>
        <w:t xml:space="preserve">                                  </w:t>
      </w:r>
      <w:r>
        <w:rPr>
          <w:rFonts w:hint="eastAsia"/>
        </w:rPr>
        <w:t>。</w:t>
      </w:r>
    </w:p>
    <w:p>
      <w:pPr>
        <w:ind w:firstLine="480"/>
      </w:pPr>
      <w:r>
        <w:t xml:space="preserve">4. </w:t>
      </w:r>
      <w:r>
        <w:rPr>
          <w:rFonts w:hint="eastAsia"/>
        </w:rPr>
        <w:t>成交候选供应商推荐原则：本项目评审办法采用最低价法。按照供应商报价由低到高的顺序依次推荐成交候选供应商。若价格相同，按照提交报价时间由先到后顺序推荐成交候选供应商。</w:t>
      </w:r>
    </w:p>
    <w:p>
      <w:pPr>
        <w:ind w:firstLine="480"/>
      </w:pPr>
      <w:r>
        <w:rPr>
          <w:rFonts w:hint="eastAsia"/>
        </w:rPr>
        <w:t>本项目</w:t>
      </w:r>
      <w:r>
        <w:rPr>
          <w:rFonts w:hint="eastAsia"/>
        </w:rPr>
        <w:sym w:font="Wingdings" w:char="F0FE"/>
      </w:r>
      <w:r>
        <w:rPr>
          <w:rFonts w:hint="eastAsia"/>
        </w:rPr>
        <w:t>只能有一个成交供应商；</w:t>
      </w:r>
    </w:p>
    <w:p>
      <w:pPr>
        <w:ind w:firstLine="1200" w:firstLineChars="500"/>
        <w:rPr>
          <w:rFonts w:ascii="宋体" w:hAnsi="宋体" w:cs="宋体"/>
          <w:szCs w:val="24"/>
        </w:rPr>
      </w:pPr>
      <w:r>
        <w:rPr>
          <w:rFonts w:hint="eastAsia"/>
        </w:rPr>
        <w:t>□允许多个成交供应商，成交原则是</w:t>
      </w:r>
      <w:r>
        <w:rPr>
          <w:rFonts w:hint="eastAsia"/>
          <w:u w:val="single"/>
        </w:rPr>
        <w:t xml:space="preserve"> □单行单价最低推荐成交候选供应商/</w:t>
      </w:r>
      <w:r>
        <w:rPr>
          <w:u w:val="single"/>
        </w:rPr>
        <w:t xml:space="preserve"> </w:t>
      </w:r>
      <w:r>
        <w:rPr>
          <w:rFonts w:hint="eastAsia"/>
          <w:u w:val="single"/>
        </w:rPr>
        <w:t>□其他：</w:t>
      </w:r>
      <w:r>
        <w:rPr>
          <w:u w:val="single"/>
        </w:rPr>
        <w:t xml:space="preserve">                 </w:t>
      </w:r>
      <w:r>
        <w:rPr>
          <w:rFonts w:hint="eastAsia" w:ascii="宋体" w:hAnsi="宋体" w:cs="宋体"/>
          <w:szCs w:val="24"/>
        </w:rPr>
        <w:t>。</w:t>
      </w:r>
    </w:p>
    <w:p>
      <w:pPr>
        <w:ind w:firstLine="480"/>
      </w:pPr>
      <w:r>
        <w:t>5.</w:t>
      </w:r>
      <w:r>
        <w:rPr>
          <w:rFonts w:hint="eastAsia"/>
        </w:rPr>
        <w:t>本项目</w:t>
      </w:r>
      <w:r>
        <w:rPr>
          <w:rFonts w:hint="eastAsia"/>
          <w:u w:val="single"/>
        </w:rPr>
        <w:t>□是 /</w:t>
      </w:r>
      <w:r>
        <w:rPr>
          <w:u w:val="single"/>
        </w:rPr>
        <w:t xml:space="preserve"> </w:t>
      </w:r>
      <w:r>
        <w:rPr>
          <w:rFonts w:hint="eastAsia"/>
          <w:u w:val="single"/>
        </w:rPr>
        <w:sym w:font="Wingdings 2" w:char="0052"/>
      </w:r>
      <w:r>
        <w:rPr>
          <w:rFonts w:hint="eastAsia"/>
          <w:u w:val="single"/>
        </w:rPr>
        <w:t>不是</w:t>
      </w:r>
      <w:r>
        <w:rPr>
          <w:rFonts w:hint="eastAsia"/>
        </w:rPr>
        <w:t>采购代理项目，收取采购代理服务费，收费标准：</w:t>
      </w:r>
      <w:r>
        <w:rPr>
          <w:rFonts w:hint="eastAsia"/>
          <w:u w:val="single"/>
        </w:rPr>
        <w:t xml:space="preserve">□参照国家计委印发的《招标代理服务收费管理暂行办法》规定的计费原则100%标准计取/□其他： </w:t>
      </w:r>
      <w:r>
        <w:rPr>
          <w:u w:val="single"/>
        </w:rPr>
        <w:t xml:space="preserve">                       </w:t>
      </w:r>
      <w:r>
        <w:rPr>
          <w:rFonts w:hint="eastAsia"/>
          <w:u w:val="single"/>
        </w:rPr>
        <w:t xml:space="preserve"> </w:t>
      </w:r>
      <w:r>
        <w:rPr>
          <w:rFonts w:hint="eastAsia"/>
        </w:rPr>
        <w:t>。</w:t>
      </w:r>
    </w:p>
    <w:p>
      <w:pPr>
        <w:pStyle w:val="4"/>
        <w:spacing w:before="156"/>
      </w:pPr>
      <w:r>
        <w:rPr>
          <w:rFonts w:hint="eastAsia"/>
        </w:rPr>
        <w:t>三、</w:t>
      </w:r>
      <w:r>
        <w:t>基本信息</w:t>
      </w:r>
    </w:p>
    <w:tbl>
      <w:tblPr>
        <w:tblStyle w:val="1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2148"/>
        <w:gridCol w:w="2108"/>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07" w:type="dxa"/>
            <w:shd w:val="clear" w:color="auto" w:fill="auto"/>
            <w:vAlign w:val="center"/>
          </w:tcPr>
          <w:p>
            <w:pPr>
              <w:widowControl/>
              <w:spacing w:line="240" w:lineRule="auto"/>
              <w:ind w:firstLine="0" w:firstLineChars="0"/>
              <w:jc w:val="center"/>
              <w:rPr>
                <w:rFonts w:ascii="宋体" w:hAnsi="宋体" w:cs="宋体"/>
                <w:sz w:val="21"/>
                <w:szCs w:val="21"/>
              </w:rPr>
            </w:pPr>
            <w:r>
              <w:rPr>
                <w:rFonts w:hint="eastAsia" w:ascii="宋体" w:hAnsi="宋体" w:cs="宋体"/>
                <w:kern w:val="0"/>
                <w:sz w:val="21"/>
                <w:szCs w:val="21"/>
              </w:rPr>
              <w:t>采购方案名称</w:t>
            </w:r>
          </w:p>
        </w:tc>
        <w:tc>
          <w:tcPr>
            <w:tcW w:w="2148" w:type="dxa"/>
            <w:shd w:val="clear" w:color="auto" w:fill="auto"/>
            <w:vAlign w:val="center"/>
          </w:tcPr>
          <w:p>
            <w:pPr>
              <w:widowControl/>
              <w:spacing w:line="240" w:lineRule="auto"/>
              <w:ind w:left="0" w:leftChars="0" w:firstLine="0" w:firstLineChars="0"/>
              <w:jc w:val="both"/>
              <w:rPr>
                <w:rFonts w:ascii="宋体" w:hAnsi="宋体" w:cs="宋体"/>
                <w:sz w:val="21"/>
                <w:szCs w:val="21"/>
              </w:rPr>
            </w:pPr>
            <w:r>
              <w:rPr>
                <w:rFonts w:hint="eastAsia" w:ascii="宋体" w:hAnsi="宋体" w:cs="宋体"/>
                <w:sz w:val="21"/>
                <w:szCs w:val="21"/>
                <w:lang w:eastAsia="zh-CN"/>
              </w:rPr>
              <w:t>见华能电子商务平台</w:t>
            </w:r>
          </w:p>
        </w:tc>
        <w:tc>
          <w:tcPr>
            <w:tcW w:w="2108" w:type="dxa"/>
            <w:shd w:val="clear" w:color="auto" w:fill="auto"/>
            <w:vAlign w:val="center"/>
          </w:tcPr>
          <w:p>
            <w:pPr>
              <w:widowControl/>
              <w:spacing w:line="240" w:lineRule="auto"/>
              <w:ind w:firstLine="0" w:firstLineChars="0"/>
              <w:jc w:val="center"/>
              <w:rPr>
                <w:rFonts w:ascii="宋体" w:hAnsi="宋体" w:cs="宋体"/>
                <w:sz w:val="21"/>
                <w:szCs w:val="21"/>
              </w:rPr>
            </w:pPr>
            <w:r>
              <w:rPr>
                <w:rFonts w:hint="eastAsia" w:ascii="宋体" w:hAnsi="宋体" w:cs="宋体"/>
                <w:kern w:val="0"/>
                <w:sz w:val="21"/>
                <w:szCs w:val="21"/>
              </w:rPr>
              <w:t>采购单位</w:t>
            </w:r>
          </w:p>
        </w:tc>
        <w:tc>
          <w:tcPr>
            <w:tcW w:w="2159" w:type="dxa"/>
            <w:shd w:val="clear" w:color="auto" w:fill="auto"/>
            <w:vAlign w:val="center"/>
          </w:tcPr>
          <w:p>
            <w:pPr>
              <w:widowControl/>
              <w:spacing w:line="240" w:lineRule="auto"/>
              <w:ind w:firstLine="420"/>
              <w:jc w:val="center"/>
              <w:rPr>
                <w:rFonts w:ascii="宋体" w:hAnsi="宋体" w:cs="宋体"/>
                <w:sz w:val="21"/>
                <w:szCs w:val="21"/>
              </w:rPr>
            </w:pPr>
            <w:r>
              <w:rPr>
                <w:rFonts w:hint="eastAsia" w:ascii="宋体" w:hAnsi="宋体" w:cs="宋体"/>
                <w:sz w:val="21"/>
                <w:szCs w:val="21"/>
                <w:lang w:eastAsia="zh-CN"/>
              </w:rPr>
              <w:t>见华能电子商务平台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07" w:type="dxa"/>
            <w:shd w:val="clear" w:color="auto" w:fill="auto"/>
            <w:vAlign w:val="center"/>
          </w:tcPr>
          <w:p>
            <w:pPr>
              <w:widowControl/>
              <w:spacing w:line="240" w:lineRule="auto"/>
              <w:ind w:firstLine="0" w:firstLineChars="0"/>
              <w:jc w:val="center"/>
              <w:rPr>
                <w:rFonts w:ascii="宋体" w:hAnsi="宋体" w:cs="宋体"/>
                <w:sz w:val="21"/>
                <w:szCs w:val="21"/>
              </w:rPr>
            </w:pPr>
            <w:r>
              <w:rPr>
                <w:rFonts w:hint="eastAsia" w:ascii="宋体" w:hAnsi="宋体" w:cs="宋体"/>
                <w:kern w:val="0"/>
                <w:sz w:val="21"/>
                <w:szCs w:val="21"/>
              </w:rPr>
              <w:t>采购项目类型</w:t>
            </w:r>
          </w:p>
        </w:tc>
        <w:tc>
          <w:tcPr>
            <w:tcW w:w="2148" w:type="dxa"/>
            <w:shd w:val="clear" w:color="auto" w:fill="auto"/>
            <w:vAlign w:val="center"/>
          </w:tcPr>
          <w:p>
            <w:pPr>
              <w:widowControl/>
              <w:spacing w:line="240" w:lineRule="auto"/>
              <w:ind w:firstLine="42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c>
          <w:tcPr>
            <w:tcW w:w="2108" w:type="dxa"/>
            <w:shd w:val="clear" w:color="auto" w:fill="auto"/>
            <w:vAlign w:val="center"/>
          </w:tcPr>
          <w:p>
            <w:pPr>
              <w:widowControl/>
              <w:spacing w:line="240" w:lineRule="auto"/>
              <w:ind w:firstLine="0" w:firstLineChars="0"/>
              <w:jc w:val="center"/>
              <w:rPr>
                <w:rFonts w:ascii="宋体" w:hAnsi="宋体" w:cs="宋体"/>
                <w:sz w:val="21"/>
                <w:szCs w:val="21"/>
              </w:rPr>
            </w:pPr>
            <w:r>
              <w:rPr>
                <w:rFonts w:hint="eastAsia" w:ascii="宋体" w:hAnsi="宋体" w:cs="宋体"/>
                <w:kern w:val="0"/>
                <w:sz w:val="21"/>
                <w:szCs w:val="21"/>
              </w:rPr>
              <w:t>采购项目类别</w:t>
            </w:r>
          </w:p>
        </w:tc>
        <w:tc>
          <w:tcPr>
            <w:tcW w:w="2159" w:type="dxa"/>
            <w:shd w:val="clear" w:color="auto" w:fill="auto"/>
            <w:vAlign w:val="center"/>
          </w:tcPr>
          <w:p>
            <w:pPr>
              <w:widowControl/>
              <w:spacing w:line="240" w:lineRule="auto"/>
              <w:ind w:firstLine="42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07" w:type="dxa"/>
            <w:shd w:val="clear" w:color="auto" w:fill="auto"/>
            <w:vAlign w:val="center"/>
          </w:tcPr>
          <w:p>
            <w:pPr>
              <w:widowControl/>
              <w:spacing w:line="240" w:lineRule="auto"/>
              <w:ind w:firstLine="0" w:firstLineChars="0"/>
              <w:jc w:val="center"/>
              <w:rPr>
                <w:rFonts w:ascii="宋体" w:hAnsi="宋体" w:cs="宋体"/>
                <w:sz w:val="21"/>
                <w:szCs w:val="21"/>
              </w:rPr>
            </w:pPr>
            <w:r>
              <w:rPr>
                <w:rFonts w:hint="eastAsia" w:ascii="宋体" w:hAnsi="宋体" w:cs="宋体"/>
                <w:kern w:val="0"/>
                <w:sz w:val="21"/>
                <w:szCs w:val="21"/>
              </w:rPr>
              <w:t>工程项目编号</w:t>
            </w:r>
          </w:p>
        </w:tc>
        <w:tc>
          <w:tcPr>
            <w:tcW w:w="2148" w:type="dxa"/>
            <w:shd w:val="clear" w:color="auto" w:fill="auto"/>
            <w:vAlign w:val="center"/>
          </w:tcPr>
          <w:p>
            <w:pPr>
              <w:spacing w:line="240" w:lineRule="auto"/>
              <w:ind w:firstLine="42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c>
          <w:tcPr>
            <w:tcW w:w="2108" w:type="dxa"/>
            <w:shd w:val="clear" w:color="auto" w:fill="auto"/>
            <w:vAlign w:val="center"/>
          </w:tcPr>
          <w:p>
            <w:pPr>
              <w:widowControl/>
              <w:spacing w:line="240" w:lineRule="auto"/>
              <w:ind w:firstLine="0" w:firstLineChars="0"/>
              <w:jc w:val="center"/>
              <w:rPr>
                <w:rFonts w:ascii="宋体" w:hAnsi="宋体" w:cs="宋体"/>
                <w:sz w:val="21"/>
                <w:szCs w:val="21"/>
              </w:rPr>
            </w:pPr>
            <w:r>
              <w:rPr>
                <w:rFonts w:hint="eastAsia" w:ascii="宋体" w:hAnsi="宋体" w:cs="宋体"/>
                <w:kern w:val="0"/>
                <w:sz w:val="21"/>
                <w:szCs w:val="21"/>
              </w:rPr>
              <w:t>工程项目名称</w:t>
            </w:r>
          </w:p>
        </w:tc>
        <w:tc>
          <w:tcPr>
            <w:tcW w:w="2159" w:type="dxa"/>
            <w:shd w:val="clear" w:color="auto" w:fill="auto"/>
            <w:vAlign w:val="center"/>
          </w:tcPr>
          <w:p>
            <w:pPr>
              <w:widowControl/>
              <w:spacing w:line="240" w:lineRule="auto"/>
              <w:ind w:firstLine="42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07" w:type="dxa"/>
            <w:shd w:val="clear" w:color="auto" w:fill="auto"/>
            <w:vAlign w:val="center"/>
          </w:tcPr>
          <w:p>
            <w:pPr>
              <w:widowControl/>
              <w:spacing w:line="240" w:lineRule="auto"/>
              <w:ind w:firstLine="0" w:firstLineChars="0"/>
              <w:jc w:val="center"/>
              <w:rPr>
                <w:rFonts w:ascii="宋体" w:hAnsi="宋体" w:cs="宋体"/>
                <w:sz w:val="21"/>
                <w:szCs w:val="21"/>
              </w:rPr>
            </w:pPr>
            <w:r>
              <w:rPr>
                <w:rFonts w:hint="eastAsia" w:ascii="宋体" w:hAnsi="宋体" w:cs="宋体"/>
                <w:kern w:val="0"/>
                <w:sz w:val="21"/>
                <w:szCs w:val="21"/>
              </w:rPr>
              <w:t>寻源类型</w:t>
            </w:r>
          </w:p>
        </w:tc>
        <w:tc>
          <w:tcPr>
            <w:tcW w:w="2148" w:type="dxa"/>
            <w:shd w:val="clear" w:color="auto" w:fill="auto"/>
            <w:vAlign w:val="center"/>
          </w:tcPr>
          <w:p>
            <w:pPr>
              <w:widowControl/>
              <w:spacing w:line="240" w:lineRule="auto"/>
              <w:ind w:firstLine="0" w:firstLineChars="0"/>
              <w:jc w:val="center"/>
              <w:rPr>
                <w:rFonts w:ascii="宋体" w:hAnsi="宋体" w:cs="宋体"/>
                <w:sz w:val="21"/>
                <w:szCs w:val="21"/>
              </w:rPr>
            </w:pPr>
            <w:r>
              <w:rPr>
                <w:rFonts w:hint="eastAsia" w:ascii="宋体" w:hAnsi="宋体" w:cs="宋体"/>
                <w:kern w:val="0"/>
                <w:sz w:val="21"/>
                <w:szCs w:val="21"/>
              </w:rPr>
              <w:t>询价</w:t>
            </w:r>
          </w:p>
        </w:tc>
        <w:tc>
          <w:tcPr>
            <w:tcW w:w="2108" w:type="dxa"/>
            <w:shd w:val="clear" w:color="auto" w:fill="auto"/>
            <w:vAlign w:val="center"/>
          </w:tcPr>
          <w:p>
            <w:pPr>
              <w:widowControl/>
              <w:spacing w:line="240" w:lineRule="auto"/>
              <w:ind w:firstLine="0" w:firstLineChars="0"/>
              <w:jc w:val="center"/>
              <w:rPr>
                <w:rFonts w:ascii="宋体" w:hAnsi="宋体" w:cs="宋体"/>
                <w:sz w:val="21"/>
                <w:szCs w:val="21"/>
              </w:rPr>
            </w:pPr>
            <w:r>
              <w:rPr>
                <w:rFonts w:hint="eastAsia" w:ascii="宋体" w:hAnsi="宋体" w:cs="宋体"/>
                <w:kern w:val="0"/>
                <w:sz w:val="21"/>
                <w:szCs w:val="21"/>
              </w:rPr>
              <w:t>寻源方式</w:t>
            </w:r>
          </w:p>
        </w:tc>
        <w:tc>
          <w:tcPr>
            <w:tcW w:w="2159" w:type="dxa"/>
            <w:shd w:val="clear" w:color="auto" w:fill="auto"/>
            <w:vAlign w:val="center"/>
          </w:tcPr>
          <w:p>
            <w:pPr>
              <w:widowControl/>
              <w:spacing w:line="240" w:lineRule="auto"/>
              <w:ind w:firstLine="0" w:firstLineChars="0"/>
              <w:jc w:val="center"/>
              <w:rPr>
                <w:rFonts w:ascii="宋体" w:hAnsi="宋体" w:cs="宋体"/>
                <w:sz w:val="21"/>
                <w:szCs w:val="21"/>
              </w:rPr>
            </w:pPr>
            <w:r>
              <w:rPr>
                <w:rFonts w:hint="eastAsia" w:ascii="宋体" w:hAnsi="宋体" w:cs="宋体"/>
                <w:kern w:val="0"/>
                <w:sz w:val="21"/>
                <w:szCs w:val="21"/>
              </w:rPr>
              <w:t>合格供应商公开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07" w:type="dxa"/>
            <w:shd w:val="clear" w:color="auto" w:fill="auto"/>
            <w:vAlign w:val="center"/>
          </w:tcPr>
          <w:p>
            <w:pPr>
              <w:widowControl/>
              <w:spacing w:line="240" w:lineRule="auto"/>
              <w:ind w:firstLine="0" w:firstLineChars="0"/>
              <w:jc w:val="center"/>
              <w:rPr>
                <w:rFonts w:ascii="宋体" w:hAnsi="宋体" w:cs="宋体"/>
                <w:sz w:val="21"/>
                <w:szCs w:val="21"/>
              </w:rPr>
            </w:pPr>
            <w:r>
              <w:rPr>
                <w:rFonts w:hint="eastAsia" w:ascii="宋体" w:hAnsi="宋体" w:cs="宋体"/>
                <w:kern w:val="0"/>
                <w:sz w:val="21"/>
                <w:szCs w:val="21"/>
              </w:rPr>
              <w:t>评价原则</w:t>
            </w:r>
          </w:p>
        </w:tc>
        <w:tc>
          <w:tcPr>
            <w:tcW w:w="2148" w:type="dxa"/>
            <w:shd w:val="clear" w:color="auto" w:fill="auto"/>
            <w:vAlign w:val="center"/>
          </w:tcPr>
          <w:p>
            <w:pPr>
              <w:widowControl/>
              <w:spacing w:line="240" w:lineRule="auto"/>
              <w:ind w:firstLine="0" w:firstLineChars="0"/>
              <w:jc w:val="center"/>
              <w:rPr>
                <w:rFonts w:ascii="宋体" w:hAnsi="宋体" w:cs="宋体"/>
                <w:sz w:val="21"/>
                <w:szCs w:val="21"/>
              </w:rPr>
            </w:pPr>
            <w:r>
              <w:rPr>
                <w:rFonts w:hint="eastAsia" w:ascii="宋体" w:hAnsi="宋体" w:cs="宋体"/>
                <w:kern w:val="0"/>
                <w:sz w:val="21"/>
                <w:szCs w:val="21"/>
              </w:rPr>
              <w:t>最低价法</w:t>
            </w:r>
          </w:p>
        </w:tc>
        <w:tc>
          <w:tcPr>
            <w:tcW w:w="2108" w:type="dxa"/>
            <w:shd w:val="clear" w:color="auto" w:fill="auto"/>
            <w:vAlign w:val="center"/>
          </w:tcPr>
          <w:p>
            <w:pPr>
              <w:widowControl/>
              <w:spacing w:line="240" w:lineRule="auto"/>
              <w:ind w:firstLine="0" w:firstLineChars="0"/>
              <w:jc w:val="center"/>
              <w:rPr>
                <w:rFonts w:ascii="宋体" w:hAnsi="宋体" w:cs="宋体"/>
                <w:sz w:val="21"/>
                <w:szCs w:val="21"/>
              </w:rPr>
            </w:pPr>
            <w:r>
              <w:rPr>
                <w:rFonts w:hint="eastAsia" w:ascii="宋体" w:hAnsi="宋体" w:cs="宋体"/>
                <w:kern w:val="0"/>
                <w:sz w:val="21"/>
                <w:szCs w:val="21"/>
              </w:rPr>
              <w:t>是否紧急采购</w:t>
            </w:r>
          </w:p>
        </w:tc>
        <w:tc>
          <w:tcPr>
            <w:tcW w:w="2159" w:type="dxa"/>
            <w:shd w:val="clear" w:color="auto" w:fill="auto"/>
            <w:vAlign w:val="center"/>
          </w:tcPr>
          <w:p>
            <w:pPr>
              <w:widowControl/>
              <w:spacing w:line="240" w:lineRule="auto"/>
              <w:ind w:firstLine="420"/>
              <w:jc w:val="both"/>
              <w:rPr>
                <w:rFonts w:hint="eastAsia" w:ascii="宋体" w:hAnsi="宋体" w:eastAsia="宋体" w:cs="宋体"/>
                <w:sz w:val="21"/>
                <w:szCs w:val="21"/>
                <w:lang w:eastAsia="zh-CN"/>
              </w:rPr>
            </w:pPr>
            <w:r>
              <w:rPr>
                <w:rFonts w:hint="eastAsia" w:ascii="宋体" w:hAnsi="宋体" w:cs="宋体"/>
                <w:sz w:val="21"/>
                <w:szCs w:val="21"/>
                <w:lang w:eastAsia="zh-CN"/>
              </w:rPr>
              <w:t>否</w:t>
            </w:r>
          </w:p>
        </w:tc>
      </w:tr>
    </w:tbl>
    <w:p>
      <w:pPr>
        <w:pStyle w:val="4"/>
        <w:spacing w:before="156"/>
      </w:pPr>
      <w:r>
        <w:rPr>
          <w:rFonts w:hint="eastAsia"/>
        </w:rPr>
        <w:t>四、</w:t>
      </w:r>
      <w:r>
        <w:t>报价要求</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2109"/>
        <w:gridCol w:w="2154"/>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09"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结算币种</w:t>
            </w:r>
          </w:p>
        </w:tc>
        <w:tc>
          <w:tcPr>
            <w:tcW w:w="2109"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人民币</w:t>
            </w:r>
          </w:p>
        </w:tc>
        <w:tc>
          <w:tcPr>
            <w:tcW w:w="2154" w:type="dxa"/>
            <w:shd w:val="clear" w:color="auto" w:fill="auto"/>
            <w:vAlign w:val="center"/>
          </w:tcPr>
          <w:p>
            <w:pPr>
              <w:widowControl/>
              <w:spacing w:line="240" w:lineRule="auto"/>
              <w:ind w:firstLine="0" w:firstLineChars="0"/>
              <w:jc w:val="center"/>
              <w:rPr>
                <w:rFonts w:ascii="宋体" w:hAnsi="宋体" w:cs="宋体"/>
                <w:kern w:val="0"/>
                <w:sz w:val="21"/>
                <w:szCs w:val="21"/>
                <w:highlight w:val="yellow"/>
              </w:rPr>
            </w:pPr>
            <w:r>
              <w:rPr>
                <w:rFonts w:hint="eastAsia" w:ascii="宋体" w:hAnsi="宋体" w:cs="宋体"/>
                <w:kern w:val="0"/>
                <w:sz w:val="21"/>
                <w:szCs w:val="21"/>
              </w:rPr>
              <w:t>报价截止前是否允许 供应商修改报价</w:t>
            </w:r>
          </w:p>
        </w:tc>
        <w:tc>
          <w:tcPr>
            <w:tcW w:w="2150" w:type="dxa"/>
            <w:shd w:val="clear" w:color="auto" w:fill="auto"/>
            <w:vAlign w:val="center"/>
          </w:tcPr>
          <w:p>
            <w:pPr>
              <w:widowControl/>
              <w:spacing w:line="240" w:lineRule="auto"/>
              <w:ind w:firstLine="0" w:firstLineChars="0"/>
              <w:jc w:val="center"/>
              <w:rPr>
                <w:rFonts w:hint="eastAsia" w:ascii="宋体" w:hAnsi="宋体" w:eastAsia="宋体" w:cs="宋体"/>
                <w:kern w:val="0"/>
                <w:sz w:val="21"/>
                <w:szCs w:val="21"/>
                <w:highlight w:val="yellow"/>
                <w:lang w:eastAsia="zh-CN"/>
              </w:rPr>
            </w:pPr>
            <w:r>
              <w:rPr>
                <w:rFonts w:hint="eastAsia" w:ascii="宋体" w:hAnsi="宋体" w:eastAsia="宋体" w:cs="宋体"/>
                <w:kern w:val="0"/>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09"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是否缴纳保证金</w:t>
            </w:r>
          </w:p>
        </w:tc>
        <w:tc>
          <w:tcPr>
            <w:tcW w:w="2109"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sz w:val="21"/>
                <w:szCs w:val="21"/>
                <w:lang w:eastAsia="zh-CN"/>
              </w:rPr>
              <w:t>否</w:t>
            </w:r>
          </w:p>
        </w:tc>
        <w:tc>
          <w:tcPr>
            <w:tcW w:w="2154"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保证金金额（元）</w:t>
            </w:r>
          </w:p>
        </w:tc>
        <w:tc>
          <w:tcPr>
            <w:tcW w:w="2150" w:type="dxa"/>
            <w:shd w:val="clear" w:color="auto" w:fill="auto"/>
            <w:vAlign w:val="center"/>
          </w:tcPr>
          <w:p>
            <w:pPr>
              <w:spacing w:line="240" w:lineRule="auto"/>
              <w:ind w:firstLine="42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09"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报价开始时间</w:t>
            </w:r>
          </w:p>
        </w:tc>
        <w:tc>
          <w:tcPr>
            <w:tcW w:w="2109"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sz w:val="21"/>
                <w:szCs w:val="21"/>
                <w:lang w:eastAsia="zh-CN"/>
              </w:rPr>
              <w:t>见华能电子商务平台</w:t>
            </w:r>
          </w:p>
        </w:tc>
        <w:tc>
          <w:tcPr>
            <w:tcW w:w="2154"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报价截止时间</w:t>
            </w:r>
          </w:p>
        </w:tc>
        <w:tc>
          <w:tcPr>
            <w:tcW w:w="2150"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sz w:val="21"/>
                <w:szCs w:val="21"/>
                <w:lang w:eastAsia="zh-CN"/>
              </w:rPr>
              <w:t>见华能电子商务平台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09"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答疑／澄清时间</w:t>
            </w:r>
          </w:p>
        </w:tc>
        <w:tc>
          <w:tcPr>
            <w:tcW w:w="6413" w:type="dxa"/>
            <w:gridSpan w:val="3"/>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sz w:val="21"/>
                <w:szCs w:val="21"/>
                <w:lang w:eastAsia="zh-CN"/>
              </w:rPr>
              <w:t>见华能电子商务平台</w:t>
            </w:r>
          </w:p>
        </w:tc>
      </w:tr>
    </w:tbl>
    <w:p>
      <w:pPr>
        <w:pStyle w:val="4"/>
        <w:spacing w:before="156"/>
      </w:pPr>
      <w:r>
        <w:rPr>
          <w:rFonts w:hint="eastAsia"/>
        </w:rPr>
        <w:t>五、采购需求</w:t>
      </w:r>
      <w:r>
        <w:t>信息</w:t>
      </w:r>
    </w:p>
    <w:p>
      <w:pPr>
        <w:spacing w:before="120"/>
        <w:ind w:firstLine="0" w:firstLineChars="0"/>
      </w:pPr>
    </w:p>
    <w:p>
      <w:pPr>
        <w:pStyle w:val="4"/>
        <w:spacing w:before="156"/>
      </w:pPr>
      <w:r>
        <w:rPr>
          <w:rFonts w:hint="eastAsia"/>
        </w:rPr>
        <w:t>六、</w:t>
      </w:r>
      <w:r>
        <w:t>联系人信息</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06"/>
        <w:gridCol w:w="2140"/>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28"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联系人（采购人）</w:t>
            </w:r>
          </w:p>
        </w:tc>
        <w:tc>
          <w:tcPr>
            <w:tcW w:w="2106" w:type="dxa"/>
            <w:shd w:val="clear" w:color="auto" w:fill="auto"/>
            <w:vAlign w:val="center"/>
          </w:tcPr>
          <w:p>
            <w:pPr>
              <w:widowControl/>
              <w:spacing w:line="240" w:lineRule="auto"/>
              <w:ind w:firstLine="0" w:firstLineChars="0"/>
              <w:jc w:val="center"/>
              <w:rPr>
                <w:rFonts w:hint="eastAsia" w:ascii="宋体" w:hAnsi="宋体" w:eastAsia="宋体" w:cs="宋体"/>
                <w:kern w:val="0"/>
                <w:sz w:val="21"/>
                <w:szCs w:val="21"/>
                <w:lang w:eastAsia="zh-CN"/>
              </w:rPr>
            </w:pPr>
            <w:r>
              <w:rPr>
                <w:rFonts w:hint="eastAsia" w:ascii="宋体" w:hAnsi="宋体" w:cs="宋体"/>
                <w:sz w:val="21"/>
                <w:szCs w:val="21"/>
                <w:lang w:eastAsia="zh-CN"/>
              </w:rPr>
              <w:t>见华能电子商务平台</w:t>
            </w:r>
          </w:p>
        </w:tc>
        <w:tc>
          <w:tcPr>
            <w:tcW w:w="2140" w:type="dxa"/>
            <w:shd w:val="clear" w:color="auto" w:fill="auto"/>
            <w:vAlign w:val="center"/>
          </w:tcPr>
          <w:p>
            <w:pPr>
              <w:widowControl/>
              <w:spacing w:line="240" w:lineRule="auto"/>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询价单位</w:t>
            </w:r>
          </w:p>
        </w:tc>
        <w:tc>
          <w:tcPr>
            <w:tcW w:w="2148" w:type="dxa"/>
            <w:shd w:val="clear" w:color="auto" w:fill="auto"/>
            <w:vAlign w:val="center"/>
          </w:tcPr>
          <w:p>
            <w:pPr>
              <w:widowControl/>
              <w:spacing w:line="240" w:lineRule="auto"/>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华能（浙江）能源开发有限公司玉环分公司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28"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联系电话</w:t>
            </w:r>
          </w:p>
        </w:tc>
        <w:tc>
          <w:tcPr>
            <w:tcW w:w="2106" w:type="dxa"/>
            <w:shd w:val="clear" w:color="auto" w:fill="auto"/>
            <w:vAlign w:val="center"/>
          </w:tcPr>
          <w:p>
            <w:pPr>
              <w:widowControl/>
              <w:spacing w:line="240" w:lineRule="auto"/>
              <w:ind w:firstLine="0" w:firstLineChars="0"/>
              <w:jc w:val="center"/>
              <w:rPr>
                <w:rFonts w:hint="default" w:ascii="宋体" w:hAnsi="宋体" w:eastAsia="宋体" w:cs="宋体"/>
                <w:kern w:val="0"/>
                <w:sz w:val="21"/>
                <w:szCs w:val="21"/>
                <w:lang w:val="en-US" w:eastAsia="zh-CN"/>
              </w:rPr>
            </w:pPr>
            <w:r>
              <w:rPr>
                <w:rFonts w:hint="eastAsia" w:ascii="宋体" w:hAnsi="宋体" w:cs="宋体"/>
                <w:sz w:val="21"/>
                <w:szCs w:val="21"/>
                <w:lang w:eastAsia="zh-CN"/>
              </w:rPr>
              <w:t>见华能电子商务平台</w:t>
            </w:r>
          </w:p>
        </w:tc>
        <w:tc>
          <w:tcPr>
            <w:tcW w:w="2140"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传真</w:t>
            </w:r>
          </w:p>
        </w:tc>
        <w:tc>
          <w:tcPr>
            <w:tcW w:w="2148" w:type="dxa"/>
            <w:shd w:val="clear" w:color="auto" w:fill="auto"/>
            <w:vAlign w:val="center"/>
          </w:tcPr>
          <w:p>
            <w:pPr>
              <w:spacing w:line="240" w:lineRule="auto"/>
              <w:ind w:firstLine="42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28"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邮编</w:t>
            </w:r>
          </w:p>
        </w:tc>
        <w:tc>
          <w:tcPr>
            <w:tcW w:w="2106" w:type="dxa"/>
            <w:shd w:val="clear" w:color="auto" w:fill="auto"/>
            <w:vAlign w:val="center"/>
          </w:tcPr>
          <w:p>
            <w:pPr>
              <w:widowControl/>
              <w:spacing w:line="240" w:lineRule="auto"/>
              <w:ind w:firstLine="0" w:firstLineChars="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c>
          <w:tcPr>
            <w:tcW w:w="2140"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Email</w:t>
            </w:r>
          </w:p>
        </w:tc>
        <w:tc>
          <w:tcPr>
            <w:tcW w:w="2148" w:type="dxa"/>
            <w:shd w:val="clear" w:color="auto" w:fill="auto"/>
            <w:vAlign w:val="center"/>
          </w:tcPr>
          <w:p>
            <w:pPr>
              <w:widowControl/>
              <w:spacing w:line="240" w:lineRule="auto"/>
              <w:ind w:firstLine="0" w:firstLineChars="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28"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手机</w:t>
            </w:r>
          </w:p>
        </w:tc>
        <w:tc>
          <w:tcPr>
            <w:tcW w:w="2106" w:type="dxa"/>
            <w:shd w:val="clear" w:color="auto" w:fill="auto"/>
            <w:vAlign w:val="center"/>
          </w:tcPr>
          <w:p>
            <w:pPr>
              <w:widowControl/>
              <w:spacing w:line="240" w:lineRule="auto"/>
              <w:ind w:firstLine="0" w:firstLineChars="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c>
          <w:tcPr>
            <w:tcW w:w="2140" w:type="dxa"/>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联系地址</w:t>
            </w:r>
          </w:p>
        </w:tc>
        <w:tc>
          <w:tcPr>
            <w:tcW w:w="2148" w:type="dxa"/>
            <w:shd w:val="clear" w:color="auto" w:fill="auto"/>
            <w:vAlign w:val="center"/>
          </w:tcPr>
          <w:p>
            <w:pPr>
              <w:widowControl/>
              <w:spacing w:line="240" w:lineRule="auto"/>
              <w:ind w:firstLine="0" w:firstLineChars="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r>
    </w:tbl>
    <w:p>
      <w:pPr>
        <w:pStyle w:val="4"/>
        <w:spacing w:before="156"/>
      </w:pPr>
      <w:r>
        <w:rPr>
          <w:rFonts w:hint="eastAsia"/>
        </w:rPr>
        <w:t>七、</w:t>
      </w:r>
      <w:r>
        <w:t>附件</w:t>
      </w:r>
    </w:p>
    <w:bookmarkEnd w:id="5"/>
    <w:bookmarkEnd w:id="6"/>
    <w:p>
      <w:pPr>
        <w:spacing w:before="120"/>
        <w:ind w:firstLine="0" w:firstLineChars="0"/>
        <w:rPr>
          <w:rFonts w:hint="eastAsia"/>
        </w:rPr>
      </w:pPr>
      <w:r>
        <w:rPr>
          <w:rFonts w:ascii="宋体" w:hAnsi="宋体" w:cs="宋体"/>
          <w:bCs/>
          <w:szCs w:val="24"/>
        </w:rPr>
        <w:t>只接受供应商</w:t>
      </w:r>
      <w:r>
        <w:rPr>
          <w:rFonts w:hint="eastAsia" w:ascii="宋体" w:hAnsi="宋体" w:cs="宋体"/>
          <w:bCs/>
          <w:szCs w:val="24"/>
        </w:rPr>
        <w:t>通过电子商务平台线上对需要澄清的内容提出问询</w:t>
      </w:r>
      <w:r>
        <w:rPr>
          <w:rFonts w:hint="eastAsia"/>
        </w:rPr>
        <w:t>。</w:t>
      </w:r>
    </w:p>
    <w:p>
      <w:pPr>
        <w:pStyle w:val="24"/>
        <w:spacing w:line="360" w:lineRule="auto"/>
        <w:jc w:val="center"/>
        <w:rPr>
          <w:rFonts w:hint="eastAsia" w:ascii="仿宋_GB2312" w:hAnsi="仿宋_GB2312" w:eastAsia="仿宋_GB2312" w:cs="仿宋_GB2312"/>
          <w:sz w:val="32"/>
          <w:szCs w:val="32"/>
        </w:rPr>
      </w:pPr>
    </w:p>
    <w:p>
      <w:pPr>
        <w:pStyle w:val="24"/>
        <w:spacing w:line="360" w:lineRule="auto"/>
        <w:jc w:val="center"/>
        <w:rPr>
          <w:rFonts w:hint="eastAsia" w:ascii="仿宋_GB2312" w:hAnsi="仿宋_GB2312" w:eastAsia="仿宋_GB2312" w:cs="仿宋_GB2312"/>
          <w:sz w:val="32"/>
          <w:szCs w:val="32"/>
        </w:rPr>
      </w:pPr>
    </w:p>
    <w:p>
      <w:pPr>
        <w:pStyle w:val="24"/>
        <w:spacing w:line="360" w:lineRule="auto"/>
        <w:jc w:val="center"/>
        <w:rPr>
          <w:rFonts w:hint="eastAsia" w:ascii="仿宋_GB2312" w:hAnsi="仿宋_GB2312" w:eastAsia="仿宋_GB2312" w:cs="仿宋_GB2312"/>
          <w:sz w:val="32"/>
          <w:szCs w:val="32"/>
        </w:rPr>
      </w:pPr>
    </w:p>
    <w:p>
      <w:pPr>
        <w:pStyle w:val="24"/>
        <w:spacing w:line="360" w:lineRule="auto"/>
        <w:jc w:val="center"/>
        <w:rPr>
          <w:rFonts w:hint="eastAsia" w:ascii="仿宋_GB2312" w:hAnsi="仿宋_GB2312" w:eastAsia="仿宋_GB2312" w:cs="仿宋_GB2312"/>
          <w:sz w:val="32"/>
          <w:szCs w:val="32"/>
        </w:rPr>
      </w:pPr>
    </w:p>
    <w:p>
      <w:pPr>
        <w:pStyle w:val="24"/>
        <w:spacing w:line="360" w:lineRule="auto"/>
        <w:jc w:val="center"/>
        <w:rPr>
          <w:rFonts w:hint="eastAsia" w:ascii="仿宋_GB2312" w:hAnsi="仿宋_GB2312" w:eastAsia="仿宋_GB2312" w:cs="仿宋_GB2312"/>
          <w:sz w:val="32"/>
          <w:szCs w:val="32"/>
        </w:rPr>
      </w:pPr>
    </w:p>
    <w:p>
      <w:pPr>
        <w:pStyle w:val="24"/>
        <w:spacing w:line="360" w:lineRule="auto"/>
        <w:jc w:val="center"/>
        <w:rPr>
          <w:rFonts w:hint="eastAsia" w:ascii="仿宋_GB2312" w:hAnsi="仿宋_GB2312" w:eastAsia="仿宋_GB2312" w:cs="仿宋_GB2312"/>
          <w:sz w:val="32"/>
          <w:szCs w:val="32"/>
        </w:rPr>
      </w:pPr>
    </w:p>
    <w:p>
      <w:pPr>
        <w:pStyle w:val="24"/>
        <w:spacing w:line="360" w:lineRule="auto"/>
        <w:jc w:val="center"/>
        <w:rPr>
          <w:rFonts w:hint="eastAsia" w:ascii="仿宋_GB2312" w:hAnsi="仿宋_GB2312" w:eastAsia="仿宋_GB2312" w:cs="仿宋_GB2312"/>
          <w:sz w:val="32"/>
          <w:szCs w:val="32"/>
        </w:rPr>
      </w:pPr>
    </w:p>
    <w:p>
      <w:pPr>
        <w:pStyle w:val="24"/>
        <w:spacing w:line="360" w:lineRule="auto"/>
        <w:jc w:val="center"/>
        <w:rPr>
          <w:rFonts w:hint="eastAsia" w:ascii="仿宋_GB2312" w:hAnsi="仿宋_GB2312" w:eastAsia="仿宋_GB2312" w:cs="仿宋_GB2312"/>
          <w:sz w:val="32"/>
          <w:szCs w:val="32"/>
        </w:rPr>
      </w:pPr>
    </w:p>
    <w:p>
      <w:pPr>
        <w:pStyle w:val="24"/>
        <w:spacing w:line="360" w:lineRule="auto"/>
        <w:jc w:val="center"/>
        <w:rPr>
          <w:rFonts w:hint="eastAsia" w:ascii="仿宋_GB2312" w:hAnsi="仿宋_GB2312" w:eastAsia="仿宋_GB2312" w:cs="仿宋_GB2312"/>
          <w:sz w:val="32"/>
          <w:szCs w:val="32"/>
        </w:rPr>
      </w:pPr>
    </w:p>
    <w:p>
      <w:pPr>
        <w:pStyle w:val="24"/>
        <w:spacing w:line="360" w:lineRule="auto"/>
        <w:jc w:val="center"/>
        <w:rPr>
          <w:rFonts w:hint="eastAsia" w:ascii="仿宋_GB2312" w:hAnsi="仿宋_GB2312" w:eastAsia="仿宋_GB2312" w:cs="仿宋_GB2312"/>
          <w:sz w:val="32"/>
          <w:szCs w:val="32"/>
        </w:rPr>
      </w:pPr>
    </w:p>
    <w:p>
      <w:pPr>
        <w:pStyle w:val="24"/>
        <w:spacing w:line="360" w:lineRule="auto"/>
        <w:jc w:val="center"/>
        <w:rPr>
          <w:rFonts w:hint="eastAsia" w:ascii="仿宋_GB2312" w:hAnsi="仿宋_GB2312" w:eastAsia="仿宋_GB2312" w:cs="仿宋_GB2312"/>
          <w:sz w:val="32"/>
          <w:szCs w:val="32"/>
        </w:rPr>
      </w:pPr>
    </w:p>
    <w:p>
      <w:pPr>
        <w:pStyle w:val="24"/>
        <w:spacing w:line="360" w:lineRule="auto"/>
        <w:jc w:val="center"/>
        <w:rPr>
          <w:rFonts w:hint="eastAsia" w:ascii="仿宋_GB2312" w:hAnsi="仿宋_GB2312" w:eastAsia="仿宋_GB2312" w:cs="仿宋_GB2312"/>
          <w:sz w:val="32"/>
          <w:szCs w:val="32"/>
        </w:rPr>
      </w:pPr>
    </w:p>
    <w:p>
      <w:pPr>
        <w:pStyle w:val="24"/>
        <w:spacing w:line="360" w:lineRule="auto"/>
        <w:jc w:val="center"/>
        <w:rPr>
          <w:rFonts w:hint="eastAsia" w:ascii="仿宋_GB2312" w:hAnsi="仿宋_GB2312" w:eastAsia="仿宋_GB2312" w:cs="仿宋_GB2312"/>
          <w:sz w:val="32"/>
          <w:szCs w:val="32"/>
        </w:rPr>
      </w:pPr>
    </w:p>
    <w:p>
      <w:pPr>
        <w:pStyle w:val="24"/>
        <w:spacing w:line="360" w:lineRule="auto"/>
        <w:jc w:val="center"/>
        <w:rPr>
          <w:rFonts w:hint="eastAsia" w:ascii="仿宋_GB2312" w:hAnsi="仿宋_GB2312" w:eastAsia="仿宋_GB2312" w:cs="仿宋_GB2312"/>
          <w:sz w:val="32"/>
          <w:szCs w:val="32"/>
        </w:rPr>
      </w:pPr>
    </w:p>
    <w:p>
      <w:pPr>
        <w:pStyle w:val="24"/>
        <w:spacing w:line="360" w:lineRule="auto"/>
        <w:jc w:val="center"/>
        <w:rPr>
          <w:rFonts w:hint="eastAsia" w:ascii="仿宋_GB2312" w:hAnsi="仿宋_GB2312" w:eastAsia="仿宋_GB2312" w:cs="仿宋_GB2312"/>
          <w:sz w:val="32"/>
          <w:szCs w:val="32"/>
        </w:rPr>
      </w:pPr>
    </w:p>
    <w:p>
      <w:pPr>
        <w:pStyle w:val="24"/>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华能</w:t>
      </w:r>
      <w:r>
        <w:rPr>
          <w:rFonts w:hint="eastAsia" w:ascii="仿宋_GB2312" w:hAnsi="仿宋_GB2312" w:eastAsia="仿宋_GB2312" w:cs="仿宋_GB2312"/>
          <w:sz w:val="32"/>
          <w:szCs w:val="32"/>
          <w:lang w:eastAsia="zh-CN"/>
        </w:rPr>
        <w:t>玉环分公司</w:t>
      </w:r>
      <w:r>
        <w:rPr>
          <w:rFonts w:hint="eastAsia" w:ascii="仿宋_GB2312" w:hAnsi="仿宋_GB2312" w:eastAsia="仿宋_GB2312" w:cs="仿宋_GB2312"/>
          <w:sz w:val="32"/>
          <w:szCs w:val="32"/>
        </w:rPr>
        <w:t>采购项目报价须知</w:t>
      </w:r>
    </w:p>
    <w:p>
      <w:pPr>
        <w:pStyle w:val="24"/>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一、报价要求</w:t>
      </w:r>
    </w:p>
    <w:p>
      <w:pPr>
        <w:pStyle w:val="24"/>
        <w:spacing w:line="360" w:lineRule="auto"/>
        <w:ind w:firstLine="456" w:firstLineChars="190"/>
        <w:rPr>
          <w:rFonts w:ascii="宋体" w:hAnsi="宋体" w:cs="宋体"/>
          <w:sz w:val="24"/>
          <w:szCs w:val="24"/>
        </w:rPr>
      </w:pPr>
      <w:r>
        <w:rPr>
          <w:rFonts w:hint="eastAsia" w:ascii="宋体" w:hAnsi="宋体" w:cs="宋体"/>
          <w:sz w:val="24"/>
          <w:szCs w:val="24"/>
        </w:rPr>
        <w:t>1、参加本采购项目报价，请务必同时上传</w:t>
      </w:r>
      <w:r>
        <w:rPr>
          <w:rFonts w:hint="eastAsia" w:ascii="宋体" w:hAnsi="宋体" w:cs="宋体"/>
          <w:b/>
          <w:bCs/>
          <w:sz w:val="24"/>
          <w:szCs w:val="24"/>
        </w:rPr>
        <w:t>《参与华能</w:t>
      </w:r>
      <w:r>
        <w:rPr>
          <w:rFonts w:hint="eastAsia" w:ascii="宋体" w:hAnsi="宋体" w:cs="宋体"/>
          <w:b/>
          <w:bCs/>
          <w:sz w:val="24"/>
          <w:szCs w:val="24"/>
          <w:lang w:eastAsia="zh-CN"/>
        </w:rPr>
        <w:t>玉环分公司</w:t>
      </w:r>
      <w:r>
        <w:rPr>
          <w:rFonts w:hint="eastAsia" w:ascii="宋体" w:hAnsi="宋体" w:cs="宋体"/>
          <w:b/>
          <w:bCs/>
          <w:sz w:val="24"/>
          <w:szCs w:val="24"/>
        </w:rPr>
        <w:t>采购业务的承诺函》</w:t>
      </w:r>
      <w:r>
        <w:rPr>
          <w:rFonts w:hint="eastAsia" w:ascii="宋体" w:hAnsi="宋体" w:cs="宋体"/>
          <w:sz w:val="24"/>
          <w:szCs w:val="24"/>
        </w:rPr>
        <w:t>，</w:t>
      </w:r>
      <w:r>
        <w:rPr>
          <w:rFonts w:hint="eastAsia" w:ascii="宋体" w:hAnsi="宋体" w:cs="宋体"/>
          <w:b/>
          <w:bCs/>
          <w:sz w:val="24"/>
          <w:szCs w:val="24"/>
        </w:rPr>
        <w:t>内容详见附件。</w:t>
      </w:r>
    </w:p>
    <w:p>
      <w:pPr>
        <w:pStyle w:val="24"/>
        <w:spacing w:line="360" w:lineRule="auto"/>
        <w:ind w:firstLine="456" w:firstLineChars="190"/>
        <w:rPr>
          <w:rFonts w:ascii="宋体" w:hAnsi="宋体" w:cs="宋体"/>
          <w:b/>
          <w:sz w:val="24"/>
          <w:szCs w:val="24"/>
        </w:rPr>
      </w:pPr>
      <w:r>
        <w:rPr>
          <w:rFonts w:hint="eastAsia" w:ascii="宋体" w:hAnsi="宋体" w:cs="宋体"/>
          <w:sz w:val="24"/>
          <w:szCs w:val="24"/>
        </w:rPr>
        <w:t>2、所有采购项目原则上到厂一票制，供应商在华能电子商务平台所报价格须含包装费、运杂费和保险费用等到达我厂物资仓库或指定地点的所有费用。</w:t>
      </w:r>
      <w:r>
        <w:rPr>
          <w:rFonts w:hint="eastAsia" w:ascii="宋体" w:hAnsi="宋体" w:cs="宋体"/>
          <w:b/>
          <w:bCs/>
          <w:color w:val="FF0000"/>
          <w:sz w:val="24"/>
          <w:szCs w:val="24"/>
        </w:rPr>
        <w:t>所有运杂费须分摊到报价中，不要另行单列</w:t>
      </w:r>
      <w:r>
        <w:rPr>
          <w:rFonts w:hint="eastAsia" w:ascii="宋体" w:hAnsi="宋体" w:cs="宋体"/>
          <w:color w:val="FF0000"/>
          <w:sz w:val="24"/>
          <w:szCs w:val="24"/>
        </w:rPr>
        <w:t>。</w:t>
      </w:r>
      <w:r>
        <w:rPr>
          <w:rFonts w:hint="eastAsia" w:ascii="宋体" w:hAnsi="宋体" w:cs="宋体"/>
          <w:sz w:val="24"/>
          <w:szCs w:val="24"/>
        </w:rPr>
        <w:t>所有询价物料均要报价，选择性报价将被视为无效报价。</w:t>
      </w:r>
      <w:r>
        <w:rPr>
          <w:rFonts w:hint="eastAsia" w:ascii="宋体" w:hAnsi="宋体" w:cs="宋体"/>
          <w:b/>
          <w:sz w:val="24"/>
          <w:szCs w:val="24"/>
        </w:rPr>
        <w:t>报价时请务必关注备注、说明及附件。</w:t>
      </w:r>
    </w:p>
    <w:p>
      <w:pPr>
        <w:pStyle w:val="24"/>
        <w:spacing w:line="360" w:lineRule="auto"/>
        <w:ind w:firstLine="456" w:firstLineChars="190"/>
        <w:rPr>
          <w:rFonts w:ascii="宋体" w:hAnsi="宋体" w:cs="宋体"/>
          <w:sz w:val="24"/>
          <w:szCs w:val="24"/>
        </w:rPr>
      </w:pPr>
      <w:r>
        <w:rPr>
          <w:rFonts w:hint="eastAsia" w:ascii="宋体" w:hAnsi="宋体" w:cs="宋体"/>
          <w:sz w:val="24"/>
          <w:szCs w:val="24"/>
        </w:rPr>
        <w:t>3、一旦报价，则被视为完全响应商务、技术要求的报价</w:t>
      </w:r>
      <w:r>
        <w:rPr>
          <w:rFonts w:hint="eastAsia" w:ascii="宋体" w:hAnsi="宋体" w:cs="宋体"/>
          <w:sz w:val="24"/>
          <w:szCs w:val="24"/>
          <w:lang w:eastAsia="zh-CN"/>
        </w:rPr>
        <w:t>，报价有效期</w:t>
      </w:r>
      <w:r>
        <w:rPr>
          <w:rFonts w:hint="eastAsia" w:ascii="宋体" w:hAnsi="宋体" w:cs="宋体"/>
          <w:sz w:val="24"/>
          <w:szCs w:val="24"/>
          <w:lang w:val="en-US" w:eastAsia="zh-CN"/>
        </w:rPr>
        <w:t>90天。</w:t>
      </w:r>
      <w:r>
        <w:rPr>
          <w:rFonts w:hint="eastAsia" w:ascii="宋体" w:hAnsi="宋体" w:cs="宋体"/>
          <w:b/>
          <w:bCs/>
          <w:color w:val="FF0000"/>
          <w:sz w:val="24"/>
          <w:szCs w:val="24"/>
          <w:lang w:eastAsia="zh-CN"/>
        </w:rPr>
        <w:t>供应商不得擅自变更我厂采购品的规格型号、要求报价商品必须与物料描述、技术要求保持一致，否则被视为无效报价</w:t>
      </w:r>
      <w:r>
        <w:rPr>
          <w:rFonts w:hint="eastAsia" w:ascii="宋体" w:hAnsi="宋体" w:cs="宋体"/>
          <w:b/>
          <w:bCs/>
          <w:color w:val="FF0000"/>
          <w:sz w:val="24"/>
          <w:szCs w:val="24"/>
        </w:rPr>
        <w:t>。</w:t>
      </w:r>
    </w:p>
    <w:p>
      <w:pPr>
        <w:pStyle w:val="24"/>
        <w:spacing w:line="360" w:lineRule="auto"/>
        <w:ind w:firstLine="456" w:firstLineChars="190"/>
        <w:rPr>
          <w:rFonts w:ascii="宋体" w:hAnsi="宋体" w:cs="宋体"/>
          <w:sz w:val="24"/>
          <w:szCs w:val="24"/>
        </w:rPr>
      </w:pPr>
      <w:r>
        <w:rPr>
          <w:rFonts w:hint="eastAsia" w:ascii="宋体" w:hAnsi="宋体" w:cs="宋体"/>
          <w:sz w:val="24"/>
          <w:szCs w:val="24"/>
        </w:rPr>
        <w:t>4、中标后与采购方签订合同或订单并按要求执行合同或订单，对不能履约、不按时交货或验收不合格者的供应商，采购方将按订单、合同及《中国华能集团有限公司供应商管理实施细则》相关条款进行处罚。</w:t>
      </w:r>
    </w:p>
    <w:p>
      <w:pPr>
        <w:pStyle w:val="24"/>
        <w:spacing w:line="360" w:lineRule="auto"/>
        <w:ind w:firstLine="456" w:firstLineChars="190"/>
        <w:rPr>
          <w:rFonts w:ascii="宋体" w:hAnsi="宋体" w:cs="宋体"/>
          <w:sz w:val="24"/>
          <w:szCs w:val="24"/>
        </w:rPr>
      </w:pPr>
      <w:r>
        <w:rPr>
          <w:rFonts w:hint="eastAsia" w:ascii="宋体" w:hAnsi="宋体" w:cs="宋体"/>
          <w:sz w:val="24"/>
          <w:szCs w:val="24"/>
        </w:rPr>
        <w:t>5、除特殊情况外，物资交货期为订单或合同生效后国产物资30天内、进口物资60天内完成交货：</w:t>
      </w:r>
    </w:p>
    <w:p>
      <w:pPr>
        <w:pStyle w:val="24"/>
        <w:spacing w:line="360" w:lineRule="auto"/>
        <w:ind w:firstLine="458" w:firstLineChars="190"/>
        <w:rPr>
          <w:rFonts w:ascii="宋体" w:hAnsi="宋体" w:cs="宋体"/>
          <w:b/>
          <w:bCs/>
          <w:sz w:val="24"/>
          <w:szCs w:val="24"/>
        </w:rPr>
      </w:pPr>
      <w:r>
        <w:rPr>
          <w:rFonts w:hint="eastAsia" w:ascii="宋体" w:hAnsi="宋体" w:cs="宋体"/>
          <w:b/>
          <w:bCs/>
          <w:sz w:val="24"/>
          <w:szCs w:val="24"/>
        </w:rPr>
        <w:t>5.1对不能满足交货期的采购项目请勿报价，尤其特别注明交货期的项目。</w:t>
      </w:r>
    </w:p>
    <w:p>
      <w:pPr>
        <w:pStyle w:val="24"/>
        <w:spacing w:line="360" w:lineRule="auto"/>
        <w:ind w:firstLine="456" w:firstLineChars="190"/>
        <w:rPr>
          <w:rFonts w:ascii="宋体" w:hAnsi="宋体" w:cs="宋体"/>
          <w:sz w:val="24"/>
          <w:szCs w:val="24"/>
        </w:rPr>
      </w:pPr>
      <w:r>
        <w:rPr>
          <w:rFonts w:hint="eastAsia" w:ascii="宋体" w:hAnsi="宋体" w:cs="宋体"/>
          <w:sz w:val="24"/>
          <w:szCs w:val="24"/>
        </w:rPr>
        <w:t>5.2如在合同约定的交货期内不能交货，延迟交货罚则：超过交货期5天内的扣2%货款；超过交货期10天内的扣5%货款；超过交货期10天以上30天以内的扣10%货款；超过交货期30天以上扣30%货款，同时给予供应商不良行为认定处罚。</w:t>
      </w:r>
    </w:p>
    <w:p>
      <w:pPr>
        <w:pStyle w:val="24"/>
        <w:spacing w:line="360" w:lineRule="auto"/>
        <w:ind w:firstLine="458" w:firstLineChars="190"/>
        <w:rPr>
          <w:rFonts w:ascii="宋体" w:hAnsi="宋体" w:cs="宋体"/>
          <w:b/>
          <w:bCs/>
          <w:sz w:val="24"/>
          <w:szCs w:val="24"/>
        </w:rPr>
      </w:pPr>
      <w:r>
        <w:rPr>
          <w:rFonts w:hint="eastAsia" w:ascii="宋体" w:hAnsi="宋体" w:cs="宋体"/>
          <w:b/>
          <w:bCs/>
          <w:sz w:val="24"/>
          <w:szCs w:val="24"/>
        </w:rPr>
        <w:t>6、交货要求：供货时随付到货清单，清单上详细注明供应商信息、合同号、采购订单号、到货物资明细。供货产品必须提供相关质量证明文件（国产物资：产品合格证、材质证明、质量证明等；进口产品：海关报关单、商检证明、原产地证明等）；如无质量证明文件，所供物资将验收不合格。同一订单或合同，因验收不合格造成退换货达到3次的，</w:t>
      </w:r>
      <w:r>
        <w:rPr>
          <w:rFonts w:hint="eastAsia" w:ascii="宋体" w:hAnsi="宋体" w:cs="宋体"/>
          <w:b/>
          <w:bCs/>
          <w:sz w:val="24"/>
          <w:szCs w:val="24"/>
          <w:lang w:eastAsia="zh-CN"/>
        </w:rPr>
        <w:t>玉环分公司</w:t>
      </w:r>
      <w:r>
        <w:rPr>
          <w:rFonts w:hint="eastAsia" w:ascii="宋体" w:hAnsi="宋体" w:cs="宋体"/>
          <w:b/>
          <w:bCs/>
          <w:sz w:val="24"/>
          <w:szCs w:val="24"/>
        </w:rPr>
        <w:t>可终止订单或合同；对已发验收合格部分协商结算；退换货超过交货期，按超过交货期处罚执行。</w:t>
      </w:r>
    </w:p>
    <w:p>
      <w:pPr>
        <w:pStyle w:val="24"/>
        <w:spacing w:line="360" w:lineRule="auto"/>
        <w:jc w:val="center"/>
        <w:rPr>
          <w:rFonts w:hint="eastAsia" w:ascii="仿宋_GB2312" w:hAnsi="仿宋_GB2312" w:eastAsia="仿宋_GB2312" w:cs="仿宋_GB2312"/>
          <w:sz w:val="28"/>
          <w:szCs w:val="28"/>
        </w:rPr>
      </w:pPr>
    </w:p>
    <w:p>
      <w:pPr>
        <w:pStyle w:val="24"/>
        <w:spacing w:line="360" w:lineRule="auto"/>
        <w:jc w:val="center"/>
        <w:rPr>
          <w:rFonts w:hint="eastAsia" w:ascii="仿宋_GB2312" w:hAnsi="仿宋_GB2312" w:eastAsia="仿宋_GB2312" w:cs="仿宋_GB2312"/>
          <w:sz w:val="28"/>
          <w:szCs w:val="28"/>
        </w:rPr>
      </w:pPr>
    </w:p>
    <w:p>
      <w:pPr>
        <w:pStyle w:val="24"/>
        <w:spacing w:line="360" w:lineRule="auto"/>
        <w:jc w:val="center"/>
        <w:rPr>
          <w:rFonts w:hint="eastAsia" w:ascii="仿宋_GB2312" w:hAnsi="仿宋_GB2312" w:eastAsia="仿宋_GB2312" w:cs="仿宋_GB2312"/>
          <w:sz w:val="28"/>
          <w:szCs w:val="28"/>
        </w:rPr>
      </w:pPr>
    </w:p>
    <w:p>
      <w:pPr>
        <w:pStyle w:val="24"/>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二、特别说明</w:t>
      </w:r>
    </w:p>
    <w:p>
      <w:pPr>
        <w:pStyle w:val="24"/>
        <w:spacing w:line="360" w:lineRule="auto"/>
        <w:ind w:firstLine="456" w:firstLineChars="190"/>
        <w:rPr>
          <w:rFonts w:ascii="宋体" w:hAnsi="宋体" w:cs="宋体"/>
          <w:sz w:val="24"/>
          <w:szCs w:val="24"/>
        </w:rPr>
      </w:pPr>
      <w:r>
        <w:rPr>
          <w:rFonts w:hint="eastAsia" w:ascii="宋体" w:hAnsi="宋体" w:cs="宋体"/>
          <w:sz w:val="24"/>
          <w:szCs w:val="24"/>
        </w:rPr>
        <w:t>1、供应商必须全面响应本询价要求内容，本次采购解释权归采购方。采购方对未中标原因不作说明。</w:t>
      </w:r>
    </w:p>
    <w:p>
      <w:pPr>
        <w:pStyle w:val="24"/>
        <w:spacing w:line="360" w:lineRule="auto"/>
        <w:ind w:firstLine="458" w:firstLineChars="190"/>
        <w:rPr>
          <w:rFonts w:ascii="宋体" w:hAnsi="宋体" w:cs="宋体"/>
          <w:b/>
          <w:bCs/>
          <w:sz w:val="24"/>
          <w:szCs w:val="24"/>
        </w:rPr>
      </w:pPr>
      <w:r>
        <w:rPr>
          <w:rFonts w:hint="eastAsia" w:ascii="宋体" w:hAnsi="宋体" w:cs="宋体"/>
          <w:b/>
          <w:bCs/>
          <w:sz w:val="24"/>
          <w:szCs w:val="24"/>
        </w:rPr>
        <w:t>2、对供应商报价时不仔细阅读询价</w:t>
      </w:r>
      <w:r>
        <w:rPr>
          <w:rFonts w:hint="eastAsia" w:ascii="宋体" w:hAnsi="宋体" w:cs="宋体"/>
          <w:b/>
          <w:bCs/>
          <w:sz w:val="24"/>
          <w:szCs w:val="24"/>
          <w:lang w:eastAsia="zh-CN"/>
        </w:rPr>
        <w:t>公告</w:t>
      </w:r>
      <w:r>
        <w:rPr>
          <w:rFonts w:hint="eastAsia" w:ascii="宋体" w:hAnsi="宋体" w:cs="宋体"/>
          <w:b/>
          <w:bCs/>
          <w:sz w:val="24"/>
          <w:szCs w:val="24"/>
        </w:rPr>
        <w:t>、报价须知、技术文件等出现报价错误等情况，导致询价失败的供应商，请承诺风险提示期内不参与</w:t>
      </w:r>
      <w:r>
        <w:rPr>
          <w:rFonts w:hint="eastAsia" w:ascii="宋体" w:hAnsi="宋体" w:cs="宋体"/>
          <w:b/>
          <w:bCs/>
          <w:sz w:val="24"/>
          <w:szCs w:val="24"/>
          <w:lang w:eastAsia="zh-CN"/>
        </w:rPr>
        <w:t>玉环分公司</w:t>
      </w:r>
      <w:r>
        <w:rPr>
          <w:rFonts w:hint="eastAsia" w:ascii="宋体" w:hAnsi="宋体" w:cs="宋体"/>
          <w:b/>
          <w:bCs/>
          <w:sz w:val="24"/>
          <w:szCs w:val="24"/>
        </w:rPr>
        <w:t>非招标采购活动。具体如下：</w:t>
      </w:r>
    </w:p>
    <w:p>
      <w:pPr>
        <w:pStyle w:val="24"/>
        <w:spacing w:line="360" w:lineRule="auto"/>
        <w:ind w:firstLine="458" w:firstLineChars="190"/>
        <w:rPr>
          <w:rFonts w:ascii="宋体" w:hAnsi="宋体" w:cs="宋体"/>
          <w:b/>
          <w:bCs/>
          <w:color w:val="FF0000"/>
          <w:sz w:val="24"/>
          <w:szCs w:val="24"/>
        </w:rPr>
      </w:pPr>
      <w:r>
        <w:rPr>
          <w:rFonts w:hint="eastAsia" w:ascii="宋体" w:hAnsi="宋体" w:cs="宋体"/>
          <w:b/>
          <w:bCs/>
          <w:color w:val="FF0000"/>
          <w:sz w:val="24"/>
          <w:szCs w:val="24"/>
        </w:rPr>
        <w:t>2.1供应商发生以下情况之一的处以风险提示，风险提示期为6个月，该期间为供应商风险自查自纠，请承诺6个月内不参与采购方的非招标采购活动：</w:t>
      </w:r>
    </w:p>
    <w:p>
      <w:pPr>
        <w:pStyle w:val="24"/>
        <w:numPr>
          <w:ilvl w:val="0"/>
          <w:numId w:val="1"/>
        </w:numPr>
        <w:spacing w:line="360" w:lineRule="auto"/>
        <w:ind w:firstLine="458" w:firstLineChars="190"/>
        <w:rPr>
          <w:rFonts w:ascii="宋体" w:hAnsi="宋体" w:cs="宋体"/>
          <w:b/>
          <w:bCs/>
          <w:color w:val="FF0000"/>
          <w:sz w:val="24"/>
          <w:szCs w:val="24"/>
        </w:rPr>
      </w:pPr>
      <w:r>
        <w:rPr>
          <w:rFonts w:hint="eastAsia" w:ascii="宋体" w:hAnsi="宋体" w:cs="宋体"/>
          <w:b/>
          <w:bCs/>
          <w:color w:val="FF0000"/>
          <w:sz w:val="24"/>
          <w:szCs w:val="24"/>
        </w:rPr>
        <w:t>供应商在报价截止后书面提出因报价错误、失误、对技术文件审视不清，放弃本次报价的。</w:t>
      </w:r>
    </w:p>
    <w:p>
      <w:pPr>
        <w:pStyle w:val="24"/>
        <w:spacing w:line="360" w:lineRule="auto"/>
        <w:ind w:firstLine="458" w:firstLineChars="190"/>
        <w:rPr>
          <w:rFonts w:ascii="宋体" w:hAnsi="宋体" w:cs="宋体"/>
          <w:b/>
          <w:bCs/>
          <w:color w:val="FF0000"/>
          <w:sz w:val="24"/>
          <w:szCs w:val="24"/>
        </w:rPr>
      </w:pPr>
      <w:r>
        <w:rPr>
          <w:rFonts w:hint="eastAsia" w:ascii="宋体" w:hAnsi="宋体" w:cs="宋体"/>
          <w:b/>
          <w:bCs/>
          <w:color w:val="FF0000"/>
          <w:sz w:val="24"/>
          <w:szCs w:val="24"/>
        </w:rPr>
        <w:t>2.2供应商在</w:t>
      </w:r>
      <w:r>
        <w:rPr>
          <w:rFonts w:hint="eastAsia" w:ascii="宋体" w:hAnsi="宋体" w:cs="宋体"/>
          <w:b/>
          <w:bCs/>
          <w:color w:val="FF0000"/>
          <w:sz w:val="24"/>
          <w:szCs w:val="24"/>
          <w:lang w:eastAsia="zh-CN"/>
        </w:rPr>
        <w:t>玉环分公司</w:t>
      </w:r>
      <w:r>
        <w:rPr>
          <w:rFonts w:hint="eastAsia" w:ascii="宋体" w:hAnsi="宋体" w:cs="宋体"/>
          <w:b/>
          <w:bCs/>
          <w:color w:val="FF0000"/>
          <w:sz w:val="24"/>
          <w:szCs w:val="24"/>
        </w:rPr>
        <w:t>业务合同中，超过约定交货期30天以上且仍未交货的，请承诺在完成本合同物资交货前不再参与</w:t>
      </w:r>
      <w:r>
        <w:rPr>
          <w:rFonts w:hint="eastAsia" w:ascii="宋体" w:hAnsi="宋体" w:cs="宋体"/>
          <w:b/>
          <w:bCs/>
          <w:color w:val="FF0000"/>
          <w:sz w:val="24"/>
          <w:szCs w:val="24"/>
          <w:lang w:eastAsia="zh-CN"/>
        </w:rPr>
        <w:t>玉环分公司</w:t>
      </w:r>
      <w:r>
        <w:rPr>
          <w:rFonts w:hint="eastAsia" w:ascii="宋体" w:hAnsi="宋体" w:cs="宋体"/>
          <w:b/>
          <w:bCs/>
          <w:color w:val="FF0000"/>
          <w:sz w:val="24"/>
          <w:szCs w:val="24"/>
        </w:rPr>
        <w:t>其他非招标采购活动。</w:t>
      </w:r>
    </w:p>
    <w:p>
      <w:pPr>
        <w:pStyle w:val="24"/>
        <w:numPr>
          <w:ilvl w:val="0"/>
          <w:numId w:val="2"/>
        </w:numPr>
        <w:spacing w:line="360" w:lineRule="auto"/>
        <w:ind w:firstLine="458" w:firstLineChars="190"/>
        <w:rPr>
          <w:rFonts w:ascii="宋体" w:hAnsi="宋体" w:cs="宋体"/>
          <w:b/>
          <w:bCs/>
          <w:sz w:val="24"/>
          <w:szCs w:val="24"/>
        </w:rPr>
      </w:pPr>
      <w:r>
        <w:rPr>
          <w:rFonts w:hint="eastAsia" w:ascii="宋体" w:hAnsi="宋体" w:cs="宋体"/>
          <w:b/>
          <w:bCs/>
          <w:sz w:val="24"/>
          <w:szCs w:val="24"/>
        </w:rPr>
        <w:t>供应商发生以下情况符合《中国华能集团有限公司供应商管理办法》和《中国华能集团有限公司供应商管理实施细则》所列供应商不良行为的，将根据不良行为的性质和影响程度，停止合作3个月至五年：</w:t>
      </w:r>
    </w:p>
    <w:p>
      <w:pPr>
        <w:pStyle w:val="24"/>
        <w:spacing w:line="360" w:lineRule="auto"/>
        <w:ind w:firstLine="482" w:firstLineChars="200"/>
        <w:rPr>
          <w:rFonts w:ascii="宋体" w:hAnsi="宋体" w:cs="宋体"/>
          <w:b/>
          <w:bCs/>
          <w:sz w:val="24"/>
          <w:szCs w:val="24"/>
        </w:rPr>
      </w:pPr>
      <w:r>
        <w:rPr>
          <w:rFonts w:hint="eastAsia" w:ascii="宋体" w:hAnsi="宋体" w:cs="宋体"/>
          <w:b/>
          <w:bCs/>
          <w:sz w:val="24"/>
          <w:szCs w:val="24"/>
        </w:rPr>
        <w:t>3.1诚信方面</w:t>
      </w:r>
    </w:p>
    <w:p>
      <w:pPr>
        <w:pStyle w:val="24"/>
        <w:numPr>
          <w:ilvl w:val="0"/>
          <w:numId w:val="3"/>
        </w:numPr>
        <w:spacing w:line="360" w:lineRule="auto"/>
        <w:ind w:firstLine="480" w:firstLineChars="200"/>
        <w:rPr>
          <w:rFonts w:ascii="宋体" w:hAnsi="宋体" w:cs="宋体"/>
          <w:sz w:val="24"/>
          <w:szCs w:val="24"/>
        </w:rPr>
      </w:pPr>
      <w:r>
        <w:rPr>
          <w:rFonts w:hint="eastAsia" w:ascii="宋体" w:hAnsi="宋体" w:cs="宋体"/>
          <w:sz w:val="24"/>
          <w:szCs w:val="24"/>
        </w:rPr>
        <w:t>供应商准入时或采购业务中提供虚假信息或证明文件等</w:t>
      </w:r>
      <w:r>
        <w:rPr>
          <w:rFonts w:hint="eastAsia" w:ascii="宋体" w:hAnsi="宋体" w:cs="宋体"/>
          <w:b/>
          <w:sz w:val="24"/>
          <w:szCs w:val="24"/>
        </w:rPr>
        <w:t>弄虚作假</w:t>
      </w:r>
      <w:r>
        <w:rPr>
          <w:rFonts w:hint="eastAsia" w:ascii="宋体" w:hAnsi="宋体" w:cs="宋体"/>
          <w:sz w:val="24"/>
          <w:szCs w:val="24"/>
        </w:rPr>
        <w:t>行为的；</w:t>
      </w:r>
    </w:p>
    <w:p>
      <w:pPr>
        <w:pStyle w:val="24"/>
        <w:numPr>
          <w:ilvl w:val="0"/>
          <w:numId w:val="3"/>
        </w:numPr>
        <w:spacing w:line="360" w:lineRule="auto"/>
        <w:ind w:firstLine="480" w:firstLineChars="200"/>
        <w:rPr>
          <w:rFonts w:ascii="宋体" w:hAnsi="宋体" w:cs="宋体"/>
          <w:sz w:val="24"/>
          <w:szCs w:val="24"/>
        </w:rPr>
      </w:pPr>
      <w:r>
        <w:rPr>
          <w:rFonts w:hint="eastAsia" w:ascii="宋体" w:hAnsi="宋体" w:cs="宋体"/>
          <w:sz w:val="24"/>
          <w:szCs w:val="24"/>
        </w:rPr>
        <w:t>供应商故意修改采购文件明确列明的技术参数并进行响应的；</w:t>
      </w:r>
    </w:p>
    <w:p>
      <w:pPr>
        <w:pStyle w:val="24"/>
        <w:numPr>
          <w:ilvl w:val="0"/>
          <w:numId w:val="3"/>
        </w:numPr>
        <w:spacing w:line="360" w:lineRule="auto"/>
        <w:ind w:firstLine="480" w:firstLineChars="200"/>
        <w:rPr>
          <w:rFonts w:ascii="宋体" w:hAnsi="宋体" w:cs="宋体"/>
          <w:sz w:val="24"/>
          <w:szCs w:val="24"/>
        </w:rPr>
      </w:pPr>
      <w:r>
        <w:rPr>
          <w:rFonts w:hint="eastAsia" w:ascii="宋体" w:hAnsi="宋体" w:cs="宋体"/>
          <w:sz w:val="24"/>
          <w:szCs w:val="24"/>
        </w:rPr>
        <w:t>供应商资质业绩信息发生实质性变化未及时做出说明，对中标结果公平性造成影响的；</w:t>
      </w:r>
    </w:p>
    <w:p>
      <w:pPr>
        <w:pStyle w:val="24"/>
        <w:numPr>
          <w:ilvl w:val="0"/>
          <w:numId w:val="3"/>
        </w:numPr>
        <w:spacing w:line="360" w:lineRule="auto"/>
        <w:ind w:firstLine="480" w:firstLineChars="200"/>
        <w:rPr>
          <w:rFonts w:ascii="宋体" w:hAnsi="宋体" w:cs="宋体"/>
          <w:sz w:val="24"/>
          <w:szCs w:val="24"/>
        </w:rPr>
      </w:pPr>
      <w:r>
        <w:rPr>
          <w:rFonts w:hint="eastAsia" w:ascii="宋体" w:hAnsi="宋体" w:cs="宋体"/>
          <w:sz w:val="24"/>
          <w:szCs w:val="24"/>
        </w:rPr>
        <w:t>供应商在投标时，修改招标文件明确列明的技术经济参数未在差异表中明确的；</w:t>
      </w:r>
    </w:p>
    <w:p>
      <w:pPr>
        <w:pStyle w:val="24"/>
        <w:numPr>
          <w:ilvl w:val="0"/>
          <w:numId w:val="3"/>
        </w:numPr>
        <w:spacing w:line="360" w:lineRule="auto"/>
        <w:ind w:firstLine="480" w:firstLineChars="200"/>
        <w:rPr>
          <w:rFonts w:ascii="宋体" w:hAnsi="宋体" w:cs="宋体"/>
          <w:sz w:val="24"/>
          <w:szCs w:val="24"/>
        </w:rPr>
      </w:pPr>
      <w:r>
        <w:rPr>
          <w:rFonts w:hint="eastAsia" w:ascii="宋体" w:hAnsi="宋体" w:cs="宋体"/>
          <w:sz w:val="24"/>
          <w:szCs w:val="24"/>
        </w:rPr>
        <w:t>供应商非招标或招标采购中标后，</w:t>
      </w:r>
      <w:r>
        <w:rPr>
          <w:rFonts w:hint="eastAsia" w:ascii="宋体" w:hAnsi="宋体" w:cs="宋体"/>
          <w:b/>
          <w:sz w:val="24"/>
          <w:szCs w:val="24"/>
        </w:rPr>
        <w:t>因自身原因弃标</w:t>
      </w:r>
      <w:r>
        <w:rPr>
          <w:rFonts w:hint="eastAsia" w:ascii="宋体" w:hAnsi="宋体" w:cs="宋体"/>
          <w:sz w:val="24"/>
          <w:szCs w:val="24"/>
        </w:rPr>
        <w:t>的；</w:t>
      </w:r>
    </w:p>
    <w:p>
      <w:pPr>
        <w:pStyle w:val="24"/>
        <w:numPr>
          <w:ilvl w:val="0"/>
          <w:numId w:val="3"/>
        </w:numPr>
        <w:spacing w:line="360" w:lineRule="auto"/>
        <w:ind w:firstLine="480" w:firstLineChars="200"/>
        <w:rPr>
          <w:rFonts w:ascii="宋体" w:hAnsi="宋体" w:cs="宋体"/>
          <w:sz w:val="24"/>
          <w:szCs w:val="24"/>
        </w:rPr>
      </w:pPr>
      <w:r>
        <w:rPr>
          <w:rFonts w:hint="eastAsia" w:ascii="宋体" w:hAnsi="宋体" w:cs="宋体"/>
          <w:sz w:val="24"/>
          <w:szCs w:val="24"/>
        </w:rPr>
        <w:t>供应商未按合同约定或违反投标文件承诺，擅自更换原材料、组部件的；</w:t>
      </w:r>
    </w:p>
    <w:p>
      <w:pPr>
        <w:pStyle w:val="24"/>
        <w:numPr>
          <w:ilvl w:val="0"/>
          <w:numId w:val="3"/>
        </w:numPr>
        <w:spacing w:line="360" w:lineRule="auto"/>
        <w:ind w:firstLine="480" w:firstLineChars="200"/>
        <w:rPr>
          <w:rFonts w:ascii="宋体" w:hAnsi="宋体" w:cs="宋体"/>
          <w:sz w:val="24"/>
          <w:szCs w:val="24"/>
        </w:rPr>
      </w:pPr>
      <w:r>
        <w:rPr>
          <w:rFonts w:hint="eastAsia" w:ascii="宋体" w:hAnsi="宋体" w:cs="宋体"/>
          <w:sz w:val="24"/>
          <w:szCs w:val="24"/>
        </w:rPr>
        <w:t>违规转包、分包合同的；</w:t>
      </w:r>
    </w:p>
    <w:p>
      <w:pPr>
        <w:pStyle w:val="24"/>
        <w:numPr>
          <w:ilvl w:val="0"/>
          <w:numId w:val="3"/>
        </w:numPr>
        <w:spacing w:line="360" w:lineRule="auto"/>
        <w:ind w:firstLine="480" w:firstLineChars="200"/>
        <w:rPr>
          <w:rFonts w:ascii="宋体" w:hAnsi="宋体" w:cs="宋体"/>
          <w:sz w:val="24"/>
          <w:szCs w:val="24"/>
        </w:rPr>
      </w:pPr>
      <w:r>
        <w:rPr>
          <w:rFonts w:hint="eastAsia" w:ascii="宋体" w:hAnsi="宋体" w:cs="宋体"/>
          <w:sz w:val="24"/>
          <w:szCs w:val="24"/>
        </w:rPr>
        <w:t>在经营活动中发生重大违法行为的；</w:t>
      </w:r>
    </w:p>
    <w:p>
      <w:pPr>
        <w:pStyle w:val="24"/>
        <w:numPr>
          <w:ilvl w:val="0"/>
          <w:numId w:val="3"/>
        </w:numPr>
        <w:spacing w:line="360" w:lineRule="auto"/>
        <w:ind w:firstLine="480" w:firstLineChars="200"/>
        <w:rPr>
          <w:rFonts w:ascii="宋体" w:hAnsi="宋体" w:cs="宋体"/>
          <w:sz w:val="24"/>
          <w:szCs w:val="24"/>
        </w:rPr>
      </w:pPr>
      <w:r>
        <w:rPr>
          <w:rFonts w:hint="eastAsia" w:ascii="宋体" w:hAnsi="宋体" w:cs="宋体"/>
          <w:sz w:val="24"/>
          <w:szCs w:val="24"/>
        </w:rPr>
        <w:t>在投标过程中相互串通投标或者与招标人串通投标的；</w:t>
      </w:r>
    </w:p>
    <w:p>
      <w:pPr>
        <w:pStyle w:val="24"/>
        <w:numPr>
          <w:ilvl w:val="0"/>
          <w:numId w:val="3"/>
        </w:numPr>
        <w:spacing w:line="360" w:lineRule="auto"/>
        <w:ind w:firstLine="480" w:firstLineChars="200"/>
        <w:rPr>
          <w:rFonts w:ascii="宋体" w:hAnsi="宋体" w:cs="宋体"/>
          <w:sz w:val="24"/>
          <w:szCs w:val="24"/>
        </w:rPr>
      </w:pPr>
      <w:r>
        <w:rPr>
          <w:rFonts w:hint="eastAsia" w:ascii="宋体" w:hAnsi="宋体" w:cs="宋体"/>
          <w:sz w:val="24"/>
          <w:szCs w:val="24"/>
        </w:rPr>
        <w:t>向招标人或评标委员会成员行贿，或通过非法中介机构或人员采取不正当手段谋取中标的；或向有关工作人员行贿的；</w:t>
      </w:r>
    </w:p>
    <w:p>
      <w:pPr>
        <w:pStyle w:val="24"/>
        <w:numPr>
          <w:ilvl w:val="0"/>
          <w:numId w:val="3"/>
        </w:numPr>
        <w:spacing w:line="360" w:lineRule="auto"/>
        <w:ind w:firstLine="480" w:firstLineChars="200"/>
        <w:rPr>
          <w:rFonts w:ascii="宋体" w:hAnsi="宋体" w:cs="宋体"/>
          <w:sz w:val="24"/>
          <w:szCs w:val="24"/>
        </w:rPr>
      </w:pPr>
      <w:r>
        <w:rPr>
          <w:rFonts w:hint="eastAsia" w:ascii="宋体" w:hAnsi="宋体" w:cs="宋体"/>
          <w:sz w:val="24"/>
          <w:szCs w:val="24"/>
        </w:rPr>
        <w:t>捏造事实或者提供虚假投诉材料，诋毁、排挤其他供应商进行恶意投诉的；</w:t>
      </w:r>
    </w:p>
    <w:p>
      <w:pPr>
        <w:pStyle w:val="24"/>
        <w:numPr>
          <w:ilvl w:val="0"/>
          <w:numId w:val="3"/>
        </w:numPr>
        <w:spacing w:line="360" w:lineRule="auto"/>
        <w:ind w:firstLine="480" w:firstLineChars="200"/>
        <w:rPr>
          <w:rFonts w:ascii="宋体" w:hAnsi="宋体" w:cs="宋体"/>
          <w:sz w:val="24"/>
          <w:szCs w:val="24"/>
        </w:rPr>
      </w:pPr>
      <w:r>
        <w:rPr>
          <w:rFonts w:hint="eastAsia" w:ascii="宋体" w:hAnsi="宋体" w:cs="宋体"/>
          <w:sz w:val="24"/>
          <w:szCs w:val="24"/>
        </w:rPr>
        <w:t>不按招投标文件签订合同；拒绝履行合同义务或不按合同约定履行,擅自变更或者终止合同；</w:t>
      </w:r>
    </w:p>
    <w:p>
      <w:pPr>
        <w:pStyle w:val="24"/>
        <w:numPr>
          <w:ilvl w:val="0"/>
          <w:numId w:val="3"/>
        </w:numPr>
        <w:spacing w:line="360" w:lineRule="auto"/>
        <w:ind w:firstLine="480" w:firstLineChars="200"/>
        <w:rPr>
          <w:rFonts w:ascii="宋体" w:hAnsi="宋体" w:cs="宋体"/>
          <w:sz w:val="24"/>
          <w:szCs w:val="24"/>
        </w:rPr>
      </w:pPr>
      <w:r>
        <w:rPr>
          <w:rFonts w:hint="eastAsia" w:ascii="宋体" w:hAnsi="宋体" w:cs="宋体"/>
          <w:sz w:val="24"/>
          <w:szCs w:val="24"/>
        </w:rPr>
        <w:t>拒绝业主或业主指定的有关部门（单位）监督检查，或者提供虚假情况逃避监督的。</w:t>
      </w:r>
    </w:p>
    <w:p>
      <w:pPr>
        <w:pStyle w:val="24"/>
        <w:numPr>
          <w:ilvl w:val="0"/>
          <w:numId w:val="3"/>
        </w:numPr>
        <w:spacing w:line="360" w:lineRule="auto"/>
        <w:ind w:firstLine="480" w:firstLineChars="200"/>
        <w:rPr>
          <w:rFonts w:ascii="宋体" w:hAnsi="宋体" w:cs="宋体"/>
          <w:sz w:val="24"/>
          <w:szCs w:val="24"/>
        </w:rPr>
      </w:pPr>
      <w:r>
        <w:rPr>
          <w:rFonts w:hint="eastAsia" w:ascii="宋体" w:hAnsi="宋体" w:cs="宋体"/>
          <w:sz w:val="24"/>
          <w:szCs w:val="24"/>
        </w:rPr>
        <w:t>除上述行为之外发现供应商其他弄虚作假行为。</w:t>
      </w:r>
    </w:p>
    <w:p>
      <w:pPr>
        <w:pStyle w:val="24"/>
        <w:spacing w:line="360" w:lineRule="auto"/>
        <w:ind w:firstLine="482" w:firstLineChars="200"/>
        <w:rPr>
          <w:rFonts w:ascii="宋体" w:hAnsi="宋体" w:cs="宋体"/>
          <w:b/>
          <w:bCs/>
          <w:sz w:val="24"/>
          <w:szCs w:val="24"/>
        </w:rPr>
      </w:pPr>
      <w:r>
        <w:rPr>
          <w:rFonts w:hint="eastAsia" w:ascii="宋体" w:hAnsi="宋体" w:cs="宋体"/>
          <w:b/>
          <w:bCs/>
          <w:sz w:val="24"/>
          <w:szCs w:val="24"/>
        </w:rPr>
        <w:t>3.2质量方面</w:t>
      </w:r>
    </w:p>
    <w:p>
      <w:pPr>
        <w:pStyle w:val="24"/>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不能按合同规定及时提供完整的检验、试验等材质证明文件资料（包括分包商、主要外购/部套件供应商应该提供的文件资料）；</w:t>
      </w:r>
    </w:p>
    <w:p>
      <w:pPr>
        <w:pStyle w:val="24"/>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产品质量抽检中主要技术参数不合格的；</w:t>
      </w:r>
    </w:p>
    <w:p>
      <w:pPr>
        <w:pStyle w:val="24"/>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在设备仓储、运输等过程中，因供应商原因造成设备损伤或给设备质量带来隐患的，甚至拒绝调换</w:t>
      </w:r>
      <w:r>
        <w:rPr>
          <w:rFonts w:hint="eastAsia" w:ascii="宋体" w:hAnsi="宋体" w:cs="宋体"/>
          <w:sz w:val="24"/>
          <w:szCs w:val="24"/>
          <w:lang w:eastAsia="zh-CN"/>
        </w:rPr>
        <w:t>；</w:t>
      </w:r>
    </w:p>
    <w:p>
      <w:pPr>
        <w:pStyle w:val="24"/>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因产品质量或服务质量问题给基本建设、生产运营或企业形象造成影响的；</w:t>
      </w:r>
    </w:p>
    <w:p>
      <w:pPr>
        <w:pStyle w:val="24"/>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在设计上降低设计标准，或使用劣质原材料、组部件或偷工减料、以次充好；</w:t>
      </w:r>
    </w:p>
    <w:p>
      <w:pPr>
        <w:pStyle w:val="24"/>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因供应商责任，其产品被华能集团认定为家族性缺陷的；</w:t>
      </w:r>
    </w:p>
    <w:p>
      <w:pPr>
        <w:pStyle w:val="24"/>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未经业主同意擅自更换合同约定或投标文件承诺的原材料、组部件的；</w:t>
      </w:r>
    </w:p>
    <w:p>
      <w:pPr>
        <w:pStyle w:val="24"/>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被国家质检单位通报产品质量不合格的；</w:t>
      </w:r>
    </w:p>
    <w:p>
      <w:pPr>
        <w:pStyle w:val="24"/>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存在质量、履约等问题拒不整改的或召回的；</w:t>
      </w:r>
    </w:p>
    <w:p>
      <w:pPr>
        <w:pStyle w:val="24"/>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使用国家明令淘汰、禁止使用的危及施工安全的工艺、设备、材料的；</w:t>
      </w:r>
    </w:p>
    <w:p>
      <w:pPr>
        <w:pStyle w:val="24"/>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不配合业主单位质量监督工作，或对质量问题整改不积极；</w:t>
      </w:r>
    </w:p>
    <w:p>
      <w:pPr>
        <w:pStyle w:val="24"/>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在安装、调试或运行过程中，因供应商原因造成安全事故的（根据国家安全事故等级）。</w:t>
      </w:r>
    </w:p>
    <w:p>
      <w:pPr>
        <w:pStyle w:val="24"/>
        <w:spacing w:line="360" w:lineRule="auto"/>
        <w:ind w:firstLine="482" w:firstLineChars="200"/>
        <w:rPr>
          <w:rFonts w:ascii="宋体" w:hAnsi="宋体" w:cs="宋体"/>
          <w:b/>
          <w:bCs/>
          <w:sz w:val="24"/>
          <w:szCs w:val="24"/>
        </w:rPr>
      </w:pPr>
      <w:r>
        <w:rPr>
          <w:rFonts w:hint="eastAsia" w:ascii="宋体" w:hAnsi="宋体" w:cs="宋体"/>
          <w:b/>
          <w:bCs/>
          <w:sz w:val="24"/>
          <w:szCs w:val="24"/>
        </w:rPr>
        <w:t>3.3交货方面</w:t>
      </w:r>
    </w:p>
    <w:p>
      <w:pPr>
        <w:pStyle w:val="24"/>
        <w:numPr>
          <w:ilvl w:val="0"/>
          <w:numId w:val="5"/>
        </w:numPr>
        <w:spacing w:line="360" w:lineRule="auto"/>
        <w:ind w:firstLine="480" w:firstLineChars="200"/>
        <w:rPr>
          <w:rFonts w:ascii="宋体" w:hAnsi="宋体" w:cs="宋体"/>
          <w:sz w:val="24"/>
          <w:szCs w:val="24"/>
        </w:rPr>
      </w:pPr>
      <w:r>
        <w:rPr>
          <w:rFonts w:hint="eastAsia" w:ascii="宋体" w:hAnsi="宋体" w:cs="宋体"/>
          <w:sz w:val="24"/>
          <w:szCs w:val="24"/>
        </w:rPr>
        <w:t>因供应商原因延期交货或项目里程碑延期，对工程建设/生产运行或其他经营活动造成影响的。</w:t>
      </w:r>
    </w:p>
    <w:p>
      <w:pPr>
        <w:pStyle w:val="24"/>
        <w:spacing w:line="360" w:lineRule="auto"/>
        <w:ind w:firstLine="482" w:firstLineChars="200"/>
        <w:rPr>
          <w:rFonts w:ascii="宋体" w:hAnsi="宋体" w:cs="宋体"/>
          <w:b/>
          <w:bCs/>
          <w:sz w:val="24"/>
          <w:szCs w:val="24"/>
        </w:rPr>
      </w:pPr>
      <w:r>
        <w:rPr>
          <w:rFonts w:hint="eastAsia" w:ascii="宋体" w:hAnsi="宋体" w:cs="宋体"/>
          <w:b/>
          <w:bCs/>
          <w:sz w:val="24"/>
          <w:szCs w:val="24"/>
        </w:rPr>
        <w:t>3.4服务方面</w:t>
      </w:r>
    </w:p>
    <w:p>
      <w:pPr>
        <w:pStyle w:val="24"/>
        <w:numPr>
          <w:ilvl w:val="0"/>
          <w:numId w:val="6"/>
        </w:numPr>
        <w:spacing w:line="360" w:lineRule="auto"/>
        <w:ind w:firstLine="480" w:firstLineChars="200"/>
        <w:rPr>
          <w:rFonts w:ascii="宋体" w:hAnsi="宋体" w:cs="宋体"/>
          <w:sz w:val="24"/>
          <w:szCs w:val="24"/>
        </w:rPr>
      </w:pPr>
      <w:r>
        <w:rPr>
          <w:rFonts w:hint="eastAsia" w:ascii="宋体" w:hAnsi="宋体" w:cs="宋体"/>
          <w:sz w:val="24"/>
          <w:szCs w:val="24"/>
        </w:rPr>
        <w:t>未按合同约定标准提供全部服务项目，供应商服务人员到位不及时、技术指导不到位，或售后服务不到位、服务质量不良。</w:t>
      </w:r>
    </w:p>
    <w:p>
      <w:pPr>
        <w:pStyle w:val="24"/>
        <w:numPr>
          <w:ilvl w:val="0"/>
          <w:numId w:val="2"/>
        </w:numPr>
        <w:spacing w:line="360" w:lineRule="auto"/>
        <w:ind w:left="0" w:leftChars="0" w:firstLine="456" w:firstLineChars="190"/>
        <w:rPr>
          <w:rFonts w:hint="eastAsia" w:ascii="宋体" w:hAnsi="宋体" w:cs="宋体"/>
          <w:sz w:val="24"/>
          <w:szCs w:val="24"/>
        </w:rPr>
      </w:pPr>
      <w:r>
        <w:rPr>
          <w:rFonts w:hint="eastAsia" w:ascii="宋体" w:hAnsi="宋体" w:cs="宋体"/>
          <w:sz w:val="24"/>
          <w:szCs w:val="24"/>
        </w:rPr>
        <w:t>供应商在报价过程中，如对技术要求不清楚的，请在华能电子商务平台提出</w:t>
      </w:r>
      <w:r>
        <w:rPr>
          <w:rFonts w:hint="eastAsia" w:ascii="宋体" w:hAnsi="宋体" w:cs="宋体"/>
          <w:b/>
          <w:bCs/>
          <w:sz w:val="24"/>
          <w:szCs w:val="24"/>
        </w:rPr>
        <w:t>书面澄清</w:t>
      </w:r>
      <w:r>
        <w:rPr>
          <w:rFonts w:hint="eastAsia" w:ascii="宋体" w:hAnsi="宋体" w:cs="宋体"/>
          <w:sz w:val="24"/>
          <w:szCs w:val="24"/>
        </w:rPr>
        <w:t>，经采购方确认如确实属于澄清事项的，将适当延期。如不属于澄清项的则不予延期。</w:t>
      </w:r>
    </w:p>
    <w:p>
      <w:pPr>
        <w:pStyle w:val="24"/>
        <w:numPr>
          <w:ilvl w:val="0"/>
          <w:numId w:val="2"/>
        </w:numPr>
        <w:spacing w:line="360" w:lineRule="auto"/>
        <w:ind w:left="0" w:leftChars="0" w:firstLine="456" w:firstLineChars="190"/>
        <w:rPr>
          <w:rFonts w:hint="eastAsia" w:ascii="宋体" w:hAnsi="宋体" w:cs="宋体"/>
          <w:sz w:val="24"/>
          <w:szCs w:val="24"/>
          <w:highlight w:val="none"/>
        </w:rPr>
      </w:pPr>
      <w:r>
        <w:rPr>
          <w:rFonts w:hint="eastAsia" w:ascii="宋体" w:hAnsi="宋体" w:cs="宋体"/>
          <w:sz w:val="24"/>
          <w:szCs w:val="24"/>
          <w:highlight w:val="none"/>
          <w:lang w:eastAsia="zh-CN"/>
        </w:rPr>
        <w:t>若为</w:t>
      </w:r>
      <w:r>
        <w:rPr>
          <w:rFonts w:hint="eastAsia" w:ascii="宋体" w:hAnsi="宋体" w:cs="宋体"/>
          <w:sz w:val="24"/>
          <w:szCs w:val="24"/>
          <w:highlight w:val="none"/>
        </w:rPr>
        <w:t>分批供货</w:t>
      </w:r>
      <w:r>
        <w:rPr>
          <w:rFonts w:hint="eastAsia" w:ascii="宋体" w:hAnsi="宋体" w:cs="宋体"/>
          <w:sz w:val="24"/>
          <w:szCs w:val="24"/>
          <w:highlight w:val="none"/>
          <w:lang w:eastAsia="zh-CN"/>
        </w:rPr>
        <w:t>物资</w:t>
      </w:r>
      <w:r>
        <w:rPr>
          <w:rFonts w:hint="eastAsia" w:ascii="宋体" w:hAnsi="宋体" w:cs="宋体"/>
          <w:sz w:val="24"/>
          <w:szCs w:val="24"/>
          <w:highlight w:val="none"/>
        </w:rPr>
        <w:t>，报价请包含运费，报价前须阅读采购物资信息 (包括用途和说明查看)，所报价物资的技术信息须与采购物资的一致；</w:t>
      </w:r>
    </w:p>
    <w:p>
      <w:pPr>
        <w:pStyle w:val="24"/>
        <w:spacing w:line="360" w:lineRule="auto"/>
        <w:ind w:firstLine="456" w:firstLineChars="190"/>
        <w:rPr>
          <w:rFonts w:ascii="宋体" w:hAnsi="宋体" w:cs="宋体"/>
          <w:sz w:val="24"/>
          <w:szCs w:val="24"/>
        </w:rPr>
      </w:pPr>
    </w:p>
    <w:p>
      <w:pPr>
        <w:spacing w:line="360" w:lineRule="auto"/>
        <w:rPr>
          <w:rFonts w:ascii="宋体" w:hAnsi="宋体" w:eastAsia="宋体" w:cs="宋体"/>
          <w:b/>
          <w:bCs/>
          <w:sz w:val="24"/>
        </w:rPr>
      </w:pPr>
    </w:p>
    <w:p>
      <w:pPr>
        <w:spacing w:line="360" w:lineRule="auto"/>
        <w:ind w:firstLine="482" w:firstLineChars="200"/>
        <w:rPr>
          <w:rFonts w:hint="eastAsia" w:ascii="宋体" w:hAnsi="宋体" w:eastAsia="宋体" w:cs="宋体"/>
          <w:b/>
          <w:bCs/>
          <w:sz w:val="24"/>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附件：</w:t>
      </w:r>
    </w:p>
    <w:p>
      <w:pPr>
        <w:spacing w:line="360" w:lineRule="auto"/>
        <w:ind w:firstLine="482" w:firstLineChars="200"/>
        <w:jc w:val="center"/>
        <w:rPr>
          <w:rFonts w:ascii="宋体" w:hAnsi="宋体" w:eastAsia="宋体" w:cs="宋体"/>
          <w:b/>
          <w:bCs/>
          <w:sz w:val="24"/>
        </w:rPr>
      </w:pPr>
      <w:r>
        <w:rPr>
          <w:rFonts w:hint="eastAsia" w:ascii="宋体" w:hAnsi="宋体" w:eastAsia="宋体" w:cs="宋体"/>
          <w:b/>
          <w:bCs/>
          <w:sz w:val="24"/>
        </w:rPr>
        <w:t>参与华能</w:t>
      </w:r>
      <w:r>
        <w:rPr>
          <w:rFonts w:hint="eastAsia" w:ascii="宋体" w:hAnsi="宋体" w:eastAsia="宋体" w:cs="宋体"/>
          <w:b/>
          <w:bCs/>
          <w:sz w:val="24"/>
          <w:lang w:eastAsia="zh-CN"/>
        </w:rPr>
        <w:t>玉环分公司</w:t>
      </w:r>
      <w:r>
        <w:rPr>
          <w:rFonts w:hint="eastAsia" w:ascii="宋体" w:hAnsi="宋体" w:eastAsia="宋体" w:cs="宋体"/>
          <w:b/>
          <w:bCs/>
          <w:sz w:val="24"/>
        </w:rPr>
        <w:t>采购业务的承诺函</w:t>
      </w:r>
    </w:p>
    <w:p>
      <w:pPr>
        <w:pStyle w:val="24"/>
        <w:spacing w:line="360" w:lineRule="auto"/>
        <w:ind w:firstLine="456" w:firstLineChars="190"/>
        <w:rPr>
          <w:rFonts w:ascii="宋体" w:hAnsi="宋体" w:cs="宋体"/>
          <w:sz w:val="24"/>
          <w:szCs w:val="24"/>
        </w:rPr>
      </w:pPr>
      <w:r>
        <w:rPr>
          <w:rFonts w:hint="eastAsia" w:ascii="宋体" w:hAnsi="宋体" w:cs="宋体"/>
          <w:sz w:val="24"/>
          <w:szCs w:val="24"/>
        </w:rPr>
        <w:t>本公司已详细阅读并完全响应</w:t>
      </w:r>
      <w:r>
        <w:rPr>
          <w:rFonts w:hint="eastAsia" w:ascii="宋体" w:hAnsi="宋体" w:cs="宋体"/>
          <w:sz w:val="24"/>
          <w:szCs w:val="24"/>
          <w:lang w:eastAsia="zh-CN"/>
        </w:rPr>
        <w:t>玉环分公司</w:t>
      </w:r>
      <w:r>
        <w:rPr>
          <w:rFonts w:hint="eastAsia" w:ascii="宋体" w:hAnsi="宋体" w:cs="宋体"/>
          <w:sz w:val="24"/>
          <w:szCs w:val="24"/>
        </w:rPr>
        <w:t>报价须知要求，并承诺：</w:t>
      </w:r>
    </w:p>
    <w:p>
      <w:pPr>
        <w:pStyle w:val="24"/>
        <w:spacing w:line="360" w:lineRule="auto"/>
        <w:ind w:firstLine="458" w:firstLineChars="190"/>
        <w:rPr>
          <w:rFonts w:ascii="宋体" w:hAnsi="宋体" w:cs="宋体"/>
          <w:b/>
          <w:bCs/>
          <w:sz w:val="24"/>
          <w:szCs w:val="24"/>
        </w:rPr>
      </w:pPr>
      <w:r>
        <w:rPr>
          <w:rFonts w:hint="eastAsia" w:ascii="宋体" w:hAnsi="宋体" w:cs="宋体"/>
          <w:b/>
          <w:bCs/>
          <w:sz w:val="24"/>
          <w:szCs w:val="24"/>
        </w:rPr>
        <w:t>1、在参加</w:t>
      </w:r>
      <w:r>
        <w:rPr>
          <w:rFonts w:hint="eastAsia" w:ascii="宋体" w:hAnsi="宋体" w:cs="宋体"/>
          <w:b/>
          <w:bCs/>
          <w:sz w:val="24"/>
          <w:szCs w:val="24"/>
          <w:lang w:eastAsia="zh-CN"/>
        </w:rPr>
        <w:t>玉环分公司</w:t>
      </w:r>
      <w:r>
        <w:rPr>
          <w:rFonts w:hint="eastAsia" w:ascii="宋体" w:hAnsi="宋体" w:cs="宋体"/>
          <w:b/>
          <w:bCs/>
          <w:sz w:val="24"/>
          <w:szCs w:val="24"/>
        </w:rPr>
        <w:t>采购业务中，如发生以下情况之一，6个月内不再参与</w:t>
      </w:r>
      <w:r>
        <w:rPr>
          <w:rFonts w:hint="eastAsia" w:ascii="宋体" w:hAnsi="宋体" w:cs="宋体"/>
          <w:b/>
          <w:bCs/>
          <w:sz w:val="24"/>
          <w:szCs w:val="24"/>
          <w:lang w:eastAsia="zh-CN"/>
        </w:rPr>
        <w:t>玉环分公司</w:t>
      </w:r>
      <w:r>
        <w:rPr>
          <w:rFonts w:hint="eastAsia" w:ascii="宋体" w:hAnsi="宋体" w:cs="宋体"/>
          <w:b/>
          <w:bCs/>
          <w:sz w:val="24"/>
          <w:szCs w:val="24"/>
        </w:rPr>
        <w:t>的非招标采购业务：</w:t>
      </w:r>
    </w:p>
    <w:p>
      <w:pPr>
        <w:pStyle w:val="24"/>
        <w:numPr>
          <w:ilvl w:val="0"/>
          <w:numId w:val="7"/>
        </w:numPr>
        <w:spacing w:line="360" w:lineRule="auto"/>
        <w:ind w:firstLine="458" w:firstLineChars="190"/>
        <w:rPr>
          <w:rFonts w:ascii="宋体" w:hAnsi="宋体" w:cs="宋体"/>
          <w:b/>
          <w:bCs/>
          <w:sz w:val="24"/>
          <w:szCs w:val="24"/>
        </w:rPr>
      </w:pPr>
      <w:r>
        <w:rPr>
          <w:rFonts w:hint="eastAsia" w:ascii="宋体" w:hAnsi="宋体" w:cs="宋体"/>
          <w:b/>
          <w:bCs/>
          <w:sz w:val="24"/>
          <w:szCs w:val="24"/>
        </w:rPr>
        <w:t>在报价揭示后且未确定中标前，因自身原因，供应商放弃本次报价的。</w:t>
      </w:r>
    </w:p>
    <w:p>
      <w:pPr>
        <w:pStyle w:val="24"/>
        <w:numPr>
          <w:ilvl w:val="0"/>
          <w:numId w:val="8"/>
        </w:numPr>
        <w:spacing w:line="360" w:lineRule="auto"/>
        <w:ind w:firstLine="458" w:firstLineChars="190"/>
        <w:rPr>
          <w:rFonts w:hint="eastAsia" w:ascii="宋体" w:hAnsi="宋体" w:cs="宋体"/>
          <w:b/>
          <w:bCs/>
          <w:sz w:val="24"/>
          <w:szCs w:val="24"/>
        </w:rPr>
      </w:pPr>
      <w:r>
        <w:rPr>
          <w:rFonts w:hint="eastAsia" w:ascii="宋体" w:hAnsi="宋体" w:cs="宋体"/>
          <w:b/>
          <w:bCs/>
          <w:sz w:val="24"/>
          <w:szCs w:val="24"/>
        </w:rPr>
        <w:t>在</w:t>
      </w:r>
      <w:r>
        <w:rPr>
          <w:rFonts w:hint="eastAsia" w:ascii="宋体" w:hAnsi="宋体" w:cs="宋体"/>
          <w:b/>
          <w:bCs/>
          <w:sz w:val="24"/>
          <w:szCs w:val="24"/>
          <w:lang w:eastAsia="zh-CN"/>
        </w:rPr>
        <w:t>玉环分公司</w:t>
      </w:r>
      <w:r>
        <w:rPr>
          <w:rFonts w:hint="eastAsia" w:ascii="宋体" w:hAnsi="宋体" w:cs="宋体"/>
          <w:b/>
          <w:bCs/>
          <w:sz w:val="24"/>
          <w:szCs w:val="24"/>
        </w:rPr>
        <w:t>业务合同中，超过约定交货期30天以上且仍未交货的，在完成本合同物资交货前不再参与</w:t>
      </w:r>
      <w:r>
        <w:rPr>
          <w:rFonts w:hint="eastAsia" w:ascii="宋体" w:hAnsi="宋体" w:cs="宋体"/>
          <w:b/>
          <w:bCs/>
          <w:sz w:val="24"/>
          <w:szCs w:val="24"/>
          <w:lang w:eastAsia="zh-CN"/>
        </w:rPr>
        <w:t>玉环分公司</w:t>
      </w:r>
      <w:r>
        <w:rPr>
          <w:rFonts w:hint="eastAsia" w:ascii="宋体" w:hAnsi="宋体" w:cs="宋体"/>
          <w:b/>
          <w:bCs/>
          <w:sz w:val="24"/>
          <w:szCs w:val="24"/>
        </w:rPr>
        <w:t>其他非招标采购业务。</w:t>
      </w:r>
    </w:p>
    <w:p>
      <w:pPr>
        <w:pStyle w:val="24"/>
        <w:numPr>
          <w:ilvl w:val="0"/>
          <w:numId w:val="0"/>
        </w:numPr>
        <w:spacing w:line="360" w:lineRule="auto"/>
        <w:rPr>
          <w:rFonts w:hint="eastAsia" w:ascii="宋体" w:hAnsi="宋体" w:cs="宋体"/>
          <w:b/>
          <w:bCs/>
          <w:sz w:val="24"/>
          <w:szCs w:val="24"/>
        </w:rPr>
      </w:pPr>
    </w:p>
    <w:p>
      <w:pPr>
        <w:ind w:firstLine="3076" w:firstLineChars="1282"/>
        <w:jc w:val="right"/>
        <w:rPr>
          <w:rFonts w:ascii="宋体" w:hAnsi="宋体" w:eastAsia="宋体" w:cs="宋体"/>
          <w:color w:val="000000"/>
          <w:sz w:val="24"/>
        </w:rPr>
      </w:pPr>
    </w:p>
    <w:p>
      <w:pPr>
        <w:ind w:firstLine="3076" w:firstLineChars="1282"/>
        <w:jc w:val="right"/>
        <w:rPr>
          <w:rFonts w:ascii="宋体" w:hAnsi="宋体" w:eastAsia="宋体" w:cs="宋体"/>
          <w:color w:val="000000"/>
          <w:sz w:val="24"/>
        </w:rPr>
      </w:pPr>
    </w:p>
    <w:p>
      <w:pPr>
        <w:wordWrap w:val="0"/>
        <w:ind w:firstLine="3076" w:firstLineChars="1282"/>
        <w:jc w:val="right"/>
        <w:rPr>
          <w:rFonts w:ascii="宋体" w:hAnsi="宋体" w:eastAsia="宋体" w:cs="宋体"/>
          <w:color w:val="000000"/>
          <w:sz w:val="24"/>
          <w:u w:val="single"/>
        </w:rPr>
      </w:pPr>
      <w:r>
        <w:rPr>
          <w:rFonts w:hint="eastAsia" w:ascii="宋体" w:hAnsi="宋体" w:eastAsia="宋体" w:cs="宋体"/>
          <w:color w:val="000000"/>
          <w:sz w:val="24"/>
        </w:rPr>
        <w:t>供应商：</w:t>
      </w:r>
      <w:r>
        <w:rPr>
          <w:rFonts w:hint="eastAsia" w:ascii="宋体" w:hAnsi="宋体" w:eastAsia="宋体" w:cs="宋体"/>
          <w:color w:val="000000"/>
          <w:sz w:val="24"/>
          <w:u w:val="single"/>
        </w:rPr>
        <w:t xml:space="preserve">（单位名称）              </w:t>
      </w:r>
    </w:p>
    <w:p>
      <w:pPr>
        <w:wordWrap w:val="0"/>
        <w:ind w:firstLine="3076" w:firstLineChars="1282"/>
        <w:jc w:val="right"/>
        <w:rPr>
          <w:rFonts w:ascii="宋体" w:hAnsi="宋体" w:eastAsia="宋体" w:cs="宋体"/>
          <w:color w:val="000000"/>
          <w:sz w:val="24"/>
        </w:rPr>
      </w:pPr>
    </w:p>
    <w:p>
      <w:pPr>
        <w:wordWrap w:val="0"/>
        <w:ind w:firstLine="3076" w:firstLineChars="1282"/>
        <w:jc w:val="right"/>
        <w:rPr>
          <w:rFonts w:ascii="宋体" w:hAnsi="宋体" w:eastAsia="宋体" w:cs="宋体"/>
          <w:color w:val="000000"/>
          <w:sz w:val="24"/>
          <w:u w:val="single"/>
        </w:r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p>
    <w:p>
      <w:pPr>
        <w:wordWrap w:val="0"/>
        <w:ind w:firstLine="3076" w:firstLineChars="1282"/>
        <w:jc w:val="right"/>
        <w:rPr>
          <w:rFonts w:ascii="宋体" w:hAnsi="宋体" w:eastAsia="宋体" w:cs="宋体"/>
          <w:color w:val="000000"/>
          <w:sz w:val="24"/>
        </w:rPr>
      </w:pPr>
      <w:r>
        <w:rPr>
          <w:rFonts w:hint="eastAsia" w:ascii="宋体" w:hAnsi="宋体" w:eastAsia="宋体" w:cs="宋体"/>
          <w:color w:val="000000"/>
          <w:sz w:val="24"/>
        </w:rPr>
        <w:t xml:space="preserve">                                        </w:t>
      </w:r>
    </w:p>
    <w:p>
      <w:pPr>
        <w:wordWrap w:val="0"/>
        <w:ind w:firstLine="3076" w:firstLineChars="1282"/>
        <w:jc w:val="right"/>
        <w:rPr>
          <w:rFonts w:ascii="宋体" w:hAnsi="宋体" w:eastAsia="宋体" w:cs="宋体"/>
          <w:b/>
          <w:bCs/>
          <w:sz w:val="24"/>
          <w:u w:val="single"/>
        </w:rPr>
      </w:pPr>
      <w:r>
        <w:rPr>
          <w:rFonts w:hint="eastAsia" w:ascii="宋体" w:hAnsi="宋体" w:eastAsia="宋体" w:cs="宋体"/>
          <w:color w:val="000000"/>
          <w:sz w:val="24"/>
        </w:rPr>
        <w:t>盖  章：</w:t>
      </w:r>
      <w:r>
        <w:rPr>
          <w:rFonts w:hint="eastAsia" w:ascii="宋体" w:hAnsi="宋体" w:eastAsia="宋体" w:cs="宋体"/>
          <w:color w:val="000000"/>
          <w:sz w:val="24"/>
          <w:u w:val="single"/>
        </w:rPr>
        <w:t xml:space="preserve">                         </w:t>
      </w:r>
    </w:p>
    <w:p>
      <w:pPr>
        <w:spacing w:before="120"/>
        <w:ind w:firstLine="0" w:firstLineChars="0"/>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A215BB"/>
    <w:multiLevelType w:val="singleLevel"/>
    <w:tmpl w:val="B6A215BB"/>
    <w:lvl w:ilvl="0" w:tentative="0">
      <w:start w:val="1"/>
      <w:numFmt w:val="decimal"/>
      <w:suff w:val="nothing"/>
      <w:lvlText w:val="（%1）"/>
      <w:lvlJc w:val="left"/>
    </w:lvl>
  </w:abstractNum>
  <w:abstractNum w:abstractNumId="1">
    <w:nsid w:val="DDA7E0AD"/>
    <w:multiLevelType w:val="singleLevel"/>
    <w:tmpl w:val="DDA7E0AD"/>
    <w:lvl w:ilvl="0" w:tentative="0">
      <w:start w:val="1"/>
      <w:numFmt w:val="decimal"/>
      <w:suff w:val="nothing"/>
      <w:lvlText w:val="（%1）"/>
      <w:lvlJc w:val="left"/>
    </w:lvl>
  </w:abstractNum>
  <w:abstractNum w:abstractNumId="2">
    <w:nsid w:val="DF930594"/>
    <w:multiLevelType w:val="singleLevel"/>
    <w:tmpl w:val="DF930594"/>
    <w:lvl w:ilvl="0" w:tentative="0">
      <w:start w:val="1"/>
      <w:numFmt w:val="decimal"/>
      <w:suff w:val="nothing"/>
      <w:lvlText w:val="（%1）"/>
      <w:lvlJc w:val="left"/>
    </w:lvl>
  </w:abstractNum>
  <w:abstractNum w:abstractNumId="3">
    <w:nsid w:val="20DC765D"/>
    <w:multiLevelType w:val="singleLevel"/>
    <w:tmpl w:val="20DC765D"/>
    <w:lvl w:ilvl="0" w:tentative="0">
      <w:start w:val="1"/>
      <w:numFmt w:val="decimal"/>
      <w:suff w:val="nothing"/>
      <w:lvlText w:val="（%1）"/>
      <w:lvlJc w:val="left"/>
    </w:lvl>
  </w:abstractNum>
  <w:abstractNum w:abstractNumId="4">
    <w:nsid w:val="406800A2"/>
    <w:multiLevelType w:val="singleLevel"/>
    <w:tmpl w:val="406800A2"/>
    <w:lvl w:ilvl="0" w:tentative="0">
      <w:start w:val="3"/>
      <w:numFmt w:val="decimal"/>
      <w:suff w:val="nothing"/>
      <w:lvlText w:val="%1、"/>
      <w:lvlJc w:val="left"/>
    </w:lvl>
  </w:abstractNum>
  <w:abstractNum w:abstractNumId="5">
    <w:nsid w:val="514552B6"/>
    <w:multiLevelType w:val="singleLevel"/>
    <w:tmpl w:val="514552B6"/>
    <w:lvl w:ilvl="0" w:tentative="0">
      <w:start w:val="2"/>
      <w:numFmt w:val="decimal"/>
      <w:suff w:val="nothing"/>
      <w:lvlText w:val="%1、"/>
      <w:lvlJc w:val="left"/>
    </w:lvl>
  </w:abstractNum>
  <w:abstractNum w:abstractNumId="6">
    <w:nsid w:val="5CE87D8E"/>
    <w:multiLevelType w:val="singleLevel"/>
    <w:tmpl w:val="5CE87D8E"/>
    <w:lvl w:ilvl="0" w:tentative="0">
      <w:start w:val="1"/>
      <w:numFmt w:val="decimal"/>
      <w:suff w:val="nothing"/>
      <w:lvlText w:val="（%1）"/>
      <w:lvlJc w:val="left"/>
    </w:lvl>
  </w:abstractNum>
  <w:abstractNum w:abstractNumId="7">
    <w:nsid w:val="73D46887"/>
    <w:multiLevelType w:val="singleLevel"/>
    <w:tmpl w:val="73D46887"/>
    <w:lvl w:ilvl="0" w:tentative="0">
      <w:start w:val="1"/>
      <w:numFmt w:val="decimal"/>
      <w:suff w:val="nothing"/>
      <w:lvlText w:val="（%1）"/>
      <w:lvlJc w:val="left"/>
    </w:lvl>
  </w:abstractNum>
  <w:num w:numId="1">
    <w:abstractNumId w:val="7"/>
  </w:num>
  <w:num w:numId="2">
    <w:abstractNumId w:val="4"/>
  </w:num>
  <w:num w:numId="3">
    <w:abstractNumId w:val="0"/>
  </w:num>
  <w:num w:numId="4">
    <w:abstractNumId w:val="1"/>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E13"/>
    <w:rsid w:val="0000491D"/>
    <w:rsid w:val="00047F4E"/>
    <w:rsid w:val="000A36D4"/>
    <w:rsid w:val="000D678A"/>
    <w:rsid w:val="0010380E"/>
    <w:rsid w:val="00156D5A"/>
    <w:rsid w:val="001770EF"/>
    <w:rsid w:val="001955E5"/>
    <w:rsid w:val="001D1280"/>
    <w:rsid w:val="001F257E"/>
    <w:rsid w:val="00205264"/>
    <w:rsid w:val="00260C78"/>
    <w:rsid w:val="002C62F5"/>
    <w:rsid w:val="002D3F9D"/>
    <w:rsid w:val="0032178C"/>
    <w:rsid w:val="0032713F"/>
    <w:rsid w:val="00331633"/>
    <w:rsid w:val="00344AE4"/>
    <w:rsid w:val="003A670B"/>
    <w:rsid w:val="003A6D52"/>
    <w:rsid w:val="003F5B9B"/>
    <w:rsid w:val="00422D1C"/>
    <w:rsid w:val="00433601"/>
    <w:rsid w:val="00443E13"/>
    <w:rsid w:val="0045514B"/>
    <w:rsid w:val="00483085"/>
    <w:rsid w:val="00483A38"/>
    <w:rsid w:val="004A24B0"/>
    <w:rsid w:val="004B7C77"/>
    <w:rsid w:val="00504BA3"/>
    <w:rsid w:val="005210D0"/>
    <w:rsid w:val="005545D8"/>
    <w:rsid w:val="0058610F"/>
    <w:rsid w:val="005B18A0"/>
    <w:rsid w:val="00647943"/>
    <w:rsid w:val="00672A75"/>
    <w:rsid w:val="0067386E"/>
    <w:rsid w:val="00694D3E"/>
    <w:rsid w:val="006B77EB"/>
    <w:rsid w:val="006F2A61"/>
    <w:rsid w:val="0072363A"/>
    <w:rsid w:val="007264C2"/>
    <w:rsid w:val="007805CE"/>
    <w:rsid w:val="00780D1A"/>
    <w:rsid w:val="00782945"/>
    <w:rsid w:val="007F3BC1"/>
    <w:rsid w:val="007F6E95"/>
    <w:rsid w:val="00805DF0"/>
    <w:rsid w:val="00814418"/>
    <w:rsid w:val="008300F1"/>
    <w:rsid w:val="00832AFC"/>
    <w:rsid w:val="00883BEE"/>
    <w:rsid w:val="00893BA6"/>
    <w:rsid w:val="00910274"/>
    <w:rsid w:val="009252CD"/>
    <w:rsid w:val="00973F65"/>
    <w:rsid w:val="00976F90"/>
    <w:rsid w:val="009E41AA"/>
    <w:rsid w:val="009F3576"/>
    <w:rsid w:val="009F4EC4"/>
    <w:rsid w:val="00A3191A"/>
    <w:rsid w:val="00A62729"/>
    <w:rsid w:val="00A70072"/>
    <w:rsid w:val="00AF24BF"/>
    <w:rsid w:val="00AF3813"/>
    <w:rsid w:val="00AF6EB4"/>
    <w:rsid w:val="00B8497B"/>
    <w:rsid w:val="00B95A2A"/>
    <w:rsid w:val="00C26F62"/>
    <w:rsid w:val="00C550EA"/>
    <w:rsid w:val="00C713C1"/>
    <w:rsid w:val="00CE67A3"/>
    <w:rsid w:val="00CF35BA"/>
    <w:rsid w:val="00D56F76"/>
    <w:rsid w:val="00D601DA"/>
    <w:rsid w:val="00D872C9"/>
    <w:rsid w:val="00DA011C"/>
    <w:rsid w:val="00DE3150"/>
    <w:rsid w:val="00E65BBF"/>
    <w:rsid w:val="00EC54EB"/>
    <w:rsid w:val="00F41C36"/>
    <w:rsid w:val="00F42208"/>
    <w:rsid w:val="00F53C4A"/>
    <w:rsid w:val="00F805FC"/>
    <w:rsid w:val="00F808CC"/>
    <w:rsid w:val="00FB41C7"/>
    <w:rsid w:val="01094298"/>
    <w:rsid w:val="012D4D8E"/>
    <w:rsid w:val="014F1BFB"/>
    <w:rsid w:val="01565643"/>
    <w:rsid w:val="02A6620F"/>
    <w:rsid w:val="03661EA1"/>
    <w:rsid w:val="05405BDA"/>
    <w:rsid w:val="063D5BC9"/>
    <w:rsid w:val="0741535C"/>
    <w:rsid w:val="08B96E2A"/>
    <w:rsid w:val="0A7B33A0"/>
    <w:rsid w:val="0AA27324"/>
    <w:rsid w:val="0C111801"/>
    <w:rsid w:val="0C472626"/>
    <w:rsid w:val="0C753E5E"/>
    <w:rsid w:val="0E5F770B"/>
    <w:rsid w:val="0F9369F0"/>
    <w:rsid w:val="11B84FA6"/>
    <w:rsid w:val="14701E4E"/>
    <w:rsid w:val="14FE44CA"/>
    <w:rsid w:val="156174AE"/>
    <w:rsid w:val="165E2785"/>
    <w:rsid w:val="16BC4636"/>
    <w:rsid w:val="16C325F1"/>
    <w:rsid w:val="174076D1"/>
    <w:rsid w:val="1799364D"/>
    <w:rsid w:val="18A93232"/>
    <w:rsid w:val="19794C7B"/>
    <w:rsid w:val="1B944FD1"/>
    <w:rsid w:val="1C7D57FB"/>
    <w:rsid w:val="20683C76"/>
    <w:rsid w:val="23664850"/>
    <w:rsid w:val="23BB664F"/>
    <w:rsid w:val="23DB7860"/>
    <w:rsid w:val="25601CF6"/>
    <w:rsid w:val="2674538F"/>
    <w:rsid w:val="2A28224C"/>
    <w:rsid w:val="2A3C34B3"/>
    <w:rsid w:val="2ADE256E"/>
    <w:rsid w:val="2BE32A16"/>
    <w:rsid w:val="2E2A0C89"/>
    <w:rsid w:val="2EA73C29"/>
    <w:rsid w:val="2F190A61"/>
    <w:rsid w:val="2FE23EE8"/>
    <w:rsid w:val="2FFD72D7"/>
    <w:rsid w:val="31065A21"/>
    <w:rsid w:val="32EA267D"/>
    <w:rsid w:val="35173AD2"/>
    <w:rsid w:val="370D1BB1"/>
    <w:rsid w:val="3BCE7B4D"/>
    <w:rsid w:val="3CB87CAC"/>
    <w:rsid w:val="3D1158AF"/>
    <w:rsid w:val="3E2B55AE"/>
    <w:rsid w:val="41AB169A"/>
    <w:rsid w:val="41CD2246"/>
    <w:rsid w:val="42667992"/>
    <w:rsid w:val="43B575D1"/>
    <w:rsid w:val="447216D6"/>
    <w:rsid w:val="44934110"/>
    <w:rsid w:val="46C132C8"/>
    <w:rsid w:val="48DD7C35"/>
    <w:rsid w:val="49044C1E"/>
    <w:rsid w:val="4C3A3CD9"/>
    <w:rsid w:val="4DC11479"/>
    <w:rsid w:val="4E162C06"/>
    <w:rsid w:val="4E8734BC"/>
    <w:rsid w:val="4F6F01CF"/>
    <w:rsid w:val="51612ADB"/>
    <w:rsid w:val="52D908B8"/>
    <w:rsid w:val="55A071F7"/>
    <w:rsid w:val="56CA5FD9"/>
    <w:rsid w:val="57D876B4"/>
    <w:rsid w:val="58AD6EA5"/>
    <w:rsid w:val="5B3017F9"/>
    <w:rsid w:val="5D711525"/>
    <w:rsid w:val="5E611FA1"/>
    <w:rsid w:val="5F074EA2"/>
    <w:rsid w:val="60801DE7"/>
    <w:rsid w:val="60D44A9E"/>
    <w:rsid w:val="62CA6F47"/>
    <w:rsid w:val="648156B7"/>
    <w:rsid w:val="66DE0341"/>
    <w:rsid w:val="67C34E3A"/>
    <w:rsid w:val="682D4285"/>
    <w:rsid w:val="68305B80"/>
    <w:rsid w:val="697E27C5"/>
    <w:rsid w:val="699B472B"/>
    <w:rsid w:val="69EF4085"/>
    <w:rsid w:val="6C3B1AF0"/>
    <w:rsid w:val="6C3B6B67"/>
    <w:rsid w:val="704242B5"/>
    <w:rsid w:val="7106017D"/>
    <w:rsid w:val="73810E90"/>
    <w:rsid w:val="73BC2C7F"/>
    <w:rsid w:val="74543BBD"/>
    <w:rsid w:val="74831F7C"/>
    <w:rsid w:val="75E30077"/>
    <w:rsid w:val="76723C22"/>
    <w:rsid w:val="77EF6EDE"/>
    <w:rsid w:val="7826796E"/>
    <w:rsid w:val="79731E31"/>
    <w:rsid w:val="79F24675"/>
    <w:rsid w:val="7B02267D"/>
    <w:rsid w:val="7BEA116A"/>
    <w:rsid w:val="7C4B063A"/>
    <w:rsid w:val="7CA44E24"/>
    <w:rsid w:val="7CA5448F"/>
    <w:rsid w:val="7D16470A"/>
    <w:rsid w:val="7D421001"/>
    <w:rsid w:val="7D5901CF"/>
    <w:rsid w:val="7D985B35"/>
    <w:rsid w:val="7DF22FB2"/>
    <w:rsid w:val="7F205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440" w:lineRule="exact"/>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4">
    <w:name w:val="heading 2"/>
    <w:basedOn w:val="1"/>
    <w:next w:val="1"/>
    <w:link w:val="14"/>
    <w:unhideWhenUsed/>
    <w:qFormat/>
    <w:uiPriority w:val="9"/>
    <w:pPr>
      <w:keepNext/>
      <w:keepLines/>
      <w:spacing w:beforeLines="50" w:line="360" w:lineRule="auto"/>
      <w:ind w:firstLine="0" w:firstLineChars="0"/>
      <w:jc w:val="left"/>
      <w:outlineLvl w:val="1"/>
    </w:pPr>
    <w:rPr>
      <w:rFonts w:ascii="Arial" w:hAnsi="Arial" w:eastAsia="黑体"/>
      <w:bCs/>
      <w:kern w:val="0"/>
      <w:sz w:val="28"/>
      <w:szCs w:val="32"/>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5">
    <w:name w:val="annotation subject"/>
    <w:basedOn w:val="6"/>
    <w:next w:val="6"/>
    <w:link w:val="23"/>
    <w:semiHidden/>
    <w:unhideWhenUsed/>
    <w:qFormat/>
    <w:uiPriority w:val="99"/>
    <w:rPr>
      <w:b/>
      <w:bCs/>
    </w:rPr>
  </w:style>
  <w:style w:type="paragraph" w:styleId="6">
    <w:name w:val="annotation text"/>
    <w:basedOn w:val="1"/>
    <w:link w:val="22"/>
    <w:semiHidden/>
    <w:unhideWhenUsed/>
    <w:qFormat/>
    <w:uiPriority w:val="99"/>
    <w:pPr>
      <w:jc w:val="left"/>
    </w:pPr>
  </w:style>
  <w:style w:type="paragraph" w:styleId="7">
    <w:name w:val="Balloon Text"/>
    <w:basedOn w:val="1"/>
    <w:link w:val="21"/>
    <w:semiHidden/>
    <w:unhideWhenUsed/>
    <w:qFormat/>
    <w:uiPriority w:val="99"/>
    <w:pPr>
      <w:spacing w:line="240" w:lineRule="auto"/>
    </w:pPr>
    <w:rPr>
      <w:sz w:val="18"/>
      <w:szCs w:val="18"/>
    </w:rPr>
  </w:style>
  <w:style w:type="paragraph" w:styleId="8">
    <w:name w:val="footer"/>
    <w:basedOn w:val="1"/>
    <w:link w:val="19"/>
    <w:qFormat/>
    <w:uiPriority w:val="99"/>
    <w:pPr>
      <w:tabs>
        <w:tab w:val="center" w:pos="4153"/>
        <w:tab w:val="right" w:pos="8306"/>
      </w:tabs>
      <w:spacing w:line="240" w:lineRule="atLeast"/>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pacing w:line="240" w:lineRule="atLeast"/>
      <w:jc w:val="center"/>
    </w:pPr>
    <w:rPr>
      <w:sz w:val="18"/>
      <w:szCs w:val="18"/>
    </w:rPr>
  </w:style>
  <w:style w:type="paragraph" w:styleId="10">
    <w:name w:val="Title"/>
    <w:basedOn w:val="3"/>
    <w:next w:val="1"/>
    <w:link w:val="15"/>
    <w:qFormat/>
    <w:uiPriority w:val="10"/>
    <w:pPr>
      <w:spacing w:beforeLines="50" w:after="0" w:line="360" w:lineRule="auto"/>
      <w:ind w:firstLine="0" w:firstLineChars="0"/>
      <w:jc w:val="center"/>
    </w:pPr>
    <w:rPr>
      <w:rFonts w:ascii="Cambria" w:hAnsi="Cambria" w:eastAsia="黑体" w:cs="宋体"/>
      <w:b w:val="0"/>
      <w:bCs w:val="0"/>
      <w:sz w:val="36"/>
      <w:szCs w:val="32"/>
    </w:rPr>
  </w:style>
  <w:style w:type="character" w:styleId="12">
    <w:name w:val="annotation reference"/>
    <w:basedOn w:val="11"/>
    <w:semiHidden/>
    <w:unhideWhenUsed/>
    <w:qFormat/>
    <w:uiPriority w:val="99"/>
    <w:rPr>
      <w:sz w:val="21"/>
      <w:szCs w:val="21"/>
    </w:rPr>
  </w:style>
  <w:style w:type="character" w:customStyle="1" w:styleId="14">
    <w:name w:val="标题 2 Char"/>
    <w:basedOn w:val="11"/>
    <w:link w:val="4"/>
    <w:qFormat/>
    <w:uiPriority w:val="0"/>
    <w:rPr>
      <w:rFonts w:ascii="Arial" w:hAnsi="Arial" w:eastAsia="黑体" w:cs="Times New Roman"/>
      <w:bCs/>
      <w:kern w:val="0"/>
      <w:sz w:val="28"/>
      <w:szCs w:val="32"/>
    </w:rPr>
  </w:style>
  <w:style w:type="character" w:customStyle="1" w:styleId="15">
    <w:name w:val="标题 Char"/>
    <w:link w:val="10"/>
    <w:qFormat/>
    <w:uiPriority w:val="0"/>
    <w:rPr>
      <w:rFonts w:ascii="Cambria" w:hAnsi="Cambria" w:eastAsia="黑体"/>
      <w:kern w:val="44"/>
      <w:sz w:val="36"/>
      <w:szCs w:val="32"/>
    </w:rPr>
  </w:style>
  <w:style w:type="character" w:customStyle="1" w:styleId="16">
    <w:name w:val="标题 字符1"/>
    <w:basedOn w:val="11"/>
    <w:qFormat/>
    <w:uiPriority w:val="10"/>
    <w:rPr>
      <w:rFonts w:ascii="等线 Light" w:hAnsi="等线 Light" w:eastAsia="等线 Light" w:cs="宋体"/>
      <w:b/>
      <w:bCs/>
      <w:sz w:val="32"/>
      <w:szCs w:val="32"/>
    </w:rPr>
  </w:style>
  <w:style w:type="character" w:customStyle="1" w:styleId="17">
    <w:name w:val="标题 1 Char"/>
    <w:basedOn w:val="11"/>
    <w:link w:val="3"/>
    <w:qFormat/>
    <w:uiPriority w:val="9"/>
    <w:rPr>
      <w:rFonts w:ascii="Times New Roman" w:hAnsi="Times New Roman" w:eastAsia="宋体" w:cs="Times New Roman"/>
      <w:b/>
      <w:bCs/>
      <w:kern w:val="44"/>
      <w:sz w:val="44"/>
      <w:szCs w:val="44"/>
    </w:rPr>
  </w:style>
  <w:style w:type="character" w:customStyle="1" w:styleId="18">
    <w:name w:val="页眉 Char"/>
    <w:basedOn w:val="11"/>
    <w:link w:val="9"/>
    <w:qFormat/>
    <w:uiPriority w:val="99"/>
    <w:rPr>
      <w:rFonts w:ascii="Times New Roman" w:hAnsi="Times New Roman" w:eastAsia="宋体" w:cs="Times New Roman"/>
      <w:sz w:val="18"/>
      <w:szCs w:val="18"/>
    </w:rPr>
  </w:style>
  <w:style w:type="character" w:customStyle="1" w:styleId="19">
    <w:name w:val="页脚 Char"/>
    <w:basedOn w:val="11"/>
    <w:link w:val="8"/>
    <w:qFormat/>
    <w:uiPriority w:val="99"/>
    <w:rPr>
      <w:rFonts w:ascii="Times New Roman" w:hAnsi="Times New Roman" w:eastAsia="宋体" w:cs="Times New Roman"/>
      <w:sz w:val="18"/>
      <w:szCs w:val="18"/>
    </w:rPr>
  </w:style>
  <w:style w:type="paragraph" w:customStyle="1" w:styleId="20">
    <w:name w:val="修订1"/>
    <w:hidden/>
    <w:semiHidden/>
    <w:qFormat/>
    <w:uiPriority w:val="99"/>
    <w:rPr>
      <w:rFonts w:ascii="Times New Roman" w:hAnsi="Times New Roman" w:eastAsia="宋体" w:cs="Times New Roman"/>
      <w:kern w:val="2"/>
      <w:sz w:val="24"/>
      <w:lang w:val="en-US" w:eastAsia="zh-CN" w:bidi="ar-SA"/>
    </w:rPr>
  </w:style>
  <w:style w:type="character" w:customStyle="1" w:styleId="21">
    <w:name w:val="批注框文本 Char"/>
    <w:basedOn w:val="11"/>
    <w:link w:val="7"/>
    <w:semiHidden/>
    <w:qFormat/>
    <w:uiPriority w:val="99"/>
    <w:rPr>
      <w:rFonts w:ascii="Times New Roman" w:hAnsi="Times New Roman" w:eastAsia="宋体" w:cs="Times New Roman"/>
      <w:sz w:val="18"/>
      <w:szCs w:val="18"/>
    </w:rPr>
  </w:style>
  <w:style w:type="character" w:customStyle="1" w:styleId="22">
    <w:name w:val="批注文字 Char"/>
    <w:basedOn w:val="11"/>
    <w:link w:val="6"/>
    <w:semiHidden/>
    <w:qFormat/>
    <w:uiPriority w:val="99"/>
    <w:rPr>
      <w:rFonts w:ascii="Times New Roman" w:hAnsi="Times New Roman" w:eastAsia="宋体" w:cs="Times New Roman"/>
      <w:sz w:val="24"/>
      <w:szCs w:val="20"/>
    </w:rPr>
  </w:style>
  <w:style w:type="character" w:customStyle="1" w:styleId="23">
    <w:name w:val="批注主题 Char"/>
    <w:basedOn w:val="22"/>
    <w:link w:val="5"/>
    <w:semiHidden/>
    <w:qFormat/>
    <w:uiPriority w:val="99"/>
    <w:rPr>
      <w:rFonts w:ascii="Times New Roman" w:hAnsi="Times New Roman" w:eastAsia="宋体" w:cs="Times New Roman"/>
      <w:b/>
      <w:bCs/>
      <w:sz w:val="24"/>
      <w:szCs w:val="20"/>
    </w:rPr>
  </w:style>
  <w:style w:type="paragraph" w:styleId="24">
    <w:name w:val="No Spacing"/>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228</Words>
  <Characters>1305</Characters>
  <Lines>10</Lines>
  <Paragraphs>3</Paragraphs>
  <TotalTime>15</TotalTime>
  <ScaleCrop>false</ScaleCrop>
  <LinksUpToDate>false</LinksUpToDate>
  <CharactersWithSpaces>1530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2022-08-15T00:56:00Z</dcterms:created>
  <dc:creator>田森 TIANSEN</dc:creator>
  <cp:lastModifiedBy>刘楚杨/ZJFGS/CHNG</cp:lastModifiedBy>
  <cp:lastPrinted>2022-06-28T02:42:00Z</cp:lastPrinted>
  <dcterms:modified xsi:type="dcterms:W3CDTF">2023-06-19T03:25:10Z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4026c6ab86fa4b0d9fc6ecd7a516541a</vt:lpwstr>
  </property>
  <property fmtid="{D5CDD505-2E9C-101B-9397-08002B2CF9AE}" pid="3" name="KSOProductBuildVer">
    <vt:lpwstr>2052-10.8.2.6666</vt:lpwstr>
  </property>
</Properties>
</file>