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tabs>
          <w:tab w:val="left" w:pos="0"/>
          <w:tab w:val="left" w:pos="420"/>
          <w:tab w:val="center" w:pos="4153"/>
        </w:tabs>
        <w:autoSpaceDE w:val="0"/>
        <w:autoSpaceDN w:val="0"/>
        <w:adjustRightInd w:val="0"/>
        <w:spacing w:line="560" w:lineRule="exact"/>
        <w:jc w:val="center"/>
        <w:outlineLvl w:val="0"/>
        <w:rPr>
          <w:rFonts w:ascii="Times New Roman" w:hAnsi="Times New Roman" w:eastAsia="等线" w:cs="Times New Roman"/>
          <w:color w:val="auto"/>
          <w:sz w:val="32"/>
        </w:rPr>
      </w:pPr>
      <w:bookmarkStart w:id="0" w:name="OLE_LINK1"/>
      <w:bookmarkStart w:id="1" w:name="OLE_LINK2"/>
      <w:r>
        <w:rPr>
          <w:rFonts w:ascii="Times New Roman" w:hAnsi="Times New Roman" w:eastAsia="方正小标宋简体" w:cs="Times New Roman"/>
          <w:bCs/>
          <w:color w:val="auto"/>
          <w:kern w:val="44"/>
          <w:sz w:val="44"/>
          <w:szCs w:val="44"/>
        </w:rPr>
        <w:t>采办计划公告</w:t>
      </w:r>
    </w:p>
    <w:p>
      <w:pPr>
        <w:tabs>
          <w:tab w:val="left" w:pos="993"/>
          <w:tab w:val="left" w:pos="1134"/>
          <w:tab w:val="left" w:pos="1418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为便于供应商及时了解项目采办信息，现将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single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eastAsia="zh-CN"/>
        </w:rPr>
        <w:t>海油发展-化工品类部-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>工程技术公司2025-2026年度胺基双子季铵盐采购专有协议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single"/>
        </w:rPr>
        <w:t>）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的采办计划公开如下：</w:t>
      </w:r>
    </w:p>
    <w:tbl>
      <w:tblPr>
        <w:tblStyle w:val="20"/>
        <w:tblW w:w="907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872"/>
        <w:gridCol w:w="1701"/>
        <w:gridCol w:w="2551"/>
        <w:gridCol w:w="1843"/>
        <w:gridCol w:w="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采办包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采购范围与主要技术指标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预计发标时间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（填写到月）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供应商资质基本要求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</w:trPr>
        <w:tc>
          <w:tcPr>
            <w:tcW w:w="568" w:type="dxa"/>
            <w:vAlign w:val="center"/>
          </w:tcPr>
          <w:p>
            <w:pPr>
              <w:ind w:firstLine="480" w:firstLineChars="200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>
            <w:pP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u w:val="singl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u w:val="single"/>
                <w:lang w:eastAsia="zh-CN"/>
              </w:rPr>
              <w:t>海油发展-化工品类部-工程技术公司2025-2026年度胺基双子季铵盐采购专有协议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u w:val="single"/>
              </w:rPr>
              <w:t>详见附件</w:t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  <w:u w:val="single"/>
              </w:rPr>
              <w:t>1。</w:t>
            </w:r>
          </w:p>
        </w:tc>
        <w:tc>
          <w:tcPr>
            <w:tcW w:w="2551" w:type="dxa"/>
            <w:vAlign w:val="center"/>
          </w:tcPr>
          <w:p>
            <w:pPr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  <w:u w:val="single"/>
              </w:rPr>
              <w:t>（202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u w:val="single"/>
              </w:rPr>
              <w:t>．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>1</w:t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  <w:u w:val="single"/>
              </w:rPr>
              <w:t>）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u w:val="single"/>
              </w:rPr>
              <w:t>详见附件2</w:t>
            </w:r>
          </w:p>
        </w:tc>
        <w:tc>
          <w:tcPr>
            <w:tcW w:w="538" w:type="dxa"/>
            <w:vAlign w:val="center"/>
          </w:tcPr>
          <w:p>
            <w:pPr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  <w:u w:val="single"/>
              </w:rPr>
            </w:pPr>
          </w:p>
        </w:tc>
      </w:tr>
    </w:tbl>
    <w:p>
      <w:pPr>
        <w:tabs>
          <w:tab w:val="left" w:pos="993"/>
          <w:tab w:val="left" w:pos="1134"/>
          <w:tab w:val="left" w:pos="1418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本次公开的采办计划是本项目采办工作的初步安排，实际采购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相关事宜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应以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后续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相关采购公告和采购文件为准，本次公开的采办计划所有提供和反馈的信息只作为项目采办参考。</w:t>
      </w:r>
    </w:p>
    <w:p>
      <w:pPr>
        <w:tabs>
          <w:tab w:val="left" w:pos="993"/>
          <w:tab w:val="left" w:pos="1134"/>
          <w:tab w:val="left" w:pos="1418"/>
        </w:tabs>
        <w:spacing w:line="560" w:lineRule="exact"/>
        <w:ind w:firstLine="640" w:firstLineChars="200"/>
        <w:rPr>
          <w:rFonts w:ascii="Times New Roman" w:hAnsi="Times New Roman" w:eastAsia="仿宋" w:cs="Times New Roman"/>
          <w:color w:val="auto"/>
          <w:sz w:val="28"/>
          <w:szCs w:val="28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本次公告有效期是（202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日）至（202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27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日）止。在此期间，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可提供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u w:val="single"/>
          <w:lang w:val="en-US" w:eastAsia="zh-CN"/>
        </w:rPr>
        <w:t>胺基双子季铵盐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的系统用户可在集团公司采办系统中提交反馈材料。（详细内容请见附件1、2）。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right="480" w:firstLine="960" w:firstLineChars="300"/>
        <w:jc w:val="righ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中海油能源发展股份有限公司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right="480" w:firstLine="960" w:firstLineChars="300"/>
        <w:jc w:val="lef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                         采办共享中心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right="1120" w:firstLine="960" w:firstLineChars="300"/>
        <w:jc w:val="righ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日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right="1120"/>
        <w:jc w:val="left"/>
        <w:rPr>
          <w:rFonts w:hint="eastAsia" w:ascii="仿宋_GB2312" w:hAnsi="宋体" w:eastAsia="仿宋_GB2312" w:cs="仿宋_GB2312"/>
          <w:i w:val="0"/>
          <w:iCs w:val="0"/>
          <w:cap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spacing w:val="0"/>
          <w:sz w:val="32"/>
          <w:szCs w:val="32"/>
          <w:lang w:val="en-US" w:eastAsia="zh-CN"/>
        </w:rPr>
        <w:t>商务联系人：王莫飞，电话：02225801305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right="1120"/>
        <w:jc w:val="lef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spacing w:val="0"/>
          <w:sz w:val="32"/>
          <w:szCs w:val="32"/>
          <w:lang w:val="en-US" w:eastAsia="zh-CN"/>
        </w:rPr>
        <w:t>邮箱：wangmf2@cnooc.com.cn</w:t>
      </w:r>
      <w:r>
        <w:rPr>
          <w:rFonts w:ascii="仿宋_GB2312" w:hAnsi="宋体" w:eastAsia="仿宋_GB2312" w:cs="仿宋_GB2312"/>
          <w:i w:val="0"/>
          <w:iCs w:val="0"/>
          <w:caps w:val="0"/>
          <w:spacing w:val="0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 </w:t>
      </w:r>
    </w:p>
    <w:bookmarkEnd w:id="0"/>
    <w:p>
      <w:pPr>
        <w:tabs>
          <w:tab w:val="left" w:pos="993"/>
          <w:tab w:val="left" w:pos="1134"/>
          <w:tab w:val="left" w:pos="1418"/>
        </w:tabs>
        <w:spacing w:line="600" w:lineRule="exact"/>
        <w:ind w:right="1120"/>
        <w:jc w:val="both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仿宋_GB2312" w:hAnsi="宋体" w:eastAsia="仿宋_GB2312" w:cs="仿宋_GB2312"/>
          <w:i w:val="0"/>
          <w:iCs w:val="0"/>
          <w:caps w:val="0"/>
          <w:spacing w:val="0"/>
          <w:sz w:val="32"/>
          <w:szCs w:val="32"/>
        </w:rPr>
        <w:t>如对上述公开内容真实、有效性存疑，请拨打社会监督电话：</w:t>
      </w:r>
      <w:r>
        <w:rPr>
          <w:rFonts w:hint="default" w:ascii="仿宋_GB2312" w:hAnsi="宋体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  <w:t>022-25802262，其他事项不受理。</w:t>
      </w:r>
    </w:p>
    <w:bookmarkEnd w:id="1"/>
    <w:p>
      <w:pPr>
        <w:outlineLvl w:val="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br w:type="page"/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right="1120"/>
        <w:jc w:val="left"/>
        <w:outlineLvl w:val="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附件1：采购范围与主要技术指标</w:t>
      </w:r>
    </w:p>
    <w:p>
      <w:pPr>
        <w:pStyle w:val="24"/>
        <w:spacing w:before="120" w:after="120" w:line="360" w:lineRule="auto"/>
        <w:outlineLvl w:val="0"/>
        <w:rPr>
          <w:rFonts w:ascii="Times New Roman" w:hAnsi="Times New Roman" w:eastAsia="微软雅黑" w:cs="Times New Roman"/>
          <w:bCs/>
          <w:color w:val="auto"/>
          <w:sz w:val="32"/>
          <w:szCs w:val="32"/>
        </w:rPr>
      </w:pPr>
      <w:r>
        <w:rPr>
          <w:rFonts w:ascii="Times New Roman" w:hAnsi="Times New Roman" w:eastAsia="微软雅黑" w:cs="Times New Roman"/>
          <w:bCs/>
          <w:color w:val="auto"/>
          <w:sz w:val="32"/>
          <w:szCs w:val="32"/>
        </w:rPr>
        <w:t>一、项目概况及总体要求</w:t>
      </w:r>
    </w:p>
    <w:p>
      <w:pPr>
        <w:pStyle w:val="9"/>
        <w:shd w:val="clear" w:color="auto" w:fill="auto"/>
        <w:spacing w:line="257" w:lineRule="auto"/>
        <w:ind w:left="0" w:leftChars="0" w:right="122" w:firstLine="480" w:firstLineChars="200"/>
        <w:rPr>
          <w:rFonts w:hint="eastAsia" w:ascii="微软雅黑" w:hAnsi="微软雅黑" w:eastAsia="微软雅黑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bookmarkStart w:id="2" w:name="_Toc13248928"/>
      <w:bookmarkStart w:id="3" w:name="_Toc13249325"/>
      <w:r>
        <w:rPr>
          <w:rFonts w:hint="eastAsia" w:ascii="微软雅黑" w:hAnsi="微软雅黑" w:eastAsia="微软雅黑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调剖调驱已成为目前海上油田稳油控水主要措施之一，通过向水井中注入聚合物凝胶、颗粒、表面活性剂等多种体系组合，实现对水流优势通道的封堵，从而降低油井含水，提高油井产量。</w:t>
      </w:r>
    </w:p>
    <w:p>
      <w:pPr>
        <w:pStyle w:val="9"/>
        <w:shd w:val="clear" w:color="auto" w:fill="auto"/>
        <w:spacing w:line="257" w:lineRule="auto"/>
        <w:ind w:left="0" w:leftChars="0" w:right="122" w:firstLine="480" w:firstLineChars="200"/>
        <w:rPr>
          <w:rFonts w:hint="eastAsia" w:ascii="微软雅黑" w:hAnsi="微软雅黑" w:eastAsia="微软雅黑"/>
          <w:b w:val="0"/>
          <w:bCs w:val="0"/>
          <w:color w:val="auto"/>
          <w:spacing w:val="-3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目前公司掌握了一批表面活性剂产品核心配方，分为主剂和关键单剂，此次提出的</w:t>
      </w:r>
      <w:r>
        <w:rPr>
          <w:rFonts w:hint="eastAsia" w:ascii="微软雅黑" w:hAnsi="微软雅黑" w:eastAsia="微软雅黑"/>
          <w:b w:val="0"/>
          <w:bCs w:val="0"/>
          <w:color w:val="auto"/>
          <w:spacing w:val="-3"/>
          <w:sz w:val="24"/>
          <w:szCs w:val="24"/>
          <w:highlight w:val="none"/>
          <w:lang w:val="en-US" w:eastAsia="zh-CN"/>
        </w:rPr>
        <w:t>胺基双子季铵盐</w:t>
      </w:r>
      <w:r>
        <w:rPr>
          <w:rFonts w:hint="eastAsia" w:ascii="微软雅黑" w:hAnsi="微软雅黑" w:eastAsia="微软雅黑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为关键单剂之一。本技术要求描述了海油发展工程技术公司</w:t>
      </w:r>
      <w:r>
        <w:rPr>
          <w:rFonts w:hint="eastAsia" w:ascii="微软雅黑" w:hAnsi="微软雅黑" w:eastAsia="微软雅黑"/>
          <w:b w:val="0"/>
          <w:bCs w:val="0"/>
          <w:color w:val="auto"/>
          <w:spacing w:val="-3"/>
          <w:sz w:val="24"/>
          <w:szCs w:val="24"/>
          <w:highlight w:val="none"/>
          <w:lang w:val="en-US" w:eastAsia="zh-CN"/>
        </w:rPr>
        <w:t>胺基双子季铵盐GS-A6</w:t>
      </w:r>
      <w:r>
        <w:rPr>
          <w:rFonts w:hint="eastAsia" w:ascii="微软雅黑" w:hAnsi="微软雅黑" w:eastAsia="微软雅黑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产品的最低要求，</w:t>
      </w:r>
      <w:r>
        <w:rPr>
          <w:rFonts w:hint="eastAsia" w:ascii="微软雅黑" w:hAnsi="微软雅黑" w:eastAsia="微软雅黑" w:cs="Times New Roman"/>
          <w:b w:val="0"/>
          <w:bCs w:val="0"/>
          <w:color w:val="auto"/>
          <w:spacing w:val="-3"/>
          <w:sz w:val="24"/>
          <w:szCs w:val="24"/>
          <w:highlight w:val="none"/>
          <w:lang w:val="en-US" w:eastAsia="zh-CN"/>
        </w:rPr>
        <w:t>供应</w:t>
      </w:r>
      <w:r>
        <w:rPr>
          <w:rFonts w:hint="eastAsia" w:ascii="微软雅黑" w:hAnsi="微软雅黑" w:eastAsia="微软雅黑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商在报价、生产制造、调试及后续质量保障工作中应严格遵循。本协议为单项次协议，协议签订后，供应商应在接到买方供货通知要求后单次或多次完成送货，并按照通知的物</w:t>
      </w:r>
      <w:r>
        <w:rPr>
          <w:rFonts w:hint="eastAsia" w:ascii="微软雅黑" w:hAnsi="微软雅黑" w:eastAsia="微软雅黑"/>
          <w:b w:val="0"/>
          <w:bCs w:val="0"/>
          <w:color w:val="auto"/>
          <w:sz w:val="24"/>
          <w:szCs w:val="24"/>
          <w:highlight w:val="none"/>
          <w:lang w:eastAsia="zh-CN"/>
        </w:rPr>
        <w:t>资</w:t>
      </w:r>
      <w:r>
        <w:rPr>
          <w:rFonts w:ascii="微软雅黑" w:hAnsi="微软雅黑" w:eastAsia="微软雅黑"/>
          <w:b w:val="0"/>
          <w:bCs w:val="0"/>
          <w:color w:val="auto"/>
          <w:sz w:val="24"/>
          <w:szCs w:val="24"/>
          <w:highlight w:val="none"/>
          <w:lang w:eastAsia="zh-CN"/>
        </w:rPr>
        <w:t>名</w:t>
      </w:r>
      <w:r>
        <w:rPr>
          <w:rFonts w:ascii="微软雅黑" w:hAnsi="微软雅黑" w:eastAsia="微软雅黑"/>
          <w:b w:val="0"/>
          <w:bCs w:val="0"/>
          <w:color w:val="auto"/>
          <w:spacing w:val="-3"/>
          <w:sz w:val="24"/>
          <w:szCs w:val="24"/>
          <w:highlight w:val="none"/>
          <w:lang w:eastAsia="zh-CN"/>
        </w:rPr>
        <w:t>称</w:t>
      </w:r>
      <w:r>
        <w:rPr>
          <w:rFonts w:ascii="微软雅黑" w:hAnsi="微软雅黑" w:eastAsia="微软雅黑"/>
          <w:b w:val="0"/>
          <w:bCs w:val="0"/>
          <w:color w:val="auto"/>
          <w:sz w:val="24"/>
          <w:szCs w:val="24"/>
          <w:highlight w:val="none"/>
          <w:lang w:eastAsia="zh-CN"/>
        </w:rPr>
        <w:t>、规</w:t>
      </w:r>
      <w:r>
        <w:rPr>
          <w:rFonts w:ascii="微软雅黑" w:hAnsi="微软雅黑" w:eastAsia="微软雅黑"/>
          <w:b w:val="0"/>
          <w:bCs w:val="0"/>
          <w:color w:val="auto"/>
          <w:spacing w:val="-3"/>
          <w:sz w:val="24"/>
          <w:szCs w:val="24"/>
          <w:highlight w:val="none"/>
          <w:lang w:eastAsia="zh-CN"/>
        </w:rPr>
        <w:t>格</w:t>
      </w:r>
      <w:r>
        <w:rPr>
          <w:rFonts w:ascii="微软雅黑" w:hAnsi="微软雅黑" w:eastAsia="微软雅黑"/>
          <w:b w:val="0"/>
          <w:bCs w:val="0"/>
          <w:color w:val="auto"/>
          <w:sz w:val="24"/>
          <w:szCs w:val="24"/>
          <w:highlight w:val="none"/>
          <w:lang w:eastAsia="zh-CN"/>
        </w:rPr>
        <w:t>、</w:t>
      </w:r>
      <w:r>
        <w:rPr>
          <w:rFonts w:ascii="微软雅黑" w:hAnsi="微软雅黑" w:eastAsia="微软雅黑"/>
          <w:b w:val="0"/>
          <w:bCs w:val="0"/>
          <w:color w:val="auto"/>
          <w:spacing w:val="-3"/>
          <w:sz w:val="24"/>
          <w:szCs w:val="24"/>
          <w:highlight w:val="none"/>
          <w:lang w:eastAsia="zh-CN"/>
        </w:rPr>
        <w:t>数</w:t>
      </w:r>
      <w:r>
        <w:rPr>
          <w:rFonts w:ascii="微软雅黑" w:hAnsi="微软雅黑" w:eastAsia="微软雅黑"/>
          <w:b w:val="0"/>
          <w:bCs w:val="0"/>
          <w:color w:val="auto"/>
          <w:sz w:val="24"/>
          <w:szCs w:val="24"/>
          <w:highlight w:val="none"/>
          <w:lang w:eastAsia="zh-CN"/>
        </w:rPr>
        <w:t>量及单</w:t>
      </w:r>
      <w:r>
        <w:rPr>
          <w:rFonts w:ascii="微软雅黑" w:hAnsi="微软雅黑" w:eastAsia="微软雅黑"/>
          <w:b w:val="0"/>
          <w:bCs w:val="0"/>
          <w:color w:val="auto"/>
          <w:spacing w:val="-3"/>
          <w:sz w:val="24"/>
          <w:szCs w:val="24"/>
          <w:highlight w:val="none"/>
          <w:lang w:eastAsia="zh-CN"/>
        </w:rPr>
        <w:t>位</w:t>
      </w:r>
      <w:r>
        <w:rPr>
          <w:rFonts w:ascii="微软雅黑" w:hAnsi="微软雅黑" w:eastAsia="微软雅黑"/>
          <w:b w:val="0"/>
          <w:bCs w:val="0"/>
          <w:color w:val="auto"/>
          <w:spacing w:val="-1"/>
          <w:sz w:val="24"/>
          <w:szCs w:val="24"/>
          <w:highlight w:val="none"/>
          <w:lang w:eastAsia="zh-CN"/>
        </w:rPr>
        <w:t>、</w:t>
      </w:r>
      <w:r>
        <w:rPr>
          <w:rFonts w:ascii="微软雅黑" w:hAnsi="微软雅黑" w:eastAsia="微软雅黑"/>
          <w:b w:val="0"/>
          <w:bCs w:val="0"/>
          <w:color w:val="auto"/>
          <w:spacing w:val="-3"/>
          <w:sz w:val="24"/>
          <w:szCs w:val="24"/>
          <w:highlight w:val="none"/>
          <w:lang w:eastAsia="zh-CN"/>
        </w:rPr>
        <w:t>交</w:t>
      </w:r>
      <w:r>
        <w:rPr>
          <w:rFonts w:ascii="微软雅黑" w:hAnsi="微软雅黑" w:eastAsia="微软雅黑"/>
          <w:b w:val="0"/>
          <w:bCs w:val="0"/>
          <w:color w:val="auto"/>
          <w:sz w:val="24"/>
          <w:szCs w:val="24"/>
          <w:highlight w:val="none"/>
          <w:lang w:eastAsia="zh-CN"/>
        </w:rPr>
        <w:t>货</w:t>
      </w:r>
      <w:r>
        <w:rPr>
          <w:rFonts w:ascii="微软雅黑" w:hAnsi="微软雅黑" w:eastAsia="微软雅黑"/>
          <w:b w:val="0"/>
          <w:bCs w:val="0"/>
          <w:color w:val="auto"/>
          <w:spacing w:val="-3"/>
          <w:sz w:val="24"/>
          <w:szCs w:val="24"/>
          <w:highlight w:val="none"/>
          <w:lang w:eastAsia="zh-CN"/>
        </w:rPr>
        <w:t>期</w:t>
      </w:r>
      <w:r>
        <w:rPr>
          <w:rFonts w:ascii="微软雅黑" w:hAnsi="微软雅黑" w:eastAsia="微软雅黑"/>
          <w:b w:val="0"/>
          <w:bCs w:val="0"/>
          <w:color w:val="auto"/>
          <w:sz w:val="24"/>
          <w:szCs w:val="24"/>
          <w:highlight w:val="none"/>
          <w:lang w:eastAsia="zh-CN"/>
        </w:rPr>
        <w:t>、</w:t>
      </w:r>
      <w:r>
        <w:rPr>
          <w:rFonts w:ascii="微软雅黑" w:hAnsi="微软雅黑" w:eastAsia="微软雅黑"/>
          <w:b w:val="0"/>
          <w:bCs w:val="0"/>
          <w:color w:val="auto"/>
          <w:spacing w:val="-3"/>
          <w:sz w:val="24"/>
          <w:szCs w:val="24"/>
          <w:highlight w:val="none"/>
          <w:lang w:eastAsia="zh-CN"/>
        </w:rPr>
        <w:t>交</w:t>
      </w:r>
      <w:r>
        <w:rPr>
          <w:rFonts w:ascii="微软雅黑" w:hAnsi="微软雅黑" w:eastAsia="微软雅黑"/>
          <w:b w:val="0"/>
          <w:bCs w:val="0"/>
          <w:color w:val="auto"/>
          <w:sz w:val="24"/>
          <w:szCs w:val="24"/>
          <w:highlight w:val="none"/>
          <w:lang w:eastAsia="zh-CN"/>
        </w:rPr>
        <w:t>货</w:t>
      </w:r>
      <w:r>
        <w:rPr>
          <w:rFonts w:ascii="微软雅黑" w:hAnsi="微软雅黑" w:eastAsia="微软雅黑"/>
          <w:b w:val="0"/>
          <w:bCs w:val="0"/>
          <w:color w:val="auto"/>
          <w:spacing w:val="-3"/>
          <w:sz w:val="24"/>
          <w:szCs w:val="24"/>
          <w:highlight w:val="none"/>
          <w:lang w:eastAsia="zh-CN"/>
        </w:rPr>
        <w:t>地</w:t>
      </w:r>
      <w:r>
        <w:rPr>
          <w:rFonts w:ascii="微软雅黑" w:hAnsi="微软雅黑" w:eastAsia="微软雅黑"/>
          <w:b w:val="0"/>
          <w:bCs w:val="0"/>
          <w:color w:val="auto"/>
          <w:sz w:val="24"/>
          <w:szCs w:val="24"/>
          <w:highlight w:val="none"/>
          <w:lang w:eastAsia="zh-CN"/>
        </w:rPr>
        <w:t>点、</w:t>
      </w:r>
      <w:r>
        <w:rPr>
          <w:rFonts w:ascii="微软雅黑" w:hAnsi="微软雅黑" w:eastAsia="微软雅黑"/>
          <w:b w:val="0"/>
          <w:bCs w:val="0"/>
          <w:color w:val="auto"/>
          <w:spacing w:val="-3"/>
          <w:sz w:val="24"/>
          <w:szCs w:val="24"/>
          <w:highlight w:val="none"/>
          <w:lang w:eastAsia="zh-CN"/>
        </w:rPr>
        <w:t>质</w:t>
      </w:r>
      <w:r>
        <w:rPr>
          <w:rFonts w:ascii="微软雅黑" w:hAnsi="微软雅黑" w:eastAsia="微软雅黑"/>
          <w:b w:val="0"/>
          <w:bCs w:val="0"/>
          <w:color w:val="auto"/>
          <w:sz w:val="24"/>
          <w:szCs w:val="24"/>
          <w:highlight w:val="none"/>
          <w:lang w:eastAsia="zh-CN"/>
        </w:rPr>
        <w:t>量</w:t>
      </w:r>
      <w:r>
        <w:rPr>
          <w:rFonts w:ascii="微软雅黑" w:hAnsi="微软雅黑" w:eastAsia="微软雅黑"/>
          <w:b w:val="0"/>
          <w:bCs w:val="0"/>
          <w:color w:val="auto"/>
          <w:spacing w:val="-3"/>
          <w:sz w:val="24"/>
          <w:szCs w:val="24"/>
          <w:highlight w:val="none"/>
          <w:lang w:eastAsia="zh-CN"/>
        </w:rPr>
        <w:t>标</w:t>
      </w:r>
      <w:r>
        <w:rPr>
          <w:rFonts w:ascii="微软雅黑" w:hAnsi="微软雅黑" w:eastAsia="微软雅黑"/>
          <w:b w:val="0"/>
          <w:bCs w:val="0"/>
          <w:color w:val="auto"/>
          <w:sz w:val="24"/>
          <w:szCs w:val="24"/>
          <w:highlight w:val="none"/>
          <w:lang w:eastAsia="zh-CN"/>
        </w:rPr>
        <w:t>准</w:t>
      </w:r>
      <w:r>
        <w:rPr>
          <w:rFonts w:ascii="微软雅黑" w:hAnsi="微软雅黑" w:eastAsia="微软雅黑"/>
          <w:b w:val="0"/>
          <w:bCs w:val="0"/>
          <w:color w:val="auto"/>
          <w:spacing w:val="-3"/>
          <w:sz w:val="24"/>
          <w:szCs w:val="24"/>
          <w:highlight w:val="none"/>
          <w:lang w:eastAsia="zh-CN"/>
        </w:rPr>
        <w:t>、</w:t>
      </w:r>
      <w:r>
        <w:rPr>
          <w:rFonts w:ascii="微软雅黑" w:hAnsi="微软雅黑" w:eastAsia="微软雅黑"/>
          <w:b w:val="0"/>
          <w:bCs w:val="0"/>
          <w:color w:val="auto"/>
          <w:sz w:val="24"/>
          <w:szCs w:val="24"/>
          <w:highlight w:val="none"/>
          <w:lang w:eastAsia="zh-CN"/>
        </w:rPr>
        <w:t>验</w:t>
      </w:r>
      <w:r>
        <w:rPr>
          <w:rFonts w:ascii="微软雅黑" w:hAnsi="微软雅黑" w:eastAsia="微软雅黑"/>
          <w:b w:val="0"/>
          <w:bCs w:val="0"/>
          <w:color w:val="auto"/>
          <w:spacing w:val="-3"/>
          <w:sz w:val="24"/>
          <w:szCs w:val="24"/>
          <w:highlight w:val="none"/>
          <w:lang w:eastAsia="zh-CN"/>
        </w:rPr>
        <w:t>收</w:t>
      </w:r>
      <w:r>
        <w:rPr>
          <w:rFonts w:ascii="微软雅黑" w:hAnsi="微软雅黑" w:eastAsia="微软雅黑"/>
          <w:b w:val="0"/>
          <w:bCs w:val="0"/>
          <w:color w:val="auto"/>
          <w:sz w:val="24"/>
          <w:szCs w:val="24"/>
          <w:highlight w:val="none"/>
          <w:lang w:eastAsia="zh-CN"/>
        </w:rPr>
        <w:t>标</w:t>
      </w:r>
      <w:r>
        <w:rPr>
          <w:rFonts w:ascii="微软雅黑" w:hAnsi="微软雅黑" w:eastAsia="微软雅黑"/>
          <w:b w:val="0"/>
          <w:bCs w:val="0"/>
          <w:color w:val="auto"/>
          <w:spacing w:val="-3"/>
          <w:sz w:val="24"/>
          <w:szCs w:val="24"/>
          <w:highlight w:val="none"/>
          <w:lang w:eastAsia="zh-CN"/>
        </w:rPr>
        <w:t>准</w:t>
      </w:r>
      <w:r>
        <w:rPr>
          <w:rFonts w:ascii="微软雅黑" w:hAnsi="微软雅黑" w:eastAsia="微软雅黑"/>
          <w:b w:val="0"/>
          <w:bCs w:val="0"/>
          <w:color w:val="auto"/>
          <w:sz w:val="24"/>
          <w:szCs w:val="24"/>
          <w:highlight w:val="none"/>
          <w:lang w:eastAsia="zh-CN"/>
        </w:rPr>
        <w:t>、相</w:t>
      </w:r>
      <w:r>
        <w:rPr>
          <w:rFonts w:ascii="微软雅黑" w:hAnsi="微软雅黑" w:eastAsia="微软雅黑"/>
          <w:b w:val="0"/>
          <w:bCs w:val="0"/>
          <w:color w:val="auto"/>
          <w:spacing w:val="-3"/>
          <w:sz w:val="24"/>
          <w:szCs w:val="24"/>
          <w:highlight w:val="none"/>
          <w:lang w:eastAsia="zh-CN"/>
        </w:rPr>
        <w:t>关</w:t>
      </w:r>
      <w:r>
        <w:rPr>
          <w:rFonts w:ascii="微软雅黑" w:hAnsi="微软雅黑" w:eastAsia="微软雅黑"/>
          <w:b w:val="0"/>
          <w:bCs w:val="0"/>
          <w:color w:val="auto"/>
          <w:sz w:val="24"/>
          <w:szCs w:val="24"/>
          <w:highlight w:val="none"/>
          <w:lang w:eastAsia="zh-CN"/>
        </w:rPr>
        <w:t>服</w:t>
      </w:r>
      <w:r>
        <w:rPr>
          <w:rFonts w:ascii="微软雅黑" w:hAnsi="微软雅黑" w:eastAsia="微软雅黑"/>
          <w:b w:val="0"/>
          <w:bCs w:val="0"/>
          <w:color w:val="auto"/>
          <w:spacing w:val="-3"/>
          <w:sz w:val="24"/>
          <w:szCs w:val="24"/>
          <w:highlight w:val="none"/>
          <w:lang w:eastAsia="zh-CN"/>
        </w:rPr>
        <w:t>务</w:t>
      </w:r>
      <w:r>
        <w:rPr>
          <w:rFonts w:ascii="微软雅黑" w:hAnsi="微软雅黑" w:eastAsia="微软雅黑"/>
          <w:b w:val="0"/>
          <w:bCs w:val="0"/>
          <w:color w:val="auto"/>
          <w:sz w:val="24"/>
          <w:szCs w:val="24"/>
          <w:highlight w:val="none"/>
          <w:lang w:eastAsia="zh-CN"/>
        </w:rPr>
        <w:t>要</w:t>
      </w:r>
      <w:r>
        <w:rPr>
          <w:rFonts w:ascii="微软雅黑" w:hAnsi="微软雅黑" w:eastAsia="微软雅黑"/>
          <w:b w:val="0"/>
          <w:bCs w:val="0"/>
          <w:color w:val="auto"/>
          <w:spacing w:val="-3"/>
          <w:sz w:val="24"/>
          <w:szCs w:val="24"/>
          <w:highlight w:val="none"/>
          <w:lang w:eastAsia="zh-CN"/>
        </w:rPr>
        <w:t>求</w:t>
      </w:r>
      <w:r>
        <w:rPr>
          <w:rFonts w:hint="eastAsia" w:ascii="微软雅黑" w:hAnsi="微软雅黑" w:eastAsia="微软雅黑"/>
          <w:b w:val="0"/>
          <w:bCs w:val="0"/>
          <w:color w:val="auto"/>
          <w:spacing w:val="-3"/>
          <w:sz w:val="24"/>
          <w:szCs w:val="24"/>
          <w:highlight w:val="none"/>
          <w:lang w:val="en-US" w:eastAsia="zh-CN"/>
        </w:rPr>
        <w:t>完成协议工作。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textAlignment w:val="auto"/>
        <w:rPr>
          <w:rFonts w:hint="eastAsia" w:ascii="微软雅黑" w:hAnsi="微软雅黑" w:eastAsia="微软雅黑"/>
          <w:b w:val="0"/>
          <w:bCs w:val="0"/>
          <w:color w:val="000000" w:themeColor="text1"/>
          <w:spacing w:val="-3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Times New Roman"/>
          <w:color w:val="auto"/>
          <w:sz w:val="24"/>
          <w:szCs w:val="24"/>
          <w:highlight w:val="none"/>
          <w:lang w:val="en-US" w:eastAsia="zh-CN"/>
        </w:rPr>
        <w:t>本采购技术要求书未引用产品标准。</w:t>
      </w:r>
    </w:p>
    <w:p>
      <w:pPr>
        <w:pStyle w:val="9"/>
        <w:shd w:val="clear" w:color="auto" w:fill="auto"/>
        <w:spacing w:line="257" w:lineRule="auto"/>
        <w:ind w:left="0" w:leftChars="0" w:right="122" w:firstLine="0" w:firstLineChars="0"/>
        <w:rPr>
          <w:rFonts w:ascii="微软雅黑" w:hAnsi="微软雅黑" w:eastAsia="微软雅黑" w:cs="Times New Roman"/>
          <w:bCs/>
          <w:color w:val="auto"/>
          <w:sz w:val="32"/>
          <w:szCs w:val="32"/>
        </w:rPr>
      </w:pPr>
      <w:r>
        <w:rPr>
          <w:rFonts w:ascii="微软雅黑" w:hAnsi="微软雅黑" w:eastAsia="微软雅黑" w:cs="Times New Roman"/>
          <w:bCs/>
          <w:color w:val="auto"/>
          <w:sz w:val="32"/>
          <w:szCs w:val="32"/>
        </w:rPr>
        <w:t>二、需求一览表</w:t>
      </w:r>
      <w:bookmarkEnd w:id="2"/>
      <w:bookmarkEnd w:id="3"/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jc w:val="center"/>
        <w:textAlignment w:val="auto"/>
        <w:rPr>
          <w:rFonts w:hint="default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表1  产品需求一览表</w:t>
      </w:r>
    </w:p>
    <w:tbl>
      <w:tblPr>
        <w:tblStyle w:val="20"/>
        <w:tblW w:w="86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1255"/>
        <w:gridCol w:w="1000"/>
        <w:gridCol w:w="1050"/>
        <w:gridCol w:w="1148"/>
        <w:gridCol w:w="839"/>
        <w:gridCol w:w="541"/>
        <w:gridCol w:w="840"/>
        <w:gridCol w:w="930"/>
        <w:gridCol w:w="5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85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微软雅黑" w:hAnsi="微软雅黑" w:eastAsia="微软雅黑"/>
                <w:color w:val="auto"/>
                <w:spacing w:val="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auto"/>
                <w:spacing w:val="0"/>
                <w:sz w:val="21"/>
                <w:szCs w:val="21"/>
              </w:rPr>
              <w:t>序号</w:t>
            </w:r>
          </w:p>
        </w:tc>
        <w:tc>
          <w:tcPr>
            <w:tcW w:w="1255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微软雅黑" w:hAnsi="微软雅黑" w:eastAsia="微软雅黑" w:cs="Times New Roman"/>
                <w:color w:val="auto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color w:val="auto"/>
                <w:lang w:val="en-US" w:eastAsia="zh-CN"/>
              </w:rPr>
              <w:t>物资编码</w:t>
            </w:r>
          </w:p>
        </w:tc>
        <w:tc>
          <w:tcPr>
            <w:tcW w:w="1000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微软雅黑" w:hAnsi="微软雅黑" w:eastAsia="微软雅黑" w:cs="Times New Roman"/>
                <w:color w:val="auto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color w:val="auto"/>
                <w:lang w:val="en-US" w:eastAsia="zh-CN"/>
              </w:rPr>
              <w:t>品类编码</w:t>
            </w:r>
          </w:p>
        </w:tc>
        <w:tc>
          <w:tcPr>
            <w:tcW w:w="1050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微软雅黑" w:hAnsi="微软雅黑" w:eastAsia="微软雅黑" w:cs="Times New Roman"/>
                <w:color w:val="auto"/>
                <w:lang w:eastAsia="zh-CN"/>
              </w:rPr>
            </w:pPr>
            <w:r>
              <w:rPr>
                <w:rFonts w:hint="eastAsia" w:ascii="微软雅黑" w:hAnsi="微软雅黑" w:eastAsia="微软雅黑" w:cs="Times New Roman"/>
                <w:color w:val="auto"/>
                <w:lang w:eastAsia="zh-CN"/>
              </w:rPr>
              <w:t>物资</w:t>
            </w:r>
            <w:r>
              <w:rPr>
                <w:rFonts w:ascii="微软雅黑" w:hAnsi="微软雅黑" w:eastAsia="微软雅黑" w:cs="Times New Roman"/>
                <w:color w:val="auto"/>
                <w:lang w:eastAsia="zh-CN"/>
              </w:rPr>
              <w:t>名称</w:t>
            </w:r>
          </w:p>
        </w:tc>
        <w:tc>
          <w:tcPr>
            <w:tcW w:w="1148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微软雅黑" w:hAnsi="微软雅黑" w:eastAsia="微软雅黑" w:cs="Times New Roman"/>
                <w:color w:val="auto"/>
                <w:lang w:eastAsia="zh-CN"/>
              </w:rPr>
            </w:pPr>
            <w:r>
              <w:rPr>
                <w:rFonts w:ascii="微软雅黑" w:hAnsi="微软雅黑" w:eastAsia="微软雅黑" w:cs="Times New Roman"/>
                <w:color w:val="auto"/>
                <w:lang w:eastAsia="zh-CN"/>
              </w:rPr>
              <w:t>规格型号</w:t>
            </w:r>
          </w:p>
        </w:tc>
        <w:tc>
          <w:tcPr>
            <w:tcW w:w="839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微软雅黑" w:hAnsi="微软雅黑" w:eastAsia="微软雅黑" w:cs="Times New Roman"/>
                <w:color w:val="auto"/>
                <w:lang w:eastAsia="zh-CN"/>
              </w:rPr>
            </w:pPr>
            <w:r>
              <w:rPr>
                <w:rFonts w:ascii="微软雅黑" w:hAnsi="微软雅黑" w:eastAsia="微软雅黑" w:cs="Times New Roman"/>
                <w:color w:val="auto"/>
                <w:lang w:eastAsia="zh-CN"/>
              </w:rPr>
              <w:t>数量</w:t>
            </w:r>
          </w:p>
        </w:tc>
        <w:tc>
          <w:tcPr>
            <w:tcW w:w="541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微软雅黑" w:hAnsi="微软雅黑" w:eastAsia="微软雅黑" w:cs="Times New Roman"/>
                <w:color w:val="auto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color w:val="auto"/>
                <w:lang w:val="en-US" w:eastAsia="zh-CN"/>
              </w:rPr>
              <w:t>单位</w:t>
            </w:r>
          </w:p>
        </w:tc>
        <w:tc>
          <w:tcPr>
            <w:tcW w:w="840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微软雅黑" w:hAnsi="微软雅黑" w:eastAsia="微软雅黑" w:cs="Times New Roman"/>
                <w:color w:val="auto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color w:val="auto"/>
                <w:lang w:val="en-US" w:eastAsia="zh-CN"/>
              </w:rPr>
              <w:t>交货期</w:t>
            </w:r>
          </w:p>
        </w:tc>
        <w:tc>
          <w:tcPr>
            <w:tcW w:w="930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微软雅黑" w:hAnsi="微软雅黑" w:eastAsia="微软雅黑" w:cs="Times New Roman"/>
                <w:color w:val="auto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color w:val="auto"/>
                <w:lang w:val="en-US" w:eastAsia="zh-CN"/>
              </w:rPr>
              <w:t>交货地点</w:t>
            </w:r>
          </w:p>
        </w:tc>
        <w:tc>
          <w:tcPr>
            <w:tcW w:w="503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微软雅黑" w:hAnsi="微软雅黑" w:eastAsia="微软雅黑" w:cs="Times New Roman"/>
                <w:color w:val="auto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color w:val="auto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85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255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85198498</w:t>
            </w:r>
          </w:p>
        </w:tc>
        <w:tc>
          <w:tcPr>
            <w:tcW w:w="1000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A030807</w:t>
            </w:r>
          </w:p>
        </w:tc>
        <w:tc>
          <w:tcPr>
            <w:tcW w:w="1050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36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胺基双子季铵盐</w:t>
            </w:r>
          </w:p>
        </w:tc>
        <w:tc>
          <w:tcPr>
            <w:tcW w:w="1148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hd w:val="clear" w:color="auto" w:fill="auto"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胺基双子季铵盐\GS-A6\液体</w:t>
            </w:r>
          </w:p>
        </w:tc>
        <w:tc>
          <w:tcPr>
            <w:tcW w:w="839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line="360" w:lineRule="auto"/>
              <w:jc w:val="center"/>
              <w:textAlignment w:val="center"/>
              <w:rPr>
                <w:rFonts w:hint="default" w:ascii="微软雅黑" w:hAnsi="微软雅黑" w:eastAsia="微软雅黑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微软雅黑" w:hAnsi="微软雅黑" w:eastAsia="微软雅黑" w:cs="Times New Roman"/>
                <w:color w:val="auto"/>
                <w:sz w:val="18"/>
                <w:szCs w:val="18"/>
                <w:lang w:val="en-US" w:eastAsia="zh-CN"/>
              </w:rPr>
              <w:t>240000</w:t>
            </w:r>
          </w:p>
        </w:tc>
        <w:tc>
          <w:tcPr>
            <w:tcW w:w="541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微软雅黑" w:hAnsi="微软雅黑" w:eastAsia="微软雅黑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840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微软雅黑" w:hAnsi="微软雅黑" w:eastAsia="微软雅黑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协议签订后，以买方通知为准，要求通知后3天内送货</w:t>
            </w:r>
          </w:p>
        </w:tc>
        <w:tc>
          <w:tcPr>
            <w:tcW w:w="930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微软雅黑" w:hAnsi="微软雅黑" w:eastAsia="微软雅黑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天津市滨海新区工程技术公司增产库房</w:t>
            </w:r>
          </w:p>
        </w:tc>
        <w:tc>
          <w:tcPr>
            <w:tcW w:w="503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微软雅黑" w:hAnsi="微软雅黑" w:eastAsia="微软雅黑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  <w:highlight w:val="none"/>
                <w:lang w:val="en-US" w:eastAsia="zh-CN"/>
              </w:rPr>
              <w:t>最小送货量1000KG</w:t>
            </w:r>
          </w:p>
        </w:tc>
      </w:tr>
    </w:tbl>
    <w:p>
      <w:pPr>
        <w:pStyle w:val="24"/>
        <w:shd w:val="clear" w:color="auto" w:fill="auto"/>
        <w:spacing w:before="120" w:after="120"/>
        <w:outlineLvl w:val="0"/>
        <w:rPr>
          <w:rFonts w:ascii="微软雅黑" w:hAnsi="微软雅黑" w:eastAsia="微软雅黑" w:cs="Times New Roman"/>
          <w:bCs/>
          <w:color w:val="auto"/>
          <w:sz w:val="32"/>
          <w:szCs w:val="32"/>
        </w:rPr>
      </w:pPr>
      <w:bookmarkStart w:id="4" w:name="_Toc13248929"/>
      <w:bookmarkStart w:id="5" w:name="_Toc13249326"/>
      <w:r>
        <w:rPr>
          <w:rFonts w:hint="eastAsia" w:ascii="微软雅黑" w:hAnsi="微软雅黑" w:eastAsia="微软雅黑" w:cs="Times New Roman"/>
          <w:bCs/>
          <w:color w:val="auto"/>
          <w:sz w:val="32"/>
          <w:szCs w:val="32"/>
        </w:rPr>
        <w:t>三、执行标准/规范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right="0" w:firstLine="0" w:firstLineChars="0"/>
        <w:textAlignment w:val="auto"/>
        <w:rPr>
          <w:rFonts w:hint="default" w:ascii="微软雅黑" w:hAnsi="微软雅黑" w:eastAsia="微软雅黑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Times New Roman"/>
          <w:color w:val="auto"/>
          <w:sz w:val="24"/>
          <w:szCs w:val="24"/>
          <w:highlight w:val="none"/>
          <w:lang w:val="en-US" w:eastAsia="zh-CN"/>
        </w:rPr>
        <w:t>本技术要求采购产品性能指标及检测方法参考或按以下标准执行：</w:t>
      </w:r>
    </w:p>
    <w:p>
      <w:pPr>
        <w:pStyle w:val="24"/>
        <w:shd w:val="clear" w:color="auto" w:fill="auto"/>
        <w:spacing w:before="120" w:after="120"/>
        <w:ind w:firstLine="480" w:firstLineChars="200"/>
        <w:outlineLvl w:val="0"/>
        <w:rPr>
          <w:rFonts w:hint="eastAsia" w:ascii="微软雅黑" w:hAnsi="微软雅黑" w:eastAsia="微软雅黑" w:cs="Times New Roman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default" w:ascii="微软雅黑" w:hAnsi="微软雅黑" w:eastAsia="微软雅黑" w:cs="Times New Roman"/>
          <w:color w:val="auto"/>
          <w:kern w:val="0"/>
          <w:sz w:val="24"/>
          <w:szCs w:val="24"/>
          <w:highlight w:val="none"/>
          <w:lang w:val="en-US" w:eastAsia="zh-CN" w:bidi="ar-SA"/>
        </w:rPr>
        <w:t>GB/T 5174-2018</w:t>
      </w:r>
      <w:r>
        <w:rPr>
          <w:rFonts w:hint="eastAsia" w:ascii="微软雅黑" w:hAnsi="微软雅黑" w:eastAsia="微软雅黑" w:cs="Times New Roman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</w:t>
      </w:r>
      <w:r>
        <w:rPr>
          <w:rFonts w:hint="default" w:ascii="微软雅黑" w:hAnsi="微软雅黑" w:eastAsia="微软雅黑" w:cs="Times New Roman"/>
          <w:color w:val="auto"/>
          <w:kern w:val="0"/>
          <w:sz w:val="24"/>
          <w:szCs w:val="24"/>
          <w:highlight w:val="none"/>
          <w:lang w:val="en-US" w:eastAsia="zh-CN" w:bidi="ar-SA"/>
        </w:rPr>
        <w:t>《</w:t>
      </w:r>
      <w:r>
        <w:rPr>
          <w:rFonts w:hint="eastAsia" w:ascii="微软雅黑" w:hAnsi="微软雅黑" w:eastAsia="微软雅黑" w:cs="Times New Roman"/>
          <w:color w:val="auto"/>
          <w:kern w:val="0"/>
          <w:sz w:val="24"/>
          <w:szCs w:val="24"/>
          <w:highlight w:val="none"/>
          <w:lang w:val="en-US" w:eastAsia="zh-CN" w:bidi="ar-SA"/>
        </w:rPr>
        <w:t>表面活性剂 洗涤剂 阳离子活性物含量的测定 直接两相滴定法》</w:t>
      </w:r>
    </w:p>
    <w:p>
      <w:pPr>
        <w:pStyle w:val="24"/>
        <w:shd w:val="clear" w:color="auto" w:fill="auto"/>
        <w:spacing w:before="120" w:after="120"/>
        <w:ind w:firstLine="480" w:firstLineChars="200"/>
        <w:outlineLvl w:val="0"/>
        <w:rPr>
          <w:rFonts w:hint="eastAsia" w:ascii="微软雅黑" w:hAnsi="微软雅黑" w:eastAsia="微软雅黑" w:cs="Times New Roman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color w:val="auto"/>
          <w:kern w:val="0"/>
          <w:sz w:val="24"/>
          <w:szCs w:val="24"/>
          <w:highlight w:val="none"/>
          <w:lang w:val="en-US" w:eastAsia="zh-CN" w:bidi="ar-SA"/>
        </w:rPr>
        <w:t>GB/T 6368-2008 《表面活性剂 水溶液pH值的测定 电位法》</w:t>
      </w:r>
    </w:p>
    <w:p>
      <w:pPr>
        <w:pStyle w:val="24"/>
        <w:shd w:val="clear" w:color="auto" w:fill="auto"/>
        <w:spacing w:before="120" w:after="120"/>
        <w:outlineLvl w:val="0"/>
        <w:rPr>
          <w:rFonts w:ascii="微软雅黑" w:hAnsi="微软雅黑" w:eastAsia="微软雅黑" w:cs="Times New Roman"/>
          <w:bCs/>
          <w:color w:val="auto"/>
          <w:sz w:val="32"/>
          <w:szCs w:val="32"/>
        </w:rPr>
      </w:pPr>
      <w:r>
        <w:rPr>
          <w:rFonts w:hint="eastAsia" w:ascii="微软雅黑" w:hAnsi="微软雅黑" w:eastAsia="微软雅黑" w:cs="Times New Roman"/>
          <w:bCs/>
          <w:color w:val="auto"/>
          <w:sz w:val="32"/>
          <w:szCs w:val="32"/>
        </w:rPr>
        <w:t>四、设计/使用条件</w:t>
      </w:r>
    </w:p>
    <w:p>
      <w:pPr>
        <w:pStyle w:val="9"/>
        <w:shd w:val="clear" w:color="auto" w:fill="auto"/>
        <w:spacing w:line="257" w:lineRule="auto"/>
        <w:ind w:right="122" w:firstLine="199" w:firstLineChars="95"/>
        <w:rPr>
          <w:rFonts w:ascii="微软雅黑" w:hAnsi="微软雅黑" w:eastAsia="微软雅黑"/>
          <w:color w:val="auto"/>
          <w:highlight w:val="none"/>
          <w:lang w:eastAsia="zh-CN"/>
        </w:rPr>
      </w:pPr>
      <w:r>
        <w:rPr>
          <w:rFonts w:hint="eastAsia" w:ascii="微软雅黑" w:hAnsi="微软雅黑" w:eastAsia="微软雅黑"/>
          <w:color w:val="auto"/>
          <w:highlight w:val="none"/>
          <w:lang w:eastAsia="zh-CN"/>
        </w:rPr>
        <w:t>1. 使用地点：</w:t>
      </w:r>
      <w:r>
        <w:rPr>
          <w:rFonts w:hint="eastAsia" w:ascii="Times New Roman" w:hAnsi="Times New Roman" w:eastAsia="微软雅黑" w:cs="Times New Roman"/>
          <w:highlight w:val="none"/>
          <w:lang w:eastAsia="zh-CN"/>
        </w:rPr>
        <w:t>本产品主要</w:t>
      </w:r>
      <w:r>
        <w:rPr>
          <w:rFonts w:ascii="Times New Roman" w:hAnsi="Times New Roman" w:eastAsia="微软雅黑" w:cs="Times New Roman"/>
          <w:highlight w:val="none"/>
          <w:lang w:eastAsia="zh-CN"/>
        </w:rPr>
        <w:t>在</w:t>
      </w:r>
      <w:r>
        <w:rPr>
          <w:rFonts w:hint="eastAsia" w:ascii="Times New Roman" w:hAnsi="Times New Roman" w:eastAsia="微软雅黑" w:cs="Times New Roman"/>
          <w:highlight w:val="none"/>
          <w:lang w:val="en-US" w:eastAsia="zh-CN"/>
        </w:rPr>
        <w:t>具备资质的定制工厂或生产车间使用</w:t>
      </w:r>
      <w:r>
        <w:rPr>
          <w:rFonts w:hint="eastAsia" w:ascii="微软雅黑" w:hAnsi="微软雅黑" w:eastAsia="微软雅黑"/>
          <w:color w:val="auto"/>
          <w:highlight w:val="none"/>
          <w:lang w:eastAsia="zh-CN"/>
        </w:rPr>
        <w:t>；</w:t>
      </w:r>
    </w:p>
    <w:p>
      <w:pPr>
        <w:pStyle w:val="9"/>
        <w:shd w:val="clear" w:color="auto" w:fill="auto"/>
        <w:spacing w:line="257" w:lineRule="auto"/>
        <w:ind w:right="122" w:firstLine="199" w:firstLineChars="95"/>
        <w:rPr>
          <w:rFonts w:ascii="微软雅黑" w:hAnsi="微软雅黑" w:eastAsia="微软雅黑"/>
          <w:color w:val="auto"/>
          <w:lang w:eastAsia="zh-CN"/>
        </w:rPr>
      </w:pPr>
      <w:r>
        <w:rPr>
          <w:rFonts w:hint="eastAsia" w:ascii="微软雅黑" w:hAnsi="微软雅黑" w:eastAsia="微软雅黑"/>
          <w:color w:val="auto"/>
          <w:lang w:val="en-US" w:eastAsia="zh-CN"/>
        </w:rPr>
        <w:t>2</w:t>
      </w:r>
      <w:r>
        <w:rPr>
          <w:rFonts w:hint="eastAsia" w:ascii="微软雅黑" w:hAnsi="微软雅黑" w:eastAsia="微软雅黑"/>
          <w:color w:val="auto"/>
          <w:lang w:eastAsia="zh-CN"/>
        </w:rPr>
        <w:t>. 作业环境要</w:t>
      </w:r>
      <w:r>
        <w:rPr>
          <w:rFonts w:hint="eastAsia" w:ascii="微软雅黑" w:hAnsi="微软雅黑" w:eastAsia="微软雅黑" w:cs="Times New Roman"/>
          <w:color w:val="auto"/>
          <w:lang w:eastAsia="zh-CN"/>
        </w:rPr>
        <w:t>求：温度：-20℃~40℃；湿度：40%-100%。</w:t>
      </w:r>
    </w:p>
    <w:p>
      <w:pPr>
        <w:pStyle w:val="24"/>
        <w:shd w:val="clear" w:color="auto" w:fill="auto"/>
        <w:spacing w:before="120" w:after="120"/>
        <w:outlineLvl w:val="0"/>
        <w:rPr>
          <w:rFonts w:ascii="微软雅黑" w:hAnsi="微软雅黑" w:eastAsia="微软雅黑" w:cs="Times New Roman"/>
          <w:bCs/>
          <w:color w:val="auto"/>
          <w:sz w:val="32"/>
          <w:szCs w:val="32"/>
        </w:rPr>
      </w:pPr>
      <w:r>
        <w:rPr>
          <w:rFonts w:hint="eastAsia" w:ascii="微软雅黑" w:hAnsi="微软雅黑" w:eastAsia="微软雅黑" w:cs="Times New Roman"/>
          <w:bCs/>
          <w:color w:val="auto"/>
          <w:sz w:val="32"/>
          <w:szCs w:val="32"/>
        </w:rPr>
        <w:t>五</w:t>
      </w:r>
      <w:r>
        <w:rPr>
          <w:rFonts w:ascii="微软雅黑" w:hAnsi="微软雅黑" w:eastAsia="微软雅黑" w:cs="Times New Roman"/>
          <w:bCs/>
          <w:color w:val="auto"/>
          <w:sz w:val="32"/>
          <w:szCs w:val="32"/>
        </w:rPr>
        <w:t>、</w:t>
      </w:r>
      <w:r>
        <w:rPr>
          <w:rFonts w:hint="eastAsia" w:ascii="微软雅黑" w:hAnsi="微软雅黑" w:eastAsia="微软雅黑" w:cs="Times New Roman"/>
          <w:bCs/>
          <w:color w:val="auto"/>
          <w:sz w:val="32"/>
          <w:szCs w:val="32"/>
        </w:rPr>
        <w:t>技术要求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rFonts w:hint="eastAsia"/>
          <w:color w:val="auto"/>
          <w:sz w:val="21"/>
          <w:szCs w:val="21"/>
          <w:lang w:eastAsia="zh-CN"/>
        </w:rPr>
      </w:pPr>
      <w:r>
        <w:rPr>
          <w:rFonts w:hint="eastAsia"/>
          <w:color w:val="auto"/>
          <w:sz w:val="24"/>
          <w:szCs w:val="24"/>
        </w:rPr>
        <w:t>1. 产品技术参数</w:t>
      </w:r>
    </w:p>
    <w:p>
      <w:pPr>
        <w:pStyle w:val="4"/>
        <w:shd w:val="clear" w:color="auto" w:fill="auto"/>
        <w:spacing w:line="360" w:lineRule="auto"/>
        <w:ind w:firstLine="428" w:firstLineChars="200"/>
        <w:rPr>
          <w:rFonts w:hint="eastAsia" w:ascii="微软雅黑" w:hAnsi="微软雅黑" w:eastAsia="微软雅黑" w:cs="微软雅黑"/>
          <w:color w:val="auto"/>
          <w:spacing w:val="2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spacing w:val="2"/>
          <w:kern w:val="0"/>
          <w:sz w:val="21"/>
          <w:szCs w:val="21"/>
          <w:highlight w:val="none"/>
          <w:lang w:val="en-US" w:eastAsia="zh-CN" w:bidi="ar-SA"/>
        </w:rPr>
        <w:t>1）外观：淡黄色液体：用目测法检验。</w:t>
      </w:r>
    </w:p>
    <w:p>
      <w:pPr>
        <w:pStyle w:val="4"/>
        <w:shd w:val="clear" w:color="auto" w:fill="auto"/>
        <w:spacing w:line="360" w:lineRule="auto"/>
        <w:ind w:firstLine="428" w:firstLineChars="200"/>
        <w:rPr>
          <w:rFonts w:hint="eastAsia" w:ascii="微软雅黑" w:hAnsi="微软雅黑" w:eastAsia="微软雅黑" w:cs="微软雅黑"/>
          <w:color w:val="auto"/>
          <w:spacing w:val="2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spacing w:val="2"/>
          <w:kern w:val="0"/>
          <w:sz w:val="21"/>
          <w:szCs w:val="21"/>
          <w:highlight w:val="none"/>
          <w:lang w:val="en-US" w:eastAsia="zh-CN" w:bidi="ar-SA"/>
        </w:rPr>
        <w:t>2）活性物质量分数，w/%：≥40.0：按照</w:t>
      </w:r>
      <w:r>
        <w:rPr>
          <w:rFonts w:hint="default" w:ascii="微软雅黑" w:hAnsi="微软雅黑" w:eastAsia="微软雅黑" w:cs="微软雅黑"/>
          <w:color w:val="auto"/>
          <w:spacing w:val="2"/>
          <w:kern w:val="0"/>
          <w:sz w:val="21"/>
          <w:szCs w:val="21"/>
          <w:highlight w:val="none"/>
          <w:lang w:val="en-US" w:eastAsia="zh-CN" w:bidi="ar-SA"/>
        </w:rPr>
        <w:t>《GB/T 5174-2018</w:t>
      </w:r>
      <w:r>
        <w:rPr>
          <w:rFonts w:hint="eastAsia" w:ascii="微软雅黑" w:hAnsi="微软雅黑" w:eastAsia="微软雅黑" w:cs="微软雅黑"/>
          <w:color w:val="auto"/>
          <w:spacing w:val="2"/>
          <w:kern w:val="0"/>
          <w:sz w:val="21"/>
          <w:szCs w:val="21"/>
          <w:highlight w:val="none"/>
          <w:lang w:val="en-US" w:eastAsia="zh-CN" w:bidi="ar-SA"/>
        </w:rPr>
        <w:t xml:space="preserve"> 表面活性剂 洗涤剂 阳离子活性物含量的测定 直接两相滴定法》进行测定。</w:t>
      </w:r>
    </w:p>
    <w:p>
      <w:pPr>
        <w:pStyle w:val="4"/>
        <w:shd w:val="clear" w:color="auto" w:fill="auto"/>
        <w:spacing w:line="360" w:lineRule="auto"/>
        <w:ind w:firstLine="428" w:firstLineChars="200"/>
        <w:rPr>
          <w:rFonts w:hint="eastAsia" w:ascii="微软雅黑" w:hAnsi="微软雅黑" w:eastAsia="微软雅黑" w:cs="微软雅黑"/>
          <w:color w:val="auto"/>
          <w:spacing w:val="2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spacing w:val="2"/>
          <w:kern w:val="0"/>
          <w:sz w:val="21"/>
          <w:szCs w:val="21"/>
          <w:highlight w:val="none"/>
          <w:lang w:val="en-US" w:eastAsia="zh-CN" w:bidi="ar-SA"/>
        </w:rPr>
        <w:t>3）pH（2.0%水溶液）：6-9：按照 《GB/T 6368-2008 表面活性剂 水溶液pH值的测定 电位法》进行测定。</w:t>
      </w:r>
    </w:p>
    <w:p>
      <w:pPr>
        <w:pStyle w:val="24"/>
        <w:numPr>
          <w:ilvl w:val="0"/>
          <w:numId w:val="2"/>
        </w:numPr>
        <w:shd w:val="clear" w:color="auto" w:fill="auto"/>
        <w:spacing w:before="120" w:after="120"/>
        <w:outlineLvl w:val="0"/>
        <w:rPr>
          <w:rFonts w:hint="eastAsia" w:ascii="微软雅黑" w:hAnsi="微软雅黑" w:eastAsia="微软雅黑" w:cs="Times New Roman"/>
          <w:bCs/>
          <w:color w:val="auto"/>
          <w:sz w:val="32"/>
          <w:szCs w:val="32"/>
        </w:rPr>
      </w:pPr>
      <w:r>
        <w:rPr>
          <w:rFonts w:hint="eastAsia" w:ascii="微软雅黑" w:hAnsi="微软雅黑" w:eastAsia="微软雅黑" w:cs="Times New Roman"/>
          <w:bCs/>
          <w:color w:val="auto"/>
          <w:sz w:val="32"/>
          <w:szCs w:val="32"/>
        </w:rPr>
        <w:t>检测和试验</w:t>
      </w:r>
    </w:p>
    <w:p>
      <w:pPr>
        <w:pStyle w:val="24"/>
        <w:spacing w:line="360" w:lineRule="auto"/>
        <w:ind w:firstLine="420" w:firstLineChars="20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投标时投标人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需提供产品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第三方检测机构质检报告，报告中检测结果要求覆盖技术要求中全部检测项且满足要求。</w:t>
      </w:r>
    </w:p>
    <w:p>
      <w:pPr>
        <w:pStyle w:val="24"/>
        <w:spacing w:line="360" w:lineRule="auto"/>
        <w:ind w:firstLine="420" w:firstLineChars="20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投标人承诺送货时提供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产品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出厂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质检报告，报告中检测结果要求覆盖技术要求中全部检测项且满足要求。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420" w:firstLineChars="200"/>
        <w:textAlignment w:val="auto"/>
        <w:rPr>
          <w:rFonts w:hint="default" w:ascii="微软雅黑" w:hAnsi="微软雅黑" w:eastAsia="微软雅黑"/>
          <w:color w:val="auto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送货后，由买方取样送至</w:t>
      </w:r>
      <w:r>
        <w:rPr>
          <w:rFonts w:hint="default" w:ascii="微软雅黑" w:hAnsi="微软雅黑" w:eastAsia="微软雅黑" w:cs="微软雅黑"/>
          <w:color w:val="auto"/>
          <w:sz w:val="21"/>
          <w:szCs w:val="21"/>
          <w:lang w:val="en-US" w:eastAsia="zh-CN"/>
        </w:rPr>
        <w:t>工程技术公司质控中心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检测，出具合格报告后方可办理验收手续。</w:t>
      </w:r>
      <w:r>
        <w:rPr>
          <w:rFonts w:hint="default" w:ascii="微软雅黑" w:hAnsi="微软雅黑" w:eastAsia="微软雅黑"/>
          <w:color w:val="auto"/>
          <w:highlight w:val="none"/>
          <w:lang w:val="en-US" w:eastAsia="zh-CN"/>
        </w:rPr>
        <w:t>如到货产品买方抽样检测不合格，买方有权要求卖方退换货处理，退换货</w:t>
      </w:r>
      <w:r>
        <w:rPr>
          <w:rFonts w:hint="default" w:ascii="微软雅黑" w:hAnsi="微软雅黑" w:eastAsia="微软雅黑" w:cs="微软雅黑"/>
          <w:color w:val="auto"/>
          <w:sz w:val="21"/>
          <w:szCs w:val="21"/>
          <w:lang w:val="en-US" w:eastAsia="zh-CN"/>
        </w:rPr>
        <w:t>周期不超过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2</w:t>
      </w:r>
      <w:r>
        <w:rPr>
          <w:rFonts w:hint="default" w:ascii="微软雅黑" w:hAnsi="微软雅黑" w:eastAsia="微软雅黑" w:cs="微软雅黑"/>
          <w:color w:val="auto"/>
          <w:sz w:val="21"/>
          <w:szCs w:val="21"/>
          <w:lang w:val="en-US" w:eastAsia="zh-CN"/>
        </w:rPr>
        <w:t>天。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default" w:ascii="微软雅黑" w:hAnsi="微软雅黑" w:eastAsia="微软雅黑"/>
          <w:color w:val="auto"/>
          <w:highlight w:val="none"/>
          <w:lang w:val="en-US" w:eastAsia="zh-CN"/>
        </w:rPr>
        <w:t>如卖方对买方抽样质检结果有疑议，经双方协商后，进行联合取样，样品一式三份（每份不得少于200</w:t>
      </w:r>
      <w:r>
        <w:rPr>
          <w:rFonts w:hint="eastAsia" w:ascii="微软雅黑" w:hAnsi="微软雅黑" w:eastAsia="微软雅黑"/>
          <w:color w:val="auto"/>
          <w:highlight w:val="none"/>
          <w:lang w:val="en-US" w:eastAsia="zh-CN"/>
        </w:rPr>
        <w:t>g</w:t>
      </w:r>
      <w:r>
        <w:rPr>
          <w:rFonts w:hint="default" w:ascii="微软雅黑" w:hAnsi="微软雅黑" w:eastAsia="微软雅黑"/>
          <w:color w:val="auto"/>
          <w:highlight w:val="none"/>
          <w:lang w:val="en-US" w:eastAsia="zh-CN"/>
        </w:rPr>
        <w:t>）；一份由具备CNAS/CMA认证机构的第三方质量检验机构检测，一份由工程技术公司质控中心检测，一份作为备样质控中心留存。若结果不一致，最终检测以质控中心检测结果为准。</w:t>
      </w:r>
    </w:p>
    <w:p>
      <w:pPr>
        <w:pStyle w:val="24"/>
        <w:shd w:val="clear" w:color="auto" w:fill="auto"/>
        <w:spacing w:before="120" w:after="120"/>
        <w:outlineLvl w:val="0"/>
        <w:rPr>
          <w:rFonts w:ascii="微软雅黑" w:hAnsi="微软雅黑" w:eastAsia="微软雅黑" w:cs="Times New Roman"/>
          <w:bCs/>
          <w:color w:val="auto"/>
          <w:sz w:val="32"/>
          <w:szCs w:val="32"/>
        </w:rPr>
      </w:pPr>
      <w:r>
        <w:rPr>
          <w:rFonts w:hint="eastAsia" w:ascii="微软雅黑" w:hAnsi="微软雅黑" w:eastAsia="微软雅黑" w:cs="Times New Roman"/>
          <w:bCs/>
          <w:color w:val="auto"/>
          <w:sz w:val="32"/>
          <w:szCs w:val="32"/>
        </w:rPr>
        <w:t>七、标识、包装、运输和存储</w:t>
      </w:r>
    </w:p>
    <w:p>
      <w:pPr>
        <w:pStyle w:val="4"/>
        <w:shd w:val="clear" w:color="auto" w:fill="auto"/>
        <w:rPr>
          <w:rFonts w:hint="eastAsia" w:cs="Times New Roman"/>
          <w:color w:val="auto"/>
          <w:sz w:val="24"/>
          <w:szCs w:val="24"/>
        </w:rPr>
      </w:pPr>
      <w:r>
        <w:rPr>
          <w:rFonts w:hint="eastAsia" w:cs="Times New Roman"/>
          <w:color w:val="auto"/>
          <w:sz w:val="24"/>
          <w:szCs w:val="24"/>
        </w:rPr>
        <w:t>1. 产品标识</w:t>
      </w:r>
    </w:p>
    <w:p>
      <w:pPr>
        <w:pStyle w:val="9"/>
        <w:shd w:val="clear" w:color="auto" w:fill="auto"/>
        <w:spacing w:line="257" w:lineRule="auto"/>
        <w:ind w:left="220" w:right="122" w:firstLine="420"/>
        <w:rPr>
          <w:rFonts w:ascii="微软雅黑" w:hAnsi="微软雅黑" w:eastAsia="微软雅黑"/>
          <w:color w:val="auto"/>
          <w:lang w:eastAsia="zh-CN"/>
        </w:rPr>
      </w:pPr>
      <w:r>
        <w:rPr>
          <w:rFonts w:ascii="Times New Roman" w:hAnsi="Times New Roman" w:eastAsia="微软雅黑" w:cs="Times New Roman"/>
          <w:color w:val="auto"/>
        </w:rPr>
        <w:t>产品标志/标签要求：标注产品名称、规格型号、生产批号、生产日期、有效期、生产商名称</w:t>
      </w:r>
      <w:r>
        <w:rPr>
          <w:rFonts w:hint="eastAsia" w:ascii="微软雅黑" w:hAnsi="微软雅黑" w:eastAsia="微软雅黑"/>
          <w:color w:val="auto"/>
          <w:lang w:eastAsia="zh-CN"/>
        </w:rPr>
        <w:t>；</w:t>
      </w:r>
    </w:p>
    <w:p>
      <w:pPr>
        <w:pStyle w:val="4"/>
        <w:shd w:val="clear" w:color="auto" w:fill="auto"/>
        <w:rPr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>2. 产品包装</w:t>
      </w:r>
    </w:p>
    <w:p>
      <w:pPr>
        <w:pStyle w:val="9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bidi w:val="0"/>
        <w:spacing w:line="360" w:lineRule="auto"/>
        <w:ind w:left="220" w:right="122" w:firstLine="420"/>
        <w:rPr>
          <w:rFonts w:hint="eastAsia" w:ascii="微软雅黑" w:hAnsi="微软雅黑" w:eastAsia="微软雅黑" w:cs="微软雅黑"/>
          <w:color w:val="auto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highlight w:val="none"/>
          <w:lang w:val="en-US" w:eastAsia="zh-CN"/>
        </w:rPr>
        <w:t>桶装，1000Kg/IBC桶。</w:t>
      </w:r>
    </w:p>
    <w:p>
      <w:pPr>
        <w:pStyle w:val="4"/>
        <w:shd w:val="clear" w:color="auto" w:fill="auto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3. 产品运输</w:t>
      </w:r>
    </w:p>
    <w:p>
      <w:pPr>
        <w:pStyle w:val="9"/>
        <w:keepNext w:val="0"/>
        <w:keepLines w:val="0"/>
        <w:pageBreakBefore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bidi w:val="0"/>
        <w:spacing w:line="360" w:lineRule="auto"/>
        <w:ind w:left="0" w:leftChars="0" w:right="122" w:rightChars="0" w:firstLine="420" w:firstLineChars="200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厂家运输。</w:t>
      </w:r>
      <w:r>
        <w:rPr>
          <w:rFonts w:hint="eastAsia" w:ascii="微软雅黑" w:hAnsi="微软雅黑" w:eastAsia="微软雅黑" w:cs="微软雅黑"/>
          <w:sz w:val="21"/>
          <w:szCs w:val="21"/>
        </w:rPr>
        <w:t>天津市滨海新区工程技术公司增产库房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，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eastAsia="zh-CN"/>
        </w:rPr>
        <w:t>买方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只提供在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eastAsia="zh-CN"/>
        </w:rPr>
        <w:t>买方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库房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的装卸服务，其它的装车、包装、倒运、运输均由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eastAsia="zh-CN"/>
        </w:rPr>
        <w:t>卖方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负责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4"/>
        <w:shd w:val="clear" w:color="auto" w:fill="auto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4. 产品存储</w:t>
      </w:r>
    </w:p>
    <w:p>
      <w:pPr>
        <w:pStyle w:val="9"/>
        <w:shd w:val="clear" w:color="auto" w:fill="auto"/>
        <w:spacing w:line="257" w:lineRule="auto"/>
        <w:ind w:left="0" w:leftChars="0" w:right="122" w:firstLine="420" w:firstLineChars="200"/>
        <w:rPr>
          <w:rFonts w:hint="eastAsia" w:ascii="Times New Roman" w:hAnsi="Times New Roman" w:eastAsia="微软雅黑" w:cs="Times New Roman"/>
          <w:color w:val="auto"/>
          <w:lang w:eastAsia="zh-CN"/>
        </w:rPr>
      </w:pPr>
      <w:r>
        <w:rPr>
          <w:rFonts w:ascii="Times New Roman" w:hAnsi="Times New Roman" w:eastAsia="微软雅黑" w:cs="Times New Roman"/>
          <w:color w:val="auto"/>
        </w:rPr>
        <w:t>按照产品说明书执行</w:t>
      </w:r>
      <w:r>
        <w:rPr>
          <w:rFonts w:hint="eastAsia" w:ascii="Times New Roman" w:hAnsi="Times New Roman" w:eastAsia="微软雅黑" w:cs="Times New Roman"/>
          <w:color w:val="auto"/>
          <w:lang w:eastAsia="zh-CN"/>
        </w:rPr>
        <w:t>。</w:t>
      </w:r>
    </w:p>
    <w:p>
      <w:pPr>
        <w:pStyle w:val="24"/>
        <w:numPr>
          <w:ilvl w:val="0"/>
          <w:numId w:val="3"/>
        </w:numPr>
        <w:shd w:val="clear" w:color="auto" w:fill="auto"/>
        <w:spacing w:before="120" w:after="120"/>
        <w:outlineLvl w:val="0"/>
        <w:rPr>
          <w:rFonts w:ascii="微软雅黑" w:hAnsi="微软雅黑" w:eastAsia="微软雅黑" w:cs="Times New Roman"/>
          <w:bCs/>
          <w:color w:val="auto"/>
          <w:sz w:val="32"/>
          <w:szCs w:val="32"/>
        </w:rPr>
      </w:pPr>
      <w:r>
        <w:rPr>
          <w:rFonts w:hint="eastAsia" w:ascii="微软雅黑" w:hAnsi="微软雅黑" w:eastAsia="微软雅黑" w:cs="Times New Roman"/>
          <w:bCs/>
          <w:color w:val="auto"/>
          <w:sz w:val="32"/>
          <w:szCs w:val="32"/>
        </w:rPr>
        <w:t>技术文件</w:t>
      </w:r>
    </w:p>
    <w:p>
      <w:pPr>
        <w:pStyle w:val="9"/>
        <w:keepNext w:val="0"/>
        <w:keepLines w:val="0"/>
        <w:pageBreakBefore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bidi w:val="0"/>
        <w:spacing w:line="360" w:lineRule="auto"/>
        <w:ind w:right="122" w:rightChars="0" w:firstLine="210" w:firstLineChars="100"/>
        <w:rPr>
          <w:rFonts w:hint="eastAsia" w:ascii="微软雅黑" w:hAnsi="微软雅黑" w:eastAsia="微软雅黑" w:cs="微软雅黑"/>
          <w:color w:val="auto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highlight w:val="none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color w:val="auto"/>
          <w:highlight w:val="none"/>
          <w:lang w:eastAsia="zh-CN"/>
        </w:rPr>
        <w:t>.</w:t>
      </w:r>
      <w:r>
        <w:rPr>
          <w:rFonts w:hint="eastAsia" w:ascii="微软雅黑" w:hAnsi="微软雅黑" w:eastAsia="微软雅黑" w:cs="微软雅黑"/>
          <w:color w:val="auto"/>
          <w:highlight w:val="non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auto"/>
          <w:highlight w:val="none"/>
          <w:lang w:eastAsia="zh-CN"/>
        </w:rPr>
        <w:t>提供药剂时需要厂家提供出厂质检报告；</w:t>
      </w:r>
    </w:p>
    <w:p>
      <w:pPr>
        <w:pStyle w:val="9"/>
        <w:keepNext w:val="0"/>
        <w:keepLines w:val="0"/>
        <w:pageBreakBefore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bidi w:val="0"/>
        <w:spacing w:line="360" w:lineRule="auto"/>
        <w:ind w:right="122" w:rightChars="0" w:firstLine="210" w:firstLineChars="100"/>
        <w:rPr>
          <w:rFonts w:hint="eastAsia" w:ascii="微软雅黑" w:hAnsi="微软雅黑" w:eastAsia="微软雅黑" w:cs="微软雅黑"/>
          <w:color w:val="auto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highlight w:val="none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auto"/>
          <w:highlight w:val="none"/>
          <w:lang w:eastAsia="zh-CN"/>
        </w:rPr>
        <w:t>.</w:t>
      </w:r>
      <w:r>
        <w:rPr>
          <w:rFonts w:hint="eastAsia" w:ascii="微软雅黑" w:hAnsi="微软雅黑" w:eastAsia="微软雅黑" w:cs="微软雅黑"/>
          <w:color w:val="auto"/>
          <w:highlight w:val="non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auto"/>
          <w:highlight w:val="none"/>
          <w:lang w:eastAsia="zh-CN"/>
        </w:rPr>
        <w:t>提供产品的说明书，说明书中需要包含产品的主要成分；</w:t>
      </w:r>
    </w:p>
    <w:p>
      <w:pPr>
        <w:pStyle w:val="9"/>
        <w:keepNext w:val="0"/>
        <w:keepLines w:val="0"/>
        <w:pageBreakBefore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bidi w:val="0"/>
        <w:spacing w:line="360" w:lineRule="auto"/>
        <w:ind w:right="122" w:rightChars="0" w:firstLine="210" w:firstLineChars="100"/>
        <w:rPr>
          <w:rFonts w:hint="eastAsia" w:ascii="微软雅黑" w:hAnsi="微软雅黑" w:eastAsia="微软雅黑" w:cs="微软雅黑"/>
          <w:color w:val="auto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highlight w:val="none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color w:val="auto"/>
          <w:highlight w:val="none"/>
          <w:lang w:eastAsia="zh-CN"/>
        </w:rPr>
        <w:t>.</w:t>
      </w:r>
      <w:r>
        <w:rPr>
          <w:rFonts w:hint="eastAsia" w:ascii="微软雅黑" w:hAnsi="微软雅黑" w:eastAsia="微软雅黑" w:cs="微软雅黑"/>
          <w:color w:val="auto"/>
          <w:highlight w:val="non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auto"/>
          <w:highlight w:val="none"/>
          <w:lang w:eastAsia="zh-CN"/>
        </w:rPr>
        <w:t>提供</w:t>
      </w:r>
      <w:r>
        <w:rPr>
          <w:rFonts w:hint="eastAsia" w:ascii="微软雅黑" w:hAnsi="微软雅黑" w:eastAsia="微软雅黑" w:cs="微软雅黑"/>
          <w:color w:val="auto"/>
          <w:highlight w:val="none"/>
          <w:lang w:val="en-US" w:eastAsia="zh-CN"/>
        </w:rPr>
        <w:t>海事局认可的产品</w:t>
      </w:r>
      <w:r>
        <w:rPr>
          <w:rFonts w:hint="eastAsia" w:ascii="微软雅黑" w:hAnsi="微软雅黑" w:eastAsia="微软雅黑" w:cs="微软雅黑"/>
          <w:color w:val="auto"/>
          <w:highlight w:val="none"/>
          <w:lang w:eastAsia="zh-CN"/>
        </w:rPr>
        <w:t>“货物运输条件鉴定书”，包含海运及陆运证书；</w:t>
      </w:r>
    </w:p>
    <w:p>
      <w:pPr>
        <w:pStyle w:val="9"/>
        <w:keepNext w:val="0"/>
        <w:keepLines w:val="0"/>
        <w:pageBreakBefore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bidi w:val="0"/>
        <w:spacing w:line="360" w:lineRule="auto"/>
        <w:ind w:right="122" w:rightChars="0" w:firstLine="210" w:firstLineChars="100"/>
        <w:rPr>
          <w:rFonts w:hint="eastAsia" w:ascii="微软雅黑" w:hAnsi="微软雅黑" w:eastAsia="微软雅黑" w:cs="微软雅黑"/>
          <w:color w:val="auto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highlight w:val="none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auto"/>
          <w:highlight w:val="none"/>
          <w:lang w:eastAsia="zh-CN"/>
        </w:rPr>
        <w:t>.</w:t>
      </w:r>
      <w:r>
        <w:rPr>
          <w:rFonts w:hint="eastAsia" w:ascii="微软雅黑" w:hAnsi="微软雅黑" w:eastAsia="微软雅黑" w:cs="微软雅黑"/>
          <w:color w:val="auto"/>
          <w:highlight w:val="non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auto"/>
          <w:highlight w:val="none"/>
          <w:lang w:eastAsia="zh-CN"/>
        </w:rPr>
        <w:t>提供产品的MSDS。</w:t>
      </w:r>
    </w:p>
    <w:p>
      <w:pPr>
        <w:pStyle w:val="24"/>
        <w:shd w:val="clear" w:color="auto" w:fill="auto"/>
        <w:spacing w:before="120" w:after="120"/>
        <w:outlineLvl w:val="0"/>
        <w:rPr>
          <w:rFonts w:ascii="微软雅黑" w:hAnsi="微软雅黑" w:eastAsia="微软雅黑" w:cs="Times New Roman"/>
          <w:bCs/>
          <w:color w:val="auto"/>
          <w:sz w:val="32"/>
          <w:szCs w:val="32"/>
        </w:rPr>
      </w:pPr>
      <w:r>
        <w:rPr>
          <w:rFonts w:hint="eastAsia" w:ascii="微软雅黑" w:hAnsi="微软雅黑" w:eastAsia="微软雅黑" w:cs="Times New Roman"/>
          <w:bCs/>
          <w:color w:val="auto"/>
          <w:sz w:val="32"/>
          <w:szCs w:val="32"/>
        </w:rPr>
        <w:t>九、工作进度、监造和现场验收</w:t>
      </w:r>
    </w:p>
    <w:p>
      <w:pPr>
        <w:pStyle w:val="9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bidi w:val="0"/>
        <w:spacing w:line="360" w:lineRule="auto"/>
        <w:ind w:right="122" w:firstLineChars="0"/>
        <w:rPr>
          <w:rFonts w:hint="eastAsia" w:ascii="微软雅黑" w:hAnsi="微软雅黑" w:eastAsia="微软雅黑" w:cs="微软雅黑"/>
          <w:color w:val="auto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lang w:eastAsia="zh-CN"/>
        </w:rPr>
        <w:t xml:space="preserve">1. </w:t>
      </w:r>
      <w:r>
        <w:rPr>
          <w:rFonts w:hint="eastAsia" w:ascii="微软雅黑" w:hAnsi="微软雅黑" w:eastAsia="微软雅黑" w:cs="微软雅黑"/>
          <w:sz w:val="21"/>
          <w:szCs w:val="21"/>
        </w:rPr>
        <w:t>货物到达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本协议</w:t>
      </w:r>
      <w:r>
        <w:rPr>
          <w:rFonts w:hint="eastAsia" w:ascii="微软雅黑" w:hAnsi="微软雅黑" w:eastAsia="微软雅黑" w:cs="微软雅黑"/>
          <w:sz w:val="21"/>
          <w:szCs w:val="21"/>
        </w:rPr>
        <w:t>指定到货地点后，由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买方</w:t>
      </w:r>
      <w:r>
        <w:rPr>
          <w:rFonts w:hint="eastAsia" w:ascii="微软雅黑" w:hAnsi="微软雅黑" w:eastAsia="微软雅黑" w:cs="微软雅黑"/>
          <w:sz w:val="21"/>
          <w:szCs w:val="21"/>
        </w:rPr>
        <w:t>人员按本协议有关名称、品牌、型号、规格、数量、质量及技术要求进行验收。如发现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卖方</w:t>
      </w:r>
      <w:r>
        <w:rPr>
          <w:rFonts w:hint="eastAsia" w:ascii="微软雅黑" w:hAnsi="微软雅黑" w:eastAsia="微软雅黑" w:cs="微软雅黑"/>
          <w:sz w:val="21"/>
          <w:szCs w:val="21"/>
        </w:rPr>
        <w:t>提供的货物名称、品牌、型号、规格、数量、质量及技术要求不符合本协议要求，证书、技术资料不齐，破损，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买方</w:t>
      </w:r>
      <w:r>
        <w:rPr>
          <w:rFonts w:hint="eastAsia" w:ascii="微软雅黑" w:hAnsi="微软雅黑" w:eastAsia="微软雅黑" w:cs="微软雅黑"/>
          <w:sz w:val="21"/>
          <w:szCs w:val="21"/>
        </w:rPr>
        <w:t>有权要求退货、更换、补齐，由此引起的一切费用由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卖方</w:t>
      </w:r>
      <w:r>
        <w:rPr>
          <w:rFonts w:hint="eastAsia" w:ascii="微软雅黑" w:hAnsi="微软雅黑" w:eastAsia="微软雅黑" w:cs="微软雅黑"/>
          <w:sz w:val="21"/>
          <w:szCs w:val="21"/>
        </w:rPr>
        <w:t>负责</w:t>
      </w:r>
      <w:r>
        <w:rPr>
          <w:rFonts w:hint="eastAsia" w:ascii="微软雅黑" w:hAnsi="微软雅黑" w:eastAsia="微软雅黑" w:cs="微软雅黑"/>
          <w:color w:val="auto"/>
          <w:lang w:eastAsia="zh-CN"/>
        </w:rPr>
        <w:t>；</w:t>
      </w:r>
    </w:p>
    <w:p>
      <w:pPr>
        <w:pStyle w:val="9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bidi w:val="0"/>
        <w:spacing w:line="360" w:lineRule="auto"/>
        <w:ind w:right="122" w:firstLineChars="0"/>
        <w:rPr>
          <w:rFonts w:hint="eastAsia" w:ascii="微软雅黑" w:hAnsi="微软雅黑" w:eastAsia="微软雅黑" w:cs="微软雅黑"/>
          <w:color w:val="auto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lang w:eastAsia="zh-CN"/>
        </w:rPr>
        <w:t xml:space="preserve">2. </w:t>
      </w:r>
      <w:r>
        <w:rPr>
          <w:rFonts w:hint="eastAsia" w:ascii="微软雅黑" w:hAnsi="微软雅黑" w:eastAsia="微软雅黑" w:cs="微软雅黑"/>
          <w:sz w:val="21"/>
          <w:szCs w:val="21"/>
        </w:rPr>
        <w:t>验收合格后，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买方</w:t>
      </w:r>
      <w:r>
        <w:rPr>
          <w:rFonts w:hint="eastAsia" w:ascii="微软雅黑" w:hAnsi="微软雅黑" w:eastAsia="微软雅黑" w:cs="微软雅黑"/>
          <w:sz w:val="21"/>
          <w:szCs w:val="21"/>
        </w:rPr>
        <w:t>指定人员在送货清单上签字确认，送货清单由验收人保留一份，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卖方</w:t>
      </w:r>
      <w:r>
        <w:rPr>
          <w:rFonts w:hint="eastAsia" w:ascii="微软雅黑" w:hAnsi="微软雅黑" w:eastAsia="微软雅黑" w:cs="微软雅黑"/>
          <w:sz w:val="21"/>
          <w:szCs w:val="21"/>
        </w:rPr>
        <w:t>将其余的二份送货单交采办人员认可签字后，一份由我方物资采办管理部门保留，另一份由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卖方</w:t>
      </w:r>
      <w:r>
        <w:rPr>
          <w:rFonts w:hint="eastAsia" w:ascii="微软雅黑" w:hAnsi="微软雅黑" w:eastAsia="微软雅黑" w:cs="微软雅黑"/>
          <w:sz w:val="21"/>
          <w:szCs w:val="21"/>
        </w:rPr>
        <w:t>保留</w:t>
      </w:r>
      <w:r>
        <w:rPr>
          <w:rFonts w:hint="eastAsia" w:ascii="微软雅黑" w:hAnsi="微软雅黑" w:eastAsia="微软雅黑" w:cs="微软雅黑"/>
          <w:color w:val="auto"/>
          <w:lang w:eastAsia="zh-CN"/>
        </w:rPr>
        <w:t>。</w:t>
      </w:r>
    </w:p>
    <w:p>
      <w:pPr>
        <w:pStyle w:val="9"/>
        <w:spacing w:line="257" w:lineRule="auto"/>
        <w:ind w:left="0" w:leftChars="0" w:right="122" w:firstLine="210" w:firstLineChars="100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lang w:eastAsia="zh-CN"/>
        </w:rPr>
        <w:t>. 验收要求：</w:t>
      </w:r>
    </w:p>
    <w:p>
      <w:pPr>
        <w:numPr>
          <w:ilvl w:val="0"/>
          <w:numId w:val="0"/>
        </w:numPr>
        <w:spacing w:line="360" w:lineRule="auto"/>
        <w:ind w:firstLine="210" w:firstLineChars="100"/>
        <w:jc w:val="both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）验收时提供药剂交付所要求的全部技术文件。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卖方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所提供药剂需满足项目技术要求，随货提供送货清单等资料。</w:t>
      </w:r>
    </w:p>
    <w:p>
      <w:pPr>
        <w:numPr>
          <w:ilvl w:val="0"/>
          <w:numId w:val="0"/>
        </w:numPr>
        <w:spacing w:line="360" w:lineRule="auto"/>
        <w:ind w:firstLine="210" w:firstLineChars="100"/>
        <w:jc w:val="both"/>
        <w:rPr>
          <w:rFonts w:hint="eastAsia" w:ascii="微软雅黑" w:hAnsi="微软雅黑" w:eastAsia="微软雅黑" w:cs="微软雅黑"/>
          <w:sz w:val="21"/>
          <w:szCs w:val="21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highlight w:val="none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lang w:eastAsia="zh-CN"/>
        </w:rPr>
        <w:t>）交货地点：天津市滨海新区工程技术公司增产库房。</w:t>
      </w:r>
    </w:p>
    <w:p>
      <w:pPr>
        <w:numPr>
          <w:ilvl w:val="0"/>
          <w:numId w:val="0"/>
        </w:numPr>
        <w:spacing w:line="360" w:lineRule="auto"/>
        <w:ind w:firstLine="210" w:firstLineChars="100"/>
        <w:jc w:val="both"/>
        <w:rPr>
          <w:rFonts w:hint="eastAsia" w:ascii="微软雅黑" w:hAnsi="微软雅黑" w:eastAsia="微软雅黑" w:cs="微软雅黑"/>
          <w:sz w:val="21"/>
          <w:szCs w:val="21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highlight w:val="none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lang w:eastAsia="zh-CN"/>
        </w:rPr>
        <w:t>）交货日期：根据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lang w:val="en-US" w:eastAsia="zh-CN"/>
        </w:rPr>
        <w:t>买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lang w:eastAsia="zh-CN"/>
        </w:rPr>
        <w:t>方要求送货，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lang w:val="en-US" w:eastAsia="zh-CN"/>
        </w:rPr>
        <w:t>3日内送至指定地点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ind w:left="220" w:leftChars="0"/>
        <w:jc w:val="both"/>
        <w:rPr>
          <w:rFonts w:hint="eastAsia" w:ascii="微软雅黑" w:hAnsi="微软雅黑" w:eastAsia="微软雅黑" w:cs="微软雅黑"/>
          <w:color w:val="auto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）货物接收人：王健，电话13389080085，邮箱：wangjian94@cnooc.com.cn</w:t>
      </w:r>
    </w:p>
    <w:p>
      <w:pPr>
        <w:pStyle w:val="24"/>
        <w:shd w:val="clear" w:color="auto" w:fill="auto"/>
        <w:spacing w:before="120" w:after="120"/>
        <w:outlineLvl w:val="0"/>
        <w:rPr>
          <w:rFonts w:ascii="微软雅黑" w:hAnsi="微软雅黑" w:eastAsia="微软雅黑" w:cs="Times New Roman"/>
          <w:bCs/>
          <w:color w:val="auto"/>
          <w:sz w:val="32"/>
          <w:szCs w:val="32"/>
        </w:rPr>
      </w:pPr>
      <w:r>
        <w:rPr>
          <w:rFonts w:hint="eastAsia" w:ascii="微软雅黑" w:hAnsi="微软雅黑" w:eastAsia="微软雅黑" w:cs="Times New Roman"/>
          <w:bCs/>
          <w:color w:val="auto"/>
          <w:sz w:val="32"/>
          <w:szCs w:val="32"/>
        </w:rPr>
        <w:t>十、技术服务与售后服务</w:t>
      </w:r>
    </w:p>
    <w:p>
      <w:pPr>
        <w:pStyle w:val="9"/>
        <w:shd w:val="clear" w:color="auto" w:fill="auto"/>
        <w:spacing w:line="257" w:lineRule="auto"/>
        <w:ind w:right="122" w:firstLineChars="0"/>
        <w:rPr>
          <w:rFonts w:ascii="微软雅黑" w:hAnsi="微软雅黑" w:eastAsia="微软雅黑"/>
          <w:color w:val="auto"/>
          <w:lang w:eastAsia="zh-CN"/>
        </w:rPr>
      </w:pPr>
      <w:r>
        <w:rPr>
          <w:rFonts w:hint="eastAsia" w:ascii="微软雅黑" w:hAnsi="微软雅黑" w:eastAsia="微软雅黑"/>
          <w:color w:val="auto"/>
          <w:lang w:eastAsia="zh-CN"/>
        </w:rPr>
        <w:t xml:space="preserve">1. </w:t>
      </w:r>
      <w:r>
        <w:rPr>
          <w:rFonts w:ascii="Microsoft YaHei UI" w:hAnsi="Microsoft YaHei UI" w:eastAsia="微软雅黑" w:cs="Times New Roman"/>
          <w:kern w:val="0"/>
          <w:sz w:val="21"/>
          <w:szCs w:val="21"/>
          <w:lang w:val="en-US" w:eastAsia="en-US" w:bidi="ar-SA"/>
        </w:rPr>
        <w:t>供应商应提供免费的远程技术指导，必要时协助</w:t>
      </w:r>
      <w:r>
        <w:rPr>
          <w:rFonts w:hint="eastAsia" w:eastAsia="微软雅黑" w:cs="Times New Roman"/>
          <w:kern w:val="0"/>
          <w:sz w:val="21"/>
          <w:szCs w:val="21"/>
          <w:lang w:val="en-US" w:eastAsia="zh-CN" w:bidi="ar-SA"/>
        </w:rPr>
        <w:t>买方</w:t>
      </w:r>
      <w:r>
        <w:rPr>
          <w:rFonts w:ascii="Microsoft YaHei UI" w:hAnsi="Microsoft YaHei UI" w:eastAsia="微软雅黑" w:cs="Times New Roman"/>
          <w:kern w:val="0"/>
          <w:sz w:val="21"/>
          <w:szCs w:val="21"/>
          <w:lang w:val="en-US" w:eastAsia="en-US" w:bidi="ar-SA"/>
        </w:rPr>
        <w:t>进行现场技术支持</w:t>
      </w:r>
      <w:r>
        <w:rPr>
          <w:rFonts w:hint="eastAsia" w:ascii="微软雅黑" w:hAnsi="微软雅黑" w:eastAsia="微软雅黑"/>
          <w:color w:val="auto"/>
          <w:lang w:eastAsia="zh-CN"/>
        </w:rPr>
        <w:t>。</w:t>
      </w:r>
    </w:p>
    <w:p>
      <w:pPr>
        <w:pStyle w:val="24"/>
        <w:shd w:val="clear" w:color="auto" w:fill="auto"/>
        <w:spacing w:before="120" w:after="120"/>
        <w:outlineLvl w:val="0"/>
        <w:rPr>
          <w:rFonts w:ascii="微软雅黑" w:hAnsi="微软雅黑" w:eastAsia="微软雅黑" w:cs="Times New Roman"/>
          <w:bCs/>
          <w:color w:val="auto"/>
          <w:sz w:val="32"/>
          <w:szCs w:val="32"/>
        </w:rPr>
      </w:pPr>
      <w:r>
        <w:rPr>
          <w:rFonts w:hint="eastAsia" w:ascii="微软雅黑" w:hAnsi="微软雅黑" w:eastAsia="微软雅黑" w:cs="Times New Roman"/>
          <w:bCs/>
          <w:color w:val="auto"/>
          <w:sz w:val="32"/>
          <w:szCs w:val="32"/>
        </w:rPr>
        <w:t>十一、质量保证</w:t>
      </w:r>
    </w:p>
    <w:p>
      <w:pPr>
        <w:numPr>
          <w:ilvl w:val="0"/>
          <w:numId w:val="0"/>
        </w:numPr>
        <w:shd w:val="clear" w:color="auto" w:fill="auto"/>
        <w:spacing w:line="360" w:lineRule="auto"/>
        <w:ind w:firstLine="210" w:firstLineChars="100"/>
        <w:rPr>
          <w:rFonts w:ascii="Microsoft YaHei UI" w:hAnsi="Microsoft YaHei UI" w:eastAsia="微软雅黑" w:cs="Times New Roman"/>
          <w:kern w:val="0"/>
          <w:sz w:val="21"/>
          <w:szCs w:val="21"/>
          <w:lang w:val="en-US" w:eastAsia="en-US" w:bidi="ar-SA"/>
        </w:rPr>
      </w:pPr>
      <w:r>
        <w:rPr>
          <w:rFonts w:hint="eastAsia" w:ascii="微软雅黑" w:hAnsi="微软雅黑" w:eastAsia="微软雅黑"/>
          <w:color w:val="auto"/>
          <w:sz w:val="21"/>
          <w:szCs w:val="21"/>
          <w:lang w:val="en-US" w:eastAsia="zh-CN"/>
        </w:rPr>
        <w:t>1</w:t>
      </w:r>
      <w:r>
        <w:rPr>
          <w:rFonts w:hint="eastAsia" w:ascii="微软雅黑" w:hAnsi="微软雅黑" w:eastAsia="微软雅黑"/>
          <w:color w:val="auto"/>
          <w:sz w:val="21"/>
          <w:szCs w:val="21"/>
          <w:lang w:eastAsia="zh-CN"/>
        </w:rPr>
        <w:t xml:space="preserve">. </w:t>
      </w:r>
      <w:r>
        <w:rPr>
          <w:rFonts w:ascii="Microsoft YaHei UI" w:hAnsi="Microsoft YaHei UI" w:eastAsia="微软雅黑" w:cs="Times New Roman"/>
          <w:kern w:val="0"/>
          <w:sz w:val="21"/>
          <w:szCs w:val="21"/>
          <w:lang w:val="en-US" w:eastAsia="en-US" w:bidi="ar-SA"/>
        </w:rPr>
        <w:t>质保期要求：质保期为</w:t>
      </w:r>
      <w:r>
        <w:rPr>
          <w:rFonts w:hint="eastAsia" w:ascii="Microsoft YaHei UI" w:hAnsi="Microsoft YaHei UI" w:eastAsia="微软雅黑" w:cs="Times New Roman"/>
          <w:kern w:val="0"/>
          <w:sz w:val="21"/>
          <w:szCs w:val="21"/>
          <w:lang w:val="en-US" w:eastAsia="zh-CN" w:bidi="ar-SA"/>
        </w:rPr>
        <w:t>卖方</w:t>
      </w:r>
      <w:r>
        <w:rPr>
          <w:rFonts w:ascii="Microsoft YaHei UI" w:hAnsi="Microsoft YaHei UI" w:eastAsia="微软雅黑" w:cs="Times New Roman"/>
          <w:kern w:val="0"/>
          <w:sz w:val="21"/>
          <w:szCs w:val="21"/>
          <w:lang w:val="en-US" w:eastAsia="en-US" w:bidi="ar-SA"/>
        </w:rPr>
        <w:t>交付该批货物经双方签署送货检验单后12个月。</w:t>
      </w:r>
    </w:p>
    <w:p>
      <w:pPr>
        <w:numPr>
          <w:ilvl w:val="0"/>
          <w:numId w:val="0"/>
        </w:numPr>
        <w:shd w:val="clear" w:color="auto" w:fill="auto"/>
        <w:spacing w:line="360" w:lineRule="auto"/>
        <w:ind w:firstLine="210" w:firstLineChars="100"/>
        <w:rPr>
          <w:rFonts w:ascii="Microsoft YaHei UI" w:hAnsi="Microsoft YaHei UI" w:eastAsia="微软雅黑" w:cs="Times New Roman"/>
          <w:kern w:val="0"/>
          <w:sz w:val="21"/>
          <w:szCs w:val="21"/>
          <w:lang w:val="en-US" w:eastAsia="en-US" w:bidi="ar-SA"/>
        </w:rPr>
      </w:pPr>
      <w:r>
        <w:rPr>
          <w:rFonts w:hint="eastAsia" w:ascii="微软雅黑" w:hAnsi="微软雅黑" w:eastAsia="微软雅黑"/>
          <w:color w:val="auto"/>
          <w:sz w:val="21"/>
          <w:szCs w:val="21"/>
          <w:lang w:val="en-US" w:eastAsia="zh-CN"/>
        </w:rPr>
        <w:t>2</w:t>
      </w:r>
      <w:r>
        <w:rPr>
          <w:rFonts w:hint="eastAsia" w:ascii="微软雅黑" w:hAnsi="微软雅黑" w:eastAsia="微软雅黑"/>
          <w:color w:val="auto"/>
          <w:sz w:val="21"/>
          <w:szCs w:val="21"/>
          <w:lang w:eastAsia="zh-CN"/>
        </w:rPr>
        <w:t xml:space="preserve">. </w:t>
      </w:r>
      <w:r>
        <w:rPr>
          <w:rFonts w:ascii="Microsoft YaHei UI" w:hAnsi="Microsoft YaHei UI" w:eastAsia="微软雅黑" w:cs="Times New Roman"/>
          <w:kern w:val="0"/>
          <w:sz w:val="21"/>
          <w:szCs w:val="21"/>
          <w:lang w:val="en-US" w:eastAsia="en-US" w:bidi="ar-SA"/>
        </w:rPr>
        <w:t>生产日期不能早于送货日期3个月。在质保期内，药剂出现质量问题时，</w:t>
      </w:r>
      <w:r>
        <w:rPr>
          <w:rFonts w:hint="eastAsia" w:ascii="Microsoft YaHei UI" w:hAnsi="Microsoft YaHei UI" w:eastAsia="微软雅黑" w:cs="Times New Roman"/>
          <w:kern w:val="0"/>
          <w:sz w:val="21"/>
          <w:szCs w:val="21"/>
          <w:lang w:val="en-US" w:eastAsia="zh-CN" w:bidi="ar-SA"/>
        </w:rPr>
        <w:t>卖方</w:t>
      </w:r>
      <w:r>
        <w:rPr>
          <w:rFonts w:ascii="Microsoft YaHei UI" w:hAnsi="Microsoft YaHei UI" w:eastAsia="微软雅黑" w:cs="Times New Roman"/>
          <w:kern w:val="0"/>
          <w:sz w:val="21"/>
          <w:szCs w:val="21"/>
          <w:lang w:val="en-US" w:eastAsia="en-US" w:bidi="ar-SA"/>
        </w:rPr>
        <w:t>应负责进行免费更换。</w:t>
      </w:r>
      <w:r>
        <w:rPr>
          <w:rFonts w:hint="eastAsia" w:ascii="Microsoft YaHei UI" w:hAnsi="Microsoft YaHei UI" w:eastAsia="微软雅黑" w:cs="Times New Roman"/>
          <w:kern w:val="0"/>
          <w:sz w:val="21"/>
          <w:szCs w:val="21"/>
          <w:lang w:val="en-US" w:eastAsia="zh-CN" w:bidi="ar-SA"/>
        </w:rPr>
        <w:t>卖方</w:t>
      </w:r>
      <w:r>
        <w:rPr>
          <w:rFonts w:ascii="Microsoft YaHei UI" w:hAnsi="Microsoft YaHei UI" w:eastAsia="微软雅黑" w:cs="Times New Roman"/>
          <w:kern w:val="0"/>
          <w:sz w:val="21"/>
          <w:szCs w:val="21"/>
          <w:lang w:val="en-US" w:eastAsia="en-US" w:bidi="ar-SA"/>
        </w:rPr>
        <w:t>保证更换的药剂为合格产品。如果药剂更换2批次后仍存在质量问题，</w:t>
      </w:r>
      <w:r>
        <w:rPr>
          <w:rFonts w:hint="eastAsia" w:ascii="Microsoft YaHei UI" w:hAnsi="Microsoft YaHei UI" w:eastAsia="微软雅黑" w:cs="Times New Roman"/>
          <w:kern w:val="0"/>
          <w:sz w:val="21"/>
          <w:szCs w:val="21"/>
          <w:lang w:val="en-US" w:eastAsia="zh-CN" w:bidi="ar-SA"/>
        </w:rPr>
        <w:t>买方</w:t>
      </w:r>
      <w:r>
        <w:rPr>
          <w:rFonts w:ascii="Microsoft YaHei UI" w:hAnsi="Microsoft YaHei UI" w:eastAsia="微软雅黑" w:cs="Times New Roman"/>
          <w:kern w:val="0"/>
          <w:sz w:val="21"/>
          <w:szCs w:val="21"/>
          <w:lang w:val="en-US" w:eastAsia="en-US" w:bidi="ar-SA"/>
        </w:rPr>
        <w:t>有权提出退货，并按照惩罚措施提出赔偿。</w:t>
      </w:r>
    </w:p>
    <w:p>
      <w:pPr>
        <w:pStyle w:val="9"/>
        <w:numPr>
          <w:ilvl w:val="0"/>
          <w:numId w:val="0"/>
        </w:numPr>
        <w:shd w:val="clear" w:color="auto" w:fill="auto"/>
        <w:spacing w:line="257" w:lineRule="auto"/>
        <w:ind w:right="122" w:rightChars="0" w:firstLine="210" w:firstLineChars="100"/>
        <w:rPr>
          <w:rFonts w:hint="eastAsia" w:ascii="微软雅黑" w:hAnsi="微软雅黑" w:eastAsia="微软雅黑"/>
          <w:color w:val="auto"/>
          <w:lang w:eastAsia="zh-CN"/>
        </w:rPr>
      </w:pPr>
      <w:r>
        <w:rPr>
          <w:rFonts w:hint="eastAsia" w:ascii="微软雅黑" w:hAnsi="微软雅黑" w:eastAsia="微软雅黑"/>
          <w:color w:val="auto"/>
          <w:sz w:val="21"/>
          <w:szCs w:val="21"/>
          <w:lang w:val="en-US" w:eastAsia="zh-CN"/>
        </w:rPr>
        <w:t>3</w:t>
      </w:r>
      <w:r>
        <w:rPr>
          <w:rFonts w:hint="eastAsia" w:ascii="微软雅黑" w:hAnsi="微软雅黑" w:eastAsia="微软雅黑"/>
          <w:color w:val="auto"/>
          <w:sz w:val="21"/>
          <w:szCs w:val="21"/>
          <w:lang w:eastAsia="zh-CN"/>
        </w:rPr>
        <w:t xml:space="preserve">. </w:t>
      </w:r>
      <w:r>
        <w:rPr>
          <w:rFonts w:ascii="Microsoft YaHei UI" w:hAnsi="Microsoft YaHei UI" w:eastAsia="微软雅黑" w:cs="Times New Roman"/>
          <w:kern w:val="0"/>
          <w:sz w:val="21"/>
          <w:szCs w:val="21"/>
          <w:lang w:val="en-US" w:eastAsia="en-US" w:bidi="ar-SA"/>
        </w:rPr>
        <w:t>其它要求：到货验收不合格，无条件退或换货</w:t>
      </w:r>
      <w:r>
        <w:rPr>
          <w:rFonts w:hint="eastAsia" w:ascii="微软雅黑" w:hAnsi="微软雅黑" w:eastAsia="微软雅黑"/>
          <w:color w:val="auto"/>
          <w:lang w:eastAsia="zh-CN"/>
        </w:rPr>
        <w:t>。</w:t>
      </w:r>
    </w:p>
    <w:p>
      <w:pPr>
        <w:pStyle w:val="24"/>
        <w:shd w:val="clear" w:color="auto" w:fill="auto"/>
        <w:spacing w:before="120" w:after="120"/>
        <w:outlineLvl w:val="0"/>
        <w:rPr>
          <w:rFonts w:ascii="微软雅黑" w:hAnsi="微软雅黑" w:eastAsia="微软雅黑" w:cs="Times New Roman"/>
          <w:bCs/>
          <w:color w:val="auto"/>
          <w:sz w:val="32"/>
          <w:szCs w:val="32"/>
        </w:rPr>
      </w:pPr>
      <w:r>
        <w:rPr>
          <w:rFonts w:hint="eastAsia" w:ascii="微软雅黑" w:hAnsi="微软雅黑" w:eastAsia="微软雅黑" w:cs="Times New Roman"/>
          <w:bCs/>
          <w:color w:val="auto"/>
          <w:sz w:val="32"/>
          <w:szCs w:val="32"/>
        </w:rPr>
        <w:t>十</w:t>
      </w:r>
      <w:r>
        <w:rPr>
          <w:rFonts w:hint="eastAsia" w:ascii="微软雅黑" w:hAnsi="微软雅黑" w:eastAsia="微软雅黑" w:cs="Times New Roman"/>
          <w:bCs/>
          <w:color w:val="auto"/>
          <w:sz w:val="32"/>
          <w:szCs w:val="32"/>
          <w:lang w:val="en-US" w:eastAsia="zh-CN"/>
        </w:rPr>
        <w:t>二</w:t>
      </w:r>
      <w:r>
        <w:rPr>
          <w:rFonts w:ascii="微软雅黑" w:hAnsi="微软雅黑" w:eastAsia="微软雅黑" w:cs="Times New Roman"/>
          <w:bCs/>
          <w:color w:val="auto"/>
          <w:sz w:val="32"/>
          <w:szCs w:val="32"/>
        </w:rPr>
        <w:t>、</w:t>
      </w:r>
      <w:bookmarkEnd w:id="4"/>
      <w:bookmarkEnd w:id="5"/>
      <w:bookmarkStart w:id="6" w:name="_Toc13249328"/>
      <w:bookmarkStart w:id="7" w:name="_Toc13248931"/>
      <w:r>
        <w:rPr>
          <w:rFonts w:hint="eastAsia" w:ascii="微软雅黑" w:hAnsi="微软雅黑" w:eastAsia="微软雅黑" w:cs="Times New Roman"/>
          <w:bCs/>
          <w:color w:val="auto"/>
          <w:sz w:val="32"/>
          <w:szCs w:val="32"/>
        </w:rPr>
        <w:t>其他</w:t>
      </w:r>
      <w:r>
        <w:rPr>
          <w:rFonts w:ascii="微软雅黑" w:hAnsi="微软雅黑" w:eastAsia="微软雅黑" w:cs="Times New Roman"/>
          <w:bCs/>
          <w:color w:val="auto"/>
          <w:sz w:val="32"/>
          <w:szCs w:val="32"/>
        </w:rPr>
        <w:t>要求</w:t>
      </w:r>
      <w:bookmarkEnd w:id="6"/>
      <w:bookmarkEnd w:id="7"/>
    </w:p>
    <w:p>
      <w:pPr>
        <w:shd w:val="clear" w:color="auto" w:fill="auto"/>
        <w:spacing w:line="360" w:lineRule="auto"/>
        <w:ind w:firstLine="210" w:firstLineChars="100"/>
        <w:jc w:val="both"/>
        <w:rPr>
          <w:rFonts w:hint="default" w:ascii="微软雅黑" w:hAnsi="微软雅黑" w:eastAsia="微软雅黑" w:cs="微软雅黑"/>
          <w:kern w:val="2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2"/>
          <w:sz w:val="21"/>
          <w:szCs w:val="21"/>
          <w:lang w:val="en-US" w:eastAsia="zh-CN"/>
        </w:rPr>
        <w:t>1. 技术联系人：魏俊   联系电话：022-25801504。</w:t>
      </w:r>
    </w:p>
    <w:p>
      <w:pPr>
        <w:shd w:val="clear" w:color="auto" w:fill="auto"/>
        <w:spacing w:line="360" w:lineRule="auto"/>
        <w:ind w:firstLine="210" w:firstLineChars="100"/>
        <w:jc w:val="both"/>
        <w:rPr>
          <w:rFonts w:hint="default" w:ascii="微软雅黑" w:hAnsi="微软雅黑" w:eastAsia="微软雅黑" w:cs="微软雅黑"/>
          <w:kern w:val="2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2"/>
          <w:sz w:val="21"/>
          <w:szCs w:val="21"/>
          <w:lang w:val="en-US" w:eastAsia="zh-CN"/>
        </w:rPr>
        <w:t>2. 商务联系人：齐健   联系电话：022-25803168。</w:t>
      </w:r>
    </w:p>
    <w:p>
      <w:pPr>
        <w:shd w:val="clear" w:color="auto" w:fill="auto"/>
        <w:spacing w:line="360" w:lineRule="auto"/>
        <w:ind w:firstLine="210" w:firstLineChars="100"/>
        <w:jc w:val="both"/>
        <w:rPr>
          <w:rFonts w:hint="eastAsia" w:ascii="微软雅黑" w:hAnsi="微软雅黑" w:eastAsia="微软雅黑" w:cs="微软雅黑"/>
          <w:kern w:val="2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2"/>
          <w:sz w:val="21"/>
          <w:szCs w:val="21"/>
          <w:lang w:val="en-US" w:eastAsia="zh-CN"/>
        </w:rPr>
        <w:t>3. 付款方式：合同约定银行电汇。</w:t>
      </w:r>
    </w:p>
    <w:p>
      <w:pPr>
        <w:shd w:val="clear" w:color="auto" w:fill="auto"/>
        <w:spacing w:line="360" w:lineRule="auto"/>
        <w:ind w:firstLine="210" w:firstLineChars="100"/>
        <w:jc w:val="both"/>
        <w:rPr>
          <w:rFonts w:hint="eastAsia" w:ascii="微软雅黑" w:hAnsi="微软雅黑" w:eastAsia="微软雅黑" w:cs="微软雅黑"/>
          <w:kern w:val="2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2"/>
          <w:sz w:val="21"/>
          <w:szCs w:val="21"/>
          <w:lang w:val="en-US" w:eastAsia="zh-CN"/>
        </w:rPr>
        <w:t>4. 付款周期要求：协议完成后，开票后45日付款。</w:t>
      </w:r>
    </w:p>
    <w:p>
      <w:pPr>
        <w:shd w:val="clear" w:color="auto" w:fill="auto"/>
        <w:spacing w:line="360" w:lineRule="auto"/>
        <w:ind w:firstLine="210" w:firstLineChars="100"/>
        <w:jc w:val="both"/>
        <w:rPr>
          <w:rFonts w:hint="eastAsia" w:ascii="微软雅黑" w:hAnsi="微软雅黑" w:eastAsia="微软雅黑" w:cs="微软雅黑"/>
          <w:kern w:val="2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2"/>
          <w:sz w:val="21"/>
          <w:szCs w:val="21"/>
          <w:lang w:val="en-US" w:eastAsia="zh-CN"/>
        </w:rPr>
        <w:t>5. 发票接收人：陈媛，联系方式：022-25800974。</w:t>
      </w:r>
    </w:p>
    <w:p>
      <w:pPr>
        <w:pStyle w:val="25"/>
        <w:rPr>
          <w:rFonts w:hint="eastAsia" w:ascii="微软雅黑" w:hAnsi="微软雅黑" w:eastAsia="微软雅黑" w:cs="微软雅黑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2"/>
          <w:sz w:val="21"/>
          <w:szCs w:val="21"/>
          <w:highlight w:val="none"/>
          <w:lang w:val="en-US" w:eastAsia="zh-CN"/>
        </w:rPr>
        <w:t>6. 结算方式：本合同为单项次协议，单次或多次送货，一次性结算。</w:t>
      </w:r>
    </w:p>
    <w:p>
      <w:pPr>
        <w:pStyle w:val="25"/>
        <w:rPr>
          <w:rFonts w:hint="eastAsia" w:ascii="微软雅黑" w:hAnsi="微软雅黑" w:eastAsia="微软雅黑" w:cs="微软雅黑"/>
          <w:kern w:val="2"/>
          <w:sz w:val="21"/>
          <w:szCs w:val="21"/>
          <w:highlight w:val="none"/>
          <w:lang w:val="en-US" w:eastAsia="zh-CN"/>
        </w:rPr>
      </w:pPr>
    </w:p>
    <w:p>
      <w:pPr>
        <w:pStyle w:val="25"/>
        <w:rPr>
          <w:rFonts w:hint="eastAsia" w:ascii="微软雅黑" w:hAnsi="微软雅黑" w:eastAsia="微软雅黑" w:cs="微软雅黑"/>
          <w:kern w:val="2"/>
          <w:sz w:val="21"/>
          <w:szCs w:val="21"/>
          <w:highlight w:val="none"/>
          <w:lang w:val="en-US" w:eastAsia="zh-CN"/>
        </w:rPr>
      </w:pPr>
    </w:p>
    <w:p>
      <w:pPr>
        <w:pStyle w:val="25"/>
        <w:rPr>
          <w:rFonts w:hint="eastAsia" w:ascii="微软雅黑" w:hAnsi="微软雅黑" w:eastAsia="微软雅黑" w:cs="微软雅黑"/>
          <w:kern w:val="2"/>
          <w:sz w:val="21"/>
          <w:szCs w:val="21"/>
          <w:highlight w:val="none"/>
          <w:lang w:val="en-US" w:eastAsia="zh-CN"/>
        </w:rPr>
      </w:pPr>
    </w:p>
    <w:p>
      <w:pPr>
        <w:pStyle w:val="25"/>
        <w:rPr>
          <w:rFonts w:hint="eastAsia" w:ascii="微软雅黑" w:hAnsi="微软雅黑" w:eastAsia="微软雅黑" w:cs="微软雅黑"/>
          <w:kern w:val="2"/>
          <w:sz w:val="21"/>
          <w:szCs w:val="21"/>
          <w:highlight w:val="none"/>
          <w:lang w:val="en-US" w:eastAsia="zh-CN"/>
        </w:rPr>
      </w:pPr>
    </w:p>
    <w:p>
      <w:pPr>
        <w:pStyle w:val="25"/>
        <w:rPr>
          <w:rFonts w:hint="eastAsia" w:ascii="微软雅黑" w:hAnsi="微软雅黑" w:eastAsia="微软雅黑" w:cs="微软雅黑"/>
          <w:kern w:val="2"/>
          <w:sz w:val="21"/>
          <w:szCs w:val="21"/>
          <w:highlight w:val="none"/>
          <w:lang w:val="en-US" w:eastAsia="zh-CN"/>
        </w:rPr>
      </w:pPr>
    </w:p>
    <w:p>
      <w:pPr>
        <w:pStyle w:val="25"/>
        <w:rPr>
          <w:rFonts w:hint="eastAsia" w:ascii="微软雅黑" w:hAnsi="微软雅黑" w:eastAsia="微软雅黑" w:cs="微软雅黑"/>
          <w:kern w:val="2"/>
          <w:sz w:val="21"/>
          <w:szCs w:val="21"/>
          <w:highlight w:val="none"/>
          <w:lang w:val="en-US" w:eastAsia="zh-CN"/>
        </w:rPr>
      </w:pPr>
    </w:p>
    <w:p>
      <w:pPr>
        <w:pStyle w:val="25"/>
        <w:rPr>
          <w:rFonts w:hint="eastAsia" w:ascii="微软雅黑" w:hAnsi="微软雅黑" w:eastAsia="微软雅黑" w:cs="微软雅黑"/>
          <w:kern w:val="2"/>
          <w:sz w:val="21"/>
          <w:szCs w:val="21"/>
          <w:highlight w:val="none"/>
          <w:lang w:val="en-US" w:eastAsia="zh-CN"/>
        </w:rPr>
      </w:pPr>
    </w:p>
    <w:p>
      <w:pPr>
        <w:pStyle w:val="25"/>
        <w:rPr>
          <w:rFonts w:hint="eastAsia" w:ascii="微软雅黑" w:hAnsi="微软雅黑" w:eastAsia="微软雅黑" w:cs="微软雅黑"/>
          <w:kern w:val="2"/>
          <w:sz w:val="21"/>
          <w:szCs w:val="21"/>
          <w:highlight w:val="none"/>
          <w:lang w:val="en-US" w:eastAsia="zh-CN"/>
        </w:rPr>
      </w:pPr>
    </w:p>
    <w:p>
      <w:pPr>
        <w:pStyle w:val="25"/>
        <w:rPr>
          <w:rFonts w:hint="eastAsia" w:ascii="微软雅黑" w:hAnsi="微软雅黑" w:eastAsia="微软雅黑" w:cs="微软雅黑"/>
          <w:kern w:val="2"/>
          <w:sz w:val="21"/>
          <w:szCs w:val="21"/>
          <w:highlight w:val="none"/>
          <w:lang w:val="en-US" w:eastAsia="zh-CN"/>
        </w:rPr>
      </w:pPr>
    </w:p>
    <w:p>
      <w:pPr>
        <w:pStyle w:val="25"/>
        <w:rPr>
          <w:rFonts w:hint="eastAsia" w:ascii="微软雅黑" w:hAnsi="微软雅黑" w:eastAsia="微软雅黑" w:cs="微软雅黑"/>
          <w:kern w:val="2"/>
          <w:sz w:val="21"/>
          <w:szCs w:val="21"/>
          <w:highlight w:val="none"/>
          <w:lang w:val="en-US" w:eastAsia="zh-CN"/>
        </w:rPr>
      </w:pPr>
    </w:p>
    <w:p>
      <w:pPr>
        <w:pStyle w:val="25"/>
        <w:rPr>
          <w:rFonts w:hint="eastAsia" w:ascii="微软雅黑" w:hAnsi="微软雅黑" w:eastAsia="微软雅黑" w:cs="微软雅黑"/>
          <w:kern w:val="2"/>
          <w:sz w:val="21"/>
          <w:szCs w:val="21"/>
          <w:highlight w:val="none"/>
          <w:lang w:val="en-US" w:eastAsia="zh-CN"/>
        </w:rPr>
      </w:pPr>
    </w:p>
    <w:p>
      <w:pPr>
        <w:pStyle w:val="25"/>
        <w:rPr>
          <w:rFonts w:hint="eastAsia" w:ascii="微软雅黑" w:hAnsi="微软雅黑" w:eastAsia="微软雅黑" w:cs="微软雅黑"/>
          <w:kern w:val="2"/>
          <w:sz w:val="21"/>
          <w:szCs w:val="21"/>
          <w:highlight w:val="none"/>
          <w:lang w:val="en-US" w:eastAsia="zh-CN"/>
        </w:rPr>
      </w:pPr>
    </w:p>
    <w:p>
      <w:pPr>
        <w:pStyle w:val="25"/>
        <w:rPr>
          <w:rFonts w:hint="eastAsia" w:ascii="微软雅黑" w:hAnsi="微软雅黑" w:eastAsia="微软雅黑" w:cs="微软雅黑"/>
          <w:kern w:val="2"/>
          <w:sz w:val="21"/>
          <w:szCs w:val="21"/>
          <w:highlight w:val="none"/>
          <w:lang w:val="en-US" w:eastAsia="zh-CN"/>
        </w:rPr>
      </w:pPr>
    </w:p>
    <w:p>
      <w:pPr>
        <w:pStyle w:val="25"/>
        <w:rPr>
          <w:rFonts w:hint="eastAsia" w:ascii="宋体" w:hAnsi="宋体"/>
          <w:sz w:val="24"/>
          <w:szCs w:val="24"/>
          <w:lang w:eastAsia="zh-CN"/>
        </w:rPr>
      </w:pPr>
    </w:p>
    <w:p>
      <w:pPr>
        <w:pStyle w:val="25"/>
        <w:rPr>
          <w:rFonts w:hint="eastAsia" w:ascii="宋体" w:hAnsi="宋体"/>
          <w:sz w:val="24"/>
          <w:szCs w:val="24"/>
          <w:lang w:eastAsia="zh-CN"/>
        </w:rPr>
      </w:pPr>
    </w:p>
    <w:p>
      <w:pPr>
        <w:pStyle w:val="25"/>
        <w:rPr>
          <w:rFonts w:hint="eastAsia" w:ascii="宋体" w:hAnsi="宋体"/>
          <w:sz w:val="24"/>
          <w:szCs w:val="24"/>
          <w:lang w:eastAsia="zh-CN"/>
        </w:rPr>
      </w:pPr>
    </w:p>
    <w:p>
      <w:pPr>
        <w:pStyle w:val="25"/>
        <w:rPr>
          <w:rFonts w:hint="eastAsia" w:ascii="宋体" w:hAnsi="宋体"/>
          <w:sz w:val="24"/>
          <w:szCs w:val="24"/>
          <w:lang w:eastAsia="zh-CN"/>
        </w:rPr>
      </w:pPr>
    </w:p>
    <w:p>
      <w:pPr>
        <w:pStyle w:val="25"/>
        <w:rPr>
          <w:rFonts w:hint="eastAsia" w:ascii="宋体" w:hAnsi="宋体"/>
          <w:sz w:val="24"/>
          <w:szCs w:val="24"/>
          <w:lang w:eastAsia="zh-CN"/>
        </w:rPr>
      </w:pPr>
    </w:p>
    <w:p>
      <w:pPr>
        <w:rPr>
          <w:rFonts w:ascii="Times New Roman" w:hAnsi="Times New Roman" w:eastAsia="仿宋_GB2312" w:cs="Times New Roman"/>
          <w:sz w:val="28"/>
          <w:szCs w:val="28"/>
          <w:u w:val="single"/>
        </w:rPr>
      </w:pPr>
      <w:r>
        <w:rPr>
          <w:rFonts w:ascii="Times New Roman" w:hAnsi="Times New Roman" w:eastAsia="仿宋_GB2312" w:cs="Times New Roman"/>
          <w:sz w:val="28"/>
          <w:szCs w:val="28"/>
        </w:rPr>
        <w:t>项目联系人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请感兴趣的供应商于</w:t>
      </w:r>
      <w:r>
        <w:rPr>
          <w:rFonts w:hint="eastAsia" w:ascii="Times New Roman" w:hAnsi="Times New Roman" w:eastAsia="仿宋_GB2312" w:cs="Times New Roman"/>
          <w:sz w:val="24"/>
          <w:szCs w:val="24"/>
          <w:u w:val="single"/>
        </w:rPr>
        <w:t>202</w:t>
      </w:r>
      <w:r>
        <w:rPr>
          <w:rFonts w:hint="eastAsia" w:ascii="Times New Roman" w:hAnsi="Times New Roman" w:eastAsia="仿宋_GB2312" w:cs="Times New Roman"/>
          <w:sz w:val="24"/>
          <w:szCs w:val="24"/>
          <w:u w:val="single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24"/>
          <w:szCs w:val="24"/>
        </w:rPr>
        <w:t>年</w:t>
      </w:r>
      <w:r>
        <w:rPr>
          <w:rFonts w:hint="eastAsia" w:ascii="Times New Roman" w:hAnsi="Times New Roman" w:eastAsia="仿宋_GB2312" w:cs="Times New Roman"/>
          <w:sz w:val="24"/>
          <w:szCs w:val="24"/>
          <w:u w:val="single"/>
          <w:lang w:val="en-US" w:eastAsia="zh-CN"/>
        </w:rPr>
        <w:t>1</w:t>
      </w:r>
      <w:r>
        <w:rPr>
          <w:rFonts w:ascii="Times New Roman" w:hAnsi="Times New Roman" w:eastAsia="仿宋_GB2312" w:cs="Times New Roman"/>
          <w:sz w:val="24"/>
          <w:szCs w:val="24"/>
        </w:rPr>
        <w:t>月</w:t>
      </w:r>
      <w:r>
        <w:rPr>
          <w:rFonts w:hint="eastAsia" w:ascii="Times New Roman" w:hAnsi="Times New Roman" w:eastAsia="仿宋_GB2312" w:cs="Times New Roman"/>
          <w:sz w:val="24"/>
          <w:szCs w:val="24"/>
          <w:u w:val="single"/>
          <w:lang w:val="en-US" w:eastAsia="zh-CN"/>
        </w:rPr>
        <w:t>27</w:t>
      </w:r>
      <w:bookmarkStart w:id="10" w:name="_GoBack"/>
      <w:bookmarkEnd w:id="10"/>
      <w:r>
        <w:rPr>
          <w:rFonts w:ascii="Times New Roman" w:hAnsi="Times New Roman" w:eastAsia="仿宋_GB2312" w:cs="Times New Roman"/>
          <w:sz w:val="24"/>
          <w:szCs w:val="24"/>
        </w:rPr>
        <w:t>日前，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在系统反馈</w:t>
      </w:r>
      <w:r>
        <w:rPr>
          <w:rFonts w:ascii="Times New Roman" w:hAnsi="Times New Roman" w:eastAsia="仿宋_GB2312" w:cs="Times New Roman"/>
          <w:sz w:val="24"/>
          <w:szCs w:val="24"/>
        </w:rPr>
        <w:t>。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480" w:firstLineChars="200"/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ascii="Times New Roman" w:hAnsi="Times New Roman" w:eastAsia="仿宋_GB2312" w:cs="Times New Roman"/>
          <w:sz w:val="24"/>
          <w:szCs w:val="24"/>
        </w:rPr>
        <w:t>联系人：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王莫飞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ascii="Times New Roman" w:hAnsi="Times New Roman" w:eastAsia="仿宋_GB2312" w:cs="Times New Roman"/>
          <w:sz w:val="24"/>
          <w:szCs w:val="24"/>
        </w:rPr>
        <w:t>电  话：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022-2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5801305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48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4"/>
          <w:szCs w:val="24"/>
        </w:rPr>
        <w:t>邮  箱：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wangmf2</w:t>
      </w:r>
      <w:r>
        <w:rPr>
          <w:rFonts w:ascii="Times New Roman" w:hAnsi="Times New Roman" w:eastAsia="仿宋_GB2312" w:cs="Times New Roman"/>
          <w:sz w:val="24"/>
          <w:szCs w:val="24"/>
        </w:rPr>
        <w:t>@cnooc.com.cn</w:t>
      </w:r>
    </w:p>
    <w:p>
      <w:pPr>
        <w:pStyle w:val="9"/>
        <w:numPr>
          <w:ilvl w:val="0"/>
          <w:numId w:val="4"/>
        </w:numPr>
        <w:spacing w:line="360" w:lineRule="auto"/>
        <w:ind w:right="122" w:firstLineChars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br w:type="page"/>
      </w:r>
    </w:p>
    <w:p>
      <w:pPr>
        <w:outlineLvl w:val="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附件2 供应商资质基本要求</w:t>
      </w:r>
    </w:p>
    <w:tbl>
      <w:tblPr>
        <w:tblStyle w:val="19"/>
        <w:tblW w:w="5045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18"/>
        <w:gridCol w:w="707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8" w:hRule="atLeast"/>
          <w:jc w:val="center"/>
        </w:trPr>
        <w:tc>
          <w:tcPr>
            <w:tcW w:w="785" w:type="pct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2"/>
              <w:spacing w:line="300" w:lineRule="exact"/>
              <w:jc w:val="center"/>
              <w:rPr>
                <w:rFonts w:hint="eastAsia" w:ascii="仿宋" w:hAnsi="仿宋" w:eastAsia="仿宋" w:cs="Calibri"/>
                <w:b/>
                <w:bCs/>
                <w:color w:val="FF0000"/>
                <w:kern w:val="0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仿宋" w:hAnsi="仿宋" w:eastAsia="仿宋" w:cs="Calibri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资质要求</w:t>
            </w:r>
          </w:p>
          <w:p>
            <w:pPr>
              <w:pStyle w:val="32"/>
              <w:spacing w:line="300" w:lineRule="exact"/>
              <w:jc w:val="center"/>
              <w:rPr>
                <w:rFonts w:hint="eastAsia" w:ascii="仿宋" w:hAnsi="仿宋" w:eastAsia="仿宋" w:cs="Calibri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2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2"/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1.申请人须是中华人民共和国境内注册的独立法人单位，具有合法有效的企业法人营业执照、税务登记证及组织机构代码证或证照合一的营业执照；</w:t>
            </w:r>
          </w:p>
          <w:p>
            <w:pPr>
              <w:pStyle w:val="32"/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2.申请人须是中华人民共和国境内具有独立承担民事责任能力的法人，或具备国家认可经营资格的其他组织。</w:t>
            </w:r>
          </w:p>
          <w:p>
            <w:pPr>
              <w:pStyle w:val="32"/>
              <w:jc w:val="both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</w:tbl>
    <w:p>
      <w:pPr>
        <w:pStyle w:val="18"/>
        <w:rPr>
          <w:rFonts w:hint="eastAsia"/>
          <w:color w:val="auto"/>
        </w:rPr>
      </w:pPr>
    </w:p>
    <w:p>
      <w:pPr>
        <w:pStyle w:val="18"/>
        <w:rPr>
          <w:color w:val="auto"/>
        </w:rPr>
      </w:pPr>
    </w:p>
    <w:p>
      <w:pPr>
        <w:rPr>
          <w:rFonts w:ascii="Times New Roman" w:hAnsi="Times New Roman" w:eastAsia="仿宋_GB2312" w:cs="Times New Roman"/>
          <w:color w:val="auto"/>
          <w:sz w:val="28"/>
          <w:szCs w:val="28"/>
        </w:rPr>
      </w:pPr>
    </w:p>
    <w:p>
      <w:pPr>
        <w:pStyle w:val="24"/>
        <w:spacing w:before="120" w:after="120"/>
        <w:outlineLvl w:val="0"/>
        <w:rPr>
          <w:color w:val="auto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IDFont+F4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SimSong Bold">
    <w:altName w:val="宋体"/>
    <w:panose1 w:val="02020300000000000000"/>
    <w:charset w:val="86"/>
    <w:family w:val="roman"/>
    <w:pitch w:val="default"/>
    <w:sig w:usb0="00000000" w:usb1="00000000" w:usb2="00000016" w:usb3="00000000" w:csb0="0004000D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jc w:val="center"/>
      <w:rPr>
        <w:rFonts w:ascii="仿宋" w:hAnsi="仿宋" w:eastAsia="仿宋"/>
        <w:sz w:val="21"/>
        <w:szCs w:val="21"/>
      </w:rPr>
    </w:pPr>
    <w:r>
      <w:rPr>
        <w:rFonts w:ascii="仿宋" w:hAnsi="仿宋" w:eastAsia="仿宋"/>
        <w:b/>
        <w:bCs/>
        <w:sz w:val="21"/>
        <w:szCs w:val="21"/>
      </w:rPr>
      <w:fldChar w:fldCharType="begin"/>
    </w:r>
    <w:r>
      <w:rPr>
        <w:rFonts w:ascii="仿宋" w:hAnsi="仿宋" w:eastAsia="仿宋"/>
        <w:b/>
        <w:bCs/>
        <w:sz w:val="21"/>
        <w:szCs w:val="21"/>
      </w:rPr>
      <w:instrText xml:space="preserve">PAGE  \* Arabic  \* MERGEFORMAT</w:instrText>
    </w:r>
    <w:r>
      <w:rPr>
        <w:rFonts w:ascii="仿宋" w:hAnsi="仿宋" w:eastAsia="仿宋"/>
        <w:b/>
        <w:bCs/>
        <w:sz w:val="21"/>
        <w:szCs w:val="21"/>
      </w:rPr>
      <w:fldChar w:fldCharType="separate"/>
    </w:r>
    <w:r>
      <w:rPr>
        <w:rFonts w:ascii="仿宋" w:hAnsi="仿宋" w:eastAsia="仿宋"/>
        <w:b/>
        <w:bCs/>
        <w:sz w:val="21"/>
        <w:szCs w:val="21"/>
        <w:lang w:val="zh-CN"/>
      </w:rPr>
      <w:t>2</w:t>
    </w:r>
    <w:r>
      <w:rPr>
        <w:rFonts w:ascii="仿宋" w:hAnsi="仿宋" w:eastAsia="仿宋"/>
        <w:b/>
        <w:bCs/>
        <w:sz w:val="21"/>
        <w:szCs w:val="21"/>
      </w:rPr>
      <w:fldChar w:fldCharType="end"/>
    </w:r>
    <w:r>
      <w:rPr>
        <w:rFonts w:ascii="仿宋" w:hAnsi="仿宋" w:eastAsia="仿宋"/>
        <w:sz w:val="21"/>
        <w:szCs w:val="21"/>
        <w:lang w:val="zh-CN"/>
      </w:rPr>
      <w:t xml:space="preserve"> / </w:t>
    </w:r>
    <w:r>
      <w:rPr>
        <w:rFonts w:ascii="仿宋" w:hAnsi="仿宋" w:eastAsia="仿宋"/>
        <w:b/>
        <w:bCs/>
        <w:sz w:val="21"/>
        <w:szCs w:val="21"/>
      </w:rPr>
      <w:fldChar w:fldCharType="begin"/>
    </w:r>
    <w:r>
      <w:rPr>
        <w:rFonts w:ascii="仿宋" w:hAnsi="仿宋" w:eastAsia="仿宋"/>
        <w:b/>
        <w:bCs/>
        <w:sz w:val="21"/>
        <w:szCs w:val="21"/>
      </w:rPr>
      <w:instrText xml:space="preserve">NUMPAGES  \* Arabic  \* MERGEFORMAT</w:instrText>
    </w:r>
    <w:r>
      <w:rPr>
        <w:rFonts w:ascii="仿宋" w:hAnsi="仿宋" w:eastAsia="仿宋"/>
        <w:b/>
        <w:bCs/>
        <w:sz w:val="21"/>
        <w:szCs w:val="21"/>
      </w:rPr>
      <w:fldChar w:fldCharType="separate"/>
    </w:r>
    <w:r>
      <w:rPr>
        <w:rFonts w:ascii="仿宋" w:hAnsi="仿宋" w:eastAsia="仿宋"/>
        <w:b/>
        <w:bCs/>
        <w:sz w:val="21"/>
        <w:szCs w:val="21"/>
        <w:lang w:val="zh-CN"/>
      </w:rPr>
      <w:t>3</w:t>
    </w:r>
    <w:r>
      <w:rPr>
        <w:rFonts w:ascii="仿宋" w:hAnsi="仿宋" w:eastAsia="仿宋"/>
        <w:b/>
        <w:bCs/>
        <w:sz w:val="21"/>
        <w:szCs w:val="21"/>
      </w:rPr>
      <w:fldChar w:fldCharType="end"/>
    </w:r>
    <w:r>
      <w:rPr>
        <w:rFonts w:ascii="仿宋" w:hAnsi="仿宋" w:eastAsia="仿宋"/>
      </w:rPr>
      <w:drawing>
        <wp:anchor distT="0" distB="0" distL="114300" distR="114300" simplePos="0" relativeHeight="251659264" behindDoc="1" locked="0" layoutInCell="1" allowOverlap="0">
          <wp:simplePos x="0" y="0"/>
          <wp:positionH relativeFrom="column">
            <wp:posOffset>-407670</wp:posOffset>
          </wp:positionH>
          <wp:positionV relativeFrom="paragraph">
            <wp:posOffset>-40640</wp:posOffset>
          </wp:positionV>
          <wp:extent cx="409575" cy="333375"/>
          <wp:effectExtent l="0" t="0" r="9525" b="9525"/>
          <wp:wrapTight wrapText="bothSides">
            <wp:wrapPolygon>
              <wp:start x="0" y="0"/>
              <wp:lineTo x="0" y="20283"/>
              <wp:lineTo x="20394" y="20283"/>
              <wp:lineTo x="20394" y="0"/>
              <wp:lineTo x="0" y="0"/>
            </wp:wrapPolygon>
          </wp:wrapTight>
          <wp:docPr id="2" name="图片 2" descr="基地集团标 拷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基地集团标 拷贝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957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Start w:id="8" w:name="OLE_LINK3"/>
    <w:bookmarkStart w:id="9" w:name="OLE_LINK4"/>
    <w:r>
      <w:rPr>
        <w:rFonts w:ascii="仿宋" w:hAnsi="仿宋" w:eastAsia="仿宋"/>
        <w:b/>
        <w:bCs/>
        <w:sz w:val="21"/>
        <w:szCs w:val="21"/>
      </w:rPr>
      <w:t xml:space="preserve">        </w:t>
    </w:r>
    <w:bookmarkEnd w:id="8"/>
    <w:bookmarkEnd w:id="9"/>
    <w:r>
      <w:rPr>
        <w:rFonts w:hint="eastAsia" w:ascii="仿宋" w:hAnsi="仿宋" w:eastAsia="仿宋"/>
        <w:sz w:val="21"/>
        <w:szCs w:val="21"/>
      </w:rPr>
      <w:t xml:space="preserve"> </w:t>
    </w:r>
    <w:r>
      <w:rPr>
        <w:rFonts w:ascii="仿宋" w:hAnsi="仿宋" w:eastAsia="仿宋"/>
        <w:sz w:val="21"/>
        <w:szCs w:val="21"/>
      </w:rPr>
      <w:t xml:space="preserve">        </w:t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463864"/>
    <w:multiLevelType w:val="singleLevel"/>
    <w:tmpl w:val="F7463864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B6542FA"/>
    <w:multiLevelType w:val="multilevel"/>
    <w:tmpl w:val="0B6542FA"/>
    <w:lvl w:ilvl="0" w:tentative="0">
      <w:start w:val="8"/>
      <w:numFmt w:val="japaneseCounting"/>
      <w:lvlText w:val="%1、"/>
      <w:lvlJc w:val="left"/>
      <w:pPr>
        <w:ind w:left="630" w:hanging="63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D7C105B"/>
    <w:multiLevelType w:val="multilevel"/>
    <w:tmpl w:val="0D7C105B"/>
    <w:lvl w:ilvl="0" w:tentative="0">
      <w:start w:val="1"/>
      <w:numFmt w:val="decimal"/>
      <w:lvlText w:val="（%1）"/>
      <w:lvlJc w:val="left"/>
      <w:pPr>
        <w:ind w:left="135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70" w:hanging="420"/>
      </w:pPr>
    </w:lvl>
    <w:lvl w:ilvl="2" w:tentative="0">
      <w:start w:val="1"/>
      <w:numFmt w:val="lowerRoman"/>
      <w:lvlText w:val="%3."/>
      <w:lvlJc w:val="right"/>
      <w:pPr>
        <w:ind w:left="1890" w:hanging="420"/>
      </w:pPr>
    </w:lvl>
    <w:lvl w:ilvl="3" w:tentative="0">
      <w:start w:val="1"/>
      <w:numFmt w:val="decimal"/>
      <w:lvlText w:val="%4."/>
      <w:lvlJc w:val="left"/>
      <w:pPr>
        <w:ind w:left="2310" w:hanging="420"/>
      </w:pPr>
    </w:lvl>
    <w:lvl w:ilvl="4" w:tentative="0">
      <w:start w:val="1"/>
      <w:numFmt w:val="lowerLetter"/>
      <w:lvlText w:val="%5)"/>
      <w:lvlJc w:val="left"/>
      <w:pPr>
        <w:ind w:left="2730" w:hanging="420"/>
      </w:pPr>
    </w:lvl>
    <w:lvl w:ilvl="5" w:tentative="0">
      <w:start w:val="1"/>
      <w:numFmt w:val="lowerRoman"/>
      <w:lvlText w:val="%6."/>
      <w:lvlJc w:val="right"/>
      <w:pPr>
        <w:ind w:left="3150" w:hanging="420"/>
      </w:pPr>
    </w:lvl>
    <w:lvl w:ilvl="6" w:tentative="0">
      <w:start w:val="1"/>
      <w:numFmt w:val="decimal"/>
      <w:lvlText w:val="%7."/>
      <w:lvlJc w:val="left"/>
      <w:pPr>
        <w:ind w:left="3570" w:hanging="420"/>
      </w:pPr>
    </w:lvl>
    <w:lvl w:ilvl="7" w:tentative="0">
      <w:start w:val="1"/>
      <w:numFmt w:val="lowerLetter"/>
      <w:lvlText w:val="%8)"/>
      <w:lvlJc w:val="left"/>
      <w:pPr>
        <w:ind w:left="3990" w:hanging="420"/>
      </w:pPr>
    </w:lvl>
    <w:lvl w:ilvl="8" w:tentative="0">
      <w:start w:val="1"/>
      <w:numFmt w:val="lowerRoman"/>
      <w:lvlText w:val="%9."/>
      <w:lvlJc w:val="right"/>
      <w:pPr>
        <w:ind w:left="4410" w:hanging="420"/>
      </w:pPr>
    </w:lvl>
  </w:abstractNum>
  <w:abstractNum w:abstractNumId="3">
    <w:nsid w:val="646260FA"/>
    <w:multiLevelType w:val="multilevel"/>
    <w:tmpl w:val="646260FA"/>
    <w:lvl w:ilvl="0" w:tentative="0">
      <w:start w:val="1"/>
      <w:numFmt w:val="decimal"/>
      <w:pStyle w:val="60"/>
      <w:suff w:val="nothing"/>
      <w:lvlText w:val="表%1　"/>
      <w:lvlJc w:val="left"/>
      <w:pPr>
        <w:ind w:left="0" w:firstLine="0"/>
      </w:pPr>
      <w:rPr>
        <w:rFonts w:hint="default" w:ascii="黑体" w:hAnsi="Times New Roman" w:eastAsia="黑体"/>
        <w:b w:val="0"/>
        <w:i w:val="0"/>
        <w:sz w:val="24"/>
        <w:szCs w:val="24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216E2"/>
    <w:rsid w:val="000B220C"/>
    <w:rsid w:val="00107032"/>
    <w:rsid w:val="00143E94"/>
    <w:rsid w:val="00172A27"/>
    <w:rsid w:val="00174371"/>
    <w:rsid w:val="00181BD2"/>
    <w:rsid w:val="001C2D24"/>
    <w:rsid w:val="001C3E76"/>
    <w:rsid w:val="0021116D"/>
    <w:rsid w:val="002E3C4A"/>
    <w:rsid w:val="00314735"/>
    <w:rsid w:val="00367E10"/>
    <w:rsid w:val="004029A6"/>
    <w:rsid w:val="00411A38"/>
    <w:rsid w:val="0044417F"/>
    <w:rsid w:val="004B33E2"/>
    <w:rsid w:val="004C7AFB"/>
    <w:rsid w:val="00501326"/>
    <w:rsid w:val="005015FF"/>
    <w:rsid w:val="005A53FA"/>
    <w:rsid w:val="005B0EB0"/>
    <w:rsid w:val="005D7510"/>
    <w:rsid w:val="005F0FF7"/>
    <w:rsid w:val="00613D64"/>
    <w:rsid w:val="006715FA"/>
    <w:rsid w:val="0067235B"/>
    <w:rsid w:val="00680A61"/>
    <w:rsid w:val="006E4F13"/>
    <w:rsid w:val="007902D1"/>
    <w:rsid w:val="007E2B6E"/>
    <w:rsid w:val="007F4845"/>
    <w:rsid w:val="008056E2"/>
    <w:rsid w:val="009C7502"/>
    <w:rsid w:val="00AB604F"/>
    <w:rsid w:val="00AD1FBC"/>
    <w:rsid w:val="00AE20AB"/>
    <w:rsid w:val="00C67851"/>
    <w:rsid w:val="00CA23A2"/>
    <w:rsid w:val="00CC63E4"/>
    <w:rsid w:val="00D0073C"/>
    <w:rsid w:val="00DA6FBC"/>
    <w:rsid w:val="00DF61BF"/>
    <w:rsid w:val="00E260FE"/>
    <w:rsid w:val="00E607B8"/>
    <w:rsid w:val="00E91985"/>
    <w:rsid w:val="00E93761"/>
    <w:rsid w:val="00ED277A"/>
    <w:rsid w:val="00EE4BE5"/>
    <w:rsid w:val="01315496"/>
    <w:rsid w:val="02314EF6"/>
    <w:rsid w:val="03037297"/>
    <w:rsid w:val="042B0162"/>
    <w:rsid w:val="04970DEB"/>
    <w:rsid w:val="04A13BF5"/>
    <w:rsid w:val="05FA36B3"/>
    <w:rsid w:val="06C91F15"/>
    <w:rsid w:val="082F6484"/>
    <w:rsid w:val="08B03D7F"/>
    <w:rsid w:val="08B8755F"/>
    <w:rsid w:val="090136BA"/>
    <w:rsid w:val="0C5E130F"/>
    <w:rsid w:val="0EA9243F"/>
    <w:rsid w:val="1075107E"/>
    <w:rsid w:val="1083522F"/>
    <w:rsid w:val="120B79FF"/>
    <w:rsid w:val="12583FF0"/>
    <w:rsid w:val="12676EF7"/>
    <w:rsid w:val="14554261"/>
    <w:rsid w:val="14E85B0B"/>
    <w:rsid w:val="17395E68"/>
    <w:rsid w:val="17E30D84"/>
    <w:rsid w:val="18160E8A"/>
    <w:rsid w:val="18B901E2"/>
    <w:rsid w:val="18CA5D34"/>
    <w:rsid w:val="1959070C"/>
    <w:rsid w:val="1A1C7FA7"/>
    <w:rsid w:val="1C3346E3"/>
    <w:rsid w:val="1D445EA9"/>
    <w:rsid w:val="1E0228EA"/>
    <w:rsid w:val="20A822B0"/>
    <w:rsid w:val="215138A3"/>
    <w:rsid w:val="23AD5C0E"/>
    <w:rsid w:val="23CB7E76"/>
    <w:rsid w:val="24557A62"/>
    <w:rsid w:val="2470010E"/>
    <w:rsid w:val="259B5517"/>
    <w:rsid w:val="25A07D36"/>
    <w:rsid w:val="25D315FC"/>
    <w:rsid w:val="260C296A"/>
    <w:rsid w:val="261660D7"/>
    <w:rsid w:val="262A06AE"/>
    <w:rsid w:val="278E5E5C"/>
    <w:rsid w:val="27CC380E"/>
    <w:rsid w:val="28116C59"/>
    <w:rsid w:val="284C135E"/>
    <w:rsid w:val="28EB7ADC"/>
    <w:rsid w:val="29795D87"/>
    <w:rsid w:val="29B95546"/>
    <w:rsid w:val="2C080054"/>
    <w:rsid w:val="2D682882"/>
    <w:rsid w:val="2D6F3D43"/>
    <w:rsid w:val="2EAB2229"/>
    <w:rsid w:val="2ED57289"/>
    <w:rsid w:val="2EE25E79"/>
    <w:rsid w:val="2EF97B56"/>
    <w:rsid w:val="2F36197A"/>
    <w:rsid w:val="2FF14B70"/>
    <w:rsid w:val="30742F55"/>
    <w:rsid w:val="30F30C08"/>
    <w:rsid w:val="31861248"/>
    <w:rsid w:val="31AD608F"/>
    <w:rsid w:val="32154A80"/>
    <w:rsid w:val="32414456"/>
    <w:rsid w:val="333E6152"/>
    <w:rsid w:val="337079B0"/>
    <w:rsid w:val="337669FE"/>
    <w:rsid w:val="33A079C9"/>
    <w:rsid w:val="341B40B2"/>
    <w:rsid w:val="356A6AB4"/>
    <w:rsid w:val="37397664"/>
    <w:rsid w:val="383D35A9"/>
    <w:rsid w:val="38683657"/>
    <w:rsid w:val="39CD52A6"/>
    <w:rsid w:val="3A221A02"/>
    <w:rsid w:val="3EB61C1E"/>
    <w:rsid w:val="3FC6488C"/>
    <w:rsid w:val="3FC80FEC"/>
    <w:rsid w:val="3FED3C0B"/>
    <w:rsid w:val="40C27314"/>
    <w:rsid w:val="40D753B1"/>
    <w:rsid w:val="41640557"/>
    <w:rsid w:val="41B55BC8"/>
    <w:rsid w:val="41FE63B3"/>
    <w:rsid w:val="420815E8"/>
    <w:rsid w:val="42914049"/>
    <w:rsid w:val="429C25B3"/>
    <w:rsid w:val="438309A0"/>
    <w:rsid w:val="43E5509C"/>
    <w:rsid w:val="44A54B4E"/>
    <w:rsid w:val="4570022A"/>
    <w:rsid w:val="46930865"/>
    <w:rsid w:val="46AF0D45"/>
    <w:rsid w:val="46C679BC"/>
    <w:rsid w:val="46DD2F9D"/>
    <w:rsid w:val="46DE25E8"/>
    <w:rsid w:val="471D6ECC"/>
    <w:rsid w:val="48226FCA"/>
    <w:rsid w:val="48687BA5"/>
    <w:rsid w:val="48CF427E"/>
    <w:rsid w:val="49E77AC2"/>
    <w:rsid w:val="4BB2268D"/>
    <w:rsid w:val="4C462C70"/>
    <w:rsid w:val="4CF5013C"/>
    <w:rsid w:val="4E2063E8"/>
    <w:rsid w:val="4E6752F6"/>
    <w:rsid w:val="4F1C21CE"/>
    <w:rsid w:val="4F2560D5"/>
    <w:rsid w:val="4F4641AC"/>
    <w:rsid w:val="50AA7AFA"/>
    <w:rsid w:val="51105B38"/>
    <w:rsid w:val="517A4DD0"/>
    <w:rsid w:val="527B5708"/>
    <w:rsid w:val="539B7172"/>
    <w:rsid w:val="539D57CA"/>
    <w:rsid w:val="54164A93"/>
    <w:rsid w:val="5438717C"/>
    <w:rsid w:val="548C6C11"/>
    <w:rsid w:val="559D38ED"/>
    <w:rsid w:val="567C7AEC"/>
    <w:rsid w:val="57AE6642"/>
    <w:rsid w:val="58322343"/>
    <w:rsid w:val="58AB4430"/>
    <w:rsid w:val="590409AE"/>
    <w:rsid w:val="59EE4B41"/>
    <w:rsid w:val="5A4D7987"/>
    <w:rsid w:val="5BEA5E9B"/>
    <w:rsid w:val="5D61469C"/>
    <w:rsid w:val="5D7E5022"/>
    <w:rsid w:val="5D8600C3"/>
    <w:rsid w:val="5E157BF4"/>
    <w:rsid w:val="5E332C05"/>
    <w:rsid w:val="5F5A281C"/>
    <w:rsid w:val="60EA207F"/>
    <w:rsid w:val="61DF490B"/>
    <w:rsid w:val="62722A72"/>
    <w:rsid w:val="63D72C7A"/>
    <w:rsid w:val="64532F63"/>
    <w:rsid w:val="66277454"/>
    <w:rsid w:val="664507CD"/>
    <w:rsid w:val="67EA2143"/>
    <w:rsid w:val="693F0865"/>
    <w:rsid w:val="6A6D2C99"/>
    <w:rsid w:val="6DC07857"/>
    <w:rsid w:val="6E745C88"/>
    <w:rsid w:val="6F8B5DFD"/>
    <w:rsid w:val="72404480"/>
    <w:rsid w:val="746239D6"/>
    <w:rsid w:val="74AC2FA8"/>
    <w:rsid w:val="7540101E"/>
    <w:rsid w:val="760945AB"/>
    <w:rsid w:val="787A446B"/>
    <w:rsid w:val="797B5BDA"/>
    <w:rsid w:val="79C05BBE"/>
    <w:rsid w:val="7A64266B"/>
    <w:rsid w:val="7B306BA9"/>
    <w:rsid w:val="7B5553A1"/>
    <w:rsid w:val="7BE529AE"/>
    <w:rsid w:val="7E123D0B"/>
    <w:rsid w:val="7EF93B32"/>
    <w:rsid w:val="7F8A39FF"/>
    <w:rsid w:val="7FC1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34"/>
    <w:qFormat/>
    <w:uiPriority w:val="0"/>
    <w:pPr>
      <w:spacing w:before="120" w:after="120"/>
      <w:outlineLvl w:val="0"/>
    </w:pPr>
    <w:rPr>
      <w:rFonts w:ascii="微软雅黑" w:hAnsi="微软雅黑" w:eastAsia="微软雅黑" w:cs="Times New Roman"/>
      <w:bCs/>
      <w:color w:val="auto"/>
      <w:sz w:val="32"/>
      <w:szCs w:val="32"/>
    </w:rPr>
  </w:style>
  <w:style w:type="paragraph" w:styleId="4">
    <w:name w:val="heading 2"/>
    <w:basedOn w:val="1"/>
    <w:next w:val="1"/>
    <w:link w:val="35"/>
    <w:qFormat/>
    <w:uiPriority w:val="1"/>
    <w:pPr>
      <w:spacing w:line="479" w:lineRule="exact"/>
      <w:outlineLvl w:val="1"/>
    </w:pPr>
    <w:rPr>
      <w:rFonts w:ascii="Microsoft YaHei UI" w:hAnsi="Microsoft YaHei UI" w:eastAsia="Microsoft YaHei UI"/>
      <w:spacing w:val="2"/>
      <w:sz w:val="32"/>
      <w:szCs w:val="32"/>
    </w:rPr>
  </w:style>
  <w:style w:type="paragraph" w:styleId="5">
    <w:name w:val="heading 6"/>
    <w:basedOn w:val="1"/>
    <w:next w:val="1"/>
    <w:unhideWhenUsed/>
    <w:qFormat/>
    <w:uiPriority w:val="9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link w:val="2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Indent"/>
    <w:basedOn w:val="1"/>
    <w:qFormat/>
    <w:uiPriority w:val="0"/>
    <w:pPr>
      <w:ind w:firstLine="420"/>
      <w:jc w:val="both"/>
    </w:pPr>
    <w:rPr>
      <w:rFonts w:ascii="Times New Roman" w:hAnsi="Times New Roman" w:eastAsia="宋体" w:cs="Times New Roman"/>
      <w:kern w:val="2"/>
      <w:sz w:val="21"/>
      <w:szCs w:val="20"/>
      <w:lang w:eastAsia="zh-CN"/>
    </w:rPr>
  </w:style>
  <w:style w:type="paragraph" w:styleId="7">
    <w:name w:val="toa heading"/>
    <w:basedOn w:val="1"/>
    <w:next w:val="1"/>
    <w:qFormat/>
    <w:uiPriority w:val="0"/>
    <w:pPr>
      <w:spacing w:before="120"/>
    </w:pPr>
    <w:rPr>
      <w:rFonts w:ascii="Cambria" w:hAnsi="Cambria"/>
    </w:rPr>
  </w:style>
  <w:style w:type="paragraph" w:styleId="8">
    <w:name w:val="annotation text"/>
    <w:basedOn w:val="1"/>
    <w:link w:val="43"/>
    <w:unhideWhenUsed/>
    <w:qFormat/>
    <w:uiPriority w:val="99"/>
    <w:pPr>
      <w:jc w:val="left"/>
    </w:pPr>
  </w:style>
  <w:style w:type="paragraph" w:styleId="9">
    <w:name w:val="Body Text"/>
    <w:basedOn w:val="1"/>
    <w:next w:val="1"/>
    <w:link w:val="36"/>
    <w:qFormat/>
    <w:uiPriority w:val="1"/>
    <w:pPr>
      <w:ind w:firstLine="200" w:firstLineChars="200"/>
    </w:pPr>
    <w:rPr>
      <w:rFonts w:ascii="Microsoft YaHei UI" w:hAnsi="Microsoft YaHei UI" w:eastAsia="Microsoft YaHei UI"/>
      <w:szCs w:val="21"/>
    </w:rPr>
  </w:style>
  <w:style w:type="paragraph" w:styleId="10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11">
    <w:name w:val="Plain Text"/>
    <w:basedOn w:val="1"/>
    <w:qFormat/>
    <w:uiPriority w:val="0"/>
    <w:rPr>
      <w:rFonts w:ascii="宋体" w:hAnsi="Courier New" w:eastAsia="宋体" w:cs="Times New Roman"/>
      <w:kern w:val="22"/>
      <w:szCs w:val="20"/>
    </w:rPr>
  </w:style>
  <w:style w:type="paragraph" w:styleId="12">
    <w:name w:val="Date"/>
    <w:basedOn w:val="1"/>
    <w:next w:val="1"/>
    <w:link w:val="29"/>
    <w:semiHidden/>
    <w:unhideWhenUsed/>
    <w:qFormat/>
    <w:uiPriority w:val="99"/>
    <w:pPr>
      <w:ind w:left="100" w:leftChars="2500"/>
    </w:pPr>
  </w:style>
  <w:style w:type="paragraph" w:styleId="13">
    <w:name w:val="Body Text Indent 2"/>
    <w:basedOn w:val="1"/>
    <w:link w:val="37"/>
    <w:semiHidden/>
    <w:unhideWhenUsed/>
    <w:qFormat/>
    <w:uiPriority w:val="99"/>
    <w:pPr>
      <w:spacing w:after="120" w:line="480" w:lineRule="auto"/>
      <w:ind w:left="420" w:leftChars="200"/>
      <w:jc w:val="left"/>
    </w:pPr>
    <w:rPr>
      <w:kern w:val="0"/>
      <w:sz w:val="22"/>
      <w:lang w:eastAsia="en-US"/>
    </w:rPr>
  </w:style>
  <w:style w:type="paragraph" w:styleId="14">
    <w:name w:val="Balloon Text"/>
    <w:basedOn w:val="1"/>
    <w:link w:val="38"/>
    <w:semiHidden/>
    <w:unhideWhenUsed/>
    <w:qFormat/>
    <w:uiPriority w:val="99"/>
    <w:pPr>
      <w:jc w:val="left"/>
    </w:pPr>
    <w:rPr>
      <w:kern w:val="0"/>
      <w:sz w:val="18"/>
      <w:szCs w:val="18"/>
      <w:lang w:eastAsia="en-US"/>
    </w:rPr>
  </w:style>
  <w:style w:type="paragraph" w:styleId="15">
    <w:name w:val="header"/>
    <w:basedOn w:val="1"/>
    <w:link w:val="2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1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8">
    <w:name w:val="Body Text First Indent"/>
    <w:basedOn w:val="9"/>
    <w:unhideWhenUsed/>
    <w:qFormat/>
    <w:uiPriority w:val="99"/>
    <w:pPr>
      <w:ind w:firstLine="567"/>
    </w:pPr>
  </w:style>
  <w:style w:type="table" w:styleId="20">
    <w:name w:val="Table Grid"/>
    <w:basedOn w:val="19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FollowedHyperlink"/>
    <w:basedOn w:val="21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23">
    <w:name w:val="Hyperlink"/>
    <w:basedOn w:val="21"/>
    <w:unhideWhenUsed/>
    <w:qFormat/>
    <w:uiPriority w:val="99"/>
    <w:rPr>
      <w:color w:val="0000FF"/>
      <w:u w:val="single"/>
    </w:r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paragraph" w:customStyle="1" w:styleId="25">
    <w:name w:val="默认段落字体 Para Char"/>
    <w:basedOn w:val="1"/>
    <w:qFormat/>
    <w:uiPriority w:val="0"/>
    <w:pPr>
      <w:spacing w:before="80" w:after="80" w:line="360" w:lineRule="auto"/>
    </w:pPr>
    <w:rPr>
      <w:sz w:val="24"/>
    </w:rPr>
  </w:style>
  <w:style w:type="character" w:customStyle="1" w:styleId="26">
    <w:name w:val="页眉 字符"/>
    <w:basedOn w:val="21"/>
    <w:link w:val="15"/>
    <w:qFormat/>
    <w:uiPriority w:val="0"/>
    <w:rPr>
      <w:sz w:val="18"/>
      <w:szCs w:val="18"/>
    </w:rPr>
  </w:style>
  <w:style w:type="character" w:customStyle="1" w:styleId="27">
    <w:name w:val="页脚 字符"/>
    <w:basedOn w:val="21"/>
    <w:link w:val="2"/>
    <w:qFormat/>
    <w:uiPriority w:val="99"/>
    <w:rPr>
      <w:sz w:val="18"/>
      <w:szCs w:val="18"/>
    </w:rPr>
  </w:style>
  <w:style w:type="paragraph" w:styleId="28">
    <w:name w:val="List Paragraph"/>
    <w:basedOn w:val="1"/>
    <w:qFormat/>
    <w:uiPriority w:val="34"/>
    <w:pPr>
      <w:ind w:firstLine="420" w:firstLineChars="200"/>
    </w:pPr>
  </w:style>
  <w:style w:type="character" w:customStyle="1" w:styleId="29">
    <w:name w:val="日期 字符"/>
    <w:basedOn w:val="21"/>
    <w:link w:val="12"/>
    <w:semiHidden/>
    <w:qFormat/>
    <w:uiPriority w:val="99"/>
  </w:style>
  <w:style w:type="character" w:customStyle="1" w:styleId="30">
    <w:name w:val="fontstyle01"/>
    <w:basedOn w:val="21"/>
    <w:qFormat/>
    <w:uiPriority w:val="0"/>
    <w:rPr>
      <w:rFonts w:hint="default" w:ascii="CIDFont+F4" w:hAnsi="CIDFont+F4"/>
      <w:color w:val="000000"/>
      <w:sz w:val="24"/>
      <w:szCs w:val="24"/>
    </w:rPr>
  </w:style>
  <w:style w:type="paragraph" w:styleId="31">
    <w:name w:val="No Spacing"/>
    <w:qFormat/>
    <w:uiPriority w:val="99"/>
    <w:pPr>
      <w:spacing w:line="360" w:lineRule="auto"/>
      <w:jc w:val="center"/>
    </w:pPr>
    <w:rPr>
      <w:rFonts w:ascii="Arial" w:hAnsi="Arial" w:eastAsia="宋体" w:cs="Times New Roman"/>
      <w:spacing w:val="-5"/>
      <w:sz w:val="21"/>
      <w:lang w:val="en-US" w:eastAsia="zh-CN" w:bidi="ar-SA"/>
    </w:rPr>
  </w:style>
  <w:style w:type="paragraph" w:customStyle="1" w:styleId="32">
    <w:name w:val="Table Paragraph"/>
    <w:basedOn w:val="1"/>
    <w:qFormat/>
    <w:uiPriority w:val="0"/>
    <w:pPr>
      <w:jc w:val="left"/>
    </w:pPr>
    <w:rPr>
      <w:kern w:val="0"/>
      <w:sz w:val="22"/>
      <w:lang w:eastAsia="en-US"/>
    </w:rPr>
  </w:style>
  <w:style w:type="paragraph" w:customStyle="1" w:styleId="33">
    <w:name w:val="正文_1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4">
    <w:name w:val="标题 1 字符"/>
    <w:basedOn w:val="21"/>
    <w:link w:val="3"/>
    <w:qFormat/>
    <w:uiPriority w:val="0"/>
    <w:rPr>
      <w:rFonts w:ascii="微软雅黑" w:hAnsi="微软雅黑" w:eastAsia="微软雅黑" w:cs="Times New Roman"/>
      <w:bCs/>
      <w:sz w:val="32"/>
      <w:szCs w:val="32"/>
    </w:rPr>
  </w:style>
  <w:style w:type="character" w:customStyle="1" w:styleId="35">
    <w:name w:val="标题 2 字符"/>
    <w:basedOn w:val="21"/>
    <w:link w:val="4"/>
    <w:qFormat/>
    <w:uiPriority w:val="1"/>
    <w:rPr>
      <w:rFonts w:ascii="Microsoft YaHei UI" w:hAnsi="Microsoft YaHei UI" w:eastAsia="Microsoft YaHei UI"/>
      <w:spacing w:val="2"/>
      <w:kern w:val="2"/>
      <w:sz w:val="32"/>
      <w:szCs w:val="32"/>
    </w:rPr>
  </w:style>
  <w:style w:type="character" w:customStyle="1" w:styleId="36">
    <w:name w:val="正文文本 字符"/>
    <w:basedOn w:val="21"/>
    <w:link w:val="9"/>
    <w:qFormat/>
    <w:uiPriority w:val="1"/>
    <w:rPr>
      <w:rFonts w:ascii="Microsoft YaHei UI" w:hAnsi="Microsoft YaHei UI" w:eastAsia="Microsoft YaHei UI"/>
      <w:kern w:val="2"/>
      <w:sz w:val="21"/>
      <w:szCs w:val="21"/>
    </w:rPr>
  </w:style>
  <w:style w:type="character" w:customStyle="1" w:styleId="37">
    <w:name w:val="正文文本缩进 2 字符"/>
    <w:basedOn w:val="21"/>
    <w:link w:val="13"/>
    <w:semiHidden/>
    <w:qFormat/>
    <w:uiPriority w:val="99"/>
    <w:rPr>
      <w:sz w:val="22"/>
      <w:szCs w:val="22"/>
      <w:lang w:eastAsia="en-US"/>
    </w:rPr>
  </w:style>
  <w:style w:type="character" w:customStyle="1" w:styleId="38">
    <w:name w:val="批注框文本 字符"/>
    <w:basedOn w:val="21"/>
    <w:link w:val="14"/>
    <w:semiHidden/>
    <w:qFormat/>
    <w:uiPriority w:val="99"/>
    <w:rPr>
      <w:sz w:val="18"/>
      <w:szCs w:val="18"/>
      <w:lang w:eastAsia="en-US"/>
    </w:rPr>
  </w:style>
  <w:style w:type="table" w:customStyle="1" w:styleId="39">
    <w:name w:val="Table Normal"/>
    <w:semiHidden/>
    <w:unhideWhenUsed/>
    <w:qFormat/>
    <w:uiPriority w:val="2"/>
    <w:pPr>
      <w:widowControl w:val="0"/>
    </w:pPr>
    <w:rPr>
      <w:rFonts w:ascii="Times New Roman" w:hAnsi="Times New Roman" w:eastAsia="宋体" w:cs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0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1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42">
    <w:name w:val="设计正文2"/>
    <w:basedOn w:val="1"/>
    <w:qFormat/>
    <w:uiPriority w:val="0"/>
    <w:pPr>
      <w:snapToGrid w:val="0"/>
      <w:spacing w:before="160" w:line="320" w:lineRule="atLeast"/>
    </w:pPr>
    <w:rPr>
      <w:rFonts w:ascii="Times New Roman" w:hAnsi="Times New Roman" w:eastAsia="宋体" w:cs="Times New Roman"/>
      <w:sz w:val="24"/>
      <w:szCs w:val="20"/>
    </w:rPr>
  </w:style>
  <w:style w:type="character" w:customStyle="1" w:styleId="43">
    <w:name w:val="批注文字 字符"/>
    <w:basedOn w:val="21"/>
    <w:link w:val="8"/>
    <w:qFormat/>
    <w:uiPriority w:val="99"/>
    <w:rPr>
      <w:kern w:val="2"/>
      <w:sz w:val="21"/>
      <w:szCs w:val="22"/>
    </w:rPr>
  </w:style>
  <w:style w:type="character" w:customStyle="1" w:styleId="44">
    <w:name w:val="fontstyle21"/>
    <w:basedOn w:val="21"/>
    <w:qFormat/>
    <w:uiPriority w:val="0"/>
    <w:rPr>
      <w:rFonts w:ascii="TimesNewRomanPSMT" w:hAnsi="TimesNewRomanPSMT" w:eastAsia="TimesNewRomanPSMT" w:cs="TimesNewRomanPSMT"/>
      <w:color w:val="000000"/>
      <w:sz w:val="22"/>
      <w:szCs w:val="22"/>
    </w:rPr>
  </w:style>
  <w:style w:type="paragraph" w:customStyle="1" w:styleId="45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lang w:val="en-US" w:eastAsia="zh-CN" w:bidi="ar-SA"/>
    </w:rPr>
  </w:style>
  <w:style w:type="character" w:customStyle="1" w:styleId="46">
    <w:name w:val="hover16"/>
    <w:basedOn w:val="21"/>
    <w:qFormat/>
    <w:uiPriority w:val="0"/>
    <w:rPr>
      <w:color w:val="FF6600"/>
      <w:bdr w:val="single" w:color="DDDDDD" w:sz="6" w:space="0"/>
      <w:shd w:val="clear" w:fill="FFFFFF"/>
    </w:rPr>
  </w:style>
  <w:style w:type="character" w:customStyle="1" w:styleId="47">
    <w:name w:val="over"/>
    <w:basedOn w:val="21"/>
    <w:qFormat/>
    <w:uiPriority w:val="0"/>
    <w:rPr>
      <w:shd w:val="clear" w:fill="3F82BE"/>
    </w:rPr>
  </w:style>
  <w:style w:type="character" w:customStyle="1" w:styleId="48">
    <w:name w:val="before"/>
    <w:basedOn w:val="21"/>
    <w:qFormat/>
    <w:uiPriority w:val="0"/>
  </w:style>
  <w:style w:type="character" w:customStyle="1" w:styleId="49">
    <w:name w:val="selallcontainer"/>
    <w:basedOn w:val="21"/>
    <w:qFormat/>
    <w:uiPriority w:val="0"/>
  </w:style>
  <w:style w:type="character" w:customStyle="1" w:styleId="50">
    <w:name w:val="font11"/>
    <w:basedOn w:val="2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1">
    <w:name w:val="Body text (2)"/>
    <w:basedOn w:val="21"/>
    <w:qFormat/>
    <w:uiPriority w:val="0"/>
    <w:rPr>
      <w:rFonts w:hint="eastAsia" w:ascii="MingLiU" w:hAnsi="MingLiU" w:eastAsia="MingLiU" w:cs="MingLiU"/>
      <w:color w:val="000000"/>
      <w:spacing w:val="0"/>
      <w:w w:val="100"/>
      <w:position w:val="0"/>
      <w:sz w:val="19"/>
      <w:szCs w:val="19"/>
      <w:u w:val="none"/>
      <w:lang w:val="zh-CN" w:eastAsia="zh-CN" w:bidi="zh-CN"/>
    </w:rPr>
  </w:style>
  <w:style w:type="character" w:customStyle="1" w:styleId="52">
    <w:name w:val="Body text (2) + 10 pt"/>
    <w:basedOn w:val="21"/>
    <w:qFormat/>
    <w:uiPriority w:val="0"/>
    <w:rPr>
      <w:rFonts w:hint="eastAsia" w:ascii="MingLiU" w:hAnsi="MingLiU" w:eastAsia="MingLiU" w:cs="MingLiU"/>
      <w:color w:val="000000"/>
      <w:spacing w:val="0"/>
      <w:w w:val="100"/>
      <w:position w:val="0"/>
      <w:sz w:val="20"/>
      <w:szCs w:val="20"/>
      <w:u w:val="none"/>
      <w:lang w:val="zh-CN" w:eastAsia="zh-CN" w:bidi="zh-CN"/>
    </w:rPr>
  </w:style>
  <w:style w:type="character" w:customStyle="1" w:styleId="53">
    <w:name w:val="font61"/>
    <w:basedOn w:val="21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54">
    <w:name w:val="font41"/>
    <w:basedOn w:val="21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55">
    <w:name w:val="font31"/>
    <w:basedOn w:val="21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paragraph" w:customStyle="1" w:styleId="56">
    <w:name w:val="zz-1"/>
    <w:qFormat/>
    <w:uiPriority w:val="0"/>
    <w:pPr>
      <w:keepNext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120" w:beforeAutospacing="0" w:after="0" w:afterAutospacing="0" w:line="300" w:lineRule="auto"/>
      <w:ind w:left="340" w:right="0" w:hanging="340"/>
      <w:jc w:val="both"/>
      <w:outlineLvl w:val="0"/>
    </w:pPr>
    <w:rPr>
      <w:rFonts w:ascii="SimSong Bold" w:hAnsi="SimSong Bold" w:eastAsia="SimSong Bold" w:cs="SimSong Bold"/>
      <w:color w:val="000000"/>
      <w:spacing w:val="0"/>
      <w:w w:val="100"/>
      <w:kern w:val="44"/>
      <w:position w:val="0"/>
      <w:sz w:val="28"/>
      <w:szCs w:val="28"/>
      <w:u w:val="none" w:color="000000"/>
      <w:shd w:val="clear" w:color="auto" w:fill="auto"/>
      <w:vertAlign w:val="baseline"/>
      <w:lang w:val="en-US"/>
    </w:rPr>
  </w:style>
  <w:style w:type="paragraph" w:customStyle="1" w:styleId="57">
    <w:name w:val="正文 B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Times New Roman" w:hAnsi="Times New Roman" w:eastAsia="Times New Roman" w:cs="Times New Roman"/>
      <w:color w:val="000000"/>
      <w:spacing w:val="0"/>
      <w:w w:val="100"/>
      <w:kern w:val="0"/>
      <w:position w:val="0"/>
      <w:sz w:val="24"/>
      <w:szCs w:val="24"/>
      <w:u w:val="none" w:color="000000"/>
      <w:shd w:val="clear" w:color="auto" w:fill="auto"/>
      <w:vertAlign w:val="baseline"/>
      <w:lang w:val="en-US"/>
    </w:rPr>
  </w:style>
  <w:style w:type="paragraph" w:customStyle="1" w:styleId="58">
    <w:name w:val="正文文本_1"/>
    <w:basedOn w:val="33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楷体" w:eastAsia="楷体"/>
      <w:i/>
      <w:iCs/>
      <w:kern w:val="0"/>
      <w:sz w:val="20"/>
      <w:szCs w:val="20"/>
      <w:lang w:val="zh-CN"/>
    </w:rPr>
  </w:style>
  <w:style w:type="table" w:customStyle="1" w:styleId="59">
    <w:name w:val="网格型3"/>
    <w:basedOn w:val="1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0">
    <w:name w:val="正文表标题"/>
    <w:next w:val="61"/>
    <w:qFormat/>
    <w:uiPriority w:val="0"/>
    <w:pPr>
      <w:numPr>
        <w:ilvl w:val="0"/>
        <w:numId w:val="1"/>
      </w:numPr>
      <w:tabs>
        <w:tab w:val="left" w:pos="360"/>
      </w:tabs>
      <w:spacing w:beforeLines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61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346</Words>
  <Characters>1976</Characters>
  <Lines>16</Lines>
  <Paragraphs>4</Paragraphs>
  <TotalTime>21</TotalTime>
  <ScaleCrop>false</ScaleCrop>
  <LinksUpToDate>false</LinksUpToDate>
  <CharactersWithSpaces>2318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2021-04-29T03:47:00Z</dcterms:created>
  <dc:creator>季云峰/采办项目组/集团公司机关</dc:creator>
  <cp:lastModifiedBy>王莫飞</cp:lastModifiedBy>
  <dcterms:modified xsi:type="dcterms:W3CDTF">2026-01-20T03:04:52Z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4211DA143C5747EE8C593054049621C5</vt:lpwstr>
  </property>
</Properties>
</file>