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3047B1">
      <w:pPr>
        <w:ind w:firstLine="0" w:firstLineChars="0"/>
        <w:jc w:val="center"/>
        <w:rPr>
          <w:rFonts w:ascii="Times New Roman" w:hAnsi="Times New Roman" w:eastAsia="黑体"/>
          <w:sz w:val="48"/>
          <w:szCs w:val="48"/>
        </w:rPr>
      </w:pPr>
    </w:p>
    <w:p w14:paraId="796E15D9">
      <w:pPr>
        <w:ind w:firstLine="0" w:firstLineChars="0"/>
        <w:jc w:val="center"/>
        <w:rPr>
          <w:rFonts w:ascii="Times New Roman" w:hAnsi="Times New Roman" w:eastAsia="黑体"/>
          <w:sz w:val="48"/>
          <w:szCs w:val="48"/>
        </w:rPr>
      </w:pPr>
    </w:p>
    <w:p w14:paraId="740C8FD4">
      <w:pPr>
        <w:ind w:firstLine="0" w:firstLineChars="0"/>
        <w:jc w:val="center"/>
        <w:rPr>
          <w:rFonts w:ascii="Times New Roman" w:hAnsi="Times New Roman" w:eastAsia="黑体"/>
          <w:sz w:val="52"/>
          <w:szCs w:val="52"/>
        </w:rPr>
      </w:pPr>
    </w:p>
    <w:p w14:paraId="14DAFED5">
      <w:pPr>
        <w:ind w:firstLine="0" w:firstLineChars="0"/>
        <w:jc w:val="center"/>
        <w:rPr>
          <w:rFonts w:ascii="Times New Roman" w:hAnsi="Times New Roman" w:eastAsia="黑体"/>
          <w:sz w:val="52"/>
          <w:szCs w:val="52"/>
        </w:rPr>
      </w:pPr>
    </w:p>
    <w:p w14:paraId="7775AD7B">
      <w:pPr>
        <w:ind w:firstLine="0" w:firstLineChars="0"/>
        <w:jc w:val="center"/>
        <w:rPr>
          <w:rFonts w:ascii="Times New Roman" w:hAnsi="Times New Roman" w:eastAsia="黑体"/>
          <w:sz w:val="52"/>
          <w:szCs w:val="52"/>
        </w:rPr>
      </w:pPr>
      <w:r>
        <w:rPr>
          <w:rFonts w:ascii="Times New Roman" w:hAnsi="Times New Roman" w:eastAsia="黑体"/>
          <w:sz w:val="52"/>
          <w:szCs w:val="52"/>
        </w:rPr>
        <w:t>市商务委综合监管子系统建设项目</w:t>
      </w:r>
    </w:p>
    <w:p w14:paraId="6EF5BB61">
      <w:pPr>
        <w:ind w:firstLine="0" w:firstLineChars="0"/>
        <w:jc w:val="center"/>
        <w:rPr>
          <w:rFonts w:ascii="Times New Roman" w:hAnsi="Times New Roman" w:eastAsia="黑体"/>
          <w:sz w:val="52"/>
          <w:szCs w:val="52"/>
        </w:rPr>
      </w:pPr>
      <w:r>
        <w:rPr>
          <w:rFonts w:ascii="Times New Roman" w:hAnsi="Times New Roman" w:eastAsia="黑体"/>
          <w:sz w:val="52"/>
          <w:szCs w:val="52"/>
        </w:rPr>
        <w:t>采购需求</w:t>
      </w:r>
    </w:p>
    <w:p w14:paraId="5E1AD4C3">
      <w:pPr>
        <w:ind w:firstLine="0" w:firstLineChars="0"/>
        <w:jc w:val="center"/>
        <w:rPr>
          <w:rFonts w:ascii="Times New Roman" w:hAnsi="Times New Roman" w:eastAsia="黑体"/>
          <w:sz w:val="72"/>
          <w:szCs w:val="72"/>
        </w:rPr>
      </w:pPr>
    </w:p>
    <w:p w14:paraId="67DD01DD">
      <w:pPr>
        <w:ind w:firstLine="0" w:firstLineChars="0"/>
        <w:jc w:val="center"/>
        <w:rPr>
          <w:rFonts w:ascii="Times New Roman" w:hAnsi="Times New Roman" w:eastAsia="黑体"/>
          <w:sz w:val="48"/>
          <w:szCs w:val="48"/>
        </w:rPr>
      </w:pPr>
    </w:p>
    <w:p w14:paraId="253DDED2">
      <w:pPr>
        <w:ind w:firstLine="0" w:firstLineChars="0"/>
        <w:jc w:val="center"/>
        <w:rPr>
          <w:rFonts w:ascii="Times New Roman" w:hAnsi="Times New Roman" w:eastAsia="黑体"/>
          <w:sz w:val="52"/>
          <w:szCs w:val="52"/>
        </w:rPr>
      </w:pPr>
    </w:p>
    <w:p w14:paraId="4EEB0B53">
      <w:pPr>
        <w:ind w:firstLine="1040"/>
        <w:rPr>
          <w:rFonts w:ascii="Times New Roman" w:hAnsi="Times New Roman" w:eastAsia="黑体"/>
          <w:sz w:val="52"/>
          <w:szCs w:val="52"/>
        </w:rPr>
      </w:pPr>
    </w:p>
    <w:p w14:paraId="07227FFF">
      <w:pPr>
        <w:rPr>
          <w:rFonts w:ascii="Times New Roman" w:hAnsi="Times New Roman"/>
        </w:rPr>
      </w:pPr>
    </w:p>
    <w:p w14:paraId="1A14B187">
      <w:pPr>
        <w:rPr>
          <w:rFonts w:ascii="Times New Roman" w:hAnsi="Times New Roman"/>
        </w:rPr>
      </w:pPr>
    </w:p>
    <w:p w14:paraId="0018A938">
      <w:pPr>
        <w:rPr>
          <w:rFonts w:ascii="Times New Roman" w:hAnsi="Times New Roman"/>
        </w:rPr>
      </w:pPr>
    </w:p>
    <w:p w14:paraId="7D9F9C5B">
      <w:pPr>
        <w:ind w:firstLine="0" w:firstLineChars="0"/>
        <w:rPr>
          <w:rFonts w:ascii="Times New Roman" w:hAnsi="Times New Roman" w:eastAsia="黑体"/>
          <w:sz w:val="52"/>
          <w:szCs w:val="52"/>
        </w:rPr>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pPr>
    </w:p>
    <w:p w14:paraId="62D02874">
      <w:pPr>
        <w:pStyle w:val="2"/>
        <w:rPr>
          <w:rFonts w:ascii="Times New Roman" w:hAnsi="Times New Roman"/>
        </w:rPr>
      </w:pPr>
      <w:bookmarkStart w:id="0" w:name="_Toc63785461"/>
      <w:r>
        <w:rPr>
          <w:rFonts w:ascii="Times New Roman" w:hAnsi="Times New Roman"/>
        </w:rPr>
        <w:t>项目概况</w:t>
      </w:r>
      <w:bookmarkEnd w:id="0"/>
    </w:p>
    <w:p w14:paraId="4231FAD8">
      <w:pPr>
        <w:spacing w:line="560" w:lineRule="exact"/>
        <w:rPr>
          <w:rFonts w:ascii="Times New Roman" w:hAnsi="Times New Roman"/>
        </w:rPr>
      </w:pPr>
      <w:r>
        <w:rPr>
          <w:rFonts w:ascii="Times New Roman" w:hAnsi="Times New Roman"/>
        </w:rPr>
        <w:t>2023年1月国务院发布《国务院办公厅关于深入推进跨部门综合监管的指导意见》国办发〔2023〕1号文提出，建立健全跨部门综合监管制度，强化条块结合、区域联动，完善协同监管机制，提升监管的精准性和有效性，维护公平竞争的市场秩序。到2025年，在更多领域、更大范围建立健全跨部门综合监管制度，进一步优化协同监管机制和方式，大幅提升发现问题和处置风险能力，推动市场竞争更加公平有序、市场活力充分释放。为积极贯彻落实国家及上海市关于综合监管的要求，提高商务委综合监管能力，需要建设市商务委综合监管子系统，利用互联网思维、信息化手段，聚焦报废机动车回收拆解综合监管、新车销售综合监管、电动自行车安全综合监管等汽车行业业务场景监管，开展监管业务流程数字化建设，提高事中事后监管整体效能,实施监管业务流程革命性再造，满足日常监管、联合监管的需要，提高商务委的监管效率，提升城市治理体系和治理能力现代化水平。</w:t>
      </w:r>
    </w:p>
    <w:p w14:paraId="628F4D04">
      <w:pPr>
        <w:rPr>
          <w:rFonts w:ascii="Times New Roman" w:hAnsi="Times New Roman"/>
        </w:rPr>
      </w:pPr>
      <w:r>
        <w:rPr>
          <w:rFonts w:ascii="Times New Roman" w:hAnsi="Times New Roman"/>
        </w:rPr>
        <w:t>建设期限：自合同签订之日起至2026年11月30日前完成</w:t>
      </w:r>
    </w:p>
    <w:p w14:paraId="5CC8F44C">
      <w:pPr>
        <w:rPr>
          <w:rFonts w:ascii="Times New Roman" w:hAnsi="Times New Roman"/>
        </w:rPr>
      </w:pPr>
      <w:r>
        <w:rPr>
          <w:rFonts w:ascii="Times New Roman" w:hAnsi="Times New Roman"/>
        </w:rPr>
        <w:t>建设地点：</w:t>
      </w:r>
      <w:r>
        <w:rPr>
          <w:rFonts w:hint="eastAsia" w:ascii="Times New Roman" w:hAnsi="Times New Roman"/>
        </w:rPr>
        <w:t>上海市浦东新区世博村路300号</w:t>
      </w:r>
    </w:p>
    <w:p w14:paraId="61CED460">
      <w:pPr>
        <w:rPr>
          <w:rFonts w:ascii="Times New Roman" w:hAnsi="Times New Roman"/>
        </w:rPr>
      </w:pPr>
      <w:r>
        <w:rPr>
          <w:rFonts w:ascii="Times New Roman" w:hAnsi="Times New Roman"/>
        </w:rPr>
        <w:t>预算金额：1,425,000元</w:t>
      </w:r>
    </w:p>
    <w:p w14:paraId="1BAE7900">
      <w:pPr>
        <w:spacing w:line="560" w:lineRule="exact"/>
        <w:rPr>
          <w:rFonts w:ascii="Times New Roman" w:hAnsi="Times New Roman"/>
        </w:rPr>
      </w:pPr>
      <w:r>
        <w:rPr>
          <w:rFonts w:ascii="Times New Roman" w:hAnsi="Times New Roman"/>
        </w:rPr>
        <w:t>当年度预算金额：1,425,000元</w:t>
      </w:r>
    </w:p>
    <w:p w14:paraId="0EBE9B69">
      <w:pPr>
        <w:rPr>
          <w:rFonts w:ascii="Times New Roman" w:hAnsi="Times New Roman"/>
        </w:rPr>
      </w:pPr>
      <w:r>
        <w:rPr>
          <w:rFonts w:ascii="Times New Roman" w:hAnsi="Times New Roman"/>
        </w:rPr>
        <w:t>采购金额（最高限价）：1,425,000元</w:t>
      </w:r>
    </w:p>
    <w:p w14:paraId="622560C5">
      <w:pPr>
        <w:rPr>
          <w:rFonts w:ascii="Times New Roman" w:hAnsi="Times New Roman"/>
        </w:rPr>
      </w:pPr>
      <w:r>
        <w:rPr>
          <w:rFonts w:ascii="Times New Roman" w:hAnsi="Times New Roman"/>
        </w:rPr>
        <w:t>组织形式：集中采购</w:t>
      </w:r>
    </w:p>
    <w:p w14:paraId="3E381058">
      <w:pPr>
        <w:rPr>
          <w:rFonts w:ascii="Times New Roman" w:hAnsi="Times New Roman"/>
        </w:rPr>
      </w:pPr>
      <w:r>
        <w:rPr>
          <w:rFonts w:ascii="Times New Roman" w:hAnsi="Times New Roman"/>
        </w:rPr>
        <w:t>采购方式：竞争性磋商</w:t>
      </w:r>
    </w:p>
    <w:p w14:paraId="229EAFA4">
      <w:pPr>
        <w:rPr>
          <w:rFonts w:ascii="Times New Roman" w:hAnsi="Times New Roman"/>
        </w:rPr>
      </w:pPr>
      <w:r>
        <w:rPr>
          <w:rFonts w:ascii="Times New Roman" w:hAnsi="Times New Roman"/>
        </w:rPr>
        <w:t>是否接受联合体：否</w:t>
      </w:r>
    </w:p>
    <w:p w14:paraId="1392FE34">
      <w:pPr>
        <w:rPr>
          <w:rFonts w:ascii="Times New Roman" w:hAnsi="Times New Roman"/>
        </w:rPr>
      </w:pPr>
      <w:r>
        <w:rPr>
          <w:rFonts w:ascii="Times New Roman" w:hAnsi="Times New Roman"/>
        </w:rPr>
        <w:t>是否按</w:t>
      </w:r>
      <w:r>
        <w:rPr>
          <w:rFonts w:hint="eastAsia" w:ascii="Times New Roman" w:hAnsi="Times New Roman"/>
        </w:rPr>
        <w:t>XC</w:t>
      </w:r>
      <w:r>
        <w:rPr>
          <w:rFonts w:ascii="Times New Roman" w:hAnsi="Times New Roman"/>
        </w:rPr>
        <w:t>要求建设：是</w:t>
      </w:r>
    </w:p>
    <w:p w14:paraId="1D78FE9B">
      <w:pPr>
        <w:tabs>
          <w:tab w:val="left" w:pos="3120"/>
        </w:tabs>
        <w:rPr>
          <w:rFonts w:ascii="Times New Roman" w:hAnsi="Times New Roman"/>
        </w:rPr>
      </w:pPr>
      <w:r>
        <w:rPr>
          <w:rFonts w:ascii="Times New Roman" w:hAnsi="Times New Roman"/>
        </w:rPr>
        <w:t>是否采用低代码建设：否</w:t>
      </w:r>
    </w:p>
    <w:p w14:paraId="57EF0B01">
      <w:pPr>
        <w:rPr>
          <w:rFonts w:ascii="Times New Roman" w:hAnsi="Times New Roman"/>
        </w:rPr>
      </w:pPr>
      <w:r>
        <w:rPr>
          <w:rFonts w:ascii="Times New Roman" w:hAnsi="Times New Roman"/>
        </w:rPr>
        <w:t>运维后所属大系统：市商务委行业通管系统</w:t>
      </w:r>
    </w:p>
    <w:p w14:paraId="5BAB03B7">
      <w:pPr>
        <w:pStyle w:val="2"/>
        <w:rPr>
          <w:rFonts w:ascii="Times New Roman" w:hAnsi="Times New Roman"/>
        </w:rPr>
      </w:pPr>
      <w:bookmarkStart w:id="1" w:name="_Toc47536272"/>
      <w:bookmarkEnd w:id="1"/>
      <w:bookmarkStart w:id="2" w:name="_Toc47537134"/>
      <w:bookmarkEnd w:id="2"/>
      <w:bookmarkStart w:id="3" w:name="_Toc47533256"/>
      <w:bookmarkEnd w:id="3"/>
      <w:bookmarkStart w:id="4" w:name="_Toc47532255"/>
      <w:bookmarkEnd w:id="4"/>
      <w:bookmarkStart w:id="5" w:name="_Toc47536644"/>
      <w:bookmarkEnd w:id="5"/>
      <w:bookmarkStart w:id="6" w:name="_Toc47532891"/>
      <w:bookmarkEnd w:id="6"/>
      <w:bookmarkStart w:id="7" w:name="_Toc47531634"/>
      <w:bookmarkEnd w:id="7"/>
      <w:bookmarkStart w:id="8" w:name="_Toc47539070"/>
      <w:bookmarkEnd w:id="8"/>
      <w:bookmarkStart w:id="9" w:name="_Toc48223882"/>
      <w:bookmarkStart w:id="10" w:name="_Toc63785463"/>
      <w:r>
        <w:rPr>
          <w:rFonts w:ascii="Times New Roman" w:hAnsi="Times New Roman"/>
        </w:rPr>
        <w:t>建设目标</w:t>
      </w:r>
      <w:bookmarkEnd w:id="9"/>
      <w:bookmarkEnd w:id="10"/>
    </w:p>
    <w:p w14:paraId="50A65EDC">
      <w:pPr>
        <w:rPr>
          <w:rFonts w:ascii="Times New Roman" w:hAnsi="Times New Roman"/>
        </w:rPr>
      </w:pPr>
      <w:r>
        <w:rPr>
          <w:rFonts w:ascii="Times New Roman" w:hAnsi="Times New Roman"/>
        </w:rPr>
        <w:t>一是推动跨部门协同监管。汇聚市场监管、生态环境、应急管理、税务等多部门的监管业务链条，实现联合监管、协同处置、结果互认，避免重复检查或监管空白。</w:t>
      </w:r>
    </w:p>
    <w:p w14:paraId="0400A4EA">
      <w:pPr>
        <w:rPr>
          <w:rFonts w:ascii="Times New Roman" w:hAnsi="Times New Roman"/>
        </w:rPr>
      </w:pPr>
      <w:r>
        <w:rPr>
          <w:rFonts w:ascii="Times New Roman" w:hAnsi="Times New Roman"/>
        </w:rPr>
        <w:t>二是实现监管流程标准化。全面梳理整合监管业务流程（如审批、检查、处罚、信用管理等），形成规范化、自动化的业务闭环，减少人为干预，提升监管效率。</w:t>
      </w:r>
    </w:p>
    <w:p w14:paraId="0E279A23">
      <w:pPr>
        <w:rPr>
          <w:rFonts w:ascii="Times New Roman" w:hAnsi="Times New Roman"/>
        </w:rPr>
      </w:pPr>
      <w:r>
        <w:rPr>
          <w:rFonts w:ascii="Times New Roman" w:hAnsi="Times New Roman"/>
        </w:rPr>
        <w:t>三是加强动态监管响应。建立实时监管预警机制，对违规行为、风险事件快速响应，实现“早发现、早处置”，降低监管滞后性。</w:t>
      </w:r>
    </w:p>
    <w:p w14:paraId="109D19EE">
      <w:pPr>
        <w:rPr>
          <w:rFonts w:ascii="Times New Roman" w:hAnsi="Times New Roman"/>
        </w:rPr>
      </w:pPr>
      <w:r>
        <w:rPr>
          <w:rFonts w:ascii="Times New Roman" w:hAnsi="Times New Roman"/>
        </w:rPr>
        <w:t>四是提升对报废机动车回收拆解企业、新车销售企业、电动自行车经销商的数字化监管能力。通过打造“商务委综合监管子系统”，实现汽车报废全过程线上申请，对新车销售的全生命周期管理，利用数字化手段监管电动自行车经销商，做到全流程跟踪，责任落实到岗，完成“数字化治理”的目标。</w:t>
      </w:r>
    </w:p>
    <w:p w14:paraId="4F05D1F1">
      <w:pPr>
        <w:rPr>
          <w:rFonts w:ascii="Times New Roman" w:hAnsi="Times New Roman"/>
        </w:rPr>
      </w:pPr>
      <w:r>
        <w:rPr>
          <w:rFonts w:ascii="Times New Roman" w:hAnsi="Times New Roman"/>
        </w:rPr>
        <w:t>项目建设所需达到的成效考核目标如下：</w:t>
      </w:r>
    </w:p>
    <w:tbl>
      <w:tblPr>
        <w:tblStyle w:val="35"/>
        <w:tblW w:w="871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820"/>
        <w:gridCol w:w="1474"/>
        <w:gridCol w:w="1473"/>
        <w:gridCol w:w="1607"/>
        <w:gridCol w:w="1469"/>
        <w:gridCol w:w="1876"/>
      </w:tblGrid>
      <w:tr w14:paraId="687916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2" w:hRule="atLeast"/>
          <w:jc w:val="center"/>
        </w:trPr>
        <w:tc>
          <w:tcPr>
            <w:tcW w:w="2294" w:type="dxa"/>
            <w:gridSpan w:val="2"/>
            <w:vAlign w:val="center"/>
          </w:tcPr>
          <w:p w14:paraId="23524EC3">
            <w:pPr>
              <w:pStyle w:val="137"/>
              <w:widowControl w:val="0"/>
              <w:jc w:val="center"/>
              <w:rPr>
                <w:rFonts w:eastAsia="宋体" w:cs="Times New Roman"/>
              </w:rPr>
            </w:pPr>
          </w:p>
        </w:tc>
        <w:tc>
          <w:tcPr>
            <w:tcW w:w="6425" w:type="dxa"/>
            <w:gridSpan w:val="4"/>
          </w:tcPr>
          <w:p w14:paraId="27A46310">
            <w:pPr>
              <w:pStyle w:val="137"/>
              <w:widowControl w:val="0"/>
              <w:jc w:val="center"/>
              <w:rPr>
                <w:rFonts w:eastAsia="宋体" w:cs="Times New Roman"/>
              </w:rPr>
            </w:pPr>
          </w:p>
        </w:tc>
      </w:tr>
      <w:tr w14:paraId="565360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2" w:hRule="atLeast"/>
          <w:jc w:val="center"/>
        </w:trPr>
        <w:tc>
          <w:tcPr>
            <w:tcW w:w="820" w:type="dxa"/>
            <w:vAlign w:val="center"/>
          </w:tcPr>
          <w:p w14:paraId="08642DB2">
            <w:pPr>
              <w:pStyle w:val="137"/>
              <w:widowControl w:val="0"/>
              <w:jc w:val="center"/>
              <w:rPr>
                <w:rFonts w:eastAsia="宋体" w:cs="Times New Roman"/>
              </w:rPr>
            </w:pPr>
            <w:r>
              <w:rPr>
                <w:rFonts w:eastAsia="宋体" w:cs="Times New Roman"/>
              </w:rPr>
              <w:t>序号</w:t>
            </w:r>
          </w:p>
        </w:tc>
        <w:tc>
          <w:tcPr>
            <w:tcW w:w="1474" w:type="dxa"/>
            <w:vAlign w:val="center"/>
          </w:tcPr>
          <w:p w14:paraId="0639B7CC">
            <w:pPr>
              <w:pStyle w:val="137"/>
              <w:widowControl w:val="0"/>
              <w:jc w:val="center"/>
              <w:rPr>
                <w:rFonts w:eastAsia="宋体" w:cs="Times New Roman"/>
              </w:rPr>
            </w:pPr>
            <w:r>
              <w:rPr>
                <w:rFonts w:eastAsia="宋体" w:cs="Times New Roman"/>
              </w:rPr>
              <w:t>一级指标</w:t>
            </w:r>
          </w:p>
        </w:tc>
        <w:tc>
          <w:tcPr>
            <w:tcW w:w="1473" w:type="dxa"/>
            <w:vAlign w:val="center"/>
          </w:tcPr>
          <w:p w14:paraId="6F4CAE13">
            <w:pPr>
              <w:pStyle w:val="137"/>
              <w:widowControl w:val="0"/>
              <w:jc w:val="center"/>
              <w:rPr>
                <w:rFonts w:eastAsia="宋体" w:cs="Times New Roman"/>
              </w:rPr>
            </w:pPr>
            <w:r>
              <w:rPr>
                <w:rFonts w:eastAsia="宋体" w:cs="Times New Roman"/>
              </w:rPr>
              <w:t>二级指标</w:t>
            </w:r>
          </w:p>
        </w:tc>
        <w:tc>
          <w:tcPr>
            <w:tcW w:w="1607" w:type="dxa"/>
            <w:vAlign w:val="center"/>
          </w:tcPr>
          <w:p w14:paraId="6BBF0C1B">
            <w:pPr>
              <w:pStyle w:val="137"/>
              <w:widowControl w:val="0"/>
              <w:jc w:val="center"/>
              <w:rPr>
                <w:rFonts w:eastAsia="宋体" w:cs="Times New Roman"/>
              </w:rPr>
            </w:pPr>
            <w:r>
              <w:rPr>
                <w:rFonts w:eastAsia="宋体" w:cs="Times New Roman"/>
              </w:rPr>
              <w:t>三级指标</w:t>
            </w:r>
          </w:p>
        </w:tc>
        <w:tc>
          <w:tcPr>
            <w:tcW w:w="1469" w:type="dxa"/>
          </w:tcPr>
          <w:p w14:paraId="1B4055BB">
            <w:pPr>
              <w:pStyle w:val="137"/>
              <w:widowControl w:val="0"/>
              <w:jc w:val="center"/>
              <w:rPr>
                <w:rFonts w:eastAsia="宋体" w:cs="Times New Roman"/>
              </w:rPr>
            </w:pPr>
            <w:r>
              <w:rPr>
                <w:rFonts w:eastAsia="宋体" w:cs="Times New Roman"/>
              </w:rPr>
              <w:t>四级指标</w:t>
            </w:r>
          </w:p>
        </w:tc>
        <w:tc>
          <w:tcPr>
            <w:tcW w:w="1876" w:type="dxa"/>
            <w:vAlign w:val="center"/>
          </w:tcPr>
          <w:p w14:paraId="0E25AC65">
            <w:pPr>
              <w:pStyle w:val="137"/>
              <w:widowControl w:val="0"/>
              <w:jc w:val="center"/>
              <w:rPr>
                <w:rFonts w:eastAsia="宋体" w:cs="Times New Roman"/>
              </w:rPr>
            </w:pPr>
            <w:r>
              <w:rPr>
                <w:rFonts w:eastAsia="宋体" w:cs="Times New Roman"/>
              </w:rPr>
              <w:t>指标值</w:t>
            </w:r>
          </w:p>
        </w:tc>
      </w:tr>
      <w:tr w14:paraId="4A91E7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19" w:hRule="atLeast"/>
          <w:jc w:val="center"/>
        </w:trPr>
        <w:tc>
          <w:tcPr>
            <w:tcW w:w="820" w:type="dxa"/>
            <w:vAlign w:val="center"/>
          </w:tcPr>
          <w:p w14:paraId="57B49413">
            <w:pPr>
              <w:pStyle w:val="137"/>
              <w:widowControl w:val="0"/>
              <w:jc w:val="center"/>
              <w:rPr>
                <w:rFonts w:eastAsia="宋体" w:cs="Times New Roman"/>
              </w:rPr>
            </w:pPr>
            <w:r>
              <w:rPr>
                <w:rFonts w:eastAsia="宋体" w:cs="Times New Roman"/>
              </w:rPr>
              <w:t>1</w:t>
            </w:r>
          </w:p>
        </w:tc>
        <w:tc>
          <w:tcPr>
            <w:tcW w:w="1474" w:type="dxa"/>
            <w:vMerge w:val="restart"/>
            <w:vAlign w:val="center"/>
          </w:tcPr>
          <w:p w14:paraId="45A17851">
            <w:pPr>
              <w:pStyle w:val="137"/>
              <w:widowControl w:val="0"/>
              <w:jc w:val="center"/>
              <w:rPr>
                <w:rFonts w:eastAsia="宋体" w:cs="Times New Roman"/>
              </w:rPr>
            </w:pPr>
            <w:r>
              <w:rPr>
                <w:rFonts w:eastAsia="宋体" w:cs="Times New Roman"/>
              </w:rPr>
              <w:t>通用指标</w:t>
            </w:r>
          </w:p>
        </w:tc>
        <w:tc>
          <w:tcPr>
            <w:tcW w:w="1473" w:type="dxa"/>
            <w:vMerge w:val="restart"/>
            <w:vAlign w:val="center"/>
          </w:tcPr>
          <w:p w14:paraId="5E9185FA">
            <w:pPr>
              <w:pStyle w:val="137"/>
              <w:widowControl w:val="0"/>
              <w:jc w:val="center"/>
              <w:rPr>
                <w:rFonts w:eastAsia="宋体" w:cs="Times New Roman"/>
              </w:rPr>
            </w:pPr>
            <w:r>
              <w:rPr>
                <w:rFonts w:eastAsia="宋体" w:cs="Times New Roman"/>
              </w:rPr>
              <w:t>产出指标</w:t>
            </w:r>
          </w:p>
        </w:tc>
        <w:tc>
          <w:tcPr>
            <w:tcW w:w="1607" w:type="dxa"/>
            <w:vAlign w:val="center"/>
          </w:tcPr>
          <w:p w14:paraId="0FCDBDC3">
            <w:pPr>
              <w:pStyle w:val="137"/>
              <w:widowControl w:val="0"/>
              <w:jc w:val="center"/>
              <w:rPr>
                <w:rFonts w:eastAsia="宋体" w:cs="Times New Roman"/>
              </w:rPr>
            </w:pPr>
            <w:r>
              <w:rPr>
                <w:rFonts w:eastAsia="宋体" w:cs="Times New Roman"/>
              </w:rPr>
              <w:t>产出数量</w:t>
            </w:r>
          </w:p>
        </w:tc>
        <w:tc>
          <w:tcPr>
            <w:tcW w:w="1469" w:type="dxa"/>
          </w:tcPr>
          <w:p w14:paraId="62F59191">
            <w:pPr>
              <w:pStyle w:val="137"/>
              <w:widowControl w:val="0"/>
              <w:jc w:val="center"/>
              <w:rPr>
                <w:rFonts w:eastAsia="宋体" w:cs="Times New Roman"/>
              </w:rPr>
            </w:pPr>
            <w:r>
              <w:rPr>
                <w:rFonts w:eastAsia="宋体" w:cs="Times New Roman"/>
              </w:rPr>
              <w:t>软件开发完成率</w:t>
            </w:r>
          </w:p>
        </w:tc>
        <w:tc>
          <w:tcPr>
            <w:tcW w:w="1876" w:type="dxa"/>
            <w:vAlign w:val="center"/>
          </w:tcPr>
          <w:p w14:paraId="01DE5C91">
            <w:pPr>
              <w:pStyle w:val="137"/>
              <w:widowControl w:val="0"/>
              <w:jc w:val="center"/>
              <w:rPr>
                <w:rFonts w:eastAsia="宋体" w:cs="Times New Roman"/>
              </w:rPr>
            </w:pPr>
            <w:r>
              <w:rPr>
                <w:rFonts w:eastAsia="宋体" w:cs="Times New Roman"/>
              </w:rPr>
              <w:t>100%</w:t>
            </w:r>
          </w:p>
        </w:tc>
      </w:tr>
      <w:tr w14:paraId="129FA1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19" w:hRule="atLeast"/>
          <w:jc w:val="center"/>
        </w:trPr>
        <w:tc>
          <w:tcPr>
            <w:tcW w:w="820" w:type="dxa"/>
            <w:vAlign w:val="center"/>
          </w:tcPr>
          <w:p w14:paraId="5A7BC40B">
            <w:pPr>
              <w:pStyle w:val="137"/>
              <w:widowControl w:val="0"/>
              <w:jc w:val="center"/>
              <w:rPr>
                <w:rFonts w:eastAsia="宋体" w:cs="Times New Roman"/>
              </w:rPr>
            </w:pPr>
            <w:r>
              <w:rPr>
                <w:rFonts w:eastAsia="宋体" w:cs="Times New Roman"/>
              </w:rPr>
              <w:t>2</w:t>
            </w:r>
          </w:p>
        </w:tc>
        <w:tc>
          <w:tcPr>
            <w:tcW w:w="1474" w:type="dxa"/>
            <w:vMerge w:val="continue"/>
            <w:vAlign w:val="center"/>
          </w:tcPr>
          <w:p w14:paraId="591CD361">
            <w:pPr>
              <w:pStyle w:val="137"/>
              <w:widowControl w:val="0"/>
              <w:jc w:val="center"/>
              <w:rPr>
                <w:rFonts w:eastAsia="宋体" w:cs="Times New Roman"/>
              </w:rPr>
            </w:pPr>
          </w:p>
        </w:tc>
        <w:tc>
          <w:tcPr>
            <w:tcW w:w="1473" w:type="dxa"/>
            <w:vMerge w:val="continue"/>
            <w:vAlign w:val="center"/>
          </w:tcPr>
          <w:p w14:paraId="41E613F8">
            <w:pPr>
              <w:pStyle w:val="137"/>
              <w:widowControl w:val="0"/>
              <w:jc w:val="center"/>
              <w:rPr>
                <w:rFonts w:eastAsia="宋体" w:cs="Times New Roman"/>
              </w:rPr>
            </w:pPr>
          </w:p>
        </w:tc>
        <w:tc>
          <w:tcPr>
            <w:tcW w:w="1607" w:type="dxa"/>
            <w:vMerge w:val="restart"/>
            <w:vAlign w:val="center"/>
          </w:tcPr>
          <w:p w14:paraId="3298E1DE">
            <w:pPr>
              <w:pStyle w:val="137"/>
              <w:widowControl w:val="0"/>
              <w:jc w:val="center"/>
              <w:rPr>
                <w:rFonts w:eastAsia="宋体" w:cs="Times New Roman"/>
              </w:rPr>
            </w:pPr>
            <w:r>
              <w:rPr>
                <w:rFonts w:eastAsia="宋体" w:cs="Times New Roman"/>
              </w:rPr>
              <w:t>产出质量</w:t>
            </w:r>
          </w:p>
        </w:tc>
        <w:tc>
          <w:tcPr>
            <w:tcW w:w="1469" w:type="dxa"/>
            <w:vAlign w:val="center"/>
          </w:tcPr>
          <w:p w14:paraId="2E1DD425">
            <w:pPr>
              <w:pStyle w:val="137"/>
              <w:widowControl w:val="0"/>
              <w:jc w:val="center"/>
              <w:rPr>
                <w:rFonts w:eastAsia="宋体" w:cs="Times New Roman"/>
              </w:rPr>
            </w:pPr>
            <w:r>
              <w:rPr>
                <w:rFonts w:eastAsia="宋体" w:cs="Times New Roman"/>
              </w:rPr>
              <w:t>一次性验收合格率</w:t>
            </w:r>
          </w:p>
        </w:tc>
        <w:tc>
          <w:tcPr>
            <w:tcW w:w="1876" w:type="dxa"/>
            <w:vAlign w:val="center"/>
          </w:tcPr>
          <w:p w14:paraId="496068C1">
            <w:pPr>
              <w:pStyle w:val="137"/>
              <w:widowControl w:val="0"/>
              <w:jc w:val="center"/>
              <w:rPr>
                <w:rFonts w:eastAsia="宋体" w:cs="Times New Roman"/>
              </w:rPr>
            </w:pPr>
            <w:r>
              <w:rPr>
                <w:rFonts w:eastAsia="宋体" w:cs="Times New Roman"/>
              </w:rPr>
              <w:t>100%</w:t>
            </w:r>
          </w:p>
        </w:tc>
      </w:tr>
      <w:tr w14:paraId="140531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2" w:hRule="atLeast"/>
          <w:jc w:val="center"/>
        </w:trPr>
        <w:tc>
          <w:tcPr>
            <w:tcW w:w="820" w:type="dxa"/>
            <w:vAlign w:val="center"/>
          </w:tcPr>
          <w:p w14:paraId="110C792C">
            <w:pPr>
              <w:pStyle w:val="137"/>
              <w:widowControl w:val="0"/>
              <w:jc w:val="center"/>
              <w:rPr>
                <w:rFonts w:eastAsia="宋体" w:cs="Times New Roman"/>
              </w:rPr>
            </w:pPr>
            <w:r>
              <w:rPr>
                <w:rFonts w:eastAsia="宋体" w:cs="Times New Roman"/>
              </w:rPr>
              <w:t>3</w:t>
            </w:r>
          </w:p>
        </w:tc>
        <w:tc>
          <w:tcPr>
            <w:tcW w:w="1474" w:type="dxa"/>
            <w:vMerge w:val="continue"/>
            <w:vAlign w:val="center"/>
          </w:tcPr>
          <w:p w14:paraId="26915897">
            <w:pPr>
              <w:pStyle w:val="137"/>
              <w:widowControl w:val="0"/>
              <w:jc w:val="center"/>
              <w:rPr>
                <w:rFonts w:eastAsia="宋体" w:cs="Times New Roman"/>
              </w:rPr>
            </w:pPr>
          </w:p>
        </w:tc>
        <w:tc>
          <w:tcPr>
            <w:tcW w:w="1473" w:type="dxa"/>
            <w:vMerge w:val="continue"/>
            <w:vAlign w:val="center"/>
          </w:tcPr>
          <w:p w14:paraId="310056E6">
            <w:pPr>
              <w:pStyle w:val="137"/>
              <w:widowControl w:val="0"/>
              <w:jc w:val="center"/>
              <w:rPr>
                <w:rFonts w:eastAsia="宋体" w:cs="Times New Roman"/>
              </w:rPr>
            </w:pPr>
          </w:p>
        </w:tc>
        <w:tc>
          <w:tcPr>
            <w:tcW w:w="1607" w:type="dxa"/>
            <w:vMerge w:val="continue"/>
            <w:vAlign w:val="center"/>
          </w:tcPr>
          <w:p w14:paraId="75127850">
            <w:pPr>
              <w:pStyle w:val="137"/>
              <w:widowControl w:val="0"/>
              <w:jc w:val="center"/>
              <w:rPr>
                <w:rFonts w:eastAsia="宋体" w:cs="Times New Roman"/>
              </w:rPr>
            </w:pPr>
          </w:p>
        </w:tc>
        <w:tc>
          <w:tcPr>
            <w:tcW w:w="1469" w:type="dxa"/>
            <w:vAlign w:val="center"/>
          </w:tcPr>
          <w:p w14:paraId="609E8F32">
            <w:pPr>
              <w:pStyle w:val="137"/>
              <w:widowControl w:val="0"/>
              <w:jc w:val="center"/>
              <w:rPr>
                <w:rFonts w:eastAsia="宋体" w:cs="Times New Roman"/>
              </w:rPr>
            </w:pPr>
            <w:r>
              <w:rPr>
                <w:rFonts w:eastAsia="宋体" w:cs="Times New Roman"/>
              </w:rPr>
              <w:t>系统可靠性</w:t>
            </w:r>
          </w:p>
        </w:tc>
        <w:tc>
          <w:tcPr>
            <w:tcW w:w="1876" w:type="dxa"/>
            <w:vAlign w:val="center"/>
          </w:tcPr>
          <w:p w14:paraId="3DE84E00">
            <w:pPr>
              <w:pStyle w:val="137"/>
              <w:widowControl w:val="0"/>
              <w:jc w:val="center"/>
              <w:rPr>
                <w:rFonts w:eastAsia="宋体" w:cs="Times New Roman"/>
              </w:rPr>
            </w:pPr>
            <w:bookmarkStart w:id="11" w:name="OLE_LINK17"/>
            <w:r>
              <w:rPr>
                <w:rFonts w:eastAsia="宋体" w:cs="Times New Roman"/>
              </w:rPr>
              <w:t>≥</w:t>
            </w:r>
            <w:bookmarkEnd w:id="11"/>
            <w:r>
              <w:rPr>
                <w:rFonts w:eastAsia="宋体" w:cs="Times New Roman"/>
              </w:rPr>
              <w:t>99%</w:t>
            </w:r>
          </w:p>
        </w:tc>
      </w:tr>
      <w:tr w14:paraId="5D47AF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19" w:hRule="atLeast"/>
          <w:jc w:val="center"/>
        </w:trPr>
        <w:tc>
          <w:tcPr>
            <w:tcW w:w="820" w:type="dxa"/>
            <w:vAlign w:val="center"/>
          </w:tcPr>
          <w:p w14:paraId="2656B94A">
            <w:pPr>
              <w:pStyle w:val="137"/>
              <w:widowControl w:val="0"/>
              <w:jc w:val="center"/>
              <w:rPr>
                <w:rFonts w:eastAsia="宋体" w:cs="Times New Roman"/>
              </w:rPr>
            </w:pPr>
            <w:r>
              <w:rPr>
                <w:rFonts w:eastAsia="宋体" w:cs="Times New Roman"/>
              </w:rPr>
              <w:t>4</w:t>
            </w:r>
          </w:p>
        </w:tc>
        <w:tc>
          <w:tcPr>
            <w:tcW w:w="1474" w:type="dxa"/>
            <w:vMerge w:val="continue"/>
            <w:vAlign w:val="center"/>
          </w:tcPr>
          <w:p w14:paraId="680F02BA">
            <w:pPr>
              <w:pStyle w:val="137"/>
              <w:widowControl w:val="0"/>
              <w:jc w:val="center"/>
              <w:rPr>
                <w:rFonts w:eastAsia="宋体" w:cs="Times New Roman"/>
              </w:rPr>
            </w:pPr>
          </w:p>
        </w:tc>
        <w:tc>
          <w:tcPr>
            <w:tcW w:w="1473" w:type="dxa"/>
            <w:vMerge w:val="continue"/>
            <w:vAlign w:val="center"/>
          </w:tcPr>
          <w:p w14:paraId="22E89847">
            <w:pPr>
              <w:pStyle w:val="137"/>
              <w:widowControl w:val="0"/>
              <w:jc w:val="center"/>
              <w:rPr>
                <w:rFonts w:eastAsia="宋体" w:cs="Times New Roman"/>
              </w:rPr>
            </w:pPr>
          </w:p>
        </w:tc>
        <w:tc>
          <w:tcPr>
            <w:tcW w:w="1607" w:type="dxa"/>
            <w:vMerge w:val="continue"/>
            <w:vAlign w:val="center"/>
          </w:tcPr>
          <w:p w14:paraId="50269530">
            <w:pPr>
              <w:pStyle w:val="137"/>
              <w:widowControl w:val="0"/>
              <w:jc w:val="center"/>
              <w:rPr>
                <w:rFonts w:eastAsia="宋体" w:cs="Times New Roman"/>
              </w:rPr>
            </w:pPr>
          </w:p>
        </w:tc>
        <w:tc>
          <w:tcPr>
            <w:tcW w:w="1469" w:type="dxa"/>
            <w:vAlign w:val="center"/>
          </w:tcPr>
          <w:p w14:paraId="73363185">
            <w:pPr>
              <w:pStyle w:val="137"/>
              <w:widowControl w:val="0"/>
              <w:jc w:val="center"/>
              <w:rPr>
                <w:rFonts w:eastAsia="宋体" w:cs="Times New Roman"/>
              </w:rPr>
            </w:pPr>
            <w:r>
              <w:rPr>
                <w:rFonts w:eastAsia="宋体" w:cs="Times New Roman"/>
              </w:rPr>
              <w:t>软件测试通过情况</w:t>
            </w:r>
          </w:p>
        </w:tc>
        <w:tc>
          <w:tcPr>
            <w:tcW w:w="1876" w:type="dxa"/>
            <w:vAlign w:val="center"/>
          </w:tcPr>
          <w:p w14:paraId="0116A86B">
            <w:pPr>
              <w:pStyle w:val="137"/>
              <w:widowControl w:val="0"/>
              <w:jc w:val="center"/>
              <w:rPr>
                <w:rFonts w:eastAsia="宋体" w:cs="Times New Roman"/>
              </w:rPr>
            </w:pPr>
            <w:r>
              <w:rPr>
                <w:rFonts w:eastAsia="宋体" w:cs="Times New Roman"/>
              </w:rPr>
              <w:t>达标</w:t>
            </w:r>
          </w:p>
        </w:tc>
      </w:tr>
      <w:tr w14:paraId="186101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19" w:hRule="atLeast"/>
          <w:jc w:val="center"/>
        </w:trPr>
        <w:tc>
          <w:tcPr>
            <w:tcW w:w="820" w:type="dxa"/>
            <w:vAlign w:val="center"/>
          </w:tcPr>
          <w:p w14:paraId="22367F2F">
            <w:pPr>
              <w:pStyle w:val="137"/>
              <w:widowControl w:val="0"/>
              <w:jc w:val="center"/>
              <w:rPr>
                <w:rFonts w:eastAsia="宋体" w:cs="Times New Roman"/>
              </w:rPr>
            </w:pPr>
            <w:r>
              <w:rPr>
                <w:rFonts w:eastAsia="宋体" w:cs="Times New Roman"/>
              </w:rPr>
              <w:t>5</w:t>
            </w:r>
          </w:p>
        </w:tc>
        <w:tc>
          <w:tcPr>
            <w:tcW w:w="1474" w:type="dxa"/>
            <w:vMerge w:val="continue"/>
            <w:vAlign w:val="center"/>
          </w:tcPr>
          <w:p w14:paraId="1FB9F4F5">
            <w:pPr>
              <w:pStyle w:val="137"/>
              <w:widowControl w:val="0"/>
              <w:jc w:val="center"/>
              <w:rPr>
                <w:rFonts w:eastAsia="宋体" w:cs="Times New Roman"/>
              </w:rPr>
            </w:pPr>
          </w:p>
        </w:tc>
        <w:tc>
          <w:tcPr>
            <w:tcW w:w="1473" w:type="dxa"/>
            <w:vMerge w:val="continue"/>
            <w:vAlign w:val="center"/>
          </w:tcPr>
          <w:p w14:paraId="3BF72E66">
            <w:pPr>
              <w:pStyle w:val="137"/>
              <w:widowControl w:val="0"/>
              <w:jc w:val="center"/>
              <w:rPr>
                <w:rFonts w:eastAsia="宋体" w:cs="Times New Roman"/>
              </w:rPr>
            </w:pPr>
          </w:p>
        </w:tc>
        <w:tc>
          <w:tcPr>
            <w:tcW w:w="1607" w:type="dxa"/>
            <w:vMerge w:val="continue"/>
            <w:vAlign w:val="center"/>
          </w:tcPr>
          <w:p w14:paraId="14BBDF44">
            <w:pPr>
              <w:pStyle w:val="137"/>
              <w:widowControl w:val="0"/>
              <w:jc w:val="center"/>
              <w:rPr>
                <w:rFonts w:eastAsia="宋体" w:cs="Times New Roman"/>
              </w:rPr>
            </w:pPr>
          </w:p>
        </w:tc>
        <w:tc>
          <w:tcPr>
            <w:tcW w:w="1469" w:type="dxa"/>
          </w:tcPr>
          <w:p w14:paraId="0670EFE0">
            <w:pPr>
              <w:pStyle w:val="137"/>
              <w:widowControl w:val="0"/>
              <w:jc w:val="center"/>
              <w:rPr>
                <w:rFonts w:eastAsia="宋体" w:cs="Times New Roman"/>
              </w:rPr>
            </w:pPr>
            <w:r>
              <w:rPr>
                <w:rFonts w:eastAsia="宋体" w:cs="Times New Roman"/>
              </w:rPr>
              <w:t>密码测试通过情况</w:t>
            </w:r>
          </w:p>
        </w:tc>
        <w:tc>
          <w:tcPr>
            <w:tcW w:w="1876" w:type="dxa"/>
            <w:vAlign w:val="center"/>
          </w:tcPr>
          <w:p w14:paraId="35AF1262">
            <w:pPr>
              <w:pStyle w:val="137"/>
              <w:widowControl w:val="0"/>
              <w:jc w:val="center"/>
              <w:rPr>
                <w:rFonts w:eastAsia="宋体" w:cs="Times New Roman"/>
              </w:rPr>
            </w:pPr>
            <w:r>
              <w:rPr>
                <w:rFonts w:eastAsia="宋体" w:cs="Times New Roman"/>
              </w:rPr>
              <w:t>达标</w:t>
            </w:r>
          </w:p>
        </w:tc>
      </w:tr>
      <w:tr w14:paraId="2B952D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19" w:hRule="atLeast"/>
          <w:jc w:val="center"/>
        </w:trPr>
        <w:tc>
          <w:tcPr>
            <w:tcW w:w="820" w:type="dxa"/>
            <w:vAlign w:val="center"/>
          </w:tcPr>
          <w:p w14:paraId="5C7C0705">
            <w:pPr>
              <w:pStyle w:val="137"/>
              <w:widowControl w:val="0"/>
              <w:jc w:val="center"/>
              <w:rPr>
                <w:rFonts w:eastAsia="宋体" w:cs="Times New Roman"/>
              </w:rPr>
            </w:pPr>
            <w:r>
              <w:rPr>
                <w:rFonts w:eastAsia="宋体" w:cs="Times New Roman"/>
              </w:rPr>
              <w:t>6</w:t>
            </w:r>
          </w:p>
        </w:tc>
        <w:tc>
          <w:tcPr>
            <w:tcW w:w="1474" w:type="dxa"/>
            <w:vMerge w:val="continue"/>
            <w:vAlign w:val="center"/>
          </w:tcPr>
          <w:p w14:paraId="1D26240F">
            <w:pPr>
              <w:pStyle w:val="137"/>
              <w:widowControl w:val="0"/>
              <w:jc w:val="center"/>
              <w:rPr>
                <w:rFonts w:eastAsia="宋体" w:cs="Times New Roman"/>
              </w:rPr>
            </w:pPr>
          </w:p>
        </w:tc>
        <w:tc>
          <w:tcPr>
            <w:tcW w:w="1473" w:type="dxa"/>
            <w:vMerge w:val="continue"/>
            <w:vAlign w:val="center"/>
          </w:tcPr>
          <w:p w14:paraId="5B4213BD">
            <w:pPr>
              <w:pStyle w:val="137"/>
              <w:widowControl w:val="0"/>
              <w:jc w:val="center"/>
              <w:rPr>
                <w:rFonts w:eastAsia="宋体" w:cs="Times New Roman"/>
              </w:rPr>
            </w:pPr>
          </w:p>
        </w:tc>
        <w:tc>
          <w:tcPr>
            <w:tcW w:w="1607" w:type="dxa"/>
            <w:vMerge w:val="continue"/>
            <w:vAlign w:val="center"/>
          </w:tcPr>
          <w:p w14:paraId="10FC0DA8">
            <w:pPr>
              <w:pStyle w:val="137"/>
              <w:widowControl w:val="0"/>
              <w:jc w:val="center"/>
              <w:rPr>
                <w:rFonts w:eastAsia="宋体" w:cs="Times New Roman"/>
              </w:rPr>
            </w:pPr>
          </w:p>
        </w:tc>
        <w:tc>
          <w:tcPr>
            <w:tcW w:w="1469" w:type="dxa"/>
          </w:tcPr>
          <w:p w14:paraId="30A4B143">
            <w:pPr>
              <w:pStyle w:val="137"/>
              <w:widowControl w:val="0"/>
              <w:jc w:val="center"/>
              <w:rPr>
                <w:rFonts w:eastAsia="宋体" w:cs="Times New Roman"/>
              </w:rPr>
            </w:pPr>
            <w:r>
              <w:rPr>
                <w:rFonts w:eastAsia="宋体" w:cs="Times New Roman"/>
              </w:rPr>
              <w:t>安全测试通过情况</w:t>
            </w:r>
          </w:p>
        </w:tc>
        <w:tc>
          <w:tcPr>
            <w:tcW w:w="1876" w:type="dxa"/>
            <w:vAlign w:val="center"/>
          </w:tcPr>
          <w:p w14:paraId="393118E7">
            <w:pPr>
              <w:pStyle w:val="137"/>
              <w:widowControl w:val="0"/>
              <w:jc w:val="center"/>
              <w:rPr>
                <w:rFonts w:eastAsia="宋体" w:cs="Times New Roman"/>
              </w:rPr>
            </w:pPr>
            <w:r>
              <w:rPr>
                <w:rFonts w:eastAsia="宋体" w:cs="Times New Roman"/>
              </w:rPr>
              <w:t>达标</w:t>
            </w:r>
          </w:p>
        </w:tc>
      </w:tr>
      <w:tr w14:paraId="3CE4AB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19" w:hRule="atLeast"/>
          <w:jc w:val="center"/>
        </w:trPr>
        <w:tc>
          <w:tcPr>
            <w:tcW w:w="820" w:type="dxa"/>
            <w:vAlign w:val="center"/>
          </w:tcPr>
          <w:p w14:paraId="14F71B6B">
            <w:pPr>
              <w:pStyle w:val="137"/>
              <w:widowControl w:val="0"/>
              <w:jc w:val="center"/>
              <w:rPr>
                <w:rFonts w:eastAsia="宋体" w:cs="Times New Roman"/>
              </w:rPr>
            </w:pPr>
            <w:r>
              <w:rPr>
                <w:rFonts w:eastAsia="宋体" w:cs="Times New Roman"/>
              </w:rPr>
              <w:t>7</w:t>
            </w:r>
          </w:p>
        </w:tc>
        <w:tc>
          <w:tcPr>
            <w:tcW w:w="1474" w:type="dxa"/>
            <w:vMerge w:val="continue"/>
            <w:vAlign w:val="center"/>
          </w:tcPr>
          <w:p w14:paraId="66E39FCD">
            <w:pPr>
              <w:pStyle w:val="137"/>
              <w:widowControl w:val="0"/>
              <w:jc w:val="center"/>
              <w:rPr>
                <w:rFonts w:eastAsia="宋体" w:cs="Times New Roman"/>
              </w:rPr>
            </w:pPr>
          </w:p>
        </w:tc>
        <w:tc>
          <w:tcPr>
            <w:tcW w:w="1473" w:type="dxa"/>
            <w:vMerge w:val="continue"/>
            <w:vAlign w:val="center"/>
          </w:tcPr>
          <w:p w14:paraId="457663B3">
            <w:pPr>
              <w:pStyle w:val="137"/>
              <w:widowControl w:val="0"/>
              <w:jc w:val="center"/>
              <w:rPr>
                <w:rFonts w:eastAsia="宋体" w:cs="Times New Roman"/>
              </w:rPr>
            </w:pPr>
          </w:p>
        </w:tc>
        <w:tc>
          <w:tcPr>
            <w:tcW w:w="1607" w:type="dxa"/>
            <w:vMerge w:val="continue"/>
            <w:vAlign w:val="center"/>
          </w:tcPr>
          <w:p w14:paraId="69DB96E7">
            <w:pPr>
              <w:pStyle w:val="137"/>
              <w:widowControl w:val="0"/>
              <w:jc w:val="center"/>
              <w:rPr>
                <w:rFonts w:eastAsia="宋体" w:cs="Times New Roman"/>
              </w:rPr>
            </w:pPr>
          </w:p>
        </w:tc>
        <w:tc>
          <w:tcPr>
            <w:tcW w:w="1469" w:type="dxa"/>
            <w:vAlign w:val="center"/>
          </w:tcPr>
          <w:p w14:paraId="283903B2">
            <w:pPr>
              <w:pStyle w:val="137"/>
              <w:widowControl w:val="0"/>
              <w:jc w:val="center"/>
              <w:rPr>
                <w:rFonts w:eastAsia="宋体" w:cs="Times New Roman"/>
              </w:rPr>
            </w:pPr>
            <w:r>
              <w:rPr>
                <w:rFonts w:eastAsia="宋体" w:cs="Times New Roman"/>
              </w:rPr>
              <w:t>安全事件发生次数</w:t>
            </w:r>
          </w:p>
        </w:tc>
        <w:tc>
          <w:tcPr>
            <w:tcW w:w="1876" w:type="dxa"/>
            <w:vAlign w:val="center"/>
          </w:tcPr>
          <w:p w14:paraId="2E4F8D18">
            <w:pPr>
              <w:pStyle w:val="137"/>
              <w:widowControl w:val="0"/>
              <w:jc w:val="center"/>
              <w:rPr>
                <w:rFonts w:eastAsia="宋体" w:cs="Times New Roman"/>
              </w:rPr>
            </w:pPr>
            <w:r>
              <w:rPr>
                <w:rFonts w:eastAsia="宋体" w:cs="Times New Roman"/>
              </w:rPr>
              <w:t>0</w:t>
            </w:r>
          </w:p>
        </w:tc>
      </w:tr>
      <w:tr w14:paraId="446214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19" w:hRule="atLeast"/>
          <w:jc w:val="center"/>
        </w:trPr>
        <w:tc>
          <w:tcPr>
            <w:tcW w:w="820" w:type="dxa"/>
            <w:vAlign w:val="center"/>
          </w:tcPr>
          <w:p w14:paraId="2BA1DE1B">
            <w:pPr>
              <w:pStyle w:val="137"/>
              <w:widowControl w:val="0"/>
              <w:jc w:val="center"/>
              <w:rPr>
                <w:rFonts w:eastAsia="宋体" w:cs="Times New Roman"/>
              </w:rPr>
            </w:pPr>
            <w:r>
              <w:rPr>
                <w:rFonts w:eastAsia="宋体" w:cs="Times New Roman"/>
              </w:rPr>
              <w:t>8</w:t>
            </w:r>
          </w:p>
        </w:tc>
        <w:tc>
          <w:tcPr>
            <w:tcW w:w="1474" w:type="dxa"/>
            <w:vMerge w:val="continue"/>
            <w:vAlign w:val="center"/>
          </w:tcPr>
          <w:p w14:paraId="7BD27AB6">
            <w:pPr>
              <w:pStyle w:val="137"/>
              <w:widowControl w:val="0"/>
              <w:jc w:val="center"/>
              <w:rPr>
                <w:rFonts w:eastAsia="宋体" w:cs="Times New Roman"/>
              </w:rPr>
            </w:pPr>
          </w:p>
        </w:tc>
        <w:tc>
          <w:tcPr>
            <w:tcW w:w="1473" w:type="dxa"/>
            <w:vMerge w:val="continue"/>
            <w:vAlign w:val="center"/>
          </w:tcPr>
          <w:p w14:paraId="54BA8E34">
            <w:pPr>
              <w:pStyle w:val="137"/>
              <w:widowControl w:val="0"/>
              <w:jc w:val="center"/>
              <w:rPr>
                <w:rFonts w:eastAsia="宋体" w:cs="Times New Roman"/>
              </w:rPr>
            </w:pPr>
          </w:p>
        </w:tc>
        <w:tc>
          <w:tcPr>
            <w:tcW w:w="1607" w:type="dxa"/>
            <w:vMerge w:val="continue"/>
            <w:vAlign w:val="center"/>
          </w:tcPr>
          <w:p w14:paraId="13EE44EC">
            <w:pPr>
              <w:pStyle w:val="137"/>
              <w:widowControl w:val="0"/>
              <w:jc w:val="center"/>
              <w:rPr>
                <w:rFonts w:eastAsia="宋体" w:cs="Times New Roman"/>
              </w:rPr>
            </w:pPr>
          </w:p>
        </w:tc>
        <w:tc>
          <w:tcPr>
            <w:tcW w:w="1469" w:type="dxa"/>
            <w:vAlign w:val="center"/>
          </w:tcPr>
          <w:p w14:paraId="36D6D805">
            <w:pPr>
              <w:pStyle w:val="137"/>
              <w:widowControl w:val="0"/>
              <w:jc w:val="center"/>
              <w:rPr>
                <w:rFonts w:eastAsia="宋体" w:cs="Times New Roman"/>
              </w:rPr>
            </w:pPr>
            <w:r>
              <w:rPr>
                <w:rFonts w:eastAsia="宋体" w:cs="Times New Roman"/>
              </w:rPr>
              <w:t>网络安全等级保护</w:t>
            </w:r>
          </w:p>
        </w:tc>
        <w:tc>
          <w:tcPr>
            <w:tcW w:w="1876" w:type="dxa"/>
            <w:vAlign w:val="center"/>
          </w:tcPr>
          <w:p w14:paraId="6B29F9D3">
            <w:pPr>
              <w:pStyle w:val="137"/>
              <w:widowControl w:val="0"/>
              <w:jc w:val="center"/>
              <w:rPr>
                <w:rFonts w:eastAsia="宋体" w:cs="Times New Roman"/>
              </w:rPr>
            </w:pPr>
            <w:r>
              <w:rPr>
                <w:rFonts w:eastAsia="宋体" w:cs="Times New Roman"/>
              </w:rPr>
              <w:t>参照三级等保建设</w:t>
            </w:r>
          </w:p>
        </w:tc>
      </w:tr>
      <w:tr w14:paraId="7EEC59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2" w:hRule="atLeast"/>
          <w:jc w:val="center"/>
        </w:trPr>
        <w:tc>
          <w:tcPr>
            <w:tcW w:w="820" w:type="dxa"/>
            <w:vAlign w:val="center"/>
          </w:tcPr>
          <w:p w14:paraId="01C5E88E">
            <w:pPr>
              <w:pStyle w:val="137"/>
              <w:widowControl w:val="0"/>
              <w:jc w:val="center"/>
              <w:rPr>
                <w:rFonts w:eastAsia="宋体" w:cs="Times New Roman"/>
              </w:rPr>
            </w:pPr>
            <w:r>
              <w:rPr>
                <w:rFonts w:eastAsia="宋体" w:cs="Times New Roman"/>
              </w:rPr>
              <w:t>9</w:t>
            </w:r>
          </w:p>
        </w:tc>
        <w:tc>
          <w:tcPr>
            <w:tcW w:w="1474" w:type="dxa"/>
            <w:vMerge w:val="continue"/>
            <w:vAlign w:val="center"/>
          </w:tcPr>
          <w:p w14:paraId="20773367">
            <w:pPr>
              <w:pStyle w:val="137"/>
              <w:widowControl w:val="0"/>
              <w:jc w:val="center"/>
              <w:rPr>
                <w:rFonts w:eastAsia="宋体" w:cs="Times New Roman"/>
              </w:rPr>
            </w:pPr>
          </w:p>
        </w:tc>
        <w:tc>
          <w:tcPr>
            <w:tcW w:w="1473" w:type="dxa"/>
            <w:vMerge w:val="continue"/>
            <w:vAlign w:val="center"/>
          </w:tcPr>
          <w:p w14:paraId="17FBC985">
            <w:pPr>
              <w:pStyle w:val="137"/>
              <w:widowControl w:val="0"/>
              <w:jc w:val="center"/>
              <w:rPr>
                <w:rFonts w:eastAsia="宋体" w:cs="Times New Roman"/>
              </w:rPr>
            </w:pPr>
          </w:p>
        </w:tc>
        <w:tc>
          <w:tcPr>
            <w:tcW w:w="1607" w:type="dxa"/>
            <w:vAlign w:val="center"/>
          </w:tcPr>
          <w:p w14:paraId="316EA84B">
            <w:pPr>
              <w:pStyle w:val="137"/>
              <w:widowControl w:val="0"/>
              <w:jc w:val="center"/>
              <w:rPr>
                <w:rFonts w:eastAsia="宋体" w:cs="Times New Roman"/>
              </w:rPr>
            </w:pPr>
            <w:r>
              <w:rPr>
                <w:rFonts w:eastAsia="宋体" w:cs="Times New Roman"/>
              </w:rPr>
              <w:t>产出时效</w:t>
            </w:r>
          </w:p>
        </w:tc>
        <w:tc>
          <w:tcPr>
            <w:tcW w:w="1469" w:type="dxa"/>
            <w:vAlign w:val="center"/>
          </w:tcPr>
          <w:p w14:paraId="7D3B08D4">
            <w:pPr>
              <w:pStyle w:val="137"/>
              <w:widowControl w:val="0"/>
              <w:jc w:val="center"/>
              <w:rPr>
                <w:rFonts w:eastAsia="宋体" w:cs="Times New Roman"/>
              </w:rPr>
            </w:pPr>
            <w:r>
              <w:rPr>
                <w:rFonts w:eastAsia="宋体" w:cs="Times New Roman"/>
              </w:rPr>
              <w:t>项目建设周期</w:t>
            </w:r>
          </w:p>
        </w:tc>
        <w:tc>
          <w:tcPr>
            <w:tcW w:w="1876" w:type="dxa"/>
            <w:vAlign w:val="center"/>
          </w:tcPr>
          <w:p w14:paraId="5CCEA713">
            <w:pPr>
              <w:pStyle w:val="137"/>
              <w:widowControl w:val="0"/>
              <w:jc w:val="center"/>
              <w:rPr>
                <w:rFonts w:eastAsia="宋体" w:cs="Times New Roman"/>
              </w:rPr>
            </w:pPr>
            <w:r>
              <w:rPr>
                <w:rFonts w:eastAsia="宋体" w:cs="Times New Roman"/>
              </w:rPr>
              <w:t>≤12个月</w:t>
            </w:r>
          </w:p>
        </w:tc>
      </w:tr>
      <w:tr w14:paraId="1A3970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19" w:hRule="atLeast"/>
          <w:jc w:val="center"/>
        </w:trPr>
        <w:tc>
          <w:tcPr>
            <w:tcW w:w="820" w:type="dxa"/>
            <w:vAlign w:val="center"/>
          </w:tcPr>
          <w:p w14:paraId="4C39DAAE">
            <w:pPr>
              <w:pStyle w:val="137"/>
              <w:widowControl w:val="0"/>
              <w:jc w:val="center"/>
              <w:rPr>
                <w:rFonts w:eastAsia="宋体" w:cs="Times New Roman"/>
              </w:rPr>
            </w:pPr>
            <w:r>
              <w:rPr>
                <w:rFonts w:eastAsia="宋体" w:cs="Times New Roman"/>
              </w:rPr>
              <w:t>10</w:t>
            </w:r>
          </w:p>
        </w:tc>
        <w:tc>
          <w:tcPr>
            <w:tcW w:w="1474" w:type="dxa"/>
            <w:vMerge w:val="continue"/>
            <w:vAlign w:val="center"/>
          </w:tcPr>
          <w:p w14:paraId="628716F5">
            <w:pPr>
              <w:pStyle w:val="137"/>
              <w:widowControl w:val="0"/>
              <w:jc w:val="center"/>
              <w:rPr>
                <w:rFonts w:eastAsia="宋体" w:cs="Times New Roman"/>
              </w:rPr>
            </w:pPr>
          </w:p>
        </w:tc>
        <w:tc>
          <w:tcPr>
            <w:tcW w:w="1473" w:type="dxa"/>
            <w:vAlign w:val="center"/>
          </w:tcPr>
          <w:p w14:paraId="7388955C">
            <w:pPr>
              <w:pStyle w:val="137"/>
              <w:widowControl w:val="0"/>
              <w:jc w:val="center"/>
              <w:rPr>
                <w:rFonts w:eastAsia="宋体" w:cs="Times New Roman"/>
              </w:rPr>
            </w:pPr>
            <w:r>
              <w:rPr>
                <w:rFonts w:eastAsia="宋体" w:cs="Times New Roman"/>
              </w:rPr>
              <w:t>效益指标</w:t>
            </w:r>
          </w:p>
        </w:tc>
        <w:tc>
          <w:tcPr>
            <w:tcW w:w="1607" w:type="dxa"/>
            <w:vAlign w:val="center"/>
          </w:tcPr>
          <w:p w14:paraId="59D6DAE3">
            <w:pPr>
              <w:pStyle w:val="137"/>
              <w:widowControl w:val="0"/>
              <w:jc w:val="center"/>
              <w:rPr>
                <w:rFonts w:eastAsia="宋体" w:cs="Times New Roman"/>
              </w:rPr>
            </w:pPr>
            <w:r>
              <w:rPr>
                <w:rFonts w:eastAsia="宋体" w:cs="Times New Roman"/>
              </w:rPr>
              <w:t>用户使用情况</w:t>
            </w:r>
          </w:p>
        </w:tc>
        <w:tc>
          <w:tcPr>
            <w:tcW w:w="1469" w:type="dxa"/>
          </w:tcPr>
          <w:p w14:paraId="22982908">
            <w:pPr>
              <w:pStyle w:val="137"/>
              <w:widowControl w:val="0"/>
              <w:jc w:val="center"/>
              <w:rPr>
                <w:rFonts w:eastAsia="宋体" w:cs="Times New Roman"/>
              </w:rPr>
            </w:pPr>
            <w:r>
              <w:rPr>
                <w:rFonts w:eastAsia="宋体" w:cs="Times New Roman"/>
              </w:rPr>
              <w:t>系统注册用户量</w:t>
            </w:r>
          </w:p>
        </w:tc>
        <w:tc>
          <w:tcPr>
            <w:tcW w:w="1876" w:type="dxa"/>
            <w:vAlign w:val="center"/>
          </w:tcPr>
          <w:p w14:paraId="426AE755">
            <w:pPr>
              <w:pStyle w:val="137"/>
              <w:widowControl w:val="0"/>
              <w:jc w:val="center"/>
              <w:rPr>
                <w:rFonts w:eastAsia="宋体" w:cs="Times New Roman"/>
              </w:rPr>
            </w:pPr>
            <w:r>
              <w:rPr>
                <w:rFonts w:eastAsia="宋体" w:cs="Times New Roman"/>
              </w:rPr>
              <w:t>220人</w:t>
            </w:r>
          </w:p>
        </w:tc>
      </w:tr>
      <w:tr w14:paraId="30C143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2" w:hRule="atLeast"/>
          <w:jc w:val="center"/>
        </w:trPr>
        <w:tc>
          <w:tcPr>
            <w:tcW w:w="820" w:type="dxa"/>
            <w:vAlign w:val="center"/>
          </w:tcPr>
          <w:p w14:paraId="5CFCC0DB">
            <w:pPr>
              <w:pStyle w:val="137"/>
              <w:widowControl w:val="0"/>
              <w:jc w:val="center"/>
              <w:rPr>
                <w:rFonts w:eastAsia="宋体" w:cs="Times New Roman"/>
              </w:rPr>
            </w:pPr>
            <w:r>
              <w:rPr>
                <w:rFonts w:eastAsia="宋体" w:cs="Times New Roman"/>
              </w:rPr>
              <w:t>11</w:t>
            </w:r>
          </w:p>
        </w:tc>
        <w:tc>
          <w:tcPr>
            <w:tcW w:w="1474" w:type="dxa"/>
            <w:vMerge w:val="restart"/>
            <w:vAlign w:val="center"/>
          </w:tcPr>
          <w:p w14:paraId="677F8253">
            <w:pPr>
              <w:pStyle w:val="137"/>
              <w:widowControl w:val="0"/>
              <w:jc w:val="center"/>
              <w:rPr>
                <w:rFonts w:eastAsia="宋体" w:cs="Times New Roman"/>
              </w:rPr>
            </w:pPr>
            <w:r>
              <w:rPr>
                <w:rFonts w:eastAsia="宋体" w:cs="Times New Roman"/>
              </w:rPr>
              <w:t>业务指标</w:t>
            </w:r>
          </w:p>
        </w:tc>
        <w:tc>
          <w:tcPr>
            <w:tcW w:w="1473" w:type="dxa"/>
            <w:vAlign w:val="center"/>
          </w:tcPr>
          <w:p w14:paraId="21B79228">
            <w:pPr>
              <w:pStyle w:val="137"/>
              <w:widowControl w:val="0"/>
              <w:jc w:val="center"/>
              <w:rPr>
                <w:rFonts w:eastAsia="宋体" w:cs="Times New Roman"/>
              </w:rPr>
            </w:pPr>
            <w:r>
              <w:rPr>
                <w:rFonts w:eastAsia="宋体" w:cs="Times New Roman"/>
              </w:rPr>
              <w:t>产出效益</w:t>
            </w:r>
          </w:p>
        </w:tc>
        <w:tc>
          <w:tcPr>
            <w:tcW w:w="1607" w:type="dxa"/>
            <w:vAlign w:val="center"/>
          </w:tcPr>
          <w:p w14:paraId="1A6EC081">
            <w:pPr>
              <w:pStyle w:val="137"/>
              <w:widowControl w:val="0"/>
              <w:jc w:val="center"/>
              <w:rPr>
                <w:rFonts w:eastAsia="宋体" w:cs="Times New Roman"/>
              </w:rPr>
            </w:pPr>
            <w:r>
              <w:rPr>
                <w:rFonts w:eastAsia="宋体" w:cs="Times New Roman"/>
              </w:rPr>
              <w:t>产出质量</w:t>
            </w:r>
          </w:p>
        </w:tc>
        <w:tc>
          <w:tcPr>
            <w:tcW w:w="1469" w:type="dxa"/>
          </w:tcPr>
          <w:p w14:paraId="25DBE2A4">
            <w:pPr>
              <w:pStyle w:val="137"/>
              <w:widowControl w:val="0"/>
              <w:jc w:val="center"/>
              <w:rPr>
                <w:rFonts w:eastAsia="宋体" w:cs="Times New Roman"/>
              </w:rPr>
            </w:pPr>
            <w:r>
              <w:rPr>
                <w:rFonts w:eastAsia="宋体" w:cs="Times New Roman"/>
              </w:rPr>
              <w:t>支持并发数</w:t>
            </w:r>
          </w:p>
        </w:tc>
        <w:tc>
          <w:tcPr>
            <w:tcW w:w="1876" w:type="dxa"/>
            <w:vAlign w:val="center"/>
          </w:tcPr>
          <w:p w14:paraId="7F9275E1">
            <w:pPr>
              <w:pStyle w:val="137"/>
              <w:widowControl w:val="0"/>
              <w:jc w:val="center"/>
              <w:rPr>
                <w:rFonts w:eastAsia="宋体" w:cs="Times New Roman"/>
              </w:rPr>
            </w:pPr>
            <w:r>
              <w:rPr>
                <w:rFonts w:eastAsia="宋体" w:cs="Times New Roman"/>
              </w:rPr>
              <w:t>50个</w:t>
            </w:r>
          </w:p>
        </w:tc>
      </w:tr>
      <w:tr w14:paraId="588AF5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2" w:hRule="atLeast"/>
          <w:jc w:val="center"/>
        </w:trPr>
        <w:tc>
          <w:tcPr>
            <w:tcW w:w="820" w:type="dxa"/>
            <w:vAlign w:val="center"/>
          </w:tcPr>
          <w:p w14:paraId="6A647ADE">
            <w:pPr>
              <w:pStyle w:val="137"/>
              <w:widowControl w:val="0"/>
              <w:jc w:val="center"/>
              <w:rPr>
                <w:rFonts w:eastAsia="宋体" w:cs="Times New Roman"/>
              </w:rPr>
            </w:pPr>
            <w:r>
              <w:rPr>
                <w:rFonts w:eastAsia="宋体" w:cs="Times New Roman"/>
              </w:rPr>
              <w:t>12</w:t>
            </w:r>
          </w:p>
        </w:tc>
        <w:tc>
          <w:tcPr>
            <w:tcW w:w="1474" w:type="dxa"/>
            <w:vMerge w:val="continue"/>
            <w:vAlign w:val="center"/>
          </w:tcPr>
          <w:p w14:paraId="2BCA8DC9">
            <w:pPr>
              <w:pStyle w:val="137"/>
              <w:widowControl w:val="0"/>
              <w:jc w:val="center"/>
              <w:rPr>
                <w:rFonts w:eastAsia="宋体" w:cs="Times New Roman"/>
              </w:rPr>
            </w:pPr>
          </w:p>
        </w:tc>
        <w:tc>
          <w:tcPr>
            <w:tcW w:w="1473" w:type="dxa"/>
            <w:vMerge w:val="restart"/>
            <w:vAlign w:val="center"/>
          </w:tcPr>
          <w:p w14:paraId="14AE2A85">
            <w:pPr>
              <w:pStyle w:val="137"/>
              <w:widowControl w:val="0"/>
              <w:jc w:val="center"/>
              <w:rPr>
                <w:rFonts w:eastAsia="宋体" w:cs="Times New Roman"/>
              </w:rPr>
            </w:pPr>
            <w:r>
              <w:rPr>
                <w:rFonts w:eastAsia="宋体" w:cs="Times New Roman"/>
              </w:rPr>
              <w:t>效益指标</w:t>
            </w:r>
          </w:p>
        </w:tc>
        <w:tc>
          <w:tcPr>
            <w:tcW w:w="1607" w:type="dxa"/>
            <w:vMerge w:val="restart"/>
            <w:vAlign w:val="center"/>
          </w:tcPr>
          <w:p w14:paraId="78A1E344">
            <w:pPr>
              <w:pStyle w:val="137"/>
              <w:widowControl w:val="0"/>
              <w:jc w:val="center"/>
              <w:rPr>
                <w:rFonts w:eastAsia="宋体" w:cs="Times New Roman"/>
              </w:rPr>
            </w:pPr>
            <w:r>
              <w:rPr>
                <w:rFonts w:eastAsia="宋体" w:cs="Times New Roman"/>
              </w:rPr>
              <w:t>社会效益</w:t>
            </w:r>
          </w:p>
        </w:tc>
        <w:tc>
          <w:tcPr>
            <w:tcW w:w="1469" w:type="dxa"/>
          </w:tcPr>
          <w:p w14:paraId="75989552">
            <w:pPr>
              <w:pStyle w:val="137"/>
              <w:widowControl w:val="0"/>
              <w:jc w:val="center"/>
              <w:rPr>
                <w:rFonts w:eastAsia="宋体" w:cs="Times New Roman"/>
              </w:rPr>
            </w:pPr>
            <w:r>
              <w:rPr>
                <w:rFonts w:eastAsia="宋体" w:cs="Times New Roman"/>
              </w:rPr>
              <w:t>用户满意度</w:t>
            </w:r>
          </w:p>
        </w:tc>
        <w:tc>
          <w:tcPr>
            <w:tcW w:w="1876" w:type="dxa"/>
            <w:vAlign w:val="center"/>
          </w:tcPr>
          <w:p w14:paraId="79A56119">
            <w:pPr>
              <w:pStyle w:val="137"/>
              <w:widowControl w:val="0"/>
              <w:jc w:val="center"/>
              <w:rPr>
                <w:rFonts w:eastAsia="宋体" w:cs="Times New Roman"/>
              </w:rPr>
            </w:pPr>
            <w:r>
              <w:rPr>
                <w:rFonts w:eastAsia="宋体" w:cs="Times New Roman"/>
              </w:rPr>
              <w:t>＞95%</w:t>
            </w:r>
          </w:p>
        </w:tc>
      </w:tr>
      <w:tr w14:paraId="1DC08F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19" w:hRule="atLeast"/>
          <w:jc w:val="center"/>
        </w:trPr>
        <w:tc>
          <w:tcPr>
            <w:tcW w:w="820" w:type="dxa"/>
            <w:vAlign w:val="center"/>
          </w:tcPr>
          <w:p w14:paraId="1467F1A1">
            <w:pPr>
              <w:pStyle w:val="137"/>
              <w:widowControl w:val="0"/>
              <w:jc w:val="center"/>
              <w:rPr>
                <w:rFonts w:eastAsia="宋体" w:cs="Times New Roman"/>
              </w:rPr>
            </w:pPr>
            <w:r>
              <w:rPr>
                <w:rFonts w:eastAsia="宋体" w:cs="Times New Roman"/>
              </w:rPr>
              <w:t>13</w:t>
            </w:r>
          </w:p>
        </w:tc>
        <w:tc>
          <w:tcPr>
            <w:tcW w:w="1474" w:type="dxa"/>
            <w:vMerge w:val="continue"/>
            <w:vAlign w:val="center"/>
          </w:tcPr>
          <w:p w14:paraId="72AD653B">
            <w:pPr>
              <w:pStyle w:val="137"/>
              <w:widowControl w:val="0"/>
              <w:jc w:val="center"/>
              <w:rPr>
                <w:rFonts w:eastAsia="宋体" w:cs="Times New Roman"/>
              </w:rPr>
            </w:pPr>
          </w:p>
        </w:tc>
        <w:tc>
          <w:tcPr>
            <w:tcW w:w="1473" w:type="dxa"/>
            <w:vMerge w:val="continue"/>
            <w:vAlign w:val="center"/>
          </w:tcPr>
          <w:p w14:paraId="01118E09">
            <w:pPr>
              <w:pStyle w:val="137"/>
              <w:widowControl w:val="0"/>
              <w:jc w:val="center"/>
              <w:rPr>
                <w:rFonts w:eastAsia="宋体" w:cs="Times New Roman"/>
              </w:rPr>
            </w:pPr>
          </w:p>
        </w:tc>
        <w:tc>
          <w:tcPr>
            <w:tcW w:w="1607" w:type="dxa"/>
            <w:vMerge w:val="continue"/>
            <w:vAlign w:val="center"/>
          </w:tcPr>
          <w:p w14:paraId="19829DA7">
            <w:pPr>
              <w:pStyle w:val="137"/>
              <w:widowControl w:val="0"/>
              <w:jc w:val="center"/>
              <w:rPr>
                <w:rFonts w:eastAsia="宋体" w:cs="Times New Roman"/>
              </w:rPr>
            </w:pPr>
          </w:p>
        </w:tc>
        <w:tc>
          <w:tcPr>
            <w:tcW w:w="1469" w:type="dxa"/>
          </w:tcPr>
          <w:p w14:paraId="42E6D3DB">
            <w:pPr>
              <w:pStyle w:val="137"/>
              <w:widowControl w:val="0"/>
              <w:jc w:val="center"/>
              <w:rPr>
                <w:rFonts w:eastAsia="宋体" w:cs="Times New Roman"/>
              </w:rPr>
            </w:pPr>
            <w:r>
              <w:rPr>
                <w:rFonts w:eastAsia="宋体" w:cs="Times New Roman"/>
              </w:rPr>
              <w:t>建立企业诚信档案</w:t>
            </w:r>
          </w:p>
        </w:tc>
        <w:tc>
          <w:tcPr>
            <w:tcW w:w="1876" w:type="dxa"/>
            <w:vAlign w:val="center"/>
          </w:tcPr>
          <w:p w14:paraId="2C5A42C7">
            <w:pPr>
              <w:pStyle w:val="137"/>
              <w:widowControl w:val="0"/>
              <w:jc w:val="center"/>
              <w:rPr>
                <w:rFonts w:eastAsia="宋体" w:cs="Times New Roman"/>
              </w:rPr>
            </w:pPr>
            <w:r>
              <w:rPr>
                <w:rFonts w:eastAsia="宋体" w:cs="Times New Roman"/>
              </w:rPr>
              <w:t>≥4家</w:t>
            </w:r>
          </w:p>
        </w:tc>
      </w:tr>
      <w:tr w14:paraId="2ADAED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26" w:hRule="atLeast"/>
          <w:jc w:val="center"/>
        </w:trPr>
        <w:tc>
          <w:tcPr>
            <w:tcW w:w="820" w:type="dxa"/>
            <w:vAlign w:val="center"/>
          </w:tcPr>
          <w:p w14:paraId="22F502ED">
            <w:pPr>
              <w:pStyle w:val="137"/>
              <w:widowControl w:val="0"/>
              <w:jc w:val="center"/>
              <w:rPr>
                <w:rFonts w:eastAsia="宋体" w:cs="Times New Roman"/>
              </w:rPr>
            </w:pPr>
            <w:r>
              <w:rPr>
                <w:rFonts w:eastAsia="宋体" w:cs="Times New Roman"/>
              </w:rPr>
              <w:t>14</w:t>
            </w:r>
          </w:p>
        </w:tc>
        <w:tc>
          <w:tcPr>
            <w:tcW w:w="1474" w:type="dxa"/>
            <w:vMerge w:val="continue"/>
            <w:vAlign w:val="center"/>
          </w:tcPr>
          <w:p w14:paraId="2C7E1012">
            <w:pPr>
              <w:pStyle w:val="137"/>
              <w:widowControl w:val="0"/>
              <w:jc w:val="center"/>
              <w:rPr>
                <w:rFonts w:eastAsia="宋体" w:cs="Times New Roman"/>
              </w:rPr>
            </w:pPr>
          </w:p>
        </w:tc>
        <w:tc>
          <w:tcPr>
            <w:tcW w:w="1473" w:type="dxa"/>
            <w:vMerge w:val="continue"/>
            <w:vAlign w:val="center"/>
          </w:tcPr>
          <w:p w14:paraId="7B3B516F">
            <w:pPr>
              <w:pStyle w:val="137"/>
              <w:widowControl w:val="0"/>
              <w:jc w:val="center"/>
              <w:rPr>
                <w:rFonts w:eastAsia="宋体" w:cs="Times New Roman"/>
              </w:rPr>
            </w:pPr>
          </w:p>
        </w:tc>
        <w:tc>
          <w:tcPr>
            <w:tcW w:w="1607" w:type="dxa"/>
            <w:vMerge w:val="continue"/>
            <w:vAlign w:val="center"/>
          </w:tcPr>
          <w:p w14:paraId="2DB019CB">
            <w:pPr>
              <w:pStyle w:val="137"/>
              <w:widowControl w:val="0"/>
              <w:jc w:val="center"/>
              <w:rPr>
                <w:rFonts w:eastAsia="宋体" w:cs="Times New Roman"/>
              </w:rPr>
            </w:pPr>
          </w:p>
        </w:tc>
        <w:tc>
          <w:tcPr>
            <w:tcW w:w="1469" w:type="dxa"/>
          </w:tcPr>
          <w:p w14:paraId="57DA4DFF">
            <w:pPr>
              <w:pStyle w:val="137"/>
              <w:widowControl w:val="0"/>
              <w:jc w:val="center"/>
              <w:rPr>
                <w:rFonts w:eastAsia="宋体" w:cs="Times New Roman"/>
              </w:rPr>
            </w:pPr>
            <w:r>
              <w:rPr>
                <w:rFonts w:eastAsia="宋体" w:cs="Times New Roman"/>
              </w:rPr>
              <w:t>每年建立行业从业人员诚信档案</w:t>
            </w:r>
          </w:p>
        </w:tc>
        <w:tc>
          <w:tcPr>
            <w:tcW w:w="1876" w:type="dxa"/>
            <w:vAlign w:val="center"/>
          </w:tcPr>
          <w:p w14:paraId="6CEF13E3">
            <w:pPr>
              <w:pStyle w:val="137"/>
              <w:widowControl w:val="0"/>
              <w:jc w:val="center"/>
              <w:rPr>
                <w:rFonts w:eastAsia="宋体" w:cs="Times New Roman"/>
              </w:rPr>
            </w:pPr>
            <w:r>
              <w:rPr>
                <w:rFonts w:eastAsia="宋体" w:cs="Times New Roman"/>
              </w:rPr>
              <w:t>&gt;2000人</w:t>
            </w:r>
          </w:p>
        </w:tc>
      </w:tr>
      <w:tr w14:paraId="6299D8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19" w:hRule="atLeast"/>
          <w:jc w:val="center"/>
        </w:trPr>
        <w:tc>
          <w:tcPr>
            <w:tcW w:w="820" w:type="dxa"/>
            <w:vAlign w:val="center"/>
          </w:tcPr>
          <w:p w14:paraId="67511012">
            <w:pPr>
              <w:pStyle w:val="137"/>
              <w:widowControl w:val="0"/>
              <w:jc w:val="center"/>
              <w:rPr>
                <w:rFonts w:eastAsia="宋体" w:cs="Times New Roman"/>
              </w:rPr>
            </w:pPr>
            <w:r>
              <w:rPr>
                <w:rFonts w:eastAsia="宋体" w:cs="Times New Roman"/>
              </w:rPr>
              <w:t>15</w:t>
            </w:r>
          </w:p>
        </w:tc>
        <w:tc>
          <w:tcPr>
            <w:tcW w:w="1474" w:type="dxa"/>
            <w:vMerge w:val="continue"/>
            <w:vAlign w:val="center"/>
          </w:tcPr>
          <w:p w14:paraId="2BE28225">
            <w:pPr>
              <w:pStyle w:val="137"/>
              <w:widowControl w:val="0"/>
              <w:jc w:val="center"/>
              <w:rPr>
                <w:rFonts w:eastAsia="宋体" w:cs="Times New Roman"/>
              </w:rPr>
            </w:pPr>
          </w:p>
        </w:tc>
        <w:tc>
          <w:tcPr>
            <w:tcW w:w="1473" w:type="dxa"/>
            <w:vMerge w:val="continue"/>
            <w:vAlign w:val="center"/>
          </w:tcPr>
          <w:p w14:paraId="2BA785BB">
            <w:pPr>
              <w:pStyle w:val="137"/>
              <w:widowControl w:val="0"/>
              <w:jc w:val="center"/>
              <w:rPr>
                <w:rFonts w:eastAsia="宋体" w:cs="Times New Roman"/>
              </w:rPr>
            </w:pPr>
          </w:p>
        </w:tc>
        <w:tc>
          <w:tcPr>
            <w:tcW w:w="1607" w:type="dxa"/>
            <w:vMerge w:val="continue"/>
            <w:vAlign w:val="center"/>
          </w:tcPr>
          <w:p w14:paraId="54C22AED">
            <w:pPr>
              <w:pStyle w:val="137"/>
              <w:widowControl w:val="0"/>
              <w:jc w:val="center"/>
              <w:rPr>
                <w:rFonts w:eastAsia="宋体" w:cs="Times New Roman"/>
              </w:rPr>
            </w:pPr>
          </w:p>
        </w:tc>
        <w:tc>
          <w:tcPr>
            <w:tcW w:w="1469" w:type="dxa"/>
          </w:tcPr>
          <w:p w14:paraId="06702B17">
            <w:pPr>
              <w:pStyle w:val="137"/>
              <w:widowControl w:val="0"/>
              <w:jc w:val="center"/>
              <w:rPr>
                <w:rFonts w:eastAsia="宋体" w:cs="Times New Roman"/>
              </w:rPr>
            </w:pPr>
            <w:r>
              <w:rPr>
                <w:rFonts w:eastAsia="宋体" w:cs="Times New Roman"/>
              </w:rPr>
              <w:t>年度报废回收拆解车辆</w:t>
            </w:r>
          </w:p>
        </w:tc>
        <w:tc>
          <w:tcPr>
            <w:tcW w:w="1876" w:type="dxa"/>
            <w:vAlign w:val="center"/>
          </w:tcPr>
          <w:p w14:paraId="6B161E78">
            <w:pPr>
              <w:pStyle w:val="137"/>
              <w:widowControl w:val="0"/>
              <w:jc w:val="center"/>
              <w:rPr>
                <w:rFonts w:eastAsia="宋体" w:cs="Times New Roman"/>
              </w:rPr>
            </w:pPr>
            <w:r>
              <w:rPr>
                <w:rFonts w:eastAsia="宋体" w:cs="Times New Roman"/>
              </w:rPr>
              <w:t>500,000辆</w:t>
            </w:r>
          </w:p>
        </w:tc>
      </w:tr>
      <w:tr w14:paraId="6DCA51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4" w:hRule="atLeast"/>
          <w:jc w:val="center"/>
        </w:trPr>
        <w:tc>
          <w:tcPr>
            <w:tcW w:w="820" w:type="dxa"/>
            <w:vAlign w:val="center"/>
          </w:tcPr>
          <w:p w14:paraId="0282FF71">
            <w:pPr>
              <w:pStyle w:val="137"/>
              <w:widowControl w:val="0"/>
              <w:jc w:val="center"/>
              <w:rPr>
                <w:rFonts w:eastAsia="宋体" w:cs="Times New Roman"/>
              </w:rPr>
            </w:pPr>
            <w:r>
              <w:rPr>
                <w:rFonts w:eastAsia="宋体" w:cs="Times New Roman"/>
              </w:rPr>
              <w:t>16</w:t>
            </w:r>
          </w:p>
        </w:tc>
        <w:tc>
          <w:tcPr>
            <w:tcW w:w="1474" w:type="dxa"/>
            <w:vMerge w:val="continue"/>
            <w:vAlign w:val="center"/>
          </w:tcPr>
          <w:p w14:paraId="768E551C">
            <w:pPr>
              <w:pStyle w:val="137"/>
              <w:widowControl w:val="0"/>
              <w:jc w:val="center"/>
              <w:rPr>
                <w:rFonts w:eastAsia="宋体" w:cs="Times New Roman"/>
              </w:rPr>
            </w:pPr>
          </w:p>
        </w:tc>
        <w:tc>
          <w:tcPr>
            <w:tcW w:w="1473" w:type="dxa"/>
            <w:vMerge w:val="continue"/>
            <w:vAlign w:val="center"/>
          </w:tcPr>
          <w:p w14:paraId="4D6402D1">
            <w:pPr>
              <w:pStyle w:val="137"/>
              <w:widowControl w:val="0"/>
              <w:jc w:val="center"/>
              <w:rPr>
                <w:rFonts w:eastAsia="宋体" w:cs="Times New Roman"/>
              </w:rPr>
            </w:pPr>
          </w:p>
        </w:tc>
        <w:tc>
          <w:tcPr>
            <w:tcW w:w="1607" w:type="dxa"/>
            <w:vMerge w:val="continue"/>
            <w:vAlign w:val="center"/>
          </w:tcPr>
          <w:p w14:paraId="10CCEF35">
            <w:pPr>
              <w:pStyle w:val="137"/>
              <w:widowControl w:val="0"/>
              <w:jc w:val="center"/>
              <w:rPr>
                <w:rFonts w:eastAsia="宋体" w:cs="Times New Roman"/>
              </w:rPr>
            </w:pPr>
          </w:p>
        </w:tc>
        <w:tc>
          <w:tcPr>
            <w:tcW w:w="1469" w:type="dxa"/>
          </w:tcPr>
          <w:p w14:paraId="21019195">
            <w:pPr>
              <w:pStyle w:val="137"/>
              <w:widowControl w:val="0"/>
              <w:jc w:val="center"/>
              <w:rPr>
                <w:rFonts w:eastAsia="宋体" w:cs="Times New Roman"/>
              </w:rPr>
            </w:pPr>
            <w:r>
              <w:rPr>
                <w:rFonts w:eastAsia="宋体" w:cs="Times New Roman"/>
              </w:rPr>
              <w:t>行业月报以及年报份数</w:t>
            </w:r>
          </w:p>
        </w:tc>
        <w:tc>
          <w:tcPr>
            <w:tcW w:w="1876" w:type="dxa"/>
            <w:vAlign w:val="center"/>
          </w:tcPr>
          <w:p w14:paraId="543AC5FD">
            <w:pPr>
              <w:pStyle w:val="137"/>
              <w:widowControl w:val="0"/>
              <w:jc w:val="center"/>
              <w:rPr>
                <w:rFonts w:eastAsia="宋体" w:cs="Times New Roman"/>
              </w:rPr>
            </w:pPr>
            <w:r>
              <w:rPr>
                <w:rFonts w:eastAsia="宋体" w:cs="Times New Roman"/>
              </w:rPr>
              <w:t>&gt;14份</w:t>
            </w:r>
          </w:p>
        </w:tc>
      </w:tr>
    </w:tbl>
    <w:p w14:paraId="4B88743C">
      <w:pPr>
        <w:pStyle w:val="2"/>
        <w:rPr>
          <w:rFonts w:ascii="Times New Roman" w:hAnsi="Times New Roman"/>
        </w:rPr>
      </w:pPr>
      <w:bookmarkStart w:id="12" w:name="_Toc47536676"/>
      <w:bookmarkEnd w:id="12"/>
      <w:bookmarkStart w:id="13" w:name="_Toc47533288"/>
      <w:bookmarkEnd w:id="13"/>
      <w:bookmarkStart w:id="14" w:name="_Toc47532923"/>
      <w:bookmarkEnd w:id="14"/>
      <w:bookmarkStart w:id="15" w:name="_Toc47536304"/>
      <w:bookmarkEnd w:id="15"/>
      <w:bookmarkStart w:id="16" w:name="_Toc47539102"/>
      <w:bookmarkEnd w:id="16"/>
      <w:bookmarkStart w:id="17" w:name="_Toc47537166"/>
      <w:bookmarkEnd w:id="17"/>
      <w:r>
        <w:rPr>
          <w:rFonts w:ascii="Times New Roman" w:hAnsi="Times New Roman"/>
        </w:rPr>
        <w:t>项目建设内容</w:t>
      </w:r>
    </w:p>
    <w:p w14:paraId="52424AA4">
      <w:pPr>
        <w:pStyle w:val="3"/>
        <w:rPr>
          <w:rFonts w:ascii="Times New Roman" w:hAnsi="Times New Roman"/>
        </w:rPr>
      </w:pPr>
      <w:r>
        <w:rPr>
          <w:rFonts w:ascii="Times New Roman" w:hAnsi="Times New Roman"/>
        </w:rPr>
        <w:t>建设内容概述</w:t>
      </w:r>
    </w:p>
    <w:p w14:paraId="2041BD52">
      <w:pPr>
        <w:numPr>
          <w:ilvl w:val="255"/>
          <w:numId w:val="0"/>
        </w:numPr>
        <w:ind w:firstLine="480" w:firstLineChars="200"/>
        <w:rPr>
          <w:rFonts w:ascii="Times New Roman" w:hAnsi="Times New Roman"/>
        </w:rPr>
      </w:pPr>
      <w:r>
        <w:rPr>
          <w:rFonts w:ascii="Times New Roman" w:hAnsi="Times New Roman"/>
        </w:rPr>
        <w:t>（1）报废机动车回收拆解综合监管。包括待报废车辆信息管理、报废车辆进场信息管理、车辆拆解信息管理、报废车辆数据上报、回收证明信息管理、报废车辆注销管理、报废车辆撤销管理、回收拆解企业资质管理、车辆报废进度查询、报废机动车回收拆解企业抽检管理。</w:t>
      </w:r>
    </w:p>
    <w:p w14:paraId="4B156353">
      <w:pPr>
        <w:numPr>
          <w:ilvl w:val="255"/>
          <w:numId w:val="0"/>
        </w:numPr>
        <w:ind w:firstLine="480" w:firstLineChars="200"/>
        <w:rPr>
          <w:rFonts w:ascii="Times New Roman" w:hAnsi="Times New Roman"/>
        </w:rPr>
      </w:pPr>
      <w:r>
        <w:rPr>
          <w:rFonts w:ascii="Times New Roman" w:hAnsi="Times New Roman"/>
        </w:rPr>
        <w:t>（2）新车销售综合监管。包括新车销售门店信息管理、新车完税管理、新车投诉处理、二手车投诉处理、二手车完税管理、车辆销售备案管理、以旧换新补贴、新车销售企业抽检管理。</w:t>
      </w:r>
    </w:p>
    <w:p w14:paraId="260049E6">
      <w:pPr>
        <w:numPr>
          <w:ilvl w:val="255"/>
          <w:numId w:val="0"/>
        </w:numPr>
        <w:ind w:firstLine="480" w:firstLineChars="200"/>
        <w:rPr>
          <w:rFonts w:ascii="Times New Roman" w:hAnsi="Times New Roman"/>
        </w:rPr>
      </w:pPr>
      <w:r>
        <w:rPr>
          <w:rFonts w:ascii="Times New Roman" w:hAnsi="Times New Roman"/>
        </w:rPr>
        <w:t>（3）电动自行车安全综合监管。包括电动自行车报废管理、电动自行车补贴管理、电动自行车以旧换新企业抽检管理。</w:t>
      </w:r>
    </w:p>
    <w:p w14:paraId="27579EE1">
      <w:pPr>
        <w:numPr>
          <w:ilvl w:val="255"/>
          <w:numId w:val="0"/>
        </w:numPr>
        <w:ind w:firstLine="480" w:firstLineChars="200"/>
        <w:rPr>
          <w:rFonts w:ascii="Times New Roman" w:hAnsi="Times New Roman"/>
        </w:rPr>
      </w:pPr>
      <w:r>
        <w:rPr>
          <w:rFonts w:ascii="Times New Roman" w:hAnsi="Times New Roman"/>
        </w:rPr>
        <w:t>（4）统一管理。包括用户管理、角色管理、权限管理、日志管理、预警管理、对象库管理、信用监管、大屏展示、GIS落点、密码应用建设。</w:t>
      </w:r>
    </w:p>
    <w:p w14:paraId="5F308B6B">
      <w:pPr>
        <w:numPr>
          <w:ilvl w:val="255"/>
          <w:numId w:val="0"/>
        </w:numPr>
        <w:ind w:firstLine="480" w:firstLineChars="200"/>
        <w:rPr>
          <w:rFonts w:ascii="Times New Roman" w:hAnsi="Times New Roman"/>
        </w:rPr>
      </w:pPr>
      <w:r>
        <w:rPr>
          <w:rFonts w:ascii="Times New Roman" w:hAnsi="Times New Roman"/>
        </w:rPr>
        <w:t>（5）接口对接。包括12345投诉平台对接、全国汽车流通信息管理系统、行业协会、综合监管运行管理系统、大数据中心-公安专网、大数据中心数据湖、一网通办。</w:t>
      </w:r>
    </w:p>
    <w:p w14:paraId="32D54143">
      <w:pPr>
        <w:pStyle w:val="3"/>
        <w:rPr>
          <w:rFonts w:ascii="Times New Roman" w:hAnsi="Times New Roman"/>
        </w:rPr>
      </w:pPr>
      <w:r>
        <w:rPr>
          <w:rFonts w:ascii="Times New Roman" w:hAnsi="Times New Roman"/>
        </w:rPr>
        <w:t>技术路线要求</w:t>
      </w:r>
    </w:p>
    <w:p w14:paraId="4B9F5551">
      <w:pPr>
        <w:rPr>
          <w:rFonts w:ascii="Times New Roman" w:hAnsi="Times New Roman"/>
        </w:rPr>
      </w:pPr>
      <w:r>
        <w:rPr>
          <w:rFonts w:ascii="Times New Roman" w:hAnsi="Times New Roman"/>
        </w:rPr>
        <w:t>本项目采用的技术路线采用良好的系统构建框架及系统实现技术，同时采用良好的数据定义、传输与组成对象交互机制，基于Spring MVC技术框架和微服务（架构）。</w:t>
      </w:r>
    </w:p>
    <w:p w14:paraId="5FB2F096">
      <w:pPr>
        <w:rPr>
          <w:rFonts w:ascii="Times New Roman" w:hAnsi="Times New Roman"/>
        </w:rPr>
      </w:pPr>
      <w:r>
        <w:rPr>
          <w:rFonts w:ascii="Times New Roman" w:hAnsi="Times New Roman"/>
        </w:rPr>
        <w:t>基础层：基于上海市政务云建设市商务委综合监管子系统云专区，由上海市政务云平台提供云主机、网络、安全等基础资源服务。</w:t>
      </w:r>
    </w:p>
    <w:p w14:paraId="6EC4904C">
      <w:pPr>
        <w:rPr>
          <w:rFonts w:ascii="Times New Roman" w:hAnsi="Times New Roman"/>
        </w:rPr>
      </w:pPr>
      <w:r>
        <w:rPr>
          <w:rFonts w:ascii="Times New Roman" w:hAnsi="Times New Roman"/>
        </w:rPr>
        <w:t>数据层：通过接口对接的方式，汇聚报废车辆数据、回收拆解企业数据等。</w:t>
      </w:r>
    </w:p>
    <w:p w14:paraId="05E0B5EA">
      <w:pPr>
        <w:rPr>
          <w:rFonts w:ascii="Times New Roman" w:hAnsi="Times New Roman"/>
        </w:rPr>
      </w:pPr>
      <w:r>
        <w:rPr>
          <w:rFonts w:ascii="Times New Roman" w:hAnsi="Times New Roman"/>
        </w:rPr>
        <w:t>应用层：开展报废机动车回收拆解综合监管、新车销售综合监管、电动自行车安全综合监管、统一管理等功能建设。</w:t>
      </w:r>
    </w:p>
    <w:p w14:paraId="7DA712E4">
      <w:pPr>
        <w:rPr>
          <w:rFonts w:ascii="Times New Roman" w:hAnsi="Times New Roman"/>
        </w:rPr>
      </w:pPr>
      <w:r>
        <w:rPr>
          <w:rFonts w:ascii="Times New Roman" w:hAnsi="Times New Roman"/>
        </w:rPr>
        <w:t>用户层：包括商务委各业务处室、其他委办、拆解厂等第三方。</w:t>
      </w:r>
    </w:p>
    <w:p w14:paraId="08E1AA59">
      <w:pPr>
        <w:pStyle w:val="3"/>
        <w:rPr>
          <w:rFonts w:ascii="Times New Roman" w:hAnsi="Times New Roman"/>
        </w:rPr>
      </w:pPr>
      <w:r>
        <w:rPr>
          <w:rFonts w:ascii="Times New Roman" w:hAnsi="Times New Roman"/>
        </w:rPr>
        <w:t>部署环境要求</w:t>
      </w:r>
    </w:p>
    <w:p w14:paraId="473E27A3">
      <w:pPr>
        <w:rPr>
          <w:rFonts w:ascii="Times New Roman" w:hAnsi="Times New Roman"/>
        </w:rPr>
      </w:pPr>
      <w:r>
        <w:rPr>
          <w:rFonts w:hint="eastAsia" w:ascii="Times New Roman" w:hAnsi="Times New Roman"/>
        </w:rPr>
        <w:t>本项目要求能适配国产化环境，整体系统平台需满足能在XC环境下运行。</w:t>
      </w:r>
    </w:p>
    <w:p w14:paraId="661024CC">
      <w:pPr>
        <w:rPr>
          <w:rFonts w:ascii="Times New Roman" w:hAnsi="Times New Roman"/>
        </w:rPr>
      </w:pPr>
      <w:r>
        <w:rPr>
          <w:rFonts w:hint="eastAsia" w:ascii="Times New Roman" w:hAnsi="Times New Roman"/>
        </w:rPr>
        <w:t>数据库服务器部署在上海市电子政务云平台政务外网区，应用服务器部署于上海市电子政务云平台互联网区，系统软件布置方案由业主方协调、由云平台统一提供，需要将应用系统部署在业主方指定的基础环境中进行适配和调试，保障应用系统正常使用。</w:t>
      </w:r>
    </w:p>
    <w:p w14:paraId="3BBF312D">
      <w:pPr>
        <w:pStyle w:val="3"/>
        <w:rPr>
          <w:rFonts w:ascii="Times New Roman" w:hAnsi="Times New Roman"/>
        </w:rPr>
      </w:pPr>
      <w:r>
        <w:rPr>
          <w:rFonts w:ascii="Times New Roman" w:hAnsi="Times New Roman"/>
        </w:rPr>
        <w:t>软件开发清单</w:t>
      </w:r>
    </w:p>
    <w:tbl>
      <w:tblPr>
        <w:tblStyle w:val="35"/>
        <w:tblW w:w="8528" w:type="dxa"/>
        <w:jc w:val="center"/>
        <w:tblLayout w:type="autofit"/>
        <w:tblCellMar>
          <w:top w:w="0" w:type="dxa"/>
          <w:left w:w="108" w:type="dxa"/>
          <w:bottom w:w="0" w:type="dxa"/>
          <w:right w:w="108" w:type="dxa"/>
        </w:tblCellMar>
      </w:tblPr>
      <w:tblGrid>
        <w:gridCol w:w="843"/>
        <w:gridCol w:w="2367"/>
        <w:gridCol w:w="1573"/>
        <w:gridCol w:w="3745"/>
      </w:tblGrid>
      <w:tr w14:paraId="523BD142">
        <w:tblPrEx>
          <w:tblCellMar>
            <w:top w:w="0" w:type="dxa"/>
            <w:left w:w="108" w:type="dxa"/>
            <w:bottom w:w="0" w:type="dxa"/>
            <w:right w:w="108" w:type="dxa"/>
          </w:tblCellMar>
        </w:tblPrEx>
        <w:trPr>
          <w:tblHeade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630000D9">
            <w:pPr>
              <w:widowControl/>
              <w:snapToGrid w:val="0"/>
              <w:spacing w:line="240" w:lineRule="auto"/>
              <w:ind w:firstLine="0" w:firstLineChars="0"/>
              <w:jc w:val="center"/>
              <w:textAlignment w:val="center"/>
              <w:rPr>
                <w:rFonts w:ascii="Times New Roman" w:hAnsi="Times New Roman"/>
                <w:b/>
                <w:color w:val="000000"/>
              </w:rPr>
            </w:pPr>
            <w:r>
              <w:rPr>
                <w:rFonts w:ascii="Times New Roman" w:hAnsi="Times New Roman"/>
                <w:b/>
                <w:color w:val="000000"/>
                <w:kern w:val="0"/>
                <w:lang w:bidi="ar"/>
              </w:rPr>
              <w:t>序号</w:t>
            </w:r>
          </w:p>
        </w:tc>
        <w:tc>
          <w:tcPr>
            <w:tcW w:w="2367" w:type="dxa"/>
            <w:tcBorders>
              <w:top w:val="single" w:color="000000" w:sz="4" w:space="0"/>
              <w:left w:val="single" w:color="000000" w:sz="4" w:space="0"/>
              <w:bottom w:val="single" w:color="000000" w:sz="4" w:space="0"/>
              <w:right w:val="single" w:color="000000" w:sz="4" w:space="0"/>
            </w:tcBorders>
            <w:vAlign w:val="center"/>
          </w:tcPr>
          <w:p w14:paraId="17F40ACB">
            <w:pPr>
              <w:widowControl/>
              <w:snapToGrid w:val="0"/>
              <w:spacing w:line="240" w:lineRule="auto"/>
              <w:ind w:firstLine="0" w:firstLineChars="0"/>
              <w:jc w:val="center"/>
              <w:textAlignment w:val="center"/>
              <w:rPr>
                <w:rFonts w:ascii="Times New Roman" w:hAnsi="Times New Roman"/>
                <w:b/>
                <w:color w:val="000000"/>
              </w:rPr>
            </w:pPr>
            <w:r>
              <w:rPr>
                <w:rFonts w:ascii="Times New Roman" w:hAnsi="Times New Roman"/>
                <w:b/>
                <w:color w:val="000000"/>
                <w:kern w:val="0"/>
                <w:sz w:val="22"/>
                <w:szCs w:val="22"/>
              </w:rPr>
              <w:t>应用系统名称</w:t>
            </w:r>
          </w:p>
        </w:tc>
        <w:tc>
          <w:tcPr>
            <w:tcW w:w="1573" w:type="dxa"/>
            <w:tcBorders>
              <w:top w:val="single" w:color="000000" w:sz="4" w:space="0"/>
              <w:left w:val="single" w:color="000000" w:sz="4" w:space="0"/>
              <w:bottom w:val="single" w:color="000000" w:sz="4" w:space="0"/>
              <w:right w:val="single" w:color="000000" w:sz="4" w:space="0"/>
            </w:tcBorders>
            <w:vAlign w:val="center"/>
          </w:tcPr>
          <w:p w14:paraId="01799882">
            <w:pPr>
              <w:widowControl/>
              <w:snapToGrid w:val="0"/>
              <w:spacing w:line="240" w:lineRule="auto"/>
              <w:ind w:firstLine="0" w:firstLineChars="0"/>
              <w:jc w:val="center"/>
              <w:textAlignment w:val="center"/>
              <w:rPr>
                <w:rFonts w:ascii="Times New Roman" w:hAnsi="Times New Roman"/>
                <w:b/>
                <w:color w:val="000000"/>
              </w:rPr>
            </w:pPr>
            <w:r>
              <w:rPr>
                <w:rFonts w:ascii="Times New Roman" w:hAnsi="Times New Roman"/>
                <w:b/>
                <w:color w:val="000000"/>
                <w:kern w:val="0"/>
                <w:lang w:bidi="ar"/>
              </w:rPr>
              <w:t>模块名称</w:t>
            </w:r>
          </w:p>
        </w:tc>
        <w:tc>
          <w:tcPr>
            <w:tcW w:w="3745" w:type="dxa"/>
            <w:tcBorders>
              <w:top w:val="single" w:color="000000" w:sz="4" w:space="0"/>
              <w:left w:val="single" w:color="000000" w:sz="4" w:space="0"/>
              <w:bottom w:val="single" w:color="000000" w:sz="4" w:space="0"/>
              <w:right w:val="single" w:color="000000" w:sz="4" w:space="0"/>
            </w:tcBorders>
            <w:vAlign w:val="center"/>
          </w:tcPr>
          <w:p w14:paraId="3510F327">
            <w:pPr>
              <w:widowControl/>
              <w:snapToGrid w:val="0"/>
              <w:spacing w:line="240" w:lineRule="auto"/>
              <w:ind w:firstLine="0" w:firstLineChars="0"/>
              <w:jc w:val="center"/>
              <w:textAlignment w:val="center"/>
              <w:rPr>
                <w:rFonts w:ascii="Times New Roman" w:hAnsi="Times New Roman"/>
                <w:b/>
                <w:color w:val="000000"/>
              </w:rPr>
            </w:pPr>
            <w:r>
              <w:rPr>
                <w:rFonts w:ascii="Times New Roman" w:hAnsi="Times New Roman"/>
                <w:b/>
                <w:color w:val="000000"/>
                <w:kern w:val="0"/>
                <w:lang w:bidi="ar"/>
              </w:rPr>
              <w:t>模块描述</w:t>
            </w:r>
          </w:p>
        </w:tc>
      </w:tr>
      <w:tr w14:paraId="118050ED">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7EBD14BF">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1</w:t>
            </w:r>
          </w:p>
        </w:tc>
        <w:tc>
          <w:tcPr>
            <w:tcW w:w="2367" w:type="dxa"/>
            <w:tcBorders>
              <w:top w:val="single" w:color="000000" w:sz="4" w:space="0"/>
              <w:left w:val="single" w:color="000000" w:sz="4" w:space="0"/>
              <w:bottom w:val="single" w:color="000000" w:sz="4" w:space="0"/>
              <w:right w:val="single" w:color="000000" w:sz="4" w:space="0"/>
            </w:tcBorders>
            <w:vAlign w:val="center"/>
          </w:tcPr>
          <w:p w14:paraId="41F6B851">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报废机动车回收拆解综合监管</w:t>
            </w:r>
          </w:p>
        </w:tc>
        <w:tc>
          <w:tcPr>
            <w:tcW w:w="1573" w:type="dxa"/>
            <w:tcBorders>
              <w:top w:val="single" w:color="000000" w:sz="4" w:space="0"/>
              <w:left w:val="single" w:color="000000" w:sz="4" w:space="0"/>
              <w:bottom w:val="single" w:color="000000" w:sz="4" w:space="0"/>
              <w:right w:val="single" w:color="000000" w:sz="4" w:space="0"/>
            </w:tcBorders>
            <w:vAlign w:val="center"/>
          </w:tcPr>
          <w:p w14:paraId="23A9DBA4">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待报废车辆信息管理-报废车辆受理</w:t>
            </w:r>
          </w:p>
        </w:tc>
        <w:tc>
          <w:tcPr>
            <w:tcW w:w="3745" w:type="dxa"/>
            <w:tcBorders>
              <w:top w:val="single" w:color="000000" w:sz="4" w:space="0"/>
              <w:left w:val="single" w:color="000000" w:sz="4" w:space="0"/>
              <w:bottom w:val="single" w:color="000000" w:sz="4" w:space="0"/>
              <w:right w:val="single" w:color="000000" w:sz="4" w:space="0"/>
            </w:tcBorders>
            <w:vAlign w:val="center"/>
          </w:tcPr>
          <w:p w14:paraId="4C01F8C1">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报废车受理用于车证信息采集、所有人信息采集、代理人信息采集。</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（1）车证信息采集</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车证信息采集包括对行驶证正页、行驶证副页、产证一二页和产证变更页手工采集，对于非车管车辆需要同时提交情况说明书。支持通过调用OCR识别功能对行驶证和产证关键信息进行识别自动填入系统。调用大数据中心接口，比对其他报废企业告知是否已在其他企业受理，同时初步判断车辆状态。</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（2）所有人信息采集</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对于车辆所有人为个人主要收集个人身份证正反面和相关联系方式，并需要通过实名认证校验个人身份，车辆所有人为单位的主要收集企业经营执照、负责人等信息，通过大数据中心接口比对所有人信息和车辆关键信息，如不一致则给予告知提醒。支持通过调用OCR识别功能对个人身份证信息进行识别自动填入相关字段。</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（3）代理人信息采集</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对于代为办理的个人车辆或者企业车辆需要收集代理人身份信息，包含身份证正反面、委托说明书和联系方式。代理人实名认证，代理人必</w:t>
            </w:r>
            <w:r>
              <w:rPr>
                <w:rFonts w:hint="eastAsia" w:ascii="Times New Roman" w:hAnsi="Times New Roman"/>
                <w:color w:val="000000"/>
                <w:kern w:val="0"/>
                <w:sz w:val="22"/>
                <w:szCs w:val="22"/>
                <w:lang w:bidi="ar"/>
              </w:rPr>
              <w:t>需</w:t>
            </w:r>
            <w:r>
              <w:rPr>
                <w:rFonts w:ascii="Times New Roman" w:hAnsi="Times New Roman"/>
                <w:color w:val="000000"/>
                <w:kern w:val="0"/>
                <w:sz w:val="22"/>
                <w:szCs w:val="22"/>
                <w:lang w:bidi="ar"/>
              </w:rPr>
              <w:t>通过实名认证方可进行后续登记环节。支持通过调用OCR识别功能对个人身份证信息进行识别自动填入相关字段。</w:t>
            </w:r>
          </w:p>
        </w:tc>
      </w:tr>
      <w:tr w14:paraId="6523B3AD">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789C9D3E">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2</w:t>
            </w:r>
          </w:p>
        </w:tc>
        <w:tc>
          <w:tcPr>
            <w:tcW w:w="2367" w:type="dxa"/>
            <w:tcBorders>
              <w:top w:val="single" w:color="000000" w:sz="4" w:space="0"/>
              <w:left w:val="single" w:color="000000" w:sz="4" w:space="0"/>
              <w:bottom w:val="single" w:color="000000" w:sz="4" w:space="0"/>
              <w:right w:val="single" w:color="000000" w:sz="4" w:space="0"/>
            </w:tcBorders>
            <w:vAlign w:val="center"/>
          </w:tcPr>
          <w:p w14:paraId="603D8D8A">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报废机动车回收拆解综合监管</w:t>
            </w:r>
          </w:p>
        </w:tc>
        <w:tc>
          <w:tcPr>
            <w:tcW w:w="1573" w:type="dxa"/>
            <w:tcBorders>
              <w:top w:val="single" w:color="000000" w:sz="4" w:space="0"/>
              <w:left w:val="single" w:color="000000" w:sz="4" w:space="0"/>
              <w:bottom w:val="single" w:color="000000" w:sz="4" w:space="0"/>
              <w:right w:val="single" w:color="000000" w:sz="4" w:space="0"/>
            </w:tcBorders>
            <w:vAlign w:val="center"/>
          </w:tcPr>
          <w:p w14:paraId="312053D1">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待报废车辆信息管理-报废车辆审核和确认</w:t>
            </w:r>
          </w:p>
        </w:tc>
        <w:tc>
          <w:tcPr>
            <w:tcW w:w="3745" w:type="dxa"/>
            <w:tcBorders>
              <w:top w:val="single" w:color="000000" w:sz="4" w:space="0"/>
              <w:left w:val="single" w:color="000000" w:sz="4" w:space="0"/>
              <w:bottom w:val="single" w:color="000000" w:sz="4" w:space="0"/>
              <w:right w:val="single" w:color="000000" w:sz="4" w:space="0"/>
            </w:tcBorders>
            <w:vAlign w:val="center"/>
          </w:tcPr>
          <w:p w14:paraId="07B56ADD">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（1）报废车辆审核</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报废车辆审核是确保报废车辆基本信息正确、所有人信息正确和代理人身份真实。</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对于本市车辆系统会预先执行自动比对审核功能，对于车辆信息一致和所有信息一直的系统会自动判定审核通过。对于比对不通过的则会跳转至人工审核环节由车管审核人员来进行审核比对信息。</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需要人工审核的报废车辆信息，系统自动标记信息比对不一致的内容，方便审核人员着重审核不一致的字段。</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除此之外，在审核过程会对一些特殊车辆进行警示，如醒目标记黄标车车辆、监销车车辆来提高审核人员对此类车辆的关注度。</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对于审核结果：审核通过进入商委确认阶段、退回重新修改信息后再次审核、不通过则是不允许该辆车报废终止该辆车报废。</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（2）报废车辆确认</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商委对于车管审核通过的报废车辆信息，进行信息确认。确认通过后，车辆允许报废。</w:t>
            </w:r>
          </w:p>
        </w:tc>
      </w:tr>
      <w:tr w14:paraId="1C92D2B6">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0F05A512">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3</w:t>
            </w:r>
          </w:p>
        </w:tc>
        <w:tc>
          <w:tcPr>
            <w:tcW w:w="2367" w:type="dxa"/>
            <w:tcBorders>
              <w:top w:val="single" w:color="000000" w:sz="4" w:space="0"/>
              <w:left w:val="single" w:color="000000" w:sz="4" w:space="0"/>
              <w:bottom w:val="single" w:color="000000" w:sz="4" w:space="0"/>
              <w:right w:val="single" w:color="000000" w:sz="4" w:space="0"/>
            </w:tcBorders>
            <w:vAlign w:val="center"/>
          </w:tcPr>
          <w:p w14:paraId="525D8130">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报废机动车回收拆解综合监管</w:t>
            </w:r>
          </w:p>
        </w:tc>
        <w:tc>
          <w:tcPr>
            <w:tcW w:w="1573" w:type="dxa"/>
            <w:tcBorders>
              <w:top w:val="single" w:color="000000" w:sz="4" w:space="0"/>
              <w:left w:val="single" w:color="000000" w:sz="4" w:space="0"/>
              <w:bottom w:val="single" w:color="000000" w:sz="4" w:space="0"/>
              <w:right w:val="single" w:color="000000" w:sz="4" w:space="0"/>
            </w:tcBorders>
            <w:vAlign w:val="center"/>
          </w:tcPr>
          <w:p w14:paraId="54FDFE63">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报废车辆进场信息管理-报废车辆进场信息登记和审核</w:t>
            </w:r>
          </w:p>
        </w:tc>
        <w:tc>
          <w:tcPr>
            <w:tcW w:w="3745" w:type="dxa"/>
            <w:tcBorders>
              <w:top w:val="single" w:color="000000" w:sz="4" w:space="0"/>
              <w:left w:val="single" w:color="000000" w:sz="4" w:space="0"/>
              <w:bottom w:val="single" w:color="000000" w:sz="4" w:space="0"/>
              <w:right w:val="single" w:color="000000" w:sz="4" w:space="0"/>
            </w:tcBorders>
            <w:vAlign w:val="center"/>
          </w:tcPr>
          <w:p w14:paraId="456D2CE4">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1、报废车辆进场信息登记：对已允许报废的车辆，登记进场信息及拖车信息。</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（1）拖车信息采集</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拖车信息采集是第一时间收集拖车单照片，将拖车照片上传上来，将企业第一时间上传的拖车单照片时间作为车辆交车的节点，并记录照片采集的操作人和操作时间作为依据。完成拖车信息后企业方能继续执行进场信息采集。</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（2）进场信息采集</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进场信息采集是收集车辆拆解前整车和车辆部分部位照片，需要收集车辆的整车照、车架号照、发动机照、钢印照和其他照等，并记录照片采集的操作人和操作时间作为依据。</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2、进场信息审核</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商务委对于报废车辆的进场信息，进行信息审核。审核通过后，报废车辆允许进入拆解阶段。退回修改相应信息再次提交审核。</w:t>
            </w:r>
          </w:p>
        </w:tc>
      </w:tr>
      <w:tr w14:paraId="0601F0F2">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70E9211E">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4</w:t>
            </w:r>
          </w:p>
        </w:tc>
        <w:tc>
          <w:tcPr>
            <w:tcW w:w="2367" w:type="dxa"/>
            <w:tcBorders>
              <w:top w:val="single" w:color="000000" w:sz="4" w:space="0"/>
              <w:left w:val="single" w:color="000000" w:sz="4" w:space="0"/>
              <w:bottom w:val="single" w:color="000000" w:sz="4" w:space="0"/>
              <w:right w:val="single" w:color="000000" w:sz="4" w:space="0"/>
            </w:tcBorders>
            <w:vAlign w:val="center"/>
          </w:tcPr>
          <w:p w14:paraId="1CBB2347">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报废机动车回收拆解综合监管</w:t>
            </w:r>
          </w:p>
        </w:tc>
        <w:tc>
          <w:tcPr>
            <w:tcW w:w="1573" w:type="dxa"/>
            <w:tcBorders>
              <w:top w:val="single" w:color="000000" w:sz="4" w:space="0"/>
              <w:left w:val="single" w:color="000000" w:sz="4" w:space="0"/>
              <w:bottom w:val="single" w:color="000000" w:sz="4" w:space="0"/>
              <w:right w:val="single" w:color="000000" w:sz="4" w:space="0"/>
            </w:tcBorders>
            <w:vAlign w:val="center"/>
          </w:tcPr>
          <w:p w14:paraId="21C57779">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车辆拆解信息管理</w:t>
            </w:r>
          </w:p>
        </w:tc>
        <w:tc>
          <w:tcPr>
            <w:tcW w:w="3745" w:type="dxa"/>
            <w:tcBorders>
              <w:top w:val="single" w:color="000000" w:sz="4" w:space="0"/>
              <w:left w:val="single" w:color="000000" w:sz="4" w:space="0"/>
              <w:bottom w:val="single" w:color="000000" w:sz="4" w:space="0"/>
              <w:right w:val="single" w:color="000000" w:sz="4" w:space="0"/>
            </w:tcBorders>
            <w:vAlign w:val="center"/>
          </w:tcPr>
          <w:p w14:paraId="79901EAD">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1）报废车辆拆解信息采集：拆解信息采集是报废企业在拆解车辆后收集车辆拆解后的各个部位照片，包括车架照、发动机照、变速器照、方向机照、前桥照、后桥照、销毁号牌照片、钢印部位照，如果为新能源车辆则需要继续收集动力蓄电池照片，并记录照片采集的操作人和操作时间作为依据。</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2）报废车辆拆解信息办理：车辆拆解登记后将提交至拆解审核环节，系统校验是否监销车辆拆解信息，如非监销车辆进入商委对非监销车辆拆解信息审核环节，监销车辆则进入在公安审核环节。此审核过程退回修改的车辆可以重新补充修改再次提交审核。登记办理需要对车辆拆解信息等再次校验确保信息的规范完整。</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（3）非监销车辆拆解信息审核：商务委对于报废车辆的拆解信息，进行信息审核。审核通过后，报废车辆允许进入注销阶段。退回修改相应信息再次提交审核。</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（4）监销车辆拆解信息审核：将监销车辆拆解信息发送至公安系统中，支持接收审核结果。</w:t>
            </w:r>
          </w:p>
        </w:tc>
      </w:tr>
      <w:tr w14:paraId="5B8FE695">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41AA2593">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5</w:t>
            </w:r>
          </w:p>
        </w:tc>
        <w:tc>
          <w:tcPr>
            <w:tcW w:w="2367" w:type="dxa"/>
            <w:tcBorders>
              <w:top w:val="single" w:color="000000" w:sz="4" w:space="0"/>
              <w:left w:val="single" w:color="000000" w:sz="4" w:space="0"/>
              <w:bottom w:val="single" w:color="000000" w:sz="4" w:space="0"/>
              <w:right w:val="single" w:color="000000" w:sz="4" w:space="0"/>
            </w:tcBorders>
            <w:vAlign w:val="center"/>
          </w:tcPr>
          <w:p w14:paraId="64AF4523">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报废机动车回收拆解综合监管</w:t>
            </w:r>
          </w:p>
        </w:tc>
        <w:tc>
          <w:tcPr>
            <w:tcW w:w="1573" w:type="dxa"/>
            <w:tcBorders>
              <w:top w:val="single" w:color="000000" w:sz="4" w:space="0"/>
              <w:left w:val="single" w:color="000000" w:sz="4" w:space="0"/>
              <w:bottom w:val="single" w:color="000000" w:sz="4" w:space="0"/>
              <w:right w:val="single" w:color="000000" w:sz="4" w:space="0"/>
            </w:tcBorders>
            <w:vAlign w:val="center"/>
          </w:tcPr>
          <w:p w14:paraId="6D6D7C44">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报废车辆数据上报</w:t>
            </w:r>
          </w:p>
        </w:tc>
        <w:tc>
          <w:tcPr>
            <w:tcW w:w="3745" w:type="dxa"/>
            <w:tcBorders>
              <w:top w:val="single" w:color="000000" w:sz="4" w:space="0"/>
              <w:left w:val="single" w:color="000000" w:sz="4" w:space="0"/>
              <w:bottom w:val="single" w:color="000000" w:sz="4" w:space="0"/>
              <w:right w:val="single" w:color="000000" w:sz="4" w:space="0"/>
            </w:tcBorders>
            <w:vAlign w:val="center"/>
          </w:tcPr>
          <w:p w14:paraId="0A788330">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系统将相关报废车辆信息对接给全国汽车流通信息管理系统进行车辆报废流程。</w:t>
            </w:r>
          </w:p>
        </w:tc>
      </w:tr>
      <w:tr w14:paraId="1C2CA753">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5565D5AB">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6</w:t>
            </w:r>
          </w:p>
        </w:tc>
        <w:tc>
          <w:tcPr>
            <w:tcW w:w="2367" w:type="dxa"/>
            <w:tcBorders>
              <w:top w:val="single" w:color="000000" w:sz="4" w:space="0"/>
              <w:left w:val="single" w:color="000000" w:sz="4" w:space="0"/>
              <w:bottom w:val="single" w:color="000000" w:sz="4" w:space="0"/>
              <w:right w:val="single" w:color="000000" w:sz="4" w:space="0"/>
            </w:tcBorders>
            <w:vAlign w:val="center"/>
          </w:tcPr>
          <w:p w14:paraId="59C888E0">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报废机动车回收拆解综合监管</w:t>
            </w:r>
          </w:p>
        </w:tc>
        <w:tc>
          <w:tcPr>
            <w:tcW w:w="1573" w:type="dxa"/>
            <w:tcBorders>
              <w:top w:val="single" w:color="000000" w:sz="4" w:space="0"/>
              <w:left w:val="single" w:color="000000" w:sz="4" w:space="0"/>
              <w:bottom w:val="single" w:color="000000" w:sz="4" w:space="0"/>
              <w:right w:val="single" w:color="000000" w:sz="4" w:space="0"/>
            </w:tcBorders>
            <w:vAlign w:val="center"/>
          </w:tcPr>
          <w:p w14:paraId="017E3838">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回收证明信息管理</w:t>
            </w:r>
          </w:p>
        </w:tc>
        <w:tc>
          <w:tcPr>
            <w:tcW w:w="3745" w:type="dxa"/>
            <w:tcBorders>
              <w:top w:val="single" w:color="000000" w:sz="4" w:space="0"/>
              <w:left w:val="single" w:color="000000" w:sz="4" w:space="0"/>
              <w:bottom w:val="single" w:color="000000" w:sz="4" w:space="0"/>
              <w:right w:val="single" w:color="000000" w:sz="4" w:space="0"/>
            </w:tcBorders>
            <w:vAlign w:val="center"/>
          </w:tcPr>
          <w:p w14:paraId="73B6E152">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（1）接收回收证明信息：系统会对接国家接口将信息推送给国家，获得国家统一标准回收证明。在获取到回收证明后对接公安专网系统，将回收状态同步推送告知给公安，便于报废企业后续办理注销证明。</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（2）回收证明打印：系统支持报废企业在线打印回收证明。同时提供下载。</w:t>
            </w:r>
          </w:p>
        </w:tc>
      </w:tr>
      <w:tr w14:paraId="223B659B">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43F43B88">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7</w:t>
            </w:r>
          </w:p>
        </w:tc>
        <w:tc>
          <w:tcPr>
            <w:tcW w:w="2367" w:type="dxa"/>
            <w:tcBorders>
              <w:top w:val="single" w:color="000000" w:sz="4" w:space="0"/>
              <w:left w:val="single" w:color="000000" w:sz="4" w:space="0"/>
              <w:bottom w:val="single" w:color="000000" w:sz="4" w:space="0"/>
              <w:right w:val="single" w:color="000000" w:sz="4" w:space="0"/>
            </w:tcBorders>
            <w:vAlign w:val="center"/>
          </w:tcPr>
          <w:p w14:paraId="399D9E01">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报废机动车回收拆解综合监管</w:t>
            </w:r>
          </w:p>
        </w:tc>
        <w:tc>
          <w:tcPr>
            <w:tcW w:w="1573" w:type="dxa"/>
            <w:tcBorders>
              <w:top w:val="single" w:color="000000" w:sz="4" w:space="0"/>
              <w:left w:val="single" w:color="000000" w:sz="4" w:space="0"/>
              <w:bottom w:val="single" w:color="000000" w:sz="4" w:space="0"/>
              <w:right w:val="single" w:color="000000" w:sz="4" w:space="0"/>
            </w:tcBorders>
            <w:vAlign w:val="center"/>
          </w:tcPr>
          <w:p w14:paraId="119873FD">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报废车辆注销管理</w:t>
            </w:r>
          </w:p>
        </w:tc>
        <w:tc>
          <w:tcPr>
            <w:tcW w:w="3745" w:type="dxa"/>
            <w:tcBorders>
              <w:top w:val="single" w:color="000000" w:sz="4" w:space="0"/>
              <w:left w:val="single" w:color="000000" w:sz="4" w:space="0"/>
              <w:bottom w:val="single" w:color="000000" w:sz="4" w:space="0"/>
              <w:right w:val="single" w:color="000000" w:sz="4" w:space="0"/>
            </w:tcBorders>
            <w:vAlign w:val="center"/>
          </w:tcPr>
          <w:p w14:paraId="3D651DEB">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（1）注销信息采集：注销证明采集是企业将办理的注销证明和注销时间填报上来，用于记录车辆报废完成的最后一个阶段。</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（2）注销证明数据上传:系统将相关注销车辆信息对接给全国汽车流通信息管理系统平台进行车辆注销流程。</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3）注销证明领取：系统会对接国家接口将信息推送给国家获得国家统一标准注销证明。对于企业代为办理的注销证明，为了保证注销证明领取人身份可追溯，将对领取注销证明的个人进行实名认证来记录身份信息。</w:t>
            </w:r>
          </w:p>
        </w:tc>
      </w:tr>
      <w:tr w14:paraId="472C941C">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20D43445">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8</w:t>
            </w:r>
          </w:p>
        </w:tc>
        <w:tc>
          <w:tcPr>
            <w:tcW w:w="2367" w:type="dxa"/>
            <w:tcBorders>
              <w:top w:val="single" w:color="000000" w:sz="4" w:space="0"/>
              <w:left w:val="single" w:color="000000" w:sz="4" w:space="0"/>
              <w:bottom w:val="single" w:color="000000" w:sz="4" w:space="0"/>
              <w:right w:val="single" w:color="000000" w:sz="4" w:space="0"/>
            </w:tcBorders>
            <w:vAlign w:val="center"/>
          </w:tcPr>
          <w:p w14:paraId="59EC51B5">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报废机动车回收拆解综合监管</w:t>
            </w:r>
          </w:p>
        </w:tc>
        <w:tc>
          <w:tcPr>
            <w:tcW w:w="1573" w:type="dxa"/>
            <w:tcBorders>
              <w:top w:val="single" w:color="000000" w:sz="4" w:space="0"/>
              <w:left w:val="single" w:color="000000" w:sz="4" w:space="0"/>
              <w:bottom w:val="single" w:color="000000" w:sz="4" w:space="0"/>
              <w:right w:val="single" w:color="000000" w:sz="4" w:space="0"/>
            </w:tcBorders>
            <w:vAlign w:val="center"/>
          </w:tcPr>
          <w:p w14:paraId="6C2DE7C8">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报废车辆撤销管理-报废车辆撤销申请</w:t>
            </w:r>
          </w:p>
        </w:tc>
        <w:tc>
          <w:tcPr>
            <w:tcW w:w="3745" w:type="dxa"/>
            <w:tcBorders>
              <w:top w:val="single" w:color="000000" w:sz="4" w:space="0"/>
              <w:left w:val="single" w:color="000000" w:sz="4" w:space="0"/>
              <w:bottom w:val="single" w:color="000000" w:sz="4" w:space="0"/>
              <w:right w:val="single" w:color="000000" w:sz="4" w:space="0"/>
            </w:tcBorders>
            <w:vAlign w:val="center"/>
          </w:tcPr>
          <w:p w14:paraId="6C86771E">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在报废过程当中，需要更换报废企业进行报废或者终止报废情况出现。需要先进行报废车辆撤销申请的填报，填报相关撤销的事项，原因等信息提交审核。</w:t>
            </w:r>
          </w:p>
        </w:tc>
      </w:tr>
      <w:tr w14:paraId="00F4A975">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3FAC5211">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9</w:t>
            </w:r>
          </w:p>
        </w:tc>
        <w:tc>
          <w:tcPr>
            <w:tcW w:w="2367" w:type="dxa"/>
            <w:tcBorders>
              <w:top w:val="single" w:color="000000" w:sz="4" w:space="0"/>
              <w:left w:val="single" w:color="000000" w:sz="4" w:space="0"/>
              <w:bottom w:val="single" w:color="000000" w:sz="4" w:space="0"/>
              <w:right w:val="single" w:color="000000" w:sz="4" w:space="0"/>
            </w:tcBorders>
            <w:vAlign w:val="center"/>
          </w:tcPr>
          <w:p w14:paraId="2A010003">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报废机动车回收拆解综合监管</w:t>
            </w:r>
          </w:p>
        </w:tc>
        <w:tc>
          <w:tcPr>
            <w:tcW w:w="1573" w:type="dxa"/>
            <w:tcBorders>
              <w:top w:val="single" w:color="000000" w:sz="4" w:space="0"/>
              <w:left w:val="single" w:color="000000" w:sz="4" w:space="0"/>
              <w:bottom w:val="single" w:color="000000" w:sz="4" w:space="0"/>
              <w:right w:val="single" w:color="000000" w:sz="4" w:space="0"/>
            </w:tcBorders>
            <w:vAlign w:val="center"/>
          </w:tcPr>
          <w:p w14:paraId="45390A5F">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报废车辆撤销管理-报废车辆撤销审核</w:t>
            </w:r>
          </w:p>
        </w:tc>
        <w:tc>
          <w:tcPr>
            <w:tcW w:w="3745" w:type="dxa"/>
            <w:tcBorders>
              <w:top w:val="single" w:color="000000" w:sz="4" w:space="0"/>
              <w:left w:val="single" w:color="000000" w:sz="4" w:space="0"/>
              <w:bottom w:val="single" w:color="000000" w:sz="4" w:space="0"/>
              <w:right w:val="single" w:color="000000" w:sz="4" w:space="0"/>
            </w:tcBorders>
            <w:vAlign w:val="center"/>
          </w:tcPr>
          <w:p w14:paraId="37AA3E36">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对于车辆还未登记审核通过的车辆则有企业内部审核终止报废。对于已经登记审核通过的车辆，先由企业内部审核通过再交至商委再次进行审核，以确保车辆在未拆解的情况下终止车辆报废。</w:t>
            </w:r>
          </w:p>
        </w:tc>
      </w:tr>
      <w:tr w14:paraId="4F22FF01">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5E10D249">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10</w:t>
            </w:r>
          </w:p>
        </w:tc>
        <w:tc>
          <w:tcPr>
            <w:tcW w:w="2367" w:type="dxa"/>
            <w:tcBorders>
              <w:top w:val="single" w:color="000000" w:sz="4" w:space="0"/>
              <w:left w:val="single" w:color="000000" w:sz="4" w:space="0"/>
              <w:bottom w:val="single" w:color="000000" w:sz="4" w:space="0"/>
              <w:right w:val="single" w:color="000000" w:sz="4" w:space="0"/>
            </w:tcBorders>
            <w:vAlign w:val="center"/>
          </w:tcPr>
          <w:p w14:paraId="786E9655">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报废机动车回收拆解综合监管</w:t>
            </w:r>
          </w:p>
        </w:tc>
        <w:tc>
          <w:tcPr>
            <w:tcW w:w="1573" w:type="dxa"/>
            <w:tcBorders>
              <w:top w:val="single" w:color="000000" w:sz="4" w:space="0"/>
              <w:left w:val="single" w:color="000000" w:sz="4" w:space="0"/>
              <w:bottom w:val="single" w:color="000000" w:sz="4" w:space="0"/>
              <w:right w:val="single" w:color="000000" w:sz="4" w:space="0"/>
            </w:tcBorders>
            <w:vAlign w:val="center"/>
          </w:tcPr>
          <w:p w14:paraId="41DCD075">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回收拆解企业资质管理-资质申报</w:t>
            </w:r>
          </w:p>
        </w:tc>
        <w:tc>
          <w:tcPr>
            <w:tcW w:w="3745" w:type="dxa"/>
            <w:tcBorders>
              <w:top w:val="single" w:color="000000" w:sz="4" w:space="0"/>
              <w:left w:val="single" w:color="000000" w:sz="4" w:space="0"/>
              <w:bottom w:val="single" w:color="000000" w:sz="4" w:space="0"/>
              <w:right w:val="single" w:color="000000" w:sz="4" w:space="0"/>
            </w:tcBorders>
            <w:vAlign w:val="center"/>
          </w:tcPr>
          <w:p w14:paraId="7E57FDD8">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回收拆解企业资质管理用于规范管理回收拆解类企业（如报废汽车拆解企业）的资质申报、审核、发证、年审、变更与撤销等全流程，实现业务流程电子化、资料留痕可追溯、状态动态更新，提高资质认定工作的效率、透明度与合规性。</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回收拆解类企业在线填报资质申请表单，上传必要的资质材料，系统自动对比企业的营业执照等材料。提交相关申报。</w:t>
            </w:r>
          </w:p>
        </w:tc>
      </w:tr>
      <w:tr w14:paraId="6E56AF13">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3D861676">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11</w:t>
            </w:r>
          </w:p>
        </w:tc>
        <w:tc>
          <w:tcPr>
            <w:tcW w:w="2367" w:type="dxa"/>
            <w:tcBorders>
              <w:top w:val="single" w:color="000000" w:sz="4" w:space="0"/>
              <w:left w:val="single" w:color="000000" w:sz="4" w:space="0"/>
              <w:bottom w:val="single" w:color="000000" w:sz="4" w:space="0"/>
              <w:right w:val="single" w:color="000000" w:sz="4" w:space="0"/>
            </w:tcBorders>
            <w:vAlign w:val="center"/>
          </w:tcPr>
          <w:p w14:paraId="7E61E86A">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报废机动车回收拆解综合监管</w:t>
            </w:r>
          </w:p>
        </w:tc>
        <w:tc>
          <w:tcPr>
            <w:tcW w:w="1573" w:type="dxa"/>
            <w:tcBorders>
              <w:top w:val="single" w:color="000000" w:sz="4" w:space="0"/>
              <w:left w:val="single" w:color="000000" w:sz="4" w:space="0"/>
              <w:bottom w:val="single" w:color="000000" w:sz="4" w:space="0"/>
              <w:right w:val="single" w:color="000000" w:sz="4" w:space="0"/>
            </w:tcBorders>
            <w:vAlign w:val="center"/>
          </w:tcPr>
          <w:p w14:paraId="2F4D2970">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回收拆解企业资质管理-资质审核</w:t>
            </w:r>
          </w:p>
        </w:tc>
        <w:tc>
          <w:tcPr>
            <w:tcW w:w="3745" w:type="dxa"/>
            <w:tcBorders>
              <w:top w:val="single" w:color="000000" w:sz="4" w:space="0"/>
              <w:left w:val="single" w:color="000000" w:sz="4" w:space="0"/>
              <w:bottom w:val="single" w:color="000000" w:sz="4" w:space="0"/>
              <w:right w:val="single" w:color="000000" w:sz="4" w:space="0"/>
            </w:tcBorders>
            <w:vAlign w:val="center"/>
          </w:tcPr>
          <w:p w14:paraId="2486A59E">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支持申报材料的查阅，审核意见的录入，系统自动产生审核记录与过程痕迹，生成审核文件。</w:t>
            </w:r>
          </w:p>
        </w:tc>
      </w:tr>
      <w:tr w14:paraId="60D52C60">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6EBCBA52">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12</w:t>
            </w:r>
          </w:p>
        </w:tc>
        <w:tc>
          <w:tcPr>
            <w:tcW w:w="2367" w:type="dxa"/>
            <w:tcBorders>
              <w:top w:val="single" w:color="000000" w:sz="4" w:space="0"/>
              <w:left w:val="single" w:color="000000" w:sz="4" w:space="0"/>
              <w:bottom w:val="single" w:color="000000" w:sz="4" w:space="0"/>
              <w:right w:val="single" w:color="000000" w:sz="4" w:space="0"/>
            </w:tcBorders>
            <w:vAlign w:val="center"/>
          </w:tcPr>
          <w:p w14:paraId="4F696661">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报废机动车回收拆解综合监管</w:t>
            </w:r>
          </w:p>
        </w:tc>
        <w:tc>
          <w:tcPr>
            <w:tcW w:w="1573" w:type="dxa"/>
            <w:tcBorders>
              <w:top w:val="single" w:color="000000" w:sz="4" w:space="0"/>
              <w:left w:val="single" w:color="000000" w:sz="4" w:space="0"/>
              <w:bottom w:val="single" w:color="000000" w:sz="4" w:space="0"/>
              <w:right w:val="single" w:color="000000" w:sz="4" w:space="0"/>
            </w:tcBorders>
            <w:vAlign w:val="center"/>
          </w:tcPr>
          <w:p w14:paraId="4EE67D6E">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回收拆解企业资质管理-资质变更</w:t>
            </w:r>
          </w:p>
        </w:tc>
        <w:tc>
          <w:tcPr>
            <w:tcW w:w="3745" w:type="dxa"/>
            <w:tcBorders>
              <w:top w:val="single" w:color="000000" w:sz="4" w:space="0"/>
              <w:left w:val="single" w:color="000000" w:sz="4" w:space="0"/>
              <w:bottom w:val="single" w:color="000000" w:sz="4" w:space="0"/>
              <w:right w:val="single" w:color="000000" w:sz="4" w:space="0"/>
            </w:tcBorders>
            <w:vAlign w:val="center"/>
          </w:tcPr>
          <w:p w14:paraId="485D403C">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回收拆解类企业信息变更（如法人、场地）自动关联原始资质记录，重新填报资质变更表单，上传变更材料，提交信息变更。</w:t>
            </w:r>
          </w:p>
        </w:tc>
      </w:tr>
      <w:tr w14:paraId="24CFC66E">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0873D13C">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13</w:t>
            </w:r>
          </w:p>
        </w:tc>
        <w:tc>
          <w:tcPr>
            <w:tcW w:w="2367" w:type="dxa"/>
            <w:tcBorders>
              <w:top w:val="single" w:color="000000" w:sz="4" w:space="0"/>
              <w:left w:val="single" w:color="000000" w:sz="4" w:space="0"/>
              <w:bottom w:val="single" w:color="000000" w:sz="4" w:space="0"/>
              <w:right w:val="single" w:color="000000" w:sz="4" w:space="0"/>
            </w:tcBorders>
            <w:vAlign w:val="center"/>
          </w:tcPr>
          <w:p w14:paraId="32AE9B3E">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报废机动车回收拆解综合监管</w:t>
            </w:r>
          </w:p>
        </w:tc>
        <w:tc>
          <w:tcPr>
            <w:tcW w:w="1573" w:type="dxa"/>
            <w:tcBorders>
              <w:top w:val="single" w:color="000000" w:sz="4" w:space="0"/>
              <w:left w:val="single" w:color="000000" w:sz="4" w:space="0"/>
              <w:bottom w:val="single" w:color="000000" w:sz="4" w:space="0"/>
              <w:right w:val="single" w:color="000000" w:sz="4" w:space="0"/>
            </w:tcBorders>
            <w:vAlign w:val="center"/>
          </w:tcPr>
          <w:p w14:paraId="11F261F4">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回收拆解企业资质管理-资质撤销</w:t>
            </w:r>
          </w:p>
        </w:tc>
        <w:tc>
          <w:tcPr>
            <w:tcW w:w="3745" w:type="dxa"/>
            <w:tcBorders>
              <w:top w:val="single" w:color="000000" w:sz="4" w:space="0"/>
              <w:left w:val="single" w:color="000000" w:sz="4" w:space="0"/>
              <w:bottom w:val="single" w:color="000000" w:sz="4" w:space="0"/>
              <w:right w:val="single" w:color="000000" w:sz="4" w:space="0"/>
            </w:tcBorders>
            <w:vAlign w:val="center"/>
          </w:tcPr>
          <w:p w14:paraId="2F50B974">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系统与投诉平台、执法系统对接，关联回收拆解企业相关事件信息。系统对于不良回收拆解企业标注，管理人员依据相关信息，对资质进行撤销。将信息共享各相关部门，及消息推送至企业。</w:t>
            </w:r>
          </w:p>
        </w:tc>
      </w:tr>
      <w:tr w14:paraId="6FA9455B">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0D378ADB">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14</w:t>
            </w:r>
          </w:p>
        </w:tc>
        <w:tc>
          <w:tcPr>
            <w:tcW w:w="2367" w:type="dxa"/>
            <w:tcBorders>
              <w:top w:val="single" w:color="000000" w:sz="4" w:space="0"/>
              <w:left w:val="single" w:color="000000" w:sz="4" w:space="0"/>
              <w:bottom w:val="single" w:color="000000" w:sz="4" w:space="0"/>
              <w:right w:val="single" w:color="000000" w:sz="4" w:space="0"/>
            </w:tcBorders>
            <w:vAlign w:val="center"/>
          </w:tcPr>
          <w:p w14:paraId="2FAEB853">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报废机动车回收拆解综合监管</w:t>
            </w:r>
          </w:p>
        </w:tc>
        <w:tc>
          <w:tcPr>
            <w:tcW w:w="1573" w:type="dxa"/>
            <w:tcBorders>
              <w:top w:val="single" w:color="000000" w:sz="4" w:space="0"/>
              <w:left w:val="single" w:color="000000" w:sz="4" w:space="0"/>
              <w:bottom w:val="single" w:color="000000" w:sz="4" w:space="0"/>
              <w:right w:val="single" w:color="000000" w:sz="4" w:space="0"/>
            </w:tcBorders>
            <w:vAlign w:val="center"/>
          </w:tcPr>
          <w:p w14:paraId="7B85E9BB">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车辆报废进度查询</w:t>
            </w:r>
          </w:p>
        </w:tc>
        <w:tc>
          <w:tcPr>
            <w:tcW w:w="3745" w:type="dxa"/>
            <w:tcBorders>
              <w:top w:val="single" w:color="000000" w:sz="4" w:space="0"/>
              <w:left w:val="single" w:color="000000" w:sz="4" w:space="0"/>
              <w:bottom w:val="single" w:color="000000" w:sz="4" w:space="0"/>
              <w:right w:val="single" w:color="000000" w:sz="4" w:space="0"/>
            </w:tcBorders>
            <w:vAlign w:val="center"/>
          </w:tcPr>
          <w:p w14:paraId="2DEA43C5">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面向个人用户、企业用户及管理人员，提供报废机动车从申请、受理、回收、拆解、注销等各阶段的全流程进度查询服务，实现报废流程状态的可视化、透明化，提升业务透明度与群众满意度，同时为管理部门提供过程监管的数据支撑。</w:t>
            </w:r>
          </w:p>
        </w:tc>
      </w:tr>
      <w:tr w14:paraId="3694EE02">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707772DD">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15</w:t>
            </w:r>
          </w:p>
        </w:tc>
        <w:tc>
          <w:tcPr>
            <w:tcW w:w="2367" w:type="dxa"/>
            <w:tcBorders>
              <w:top w:val="single" w:color="000000" w:sz="4" w:space="0"/>
              <w:left w:val="single" w:color="000000" w:sz="4" w:space="0"/>
              <w:bottom w:val="single" w:color="000000" w:sz="4" w:space="0"/>
              <w:right w:val="single" w:color="000000" w:sz="4" w:space="0"/>
            </w:tcBorders>
            <w:vAlign w:val="center"/>
          </w:tcPr>
          <w:p w14:paraId="748D639B">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报废机动车回收拆解综合监管</w:t>
            </w:r>
          </w:p>
        </w:tc>
        <w:tc>
          <w:tcPr>
            <w:tcW w:w="1573" w:type="dxa"/>
            <w:tcBorders>
              <w:top w:val="single" w:color="000000" w:sz="4" w:space="0"/>
              <w:left w:val="single" w:color="000000" w:sz="4" w:space="0"/>
              <w:bottom w:val="single" w:color="000000" w:sz="4" w:space="0"/>
              <w:right w:val="single" w:color="000000" w:sz="4" w:space="0"/>
            </w:tcBorders>
            <w:vAlign w:val="center"/>
          </w:tcPr>
          <w:p w14:paraId="03163C6A">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报废机动车回收拆解企业抽检管理-抽检计划管理</w:t>
            </w:r>
          </w:p>
        </w:tc>
        <w:tc>
          <w:tcPr>
            <w:tcW w:w="3745" w:type="dxa"/>
            <w:tcBorders>
              <w:top w:val="single" w:color="000000" w:sz="4" w:space="0"/>
              <w:left w:val="single" w:color="000000" w:sz="4" w:space="0"/>
              <w:bottom w:val="single" w:color="000000" w:sz="4" w:space="0"/>
              <w:right w:val="single" w:color="000000" w:sz="4" w:space="0"/>
            </w:tcBorders>
            <w:vAlign w:val="center"/>
          </w:tcPr>
          <w:p w14:paraId="371E35CC">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按年/季度制定抽检工作计划，支持文件导入。系统按地区，按企业规模、历史问题等维度随机推荐抽检对象。可设置抽检类型（如例行检查、专项检查等）。系统自动生成抽检任务清单和计划进度表。</w:t>
            </w:r>
          </w:p>
        </w:tc>
      </w:tr>
      <w:tr w14:paraId="2F8AA680">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3F7F343F">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16</w:t>
            </w:r>
          </w:p>
        </w:tc>
        <w:tc>
          <w:tcPr>
            <w:tcW w:w="2367" w:type="dxa"/>
            <w:tcBorders>
              <w:top w:val="single" w:color="000000" w:sz="4" w:space="0"/>
              <w:left w:val="single" w:color="000000" w:sz="4" w:space="0"/>
              <w:bottom w:val="single" w:color="000000" w:sz="4" w:space="0"/>
              <w:right w:val="single" w:color="000000" w:sz="4" w:space="0"/>
            </w:tcBorders>
            <w:vAlign w:val="center"/>
          </w:tcPr>
          <w:p w14:paraId="064C15C7">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报废机动车回收拆解综合监管</w:t>
            </w:r>
          </w:p>
        </w:tc>
        <w:tc>
          <w:tcPr>
            <w:tcW w:w="1573" w:type="dxa"/>
            <w:tcBorders>
              <w:top w:val="single" w:color="000000" w:sz="4" w:space="0"/>
              <w:left w:val="single" w:color="000000" w:sz="4" w:space="0"/>
              <w:bottom w:val="single" w:color="000000" w:sz="4" w:space="0"/>
              <w:right w:val="single" w:color="000000" w:sz="4" w:space="0"/>
            </w:tcBorders>
            <w:vAlign w:val="center"/>
          </w:tcPr>
          <w:p w14:paraId="4287F399">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报废机动车回收拆解企业抽检管理-抽检任务调度</w:t>
            </w:r>
          </w:p>
        </w:tc>
        <w:tc>
          <w:tcPr>
            <w:tcW w:w="3745" w:type="dxa"/>
            <w:tcBorders>
              <w:top w:val="single" w:color="000000" w:sz="4" w:space="0"/>
              <w:left w:val="single" w:color="000000" w:sz="4" w:space="0"/>
              <w:bottom w:val="single" w:color="000000" w:sz="4" w:space="0"/>
              <w:right w:val="single" w:color="000000" w:sz="4" w:space="0"/>
            </w:tcBorders>
            <w:vAlign w:val="center"/>
          </w:tcPr>
          <w:p w14:paraId="4762C253">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支持抽检任务分配给具体检查人员或人员组，同时也支持系统随机安排具体人员或人员组。抽检任务包含：企业信息、检查时间、检查项模板、历史检查记录、提醒事项。检查人员可通过移动端接收任务，查看任务明细。</w:t>
            </w:r>
          </w:p>
        </w:tc>
      </w:tr>
      <w:tr w14:paraId="4D04D407">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4C30C1EB">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17</w:t>
            </w:r>
          </w:p>
        </w:tc>
        <w:tc>
          <w:tcPr>
            <w:tcW w:w="2367" w:type="dxa"/>
            <w:tcBorders>
              <w:top w:val="single" w:color="000000" w:sz="4" w:space="0"/>
              <w:left w:val="single" w:color="000000" w:sz="4" w:space="0"/>
              <w:bottom w:val="single" w:color="000000" w:sz="4" w:space="0"/>
              <w:right w:val="single" w:color="000000" w:sz="4" w:space="0"/>
            </w:tcBorders>
            <w:vAlign w:val="center"/>
          </w:tcPr>
          <w:p w14:paraId="75716C11">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报废机动车回收拆解综合监管</w:t>
            </w:r>
          </w:p>
        </w:tc>
        <w:tc>
          <w:tcPr>
            <w:tcW w:w="1573" w:type="dxa"/>
            <w:tcBorders>
              <w:top w:val="single" w:color="000000" w:sz="4" w:space="0"/>
              <w:left w:val="single" w:color="000000" w:sz="4" w:space="0"/>
              <w:bottom w:val="single" w:color="000000" w:sz="4" w:space="0"/>
              <w:right w:val="single" w:color="000000" w:sz="4" w:space="0"/>
            </w:tcBorders>
            <w:vAlign w:val="center"/>
          </w:tcPr>
          <w:p w14:paraId="21C5F783">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报废机动车回收拆解企业抽检管理-抽检项配置</w:t>
            </w:r>
          </w:p>
        </w:tc>
        <w:tc>
          <w:tcPr>
            <w:tcW w:w="3745" w:type="dxa"/>
            <w:tcBorders>
              <w:top w:val="single" w:color="000000" w:sz="4" w:space="0"/>
              <w:left w:val="single" w:color="000000" w:sz="4" w:space="0"/>
              <w:bottom w:val="single" w:color="000000" w:sz="4" w:space="0"/>
              <w:right w:val="single" w:color="000000" w:sz="4" w:space="0"/>
            </w:tcBorders>
            <w:vAlign w:val="center"/>
          </w:tcPr>
          <w:p w14:paraId="3A6736B5">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可自定义检查项模板（例如：环保措施落实、拆解流程规范、安全设施完好等）。不同类型检查模板可针对不同企业类型（整车拆解、电动汽车等）。</w:t>
            </w:r>
          </w:p>
        </w:tc>
      </w:tr>
      <w:tr w14:paraId="70EE66B2">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0CED54C0">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18</w:t>
            </w:r>
          </w:p>
        </w:tc>
        <w:tc>
          <w:tcPr>
            <w:tcW w:w="2367" w:type="dxa"/>
            <w:tcBorders>
              <w:top w:val="single" w:color="000000" w:sz="4" w:space="0"/>
              <w:left w:val="single" w:color="000000" w:sz="4" w:space="0"/>
              <w:bottom w:val="single" w:color="000000" w:sz="4" w:space="0"/>
              <w:right w:val="single" w:color="000000" w:sz="4" w:space="0"/>
            </w:tcBorders>
            <w:vAlign w:val="center"/>
          </w:tcPr>
          <w:p w14:paraId="3CAE7FAA">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报废机动车回收拆解综合监管</w:t>
            </w:r>
          </w:p>
        </w:tc>
        <w:tc>
          <w:tcPr>
            <w:tcW w:w="1573" w:type="dxa"/>
            <w:tcBorders>
              <w:top w:val="single" w:color="000000" w:sz="4" w:space="0"/>
              <w:left w:val="single" w:color="000000" w:sz="4" w:space="0"/>
              <w:bottom w:val="single" w:color="000000" w:sz="4" w:space="0"/>
              <w:right w:val="single" w:color="000000" w:sz="4" w:space="0"/>
            </w:tcBorders>
            <w:vAlign w:val="center"/>
          </w:tcPr>
          <w:p w14:paraId="31CA11EF">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报废机动车回收拆解企业抽检管理-检查反馈</w:t>
            </w:r>
          </w:p>
        </w:tc>
        <w:tc>
          <w:tcPr>
            <w:tcW w:w="3745" w:type="dxa"/>
            <w:tcBorders>
              <w:top w:val="single" w:color="000000" w:sz="4" w:space="0"/>
              <w:left w:val="single" w:color="000000" w:sz="4" w:space="0"/>
              <w:bottom w:val="single" w:color="000000" w:sz="4" w:space="0"/>
              <w:right w:val="single" w:color="000000" w:sz="4" w:space="0"/>
            </w:tcBorders>
            <w:vAlign w:val="center"/>
          </w:tcPr>
          <w:p w14:paraId="657B9965">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将检查结果反馈至系统，系统自动生成检查报告，同时支持上传整改资料及整改说明。系统支持整改期限的超期预警。整改复核后形成闭环处理记录。</w:t>
            </w:r>
          </w:p>
        </w:tc>
      </w:tr>
      <w:tr w14:paraId="552FE5A4">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58C72521">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19</w:t>
            </w:r>
          </w:p>
        </w:tc>
        <w:tc>
          <w:tcPr>
            <w:tcW w:w="2367" w:type="dxa"/>
            <w:tcBorders>
              <w:top w:val="single" w:color="000000" w:sz="4" w:space="0"/>
              <w:left w:val="single" w:color="000000" w:sz="4" w:space="0"/>
              <w:bottom w:val="single" w:color="000000" w:sz="4" w:space="0"/>
              <w:right w:val="single" w:color="000000" w:sz="4" w:space="0"/>
            </w:tcBorders>
            <w:vAlign w:val="center"/>
          </w:tcPr>
          <w:p w14:paraId="20AA5DAA">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新车销售综合监管</w:t>
            </w:r>
          </w:p>
        </w:tc>
        <w:tc>
          <w:tcPr>
            <w:tcW w:w="1573" w:type="dxa"/>
            <w:tcBorders>
              <w:top w:val="single" w:color="000000" w:sz="4" w:space="0"/>
              <w:left w:val="single" w:color="000000" w:sz="4" w:space="0"/>
              <w:bottom w:val="single" w:color="000000" w:sz="4" w:space="0"/>
              <w:right w:val="single" w:color="000000" w:sz="4" w:space="0"/>
            </w:tcBorders>
            <w:vAlign w:val="center"/>
          </w:tcPr>
          <w:p w14:paraId="7FF87874">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新车销售门店信息管理-门店备案</w:t>
            </w:r>
          </w:p>
        </w:tc>
        <w:tc>
          <w:tcPr>
            <w:tcW w:w="3745" w:type="dxa"/>
            <w:tcBorders>
              <w:top w:val="single" w:color="000000" w:sz="4" w:space="0"/>
              <w:left w:val="single" w:color="000000" w:sz="4" w:space="0"/>
              <w:bottom w:val="single" w:color="000000" w:sz="4" w:space="0"/>
              <w:right w:val="single" w:color="000000" w:sz="4" w:space="0"/>
            </w:tcBorders>
            <w:vAlign w:val="center"/>
          </w:tcPr>
          <w:p w14:paraId="674977E6">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支持新开门店线上备案，填报备案内容。内容包含但不限于门店名称、社会统一信用代码、所属企业、所在地区、地址、地图定位坐标、联系人、联系电话、营业范围、证照信息。系统自行校验注册信息的合法性。</w:t>
            </w:r>
          </w:p>
        </w:tc>
      </w:tr>
      <w:tr w14:paraId="4A3F5D6A">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5FE8ABD6">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20</w:t>
            </w:r>
          </w:p>
        </w:tc>
        <w:tc>
          <w:tcPr>
            <w:tcW w:w="2367" w:type="dxa"/>
            <w:tcBorders>
              <w:top w:val="single" w:color="000000" w:sz="4" w:space="0"/>
              <w:left w:val="single" w:color="000000" w:sz="4" w:space="0"/>
              <w:bottom w:val="single" w:color="000000" w:sz="4" w:space="0"/>
              <w:right w:val="single" w:color="000000" w:sz="4" w:space="0"/>
            </w:tcBorders>
            <w:vAlign w:val="center"/>
          </w:tcPr>
          <w:p w14:paraId="24C426F6">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新车销售综合监管</w:t>
            </w:r>
          </w:p>
        </w:tc>
        <w:tc>
          <w:tcPr>
            <w:tcW w:w="1573" w:type="dxa"/>
            <w:tcBorders>
              <w:top w:val="single" w:color="000000" w:sz="4" w:space="0"/>
              <w:left w:val="single" w:color="000000" w:sz="4" w:space="0"/>
              <w:bottom w:val="single" w:color="000000" w:sz="4" w:space="0"/>
              <w:right w:val="single" w:color="000000" w:sz="4" w:space="0"/>
            </w:tcBorders>
            <w:vAlign w:val="center"/>
          </w:tcPr>
          <w:p w14:paraId="57D1FDE9">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新车销售门店信息管理-门店变更</w:t>
            </w:r>
          </w:p>
        </w:tc>
        <w:tc>
          <w:tcPr>
            <w:tcW w:w="3745" w:type="dxa"/>
            <w:tcBorders>
              <w:top w:val="single" w:color="000000" w:sz="4" w:space="0"/>
              <w:left w:val="single" w:color="000000" w:sz="4" w:space="0"/>
              <w:bottom w:val="single" w:color="000000" w:sz="4" w:space="0"/>
              <w:right w:val="single" w:color="000000" w:sz="4" w:space="0"/>
            </w:tcBorders>
            <w:vAlign w:val="center"/>
          </w:tcPr>
          <w:p w14:paraId="1D8285C6">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支持门店提交变更内容，系统对于变更历史留痕，可追溯所有修改记录。支持重大变更预警，触发重新备案。</w:t>
            </w:r>
          </w:p>
        </w:tc>
      </w:tr>
      <w:tr w14:paraId="62832CDF">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46EDD2F2">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21</w:t>
            </w:r>
          </w:p>
        </w:tc>
        <w:tc>
          <w:tcPr>
            <w:tcW w:w="2367" w:type="dxa"/>
            <w:tcBorders>
              <w:top w:val="single" w:color="000000" w:sz="4" w:space="0"/>
              <w:left w:val="single" w:color="000000" w:sz="4" w:space="0"/>
              <w:bottom w:val="single" w:color="000000" w:sz="4" w:space="0"/>
              <w:right w:val="single" w:color="000000" w:sz="4" w:space="0"/>
            </w:tcBorders>
            <w:vAlign w:val="center"/>
          </w:tcPr>
          <w:p w14:paraId="53FCF4E8">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新车销售综合监管</w:t>
            </w:r>
          </w:p>
        </w:tc>
        <w:tc>
          <w:tcPr>
            <w:tcW w:w="1573" w:type="dxa"/>
            <w:tcBorders>
              <w:top w:val="single" w:color="000000" w:sz="4" w:space="0"/>
              <w:left w:val="single" w:color="000000" w:sz="4" w:space="0"/>
              <w:bottom w:val="single" w:color="000000" w:sz="4" w:space="0"/>
              <w:right w:val="single" w:color="000000" w:sz="4" w:space="0"/>
            </w:tcBorders>
            <w:vAlign w:val="center"/>
          </w:tcPr>
          <w:p w14:paraId="081344FA">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新车完税管理-新车完税信息采集</w:t>
            </w:r>
          </w:p>
        </w:tc>
        <w:tc>
          <w:tcPr>
            <w:tcW w:w="3745" w:type="dxa"/>
            <w:tcBorders>
              <w:top w:val="single" w:color="000000" w:sz="4" w:space="0"/>
              <w:left w:val="single" w:color="000000" w:sz="4" w:space="0"/>
              <w:bottom w:val="single" w:color="000000" w:sz="4" w:space="0"/>
              <w:right w:val="single" w:color="000000" w:sz="4" w:space="0"/>
            </w:tcBorders>
            <w:vAlign w:val="center"/>
          </w:tcPr>
          <w:p w14:paraId="51AB2B80">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对已备案的新车信息，上传完税凭证。对每一笔交易进行绑定，归档、可下载、可验真。对接税务系统获取相关完税配数据（记录税费支付状态，包括支付日期、金额和支付方式）。支持手工采集。</w:t>
            </w:r>
          </w:p>
        </w:tc>
      </w:tr>
      <w:tr w14:paraId="378F7531">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2CCC6511">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22</w:t>
            </w:r>
          </w:p>
        </w:tc>
        <w:tc>
          <w:tcPr>
            <w:tcW w:w="2367" w:type="dxa"/>
            <w:tcBorders>
              <w:top w:val="single" w:color="000000" w:sz="4" w:space="0"/>
              <w:left w:val="single" w:color="000000" w:sz="4" w:space="0"/>
              <w:bottom w:val="single" w:color="000000" w:sz="4" w:space="0"/>
              <w:right w:val="single" w:color="000000" w:sz="4" w:space="0"/>
            </w:tcBorders>
            <w:vAlign w:val="center"/>
          </w:tcPr>
          <w:p w14:paraId="3AA49758">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新车销售综合监管</w:t>
            </w:r>
          </w:p>
        </w:tc>
        <w:tc>
          <w:tcPr>
            <w:tcW w:w="1573" w:type="dxa"/>
            <w:tcBorders>
              <w:top w:val="single" w:color="000000" w:sz="4" w:space="0"/>
              <w:left w:val="single" w:color="000000" w:sz="4" w:space="0"/>
              <w:bottom w:val="single" w:color="000000" w:sz="4" w:space="0"/>
              <w:right w:val="single" w:color="000000" w:sz="4" w:space="0"/>
            </w:tcBorders>
            <w:vAlign w:val="center"/>
          </w:tcPr>
          <w:p w14:paraId="058A233F">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新车投诉处理-投诉采集</w:t>
            </w:r>
          </w:p>
        </w:tc>
        <w:tc>
          <w:tcPr>
            <w:tcW w:w="3745" w:type="dxa"/>
            <w:tcBorders>
              <w:top w:val="single" w:color="000000" w:sz="4" w:space="0"/>
              <w:left w:val="single" w:color="000000" w:sz="4" w:space="0"/>
              <w:bottom w:val="single" w:color="000000" w:sz="4" w:space="0"/>
              <w:right w:val="single" w:color="000000" w:sz="4" w:space="0"/>
            </w:tcBorders>
            <w:vAlign w:val="center"/>
          </w:tcPr>
          <w:p w14:paraId="15D6811D">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系统对接12345平台，采集客户投诉详情，包括车辆信息（车架号、型号）、投诉内容、时间和联系方式。自动按投诉分类（如质量问题、服务问题）。支持手工采集。</w:t>
            </w:r>
          </w:p>
        </w:tc>
      </w:tr>
      <w:tr w14:paraId="12F7601F">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7CAA340C">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23</w:t>
            </w:r>
          </w:p>
        </w:tc>
        <w:tc>
          <w:tcPr>
            <w:tcW w:w="2367" w:type="dxa"/>
            <w:tcBorders>
              <w:top w:val="single" w:color="000000" w:sz="4" w:space="0"/>
              <w:left w:val="single" w:color="000000" w:sz="4" w:space="0"/>
              <w:bottom w:val="single" w:color="000000" w:sz="4" w:space="0"/>
              <w:right w:val="single" w:color="000000" w:sz="4" w:space="0"/>
            </w:tcBorders>
            <w:vAlign w:val="center"/>
          </w:tcPr>
          <w:p w14:paraId="5709CBE6">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新车销售综合监管</w:t>
            </w:r>
          </w:p>
        </w:tc>
        <w:tc>
          <w:tcPr>
            <w:tcW w:w="1573" w:type="dxa"/>
            <w:tcBorders>
              <w:top w:val="single" w:color="000000" w:sz="4" w:space="0"/>
              <w:left w:val="single" w:color="000000" w:sz="4" w:space="0"/>
              <w:bottom w:val="single" w:color="000000" w:sz="4" w:space="0"/>
              <w:right w:val="single" w:color="000000" w:sz="4" w:space="0"/>
            </w:tcBorders>
            <w:vAlign w:val="center"/>
          </w:tcPr>
          <w:p w14:paraId="1F105436">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新车投诉处理-投诉处理调度</w:t>
            </w:r>
          </w:p>
        </w:tc>
        <w:tc>
          <w:tcPr>
            <w:tcW w:w="3745" w:type="dxa"/>
            <w:tcBorders>
              <w:top w:val="single" w:color="000000" w:sz="4" w:space="0"/>
              <w:left w:val="single" w:color="000000" w:sz="4" w:space="0"/>
              <w:bottom w:val="single" w:color="000000" w:sz="4" w:space="0"/>
              <w:right w:val="single" w:color="000000" w:sz="4" w:space="0"/>
            </w:tcBorders>
            <w:vAlign w:val="center"/>
          </w:tcPr>
          <w:p w14:paraId="51F045BD">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将投诉指派给相关人员负责处理，并设置处理时限。实时更新投诉处理状态（如待处理、处理中、已解决）。</w:t>
            </w:r>
          </w:p>
        </w:tc>
      </w:tr>
      <w:tr w14:paraId="43CD825C">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41365677">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24</w:t>
            </w:r>
          </w:p>
        </w:tc>
        <w:tc>
          <w:tcPr>
            <w:tcW w:w="2367" w:type="dxa"/>
            <w:tcBorders>
              <w:top w:val="single" w:color="000000" w:sz="4" w:space="0"/>
              <w:left w:val="single" w:color="000000" w:sz="4" w:space="0"/>
              <w:bottom w:val="single" w:color="000000" w:sz="4" w:space="0"/>
              <w:right w:val="single" w:color="000000" w:sz="4" w:space="0"/>
            </w:tcBorders>
            <w:vAlign w:val="center"/>
          </w:tcPr>
          <w:p w14:paraId="0AD48D9B">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新车销售综合监管</w:t>
            </w:r>
          </w:p>
        </w:tc>
        <w:tc>
          <w:tcPr>
            <w:tcW w:w="1573" w:type="dxa"/>
            <w:tcBorders>
              <w:top w:val="single" w:color="000000" w:sz="4" w:space="0"/>
              <w:left w:val="single" w:color="000000" w:sz="4" w:space="0"/>
              <w:bottom w:val="single" w:color="000000" w:sz="4" w:space="0"/>
              <w:right w:val="single" w:color="000000" w:sz="4" w:space="0"/>
            </w:tcBorders>
            <w:vAlign w:val="center"/>
          </w:tcPr>
          <w:p w14:paraId="6C91A650">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新车投诉处理-投诉处理反馈</w:t>
            </w:r>
          </w:p>
        </w:tc>
        <w:tc>
          <w:tcPr>
            <w:tcW w:w="3745" w:type="dxa"/>
            <w:tcBorders>
              <w:top w:val="single" w:color="000000" w:sz="4" w:space="0"/>
              <w:left w:val="single" w:color="000000" w:sz="4" w:space="0"/>
              <w:bottom w:val="single" w:color="000000" w:sz="4" w:space="0"/>
              <w:right w:val="single" w:color="000000" w:sz="4" w:space="0"/>
            </w:tcBorders>
            <w:vAlign w:val="center"/>
          </w:tcPr>
          <w:p w14:paraId="2541D9C0">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记录解决方案（如维修、更换零件、退款）及实施详情。处理完成后，同时记录客户对处理的满意度。</w:t>
            </w:r>
          </w:p>
        </w:tc>
      </w:tr>
      <w:tr w14:paraId="21D2E1C8">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4AC03544">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25</w:t>
            </w:r>
          </w:p>
        </w:tc>
        <w:tc>
          <w:tcPr>
            <w:tcW w:w="2367" w:type="dxa"/>
            <w:tcBorders>
              <w:top w:val="single" w:color="000000" w:sz="4" w:space="0"/>
              <w:left w:val="single" w:color="000000" w:sz="4" w:space="0"/>
              <w:bottom w:val="single" w:color="000000" w:sz="4" w:space="0"/>
              <w:right w:val="single" w:color="000000" w:sz="4" w:space="0"/>
            </w:tcBorders>
            <w:vAlign w:val="center"/>
          </w:tcPr>
          <w:p w14:paraId="7C9CD8C0">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新车销售综合监管</w:t>
            </w:r>
          </w:p>
        </w:tc>
        <w:tc>
          <w:tcPr>
            <w:tcW w:w="1573" w:type="dxa"/>
            <w:tcBorders>
              <w:top w:val="single" w:color="000000" w:sz="4" w:space="0"/>
              <w:left w:val="single" w:color="000000" w:sz="4" w:space="0"/>
              <w:bottom w:val="single" w:color="000000" w:sz="4" w:space="0"/>
              <w:right w:val="single" w:color="000000" w:sz="4" w:space="0"/>
            </w:tcBorders>
            <w:vAlign w:val="center"/>
          </w:tcPr>
          <w:p w14:paraId="6EC808FB">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新车投诉处理-投诉处理查询</w:t>
            </w:r>
          </w:p>
        </w:tc>
        <w:tc>
          <w:tcPr>
            <w:tcW w:w="3745" w:type="dxa"/>
            <w:tcBorders>
              <w:top w:val="single" w:color="000000" w:sz="4" w:space="0"/>
              <w:left w:val="single" w:color="000000" w:sz="4" w:space="0"/>
              <w:bottom w:val="single" w:color="000000" w:sz="4" w:space="0"/>
              <w:right w:val="single" w:color="000000" w:sz="4" w:space="0"/>
            </w:tcBorders>
            <w:vAlign w:val="center"/>
          </w:tcPr>
          <w:p w14:paraId="07359499">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可通过系统查询投诉处理的实时状态，系统对于处理超期投诉或跟进未关闭案件进行特殊标注。</w:t>
            </w:r>
          </w:p>
        </w:tc>
      </w:tr>
      <w:tr w14:paraId="7798D7E3">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2490E200">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26</w:t>
            </w:r>
          </w:p>
        </w:tc>
        <w:tc>
          <w:tcPr>
            <w:tcW w:w="2367" w:type="dxa"/>
            <w:tcBorders>
              <w:top w:val="single" w:color="000000" w:sz="4" w:space="0"/>
              <w:left w:val="single" w:color="000000" w:sz="4" w:space="0"/>
              <w:bottom w:val="single" w:color="000000" w:sz="4" w:space="0"/>
              <w:right w:val="single" w:color="000000" w:sz="4" w:space="0"/>
            </w:tcBorders>
            <w:vAlign w:val="center"/>
          </w:tcPr>
          <w:p w14:paraId="65FFDDB1">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新车销售综合监管</w:t>
            </w:r>
          </w:p>
        </w:tc>
        <w:tc>
          <w:tcPr>
            <w:tcW w:w="1573" w:type="dxa"/>
            <w:tcBorders>
              <w:top w:val="single" w:color="000000" w:sz="4" w:space="0"/>
              <w:left w:val="single" w:color="000000" w:sz="4" w:space="0"/>
              <w:bottom w:val="single" w:color="000000" w:sz="4" w:space="0"/>
              <w:right w:val="single" w:color="000000" w:sz="4" w:space="0"/>
            </w:tcBorders>
            <w:vAlign w:val="center"/>
          </w:tcPr>
          <w:p w14:paraId="58D3B48C">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二手车完税管理</w:t>
            </w:r>
          </w:p>
        </w:tc>
        <w:tc>
          <w:tcPr>
            <w:tcW w:w="3745" w:type="dxa"/>
            <w:tcBorders>
              <w:top w:val="single" w:color="000000" w:sz="4" w:space="0"/>
              <w:left w:val="single" w:color="000000" w:sz="4" w:space="0"/>
              <w:bottom w:val="single" w:color="000000" w:sz="4" w:space="0"/>
              <w:right w:val="single" w:color="000000" w:sz="4" w:space="0"/>
            </w:tcBorders>
            <w:vAlign w:val="center"/>
          </w:tcPr>
          <w:p w14:paraId="27DA5761">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对已备案的二手车信息，上传完税凭证。对每一笔交易进行绑定，归档、可下载、可验真。对接税务系统获取相关完税配数据（记录税费支付状态，包括支付日期、金额和支付方式）。支持手工采集。</w:t>
            </w:r>
          </w:p>
        </w:tc>
      </w:tr>
      <w:tr w14:paraId="4EDD280C">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4A3B2820">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27</w:t>
            </w:r>
          </w:p>
        </w:tc>
        <w:tc>
          <w:tcPr>
            <w:tcW w:w="2367" w:type="dxa"/>
            <w:tcBorders>
              <w:top w:val="single" w:color="000000" w:sz="4" w:space="0"/>
              <w:left w:val="single" w:color="000000" w:sz="4" w:space="0"/>
              <w:bottom w:val="single" w:color="000000" w:sz="4" w:space="0"/>
              <w:right w:val="single" w:color="000000" w:sz="4" w:space="0"/>
            </w:tcBorders>
            <w:vAlign w:val="center"/>
          </w:tcPr>
          <w:p w14:paraId="434FE227">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新车销售综合监管</w:t>
            </w:r>
          </w:p>
        </w:tc>
        <w:tc>
          <w:tcPr>
            <w:tcW w:w="1573" w:type="dxa"/>
            <w:tcBorders>
              <w:top w:val="single" w:color="000000" w:sz="4" w:space="0"/>
              <w:left w:val="single" w:color="000000" w:sz="4" w:space="0"/>
              <w:bottom w:val="single" w:color="000000" w:sz="4" w:space="0"/>
              <w:right w:val="single" w:color="000000" w:sz="4" w:space="0"/>
            </w:tcBorders>
            <w:vAlign w:val="center"/>
          </w:tcPr>
          <w:p w14:paraId="7F17006A">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二手车投诉处理-投诉采集</w:t>
            </w:r>
          </w:p>
        </w:tc>
        <w:tc>
          <w:tcPr>
            <w:tcW w:w="3745" w:type="dxa"/>
            <w:tcBorders>
              <w:top w:val="single" w:color="000000" w:sz="4" w:space="0"/>
              <w:left w:val="single" w:color="000000" w:sz="4" w:space="0"/>
              <w:bottom w:val="single" w:color="000000" w:sz="4" w:space="0"/>
              <w:right w:val="single" w:color="000000" w:sz="4" w:space="0"/>
            </w:tcBorders>
            <w:vAlign w:val="center"/>
          </w:tcPr>
          <w:p w14:paraId="4A63BF8A">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系统对接12345平台，采集客户投诉详情，包括车辆信息（车架号、型号）、投诉内容、时间和联系方式。自动按投诉分类（如质量问题、服务问题）。支持手工采集。</w:t>
            </w:r>
          </w:p>
        </w:tc>
      </w:tr>
      <w:tr w14:paraId="107C9D92">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50D2A686">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28</w:t>
            </w:r>
          </w:p>
        </w:tc>
        <w:tc>
          <w:tcPr>
            <w:tcW w:w="2367" w:type="dxa"/>
            <w:tcBorders>
              <w:top w:val="single" w:color="000000" w:sz="4" w:space="0"/>
              <w:left w:val="single" w:color="000000" w:sz="4" w:space="0"/>
              <w:bottom w:val="single" w:color="000000" w:sz="4" w:space="0"/>
              <w:right w:val="single" w:color="000000" w:sz="4" w:space="0"/>
            </w:tcBorders>
            <w:vAlign w:val="center"/>
          </w:tcPr>
          <w:p w14:paraId="7048C0C9">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新车销售综合监管</w:t>
            </w:r>
          </w:p>
        </w:tc>
        <w:tc>
          <w:tcPr>
            <w:tcW w:w="1573" w:type="dxa"/>
            <w:tcBorders>
              <w:top w:val="single" w:color="000000" w:sz="4" w:space="0"/>
              <w:left w:val="single" w:color="000000" w:sz="4" w:space="0"/>
              <w:bottom w:val="single" w:color="000000" w:sz="4" w:space="0"/>
              <w:right w:val="single" w:color="000000" w:sz="4" w:space="0"/>
            </w:tcBorders>
            <w:vAlign w:val="center"/>
          </w:tcPr>
          <w:p w14:paraId="2E28B8F7">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二手车投诉处理-投诉处理调度</w:t>
            </w:r>
          </w:p>
        </w:tc>
        <w:tc>
          <w:tcPr>
            <w:tcW w:w="3745" w:type="dxa"/>
            <w:tcBorders>
              <w:top w:val="single" w:color="000000" w:sz="4" w:space="0"/>
              <w:left w:val="single" w:color="000000" w:sz="4" w:space="0"/>
              <w:bottom w:val="single" w:color="000000" w:sz="4" w:space="0"/>
              <w:right w:val="single" w:color="000000" w:sz="4" w:space="0"/>
            </w:tcBorders>
            <w:vAlign w:val="center"/>
          </w:tcPr>
          <w:p w14:paraId="18906195">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将投诉指派给相关人员负责处理，并设置处理时限。实时更新投诉处理状态（如待处理、处理中、已解决）。</w:t>
            </w:r>
          </w:p>
        </w:tc>
      </w:tr>
      <w:tr w14:paraId="50CF25B2">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6CF844AA">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29</w:t>
            </w:r>
          </w:p>
        </w:tc>
        <w:tc>
          <w:tcPr>
            <w:tcW w:w="2367" w:type="dxa"/>
            <w:tcBorders>
              <w:top w:val="single" w:color="000000" w:sz="4" w:space="0"/>
              <w:left w:val="single" w:color="000000" w:sz="4" w:space="0"/>
              <w:bottom w:val="single" w:color="000000" w:sz="4" w:space="0"/>
              <w:right w:val="single" w:color="000000" w:sz="4" w:space="0"/>
            </w:tcBorders>
            <w:vAlign w:val="center"/>
          </w:tcPr>
          <w:p w14:paraId="61F0B8B4">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新车销售综合监管</w:t>
            </w:r>
          </w:p>
        </w:tc>
        <w:tc>
          <w:tcPr>
            <w:tcW w:w="1573" w:type="dxa"/>
            <w:tcBorders>
              <w:top w:val="single" w:color="000000" w:sz="4" w:space="0"/>
              <w:left w:val="single" w:color="000000" w:sz="4" w:space="0"/>
              <w:bottom w:val="single" w:color="000000" w:sz="4" w:space="0"/>
              <w:right w:val="single" w:color="000000" w:sz="4" w:space="0"/>
            </w:tcBorders>
            <w:vAlign w:val="center"/>
          </w:tcPr>
          <w:p w14:paraId="19AD4976">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二手车投诉处理-投诉处理反馈</w:t>
            </w:r>
          </w:p>
        </w:tc>
        <w:tc>
          <w:tcPr>
            <w:tcW w:w="3745" w:type="dxa"/>
            <w:tcBorders>
              <w:top w:val="single" w:color="000000" w:sz="4" w:space="0"/>
              <w:left w:val="single" w:color="000000" w:sz="4" w:space="0"/>
              <w:bottom w:val="single" w:color="000000" w:sz="4" w:space="0"/>
              <w:right w:val="single" w:color="000000" w:sz="4" w:space="0"/>
            </w:tcBorders>
            <w:vAlign w:val="center"/>
          </w:tcPr>
          <w:p w14:paraId="7F851DFA">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记录解决方案及实施详情。处理完成后，同时记录客户对处理的满意度。</w:t>
            </w:r>
          </w:p>
        </w:tc>
      </w:tr>
      <w:tr w14:paraId="5437E95F">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4703DB88">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30</w:t>
            </w:r>
          </w:p>
        </w:tc>
        <w:tc>
          <w:tcPr>
            <w:tcW w:w="2367" w:type="dxa"/>
            <w:tcBorders>
              <w:top w:val="single" w:color="000000" w:sz="4" w:space="0"/>
              <w:left w:val="single" w:color="000000" w:sz="4" w:space="0"/>
              <w:bottom w:val="single" w:color="000000" w:sz="4" w:space="0"/>
              <w:right w:val="single" w:color="000000" w:sz="4" w:space="0"/>
            </w:tcBorders>
            <w:vAlign w:val="center"/>
          </w:tcPr>
          <w:p w14:paraId="2C996E5C">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新车销售综合监管</w:t>
            </w:r>
          </w:p>
        </w:tc>
        <w:tc>
          <w:tcPr>
            <w:tcW w:w="1573" w:type="dxa"/>
            <w:tcBorders>
              <w:top w:val="single" w:color="000000" w:sz="4" w:space="0"/>
              <w:left w:val="single" w:color="000000" w:sz="4" w:space="0"/>
              <w:bottom w:val="single" w:color="000000" w:sz="4" w:space="0"/>
              <w:right w:val="single" w:color="000000" w:sz="4" w:space="0"/>
            </w:tcBorders>
            <w:vAlign w:val="center"/>
          </w:tcPr>
          <w:p w14:paraId="4215337C">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二手车投诉处理-投诉处理查询</w:t>
            </w:r>
          </w:p>
        </w:tc>
        <w:tc>
          <w:tcPr>
            <w:tcW w:w="3745" w:type="dxa"/>
            <w:tcBorders>
              <w:top w:val="single" w:color="000000" w:sz="4" w:space="0"/>
              <w:left w:val="single" w:color="000000" w:sz="4" w:space="0"/>
              <w:bottom w:val="single" w:color="000000" w:sz="4" w:space="0"/>
              <w:right w:val="single" w:color="000000" w:sz="4" w:space="0"/>
            </w:tcBorders>
            <w:vAlign w:val="center"/>
          </w:tcPr>
          <w:p w14:paraId="7AEB9CF3">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可通过系统查询投诉处理的实时状态，系统对于处理超期投诉或跟进未关闭案件进行特殊标注。</w:t>
            </w:r>
          </w:p>
        </w:tc>
      </w:tr>
      <w:tr w14:paraId="0C3CFC8C">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0A1BDD40">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31</w:t>
            </w:r>
          </w:p>
        </w:tc>
        <w:tc>
          <w:tcPr>
            <w:tcW w:w="2367" w:type="dxa"/>
            <w:tcBorders>
              <w:top w:val="single" w:color="000000" w:sz="4" w:space="0"/>
              <w:left w:val="single" w:color="000000" w:sz="4" w:space="0"/>
              <w:bottom w:val="single" w:color="000000" w:sz="4" w:space="0"/>
              <w:right w:val="single" w:color="000000" w:sz="4" w:space="0"/>
            </w:tcBorders>
            <w:vAlign w:val="center"/>
          </w:tcPr>
          <w:p w14:paraId="2D43C80A">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新车销售综合监管</w:t>
            </w:r>
          </w:p>
        </w:tc>
        <w:tc>
          <w:tcPr>
            <w:tcW w:w="1573" w:type="dxa"/>
            <w:tcBorders>
              <w:top w:val="single" w:color="000000" w:sz="4" w:space="0"/>
              <w:left w:val="single" w:color="000000" w:sz="4" w:space="0"/>
              <w:bottom w:val="single" w:color="000000" w:sz="4" w:space="0"/>
              <w:right w:val="single" w:color="000000" w:sz="4" w:space="0"/>
            </w:tcBorders>
            <w:vAlign w:val="center"/>
          </w:tcPr>
          <w:p w14:paraId="7AB4406D">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车辆销售备案管理</w:t>
            </w:r>
          </w:p>
        </w:tc>
        <w:tc>
          <w:tcPr>
            <w:tcW w:w="3745" w:type="dxa"/>
            <w:tcBorders>
              <w:top w:val="single" w:color="000000" w:sz="4" w:space="0"/>
              <w:left w:val="single" w:color="000000" w:sz="4" w:space="0"/>
              <w:bottom w:val="single" w:color="000000" w:sz="4" w:space="0"/>
              <w:right w:val="single" w:color="000000" w:sz="4" w:space="0"/>
            </w:tcBorders>
            <w:vAlign w:val="center"/>
          </w:tcPr>
          <w:p w14:paraId="715B76F0">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（1）新车备案内容包括：车辆信息：VIN、品牌型号、颜色、排量、配置、生产日期；发票信息：发票号、发票代码、开票日期、销售价格；</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购车人信息：姓名、身份证号、联系电话、地址；购车用途：个人/单位、公务/非营运等。支持与交易平台或车辆登记系统自动对接导入数据（如公安交管或车辆登记子系统）。</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2）二手车备案内容包括：车辆识别代号（VIN）、车牌号、品牌型号、首次登记时间；买卖双方身份信息；成交价格、评估价格；交易所在地、时间、交易类型（过户、转让、调拨等）。支持与交易平台或车辆登记系统自动对接导入数据（如公安交管或车辆登记子系统）。</w:t>
            </w:r>
          </w:p>
        </w:tc>
      </w:tr>
      <w:tr w14:paraId="32251A93">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3A190453">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32</w:t>
            </w:r>
          </w:p>
        </w:tc>
        <w:tc>
          <w:tcPr>
            <w:tcW w:w="2367" w:type="dxa"/>
            <w:tcBorders>
              <w:top w:val="single" w:color="000000" w:sz="4" w:space="0"/>
              <w:left w:val="single" w:color="000000" w:sz="4" w:space="0"/>
              <w:bottom w:val="single" w:color="000000" w:sz="4" w:space="0"/>
              <w:right w:val="single" w:color="000000" w:sz="4" w:space="0"/>
            </w:tcBorders>
            <w:vAlign w:val="center"/>
          </w:tcPr>
          <w:p w14:paraId="0AA20121">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新车销售综合监管</w:t>
            </w:r>
          </w:p>
        </w:tc>
        <w:tc>
          <w:tcPr>
            <w:tcW w:w="1573" w:type="dxa"/>
            <w:tcBorders>
              <w:top w:val="single" w:color="000000" w:sz="4" w:space="0"/>
              <w:left w:val="single" w:color="000000" w:sz="4" w:space="0"/>
              <w:bottom w:val="single" w:color="000000" w:sz="4" w:space="0"/>
              <w:right w:val="single" w:color="000000" w:sz="4" w:space="0"/>
            </w:tcBorders>
            <w:vAlign w:val="center"/>
          </w:tcPr>
          <w:p w14:paraId="012B5EA2">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以旧换新补贴</w:t>
            </w:r>
          </w:p>
        </w:tc>
        <w:tc>
          <w:tcPr>
            <w:tcW w:w="3745" w:type="dxa"/>
            <w:tcBorders>
              <w:top w:val="single" w:color="000000" w:sz="4" w:space="0"/>
              <w:left w:val="single" w:color="000000" w:sz="4" w:space="0"/>
              <w:bottom w:val="single" w:color="000000" w:sz="4" w:space="0"/>
              <w:right w:val="single" w:color="000000" w:sz="4" w:space="0"/>
            </w:tcBorders>
            <w:vAlign w:val="center"/>
          </w:tcPr>
          <w:p w14:paraId="59ADB5E8">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（1）补贴申请：</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申请人信息：姓名/公司名、身份证/统一社会信用代码，银行账户信息（用于补贴打款），上传附件材料（支持PDF、图片、Word等格式）。系统支持个人身份证号 + 人脸识别实名认证；支持企业客户统一社会信用代码+电子营业执照验证。与公安/政务平台对接，确保身份合法有效。</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旧车信息：车牌号、车辆识别代号（VIN）、注册日期。报废回收证明或注销证明（与交管/回收系统对接核实）。</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 xml:space="preserve"> 新车信息：车辆品牌型号、购车发票、销售合同。</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（2）补贴审核：审核人员在线查阅材料、添加批注；审核通过后，发放信息推送。至财政支付系统（或生成打款清单）。</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（3）补贴发放：发放后，系统生成补贴发放通知和银行打款流水上传凭证。</w:t>
            </w:r>
          </w:p>
        </w:tc>
      </w:tr>
      <w:tr w14:paraId="503664CF">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6E9C31A5">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33</w:t>
            </w:r>
          </w:p>
        </w:tc>
        <w:tc>
          <w:tcPr>
            <w:tcW w:w="2367" w:type="dxa"/>
            <w:tcBorders>
              <w:top w:val="single" w:color="000000" w:sz="4" w:space="0"/>
              <w:left w:val="single" w:color="000000" w:sz="4" w:space="0"/>
              <w:bottom w:val="single" w:color="000000" w:sz="4" w:space="0"/>
              <w:right w:val="single" w:color="000000" w:sz="4" w:space="0"/>
            </w:tcBorders>
            <w:vAlign w:val="center"/>
          </w:tcPr>
          <w:p w14:paraId="44638654">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新车销售综合监管</w:t>
            </w:r>
          </w:p>
        </w:tc>
        <w:tc>
          <w:tcPr>
            <w:tcW w:w="1573" w:type="dxa"/>
            <w:tcBorders>
              <w:top w:val="single" w:color="000000" w:sz="4" w:space="0"/>
              <w:left w:val="single" w:color="000000" w:sz="4" w:space="0"/>
              <w:bottom w:val="single" w:color="000000" w:sz="4" w:space="0"/>
              <w:right w:val="single" w:color="000000" w:sz="4" w:space="0"/>
            </w:tcBorders>
            <w:vAlign w:val="center"/>
          </w:tcPr>
          <w:p w14:paraId="46285382">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新车销售企业抽检管理-抽查类别设置</w:t>
            </w:r>
          </w:p>
        </w:tc>
        <w:tc>
          <w:tcPr>
            <w:tcW w:w="3745" w:type="dxa"/>
            <w:tcBorders>
              <w:top w:val="single" w:color="000000" w:sz="4" w:space="0"/>
              <w:left w:val="single" w:color="000000" w:sz="4" w:space="0"/>
              <w:bottom w:val="single" w:color="000000" w:sz="4" w:space="0"/>
              <w:right w:val="single" w:color="000000" w:sz="4" w:space="0"/>
            </w:tcBorders>
            <w:vAlign w:val="center"/>
          </w:tcPr>
          <w:p w14:paraId="195061CE">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支持抽检类别信息的维护，如价格政策执行抽查、虚假宣传与销售行为监督、发票开具与销售备案核查、三包政策落实检查等。</w:t>
            </w:r>
          </w:p>
        </w:tc>
      </w:tr>
      <w:tr w14:paraId="03C89AED">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44A8F04A">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34</w:t>
            </w:r>
          </w:p>
        </w:tc>
        <w:tc>
          <w:tcPr>
            <w:tcW w:w="2367" w:type="dxa"/>
            <w:tcBorders>
              <w:top w:val="single" w:color="000000" w:sz="4" w:space="0"/>
              <w:left w:val="single" w:color="000000" w:sz="4" w:space="0"/>
              <w:bottom w:val="single" w:color="000000" w:sz="4" w:space="0"/>
              <w:right w:val="single" w:color="000000" w:sz="4" w:space="0"/>
            </w:tcBorders>
            <w:vAlign w:val="center"/>
          </w:tcPr>
          <w:p w14:paraId="41A45FB4">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新车销售综合监管</w:t>
            </w:r>
          </w:p>
        </w:tc>
        <w:tc>
          <w:tcPr>
            <w:tcW w:w="1573" w:type="dxa"/>
            <w:tcBorders>
              <w:top w:val="single" w:color="000000" w:sz="4" w:space="0"/>
              <w:left w:val="single" w:color="000000" w:sz="4" w:space="0"/>
              <w:bottom w:val="single" w:color="000000" w:sz="4" w:space="0"/>
              <w:right w:val="single" w:color="000000" w:sz="4" w:space="0"/>
            </w:tcBorders>
            <w:vAlign w:val="center"/>
          </w:tcPr>
          <w:p w14:paraId="54A0A2EE">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新车销售企业抽检管理-抽检模板管理</w:t>
            </w:r>
          </w:p>
        </w:tc>
        <w:tc>
          <w:tcPr>
            <w:tcW w:w="3745" w:type="dxa"/>
            <w:tcBorders>
              <w:top w:val="single" w:color="000000" w:sz="4" w:space="0"/>
              <w:left w:val="single" w:color="000000" w:sz="4" w:space="0"/>
              <w:bottom w:val="single" w:color="000000" w:sz="4" w:space="0"/>
              <w:right w:val="single" w:color="000000" w:sz="4" w:space="0"/>
            </w:tcBorders>
            <w:vAlign w:val="center"/>
          </w:tcPr>
          <w:p w14:paraId="421D325E">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支持不同的检查项自定义抽检模板（如评分项）；同时检查项支持分类（基础类、重点类、加分类、扣分类）；设定评分规则、严重等级（一般/严重）。</w:t>
            </w:r>
          </w:p>
        </w:tc>
      </w:tr>
      <w:tr w14:paraId="77A1822B">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156F69AE">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35</w:t>
            </w:r>
          </w:p>
        </w:tc>
        <w:tc>
          <w:tcPr>
            <w:tcW w:w="2367" w:type="dxa"/>
            <w:tcBorders>
              <w:top w:val="single" w:color="000000" w:sz="4" w:space="0"/>
              <w:left w:val="single" w:color="000000" w:sz="4" w:space="0"/>
              <w:bottom w:val="single" w:color="000000" w:sz="4" w:space="0"/>
              <w:right w:val="single" w:color="000000" w:sz="4" w:space="0"/>
            </w:tcBorders>
            <w:vAlign w:val="center"/>
          </w:tcPr>
          <w:p w14:paraId="0D1EBE9A">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新车销售综合监管</w:t>
            </w:r>
          </w:p>
        </w:tc>
        <w:tc>
          <w:tcPr>
            <w:tcW w:w="1573" w:type="dxa"/>
            <w:tcBorders>
              <w:top w:val="single" w:color="000000" w:sz="4" w:space="0"/>
              <w:left w:val="single" w:color="000000" w:sz="4" w:space="0"/>
              <w:bottom w:val="single" w:color="000000" w:sz="4" w:space="0"/>
              <w:right w:val="single" w:color="000000" w:sz="4" w:space="0"/>
            </w:tcBorders>
            <w:vAlign w:val="center"/>
          </w:tcPr>
          <w:p w14:paraId="63242B80">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新车销售企业抽检管理-抽检计划管理</w:t>
            </w:r>
          </w:p>
        </w:tc>
        <w:tc>
          <w:tcPr>
            <w:tcW w:w="3745" w:type="dxa"/>
            <w:tcBorders>
              <w:top w:val="single" w:color="000000" w:sz="4" w:space="0"/>
              <w:left w:val="single" w:color="000000" w:sz="4" w:space="0"/>
              <w:bottom w:val="single" w:color="000000" w:sz="4" w:space="0"/>
              <w:right w:val="single" w:color="000000" w:sz="4" w:space="0"/>
            </w:tcBorders>
            <w:vAlign w:val="center"/>
          </w:tcPr>
          <w:p w14:paraId="2FD18681">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支持按年度、季度、专项等形式设定抽检计划。支持随机按地区，销售车辆品牌等系统推荐抽查对象。同时支持设置“重点抽查企业名单”，如投诉高发企业。</w:t>
            </w:r>
          </w:p>
        </w:tc>
      </w:tr>
      <w:tr w14:paraId="1A1A83EB">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11A02C9B">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36</w:t>
            </w:r>
          </w:p>
        </w:tc>
        <w:tc>
          <w:tcPr>
            <w:tcW w:w="2367" w:type="dxa"/>
            <w:tcBorders>
              <w:top w:val="single" w:color="000000" w:sz="4" w:space="0"/>
              <w:left w:val="single" w:color="000000" w:sz="4" w:space="0"/>
              <w:bottom w:val="single" w:color="000000" w:sz="4" w:space="0"/>
              <w:right w:val="single" w:color="000000" w:sz="4" w:space="0"/>
            </w:tcBorders>
            <w:vAlign w:val="center"/>
          </w:tcPr>
          <w:p w14:paraId="33B6BBA0">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新车销售综合监管</w:t>
            </w:r>
          </w:p>
        </w:tc>
        <w:tc>
          <w:tcPr>
            <w:tcW w:w="1573" w:type="dxa"/>
            <w:tcBorders>
              <w:top w:val="single" w:color="000000" w:sz="4" w:space="0"/>
              <w:left w:val="single" w:color="000000" w:sz="4" w:space="0"/>
              <w:bottom w:val="single" w:color="000000" w:sz="4" w:space="0"/>
              <w:right w:val="single" w:color="000000" w:sz="4" w:space="0"/>
            </w:tcBorders>
            <w:vAlign w:val="center"/>
          </w:tcPr>
          <w:p w14:paraId="1DD8642C">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新车销售企业抽检管理-抽检任务执行和反馈</w:t>
            </w:r>
          </w:p>
        </w:tc>
        <w:tc>
          <w:tcPr>
            <w:tcW w:w="3745" w:type="dxa"/>
            <w:tcBorders>
              <w:top w:val="single" w:color="000000" w:sz="4" w:space="0"/>
              <w:left w:val="single" w:color="000000" w:sz="4" w:space="0"/>
              <w:bottom w:val="single" w:color="000000" w:sz="4" w:space="0"/>
              <w:right w:val="single" w:color="000000" w:sz="4" w:space="0"/>
            </w:tcBorders>
            <w:vAlign w:val="center"/>
          </w:tcPr>
          <w:p w14:paraId="4192B959">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（1）抽检任务执行：支持按任务地区随机指派检查人员或人员组执行抽检任务。支持执行过程中，检查人员利用移动端拍照记录，实时按照检查项评分，记录问题项。</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（2）抽检任务反馈：支持任务情况相关记录查阅，对问题项分类记录并设定整改期限，支持超限预警、上传整改资料。支持将问题项按分类共享给相关负责部门。</w:t>
            </w:r>
          </w:p>
        </w:tc>
      </w:tr>
      <w:tr w14:paraId="743A070E">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33EB8D81">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37</w:t>
            </w:r>
          </w:p>
        </w:tc>
        <w:tc>
          <w:tcPr>
            <w:tcW w:w="2367" w:type="dxa"/>
            <w:tcBorders>
              <w:top w:val="single" w:color="000000" w:sz="4" w:space="0"/>
              <w:left w:val="single" w:color="000000" w:sz="4" w:space="0"/>
              <w:bottom w:val="single" w:color="000000" w:sz="4" w:space="0"/>
              <w:right w:val="single" w:color="000000" w:sz="4" w:space="0"/>
            </w:tcBorders>
            <w:vAlign w:val="center"/>
          </w:tcPr>
          <w:p w14:paraId="0F82DF2B">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电动自行车安全监管</w:t>
            </w:r>
          </w:p>
        </w:tc>
        <w:tc>
          <w:tcPr>
            <w:tcW w:w="1573" w:type="dxa"/>
            <w:tcBorders>
              <w:top w:val="single" w:color="000000" w:sz="4" w:space="0"/>
              <w:left w:val="single" w:color="000000" w:sz="4" w:space="0"/>
              <w:bottom w:val="single" w:color="000000" w:sz="4" w:space="0"/>
              <w:right w:val="single" w:color="000000" w:sz="4" w:space="0"/>
            </w:tcBorders>
            <w:vAlign w:val="center"/>
          </w:tcPr>
          <w:p w14:paraId="3BE0603C">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电动自行车报废管理</w:t>
            </w:r>
          </w:p>
        </w:tc>
        <w:tc>
          <w:tcPr>
            <w:tcW w:w="3745" w:type="dxa"/>
            <w:tcBorders>
              <w:top w:val="single" w:color="000000" w:sz="4" w:space="0"/>
              <w:left w:val="single" w:color="000000" w:sz="4" w:space="0"/>
              <w:bottom w:val="single" w:color="000000" w:sz="4" w:space="0"/>
              <w:right w:val="single" w:color="000000" w:sz="4" w:space="0"/>
            </w:tcBorders>
            <w:vAlign w:val="center"/>
          </w:tcPr>
          <w:p w14:paraId="595F56A9">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1）报废登记：线下网点发起报废登记填报内容包括车牌号、车架号、电池类型、注册日期、姓名/单位、证件号码、联系方式、报废原因：使用年限届满、损毁严重、政策强制回收等。系统支持校验车龄、登记信息完整性，提示是否符合报废条件。可上传车辆照片、损毁证明等附件材料。</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（2）报废审核：管理部门审核是否符合强制报废标准（如注册满5年）是否属地管理、是否为盗抢挂失车辆。审核通过后生成“报废受理编号”。</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（3）报废回收：系统将相关报废电动自行车信息对接给全国汽车流通信息管理系统进行车辆报废流程。同时接收回收证明。</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（4）注销：系统将相关注销电动自行车信息对接给全国汽车流通信息管理系统进行车辆注销流程。同时接收注销证明。</w:t>
            </w:r>
          </w:p>
        </w:tc>
      </w:tr>
      <w:tr w14:paraId="09454160">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25C59A63">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38</w:t>
            </w:r>
          </w:p>
        </w:tc>
        <w:tc>
          <w:tcPr>
            <w:tcW w:w="2367" w:type="dxa"/>
            <w:tcBorders>
              <w:top w:val="single" w:color="000000" w:sz="4" w:space="0"/>
              <w:left w:val="single" w:color="000000" w:sz="4" w:space="0"/>
              <w:bottom w:val="single" w:color="000000" w:sz="4" w:space="0"/>
              <w:right w:val="single" w:color="000000" w:sz="4" w:space="0"/>
            </w:tcBorders>
            <w:vAlign w:val="center"/>
          </w:tcPr>
          <w:p w14:paraId="61A3D367">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电动自行车安全监管</w:t>
            </w:r>
          </w:p>
        </w:tc>
        <w:tc>
          <w:tcPr>
            <w:tcW w:w="1573" w:type="dxa"/>
            <w:tcBorders>
              <w:top w:val="single" w:color="000000" w:sz="4" w:space="0"/>
              <w:left w:val="single" w:color="000000" w:sz="4" w:space="0"/>
              <w:bottom w:val="single" w:color="000000" w:sz="4" w:space="0"/>
              <w:right w:val="single" w:color="000000" w:sz="4" w:space="0"/>
            </w:tcBorders>
            <w:vAlign w:val="center"/>
          </w:tcPr>
          <w:p w14:paraId="0942EACD">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电动自行车补贴管理</w:t>
            </w:r>
          </w:p>
        </w:tc>
        <w:tc>
          <w:tcPr>
            <w:tcW w:w="3745" w:type="dxa"/>
            <w:tcBorders>
              <w:top w:val="single" w:color="000000" w:sz="4" w:space="0"/>
              <w:left w:val="single" w:color="000000" w:sz="4" w:space="0"/>
              <w:bottom w:val="single" w:color="000000" w:sz="4" w:space="0"/>
              <w:right w:val="single" w:color="000000" w:sz="4" w:space="0"/>
            </w:tcBorders>
            <w:vAlign w:val="center"/>
          </w:tcPr>
          <w:p w14:paraId="58B8A9A1">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发放后，系统生成补贴发放通知和银行打款流水上传凭证。</w:t>
            </w:r>
          </w:p>
        </w:tc>
      </w:tr>
      <w:tr w14:paraId="4CE7DF74">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2502CC9E">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39</w:t>
            </w:r>
          </w:p>
        </w:tc>
        <w:tc>
          <w:tcPr>
            <w:tcW w:w="2367" w:type="dxa"/>
            <w:tcBorders>
              <w:top w:val="single" w:color="000000" w:sz="4" w:space="0"/>
              <w:left w:val="single" w:color="000000" w:sz="4" w:space="0"/>
              <w:bottom w:val="single" w:color="000000" w:sz="4" w:space="0"/>
              <w:right w:val="single" w:color="000000" w:sz="4" w:space="0"/>
            </w:tcBorders>
            <w:vAlign w:val="center"/>
          </w:tcPr>
          <w:p w14:paraId="05DBBDA7">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电动自行车安全监管</w:t>
            </w:r>
          </w:p>
        </w:tc>
        <w:tc>
          <w:tcPr>
            <w:tcW w:w="1573" w:type="dxa"/>
            <w:tcBorders>
              <w:top w:val="single" w:color="000000" w:sz="4" w:space="0"/>
              <w:left w:val="single" w:color="000000" w:sz="4" w:space="0"/>
              <w:bottom w:val="single" w:color="000000" w:sz="4" w:space="0"/>
              <w:right w:val="single" w:color="000000" w:sz="4" w:space="0"/>
            </w:tcBorders>
            <w:vAlign w:val="center"/>
          </w:tcPr>
          <w:p w14:paraId="09464FA1">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电动自行车以旧换新企业抽检管理-抽检计划管理和任务调度</w:t>
            </w:r>
          </w:p>
        </w:tc>
        <w:tc>
          <w:tcPr>
            <w:tcW w:w="3745" w:type="dxa"/>
            <w:tcBorders>
              <w:top w:val="single" w:color="000000" w:sz="4" w:space="0"/>
              <w:left w:val="single" w:color="000000" w:sz="4" w:space="0"/>
              <w:bottom w:val="single" w:color="000000" w:sz="4" w:space="0"/>
              <w:right w:val="single" w:color="000000" w:sz="4" w:space="0"/>
            </w:tcBorders>
            <w:vAlign w:val="center"/>
          </w:tcPr>
          <w:p w14:paraId="0511F213">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1）抽检计划管理：按年/季度制定抽检工作计划，支持文件导入。系统按地区，按企业规模、历史问题等维度随机推荐抽检对象。可设置抽检类型（如例行检查、专项检查等）。系统自动生成抽检任务清单和计划进度表。</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2）检查任务调度：支持抽检任务分配给具体检查人员或人员组，同时也支持系统随机安排具体人员或人员组。抽检任务包含：企业信息、检查时间、检查项模板、历史检查记录、提醒事项。检查人员可通过移动端接收任务，查看任务明细。</w:t>
            </w:r>
          </w:p>
        </w:tc>
      </w:tr>
      <w:tr w14:paraId="6C8BAF45">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4235944F">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40</w:t>
            </w:r>
          </w:p>
        </w:tc>
        <w:tc>
          <w:tcPr>
            <w:tcW w:w="2367" w:type="dxa"/>
            <w:tcBorders>
              <w:top w:val="single" w:color="000000" w:sz="4" w:space="0"/>
              <w:left w:val="single" w:color="000000" w:sz="4" w:space="0"/>
              <w:bottom w:val="single" w:color="000000" w:sz="4" w:space="0"/>
              <w:right w:val="single" w:color="000000" w:sz="4" w:space="0"/>
            </w:tcBorders>
            <w:vAlign w:val="center"/>
          </w:tcPr>
          <w:p w14:paraId="6CA1DE72">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电动自行车安全监管</w:t>
            </w:r>
          </w:p>
        </w:tc>
        <w:tc>
          <w:tcPr>
            <w:tcW w:w="1573" w:type="dxa"/>
            <w:tcBorders>
              <w:top w:val="single" w:color="000000" w:sz="4" w:space="0"/>
              <w:left w:val="single" w:color="000000" w:sz="4" w:space="0"/>
              <w:bottom w:val="single" w:color="000000" w:sz="4" w:space="0"/>
              <w:right w:val="single" w:color="000000" w:sz="4" w:space="0"/>
            </w:tcBorders>
            <w:vAlign w:val="center"/>
          </w:tcPr>
          <w:p w14:paraId="7C771EA9">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电动自行车以旧换新企业抽检管理-抽检项配置</w:t>
            </w:r>
          </w:p>
        </w:tc>
        <w:tc>
          <w:tcPr>
            <w:tcW w:w="3745" w:type="dxa"/>
            <w:tcBorders>
              <w:top w:val="single" w:color="000000" w:sz="4" w:space="0"/>
              <w:left w:val="single" w:color="000000" w:sz="4" w:space="0"/>
              <w:bottom w:val="single" w:color="000000" w:sz="4" w:space="0"/>
              <w:right w:val="single" w:color="000000" w:sz="4" w:space="0"/>
            </w:tcBorders>
            <w:vAlign w:val="center"/>
          </w:tcPr>
          <w:p w14:paraId="180641EA">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可自定义检查项模板。不同类型检查模板可针对不同企业类型（整车拆解、电动汽车等）。</w:t>
            </w:r>
          </w:p>
        </w:tc>
      </w:tr>
      <w:tr w14:paraId="06A7E71C">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6951EA8C">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41</w:t>
            </w:r>
          </w:p>
        </w:tc>
        <w:tc>
          <w:tcPr>
            <w:tcW w:w="2367" w:type="dxa"/>
            <w:tcBorders>
              <w:top w:val="single" w:color="000000" w:sz="4" w:space="0"/>
              <w:left w:val="single" w:color="000000" w:sz="4" w:space="0"/>
              <w:bottom w:val="single" w:color="000000" w:sz="4" w:space="0"/>
              <w:right w:val="single" w:color="000000" w:sz="4" w:space="0"/>
            </w:tcBorders>
            <w:vAlign w:val="center"/>
          </w:tcPr>
          <w:p w14:paraId="42D224FE">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电动自行车安全监管</w:t>
            </w:r>
          </w:p>
        </w:tc>
        <w:tc>
          <w:tcPr>
            <w:tcW w:w="1573" w:type="dxa"/>
            <w:tcBorders>
              <w:top w:val="single" w:color="000000" w:sz="4" w:space="0"/>
              <w:left w:val="single" w:color="000000" w:sz="4" w:space="0"/>
              <w:bottom w:val="single" w:color="000000" w:sz="4" w:space="0"/>
              <w:right w:val="single" w:color="000000" w:sz="4" w:space="0"/>
            </w:tcBorders>
            <w:vAlign w:val="center"/>
          </w:tcPr>
          <w:p w14:paraId="1C944D4E">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电动自行车以旧换新企业抽检管理-检查反馈</w:t>
            </w:r>
          </w:p>
        </w:tc>
        <w:tc>
          <w:tcPr>
            <w:tcW w:w="3745" w:type="dxa"/>
            <w:tcBorders>
              <w:top w:val="single" w:color="000000" w:sz="4" w:space="0"/>
              <w:left w:val="single" w:color="000000" w:sz="4" w:space="0"/>
              <w:bottom w:val="single" w:color="000000" w:sz="4" w:space="0"/>
              <w:right w:val="single" w:color="000000" w:sz="4" w:space="0"/>
            </w:tcBorders>
            <w:vAlign w:val="center"/>
          </w:tcPr>
          <w:p w14:paraId="3F7629E1">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将检查结果反馈至系统，系统自动生成检查报告，同时支持上传整改资料及整改说明。系统支持整改期限的超期预警。整改复核后形成闭环处理记录。</w:t>
            </w:r>
          </w:p>
        </w:tc>
      </w:tr>
      <w:tr w14:paraId="2FB6EF1B">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042B15EB">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42</w:t>
            </w:r>
          </w:p>
        </w:tc>
        <w:tc>
          <w:tcPr>
            <w:tcW w:w="2367" w:type="dxa"/>
            <w:tcBorders>
              <w:top w:val="single" w:color="000000" w:sz="4" w:space="0"/>
              <w:left w:val="single" w:color="000000" w:sz="4" w:space="0"/>
              <w:bottom w:val="single" w:color="000000" w:sz="4" w:space="0"/>
              <w:right w:val="single" w:color="000000" w:sz="4" w:space="0"/>
            </w:tcBorders>
            <w:vAlign w:val="center"/>
          </w:tcPr>
          <w:p w14:paraId="5FF02A34">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统一管理</w:t>
            </w:r>
          </w:p>
        </w:tc>
        <w:tc>
          <w:tcPr>
            <w:tcW w:w="1573" w:type="dxa"/>
            <w:tcBorders>
              <w:top w:val="single" w:color="000000" w:sz="4" w:space="0"/>
              <w:left w:val="single" w:color="000000" w:sz="4" w:space="0"/>
              <w:bottom w:val="single" w:color="000000" w:sz="4" w:space="0"/>
              <w:right w:val="single" w:color="000000" w:sz="4" w:space="0"/>
            </w:tcBorders>
            <w:vAlign w:val="center"/>
          </w:tcPr>
          <w:p w14:paraId="1219D34A">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用户管理</w:t>
            </w:r>
          </w:p>
        </w:tc>
        <w:tc>
          <w:tcPr>
            <w:tcW w:w="3745" w:type="dxa"/>
            <w:tcBorders>
              <w:top w:val="single" w:color="000000" w:sz="4" w:space="0"/>
              <w:left w:val="single" w:color="000000" w:sz="4" w:space="0"/>
              <w:bottom w:val="single" w:color="000000" w:sz="4" w:space="0"/>
              <w:right w:val="single" w:color="000000" w:sz="4" w:space="0"/>
            </w:tcBorders>
            <w:vAlign w:val="center"/>
          </w:tcPr>
          <w:p w14:paraId="6E78B3DD">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支持用户信息维护。账号信息字段包括用户名、真实姓名、手机号、邮箱、身份证号、所属组织/企业、职务等。支持第三方认证集成（如政务平台）。</w:t>
            </w:r>
          </w:p>
        </w:tc>
      </w:tr>
      <w:tr w14:paraId="520ECBF4">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04DBAAD9">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43</w:t>
            </w:r>
          </w:p>
        </w:tc>
        <w:tc>
          <w:tcPr>
            <w:tcW w:w="2367" w:type="dxa"/>
            <w:tcBorders>
              <w:top w:val="single" w:color="000000" w:sz="4" w:space="0"/>
              <w:left w:val="single" w:color="000000" w:sz="4" w:space="0"/>
              <w:bottom w:val="single" w:color="000000" w:sz="4" w:space="0"/>
              <w:right w:val="single" w:color="000000" w:sz="4" w:space="0"/>
            </w:tcBorders>
            <w:vAlign w:val="center"/>
          </w:tcPr>
          <w:p w14:paraId="7415FB39">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统一管理</w:t>
            </w:r>
          </w:p>
        </w:tc>
        <w:tc>
          <w:tcPr>
            <w:tcW w:w="1573" w:type="dxa"/>
            <w:tcBorders>
              <w:top w:val="single" w:color="000000" w:sz="4" w:space="0"/>
              <w:left w:val="single" w:color="000000" w:sz="4" w:space="0"/>
              <w:bottom w:val="single" w:color="000000" w:sz="4" w:space="0"/>
              <w:right w:val="single" w:color="000000" w:sz="4" w:space="0"/>
            </w:tcBorders>
            <w:vAlign w:val="center"/>
          </w:tcPr>
          <w:p w14:paraId="4038E5F6">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角色管理</w:t>
            </w:r>
          </w:p>
        </w:tc>
        <w:tc>
          <w:tcPr>
            <w:tcW w:w="3745" w:type="dxa"/>
            <w:tcBorders>
              <w:top w:val="single" w:color="000000" w:sz="4" w:space="0"/>
              <w:left w:val="single" w:color="000000" w:sz="4" w:space="0"/>
              <w:bottom w:val="single" w:color="000000" w:sz="4" w:space="0"/>
              <w:right w:val="single" w:color="000000" w:sz="4" w:space="0"/>
            </w:tcBorders>
            <w:vAlign w:val="center"/>
          </w:tcPr>
          <w:p w14:paraId="67CFE28C">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系统中的身份角色，用户通过所属角色与权限进行关联。支持按“平台级角色”与“企业级角色”区分。内部角色如系统管理员、业务审核员、数据导出专员；外部角色如企业管理员、车辆报废申请人、销售门店录入员、回收单位资料提交员；支持自定义角色名称、描述、角色分组，支持角色继承机制（父角色-子角色）。</w:t>
            </w:r>
          </w:p>
        </w:tc>
      </w:tr>
      <w:tr w14:paraId="7DE863A0">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15EE3F03">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44</w:t>
            </w:r>
          </w:p>
        </w:tc>
        <w:tc>
          <w:tcPr>
            <w:tcW w:w="2367" w:type="dxa"/>
            <w:tcBorders>
              <w:top w:val="single" w:color="000000" w:sz="4" w:space="0"/>
              <w:left w:val="single" w:color="000000" w:sz="4" w:space="0"/>
              <w:bottom w:val="single" w:color="000000" w:sz="4" w:space="0"/>
              <w:right w:val="single" w:color="000000" w:sz="4" w:space="0"/>
            </w:tcBorders>
            <w:vAlign w:val="center"/>
          </w:tcPr>
          <w:p w14:paraId="14410A49">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统一管理</w:t>
            </w:r>
          </w:p>
        </w:tc>
        <w:tc>
          <w:tcPr>
            <w:tcW w:w="1573" w:type="dxa"/>
            <w:tcBorders>
              <w:top w:val="single" w:color="000000" w:sz="4" w:space="0"/>
              <w:left w:val="single" w:color="000000" w:sz="4" w:space="0"/>
              <w:bottom w:val="single" w:color="000000" w:sz="4" w:space="0"/>
              <w:right w:val="single" w:color="000000" w:sz="4" w:space="0"/>
            </w:tcBorders>
            <w:vAlign w:val="center"/>
          </w:tcPr>
          <w:p w14:paraId="6BFC5EE4">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权限管理</w:t>
            </w:r>
          </w:p>
        </w:tc>
        <w:tc>
          <w:tcPr>
            <w:tcW w:w="3745" w:type="dxa"/>
            <w:tcBorders>
              <w:top w:val="single" w:color="000000" w:sz="4" w:space="0"/>
              <w:left w:val="single" w:color="000000" w:sz="4" w:space="0"/>
              <w:bottom w:val="single" w:color="000000" w:sz="4" w:space="0"/>
              <w:right w:val="single" w:color="000000" w:sz="4" w:space="0"/>
            </w:tcBorders>
            <w:vAlign w:val="center"/>
          </w:tcPr>
          <w:p w14:paraId="009ED753">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系统中的操作权限，权限颗粒度细化到系统中的模块操作行为。</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（1）常规权限</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针对各个模块的操作权限（增删改查）</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（2）按钮权限</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主要针对各个模块业务操作按钮的可用/不可用</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（3）数据权限</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主要针对特殊数据不同的对象及角色可显示与隐藏</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（4）特定权限</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主要针对不同的对象设定特殊权限</w:t>
            </w:r>
          </w:p>
        </w:tc>
      </w:tr>
      <w:tr w14:paraId="49EE5975">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5D761619">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45</w:t>
            </w:r>
          </w:p>
        </w:tc>
        <w:tc>
          <w:tcPr>
            <w:tcW w:w="2367" w:type="dxa"/>
            <w:tcBorders>
              <w:top w:val="single" w:color="000000" w:sz="4" w:space="0"/>
              <w:left w:val="single" w:color="000000" w:sz="4" w:space="0"/>
              <w:bottom w:val="single" w:color="000000" w:sz="4" w:space="0"/>
              <w:right w:val="single" w:color="000000" w:sz="4" w:space="0"/>
            </w:tcBorders>
            <w:vAlign w:val="center"/>
          </w:tcPr>
          <w:p w14:paraId="22555385">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统一管理</w:t>
            </w:r>
          </w:p>
        </w:tc>
        <w:tc>
          <w:tcPr>
            <w:tcW w:w="1573" w:type="dxa"/>
            <w:tcBorders>
              <w:top w:val="single" w:color="000000" w:sz="4" w:space="0"/>
              <w:left w:val="single" w:color="000000" w:sz="4" w:space="0"/>
              <w:bottom w:val="single" w:color="000000" w:sz="4" w:space="0"/>
              <w:right w:val="single" w:color="000000" w:sz="4" w:space="0"/>
            </w:tcBorders>
            <w:vAlign w:val="center"/>
          </w:tcPr>
          <w:p w14:paraId="45746D55">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日志管理</w:t>
            </w:r>
          </w:p>
        </w:tc>
        <w:tc>
          <w:tcPr>
            <w:tcW w:w="3745" w:type="dxa"/>
            <w:tcBorders>
              <w:top w:val="single" w:color="000000" w:sz="4" w:space="0"/>
              <w:left w:val="single" w:color="000000" w:sz="4" w:space="0"/>
              <w:bottom w:val="single" w:color="000000" w:sz="4" w:space="0"/>
              <w:right w:val="single" w:color="000000" w:sz="4" w:space="0"/>
            </w:tcBorders>
            <w:vAlign w:val="center"/>
          </w:tcPr>
          <w:p w14:paraId="797125E5">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支持记录平台运行安全、权限合规、故障追踪、责任溯源的基础系统模块。该模块用于全面记录系统中用户操作、系统事件、安全行为、接口调用等各类关键事件日志，支持多维度检索、分类归档、异常监控、导出审计等功能，为平台安全审计、故障排查、监管稽核提供权威依据。</w:t>
            </w:r>
          </w:p>
        </w:tc>
      </w:tr>
      <w:tr w14:paraId="506A57B7">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552A7CB7">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46</w:t>
            </w:r>
          </w:p>
        </w:tc>
        <w:tc>
          <w:tcPr>
            <w:tcW w:w="2367" w:type="dxa"/>
            <w:tcBorders>
              <w:top w:val="single" w:color="000000" w:sz="4" w:space="0"/>
              <w:left w:val="single" w:color="000000" w:sz="4" w:space="0"/>
              <w:bottom w:val="single" w:color="000000" w:sz="4" w:space="0"/>
              <w:right w:val="single" w:color="000000" w:sz="4" w:space="0"/>
            </w:tcBorders>
            <w:vAlign w:val="center"/>
          </w:tcPr>
          <w:p w14:paraId="6B1A925B">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统一管理</w:t>
            </w:r>
          </w:p>
        </w:tc>
        <w:tc>
          <w:tcPr>
            <w:tcW w:w="1573" w:type="dxa"/>
            <w:tcBorders>
              <w:top w:val="single" w:color="000000" w:sz="4" w:space="0"/>
              <w:left w:val="single" w:color="000000" w:sz="4" w:space="0"/>
              <w:bottom w:val="single" w:color="000000" w:sz="4" w:space="0"/>
              <w:right w:val="single" w:color="000000" w:sz="4" w:space="0"/>
            </w:tcBorders>
            <w:vAlign w:val="center"/>
          </w:tcPr>
          <w:p w14:paraId="2C7295BA">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预警管理-预警规则配置中心</w:t>
            </w:r>
          </w:p>
        </w:tc>
        <w:tc>
          <w:tcPr>
            <w:tcW w:w="3745" w:type="dxa"/>
            <w:tcBorders>
              <w:top w:val="single" w:color="000000" w:sz="4" w:space="0"/>
              <w:left w:val="single" w:color="000000" w:sz="4" w:space="0"/>
              <w:bottom w:val="single" w:color="000000" w:sz="4" w:space="0"/>
              <w:right w:val="single" w:color="000000" w:sz="4" w:space="0"/>
            </w:tcBorders>
            <w:vAlign w:val="center"/>
          </w:tcPr>
          <w:p w14:paraId="28343C1E">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支持自定义多类型预警规则，如数据异常预警、业务监控预警、流程预警等。支持规则多条件组合：字段逻辑、时间条件、行为组合。规则支持按角色/组织/企业范围设定生效条件；每条规则可定义严重等级（一般/重要/严重）。</w:t>
            </w:r>
          </w:p>
        </w:tc>
      </w:tr>
      <w:tr w14:paraId="20D8F36B">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4C913C01">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47</w:t>
            </w:r>
          </w:p>
        </w:tc>
        <w:tc>
          <w:tcPr>
            <w:tcW w:w="2367" w:type="dxa"/>
            <w:tcBorders>
              <w:top w:val="single" w:color="000000" w:sz="4" w:space="0"/>
              <w:left w:val="single" w:color="000000" w:sz="4" w:space="0"/>
              <w:bottom w:val="single" w:color="000000" w:sz="4" w:space="0"/>
              <w:right w:val="single" w:color="000000" w:sz="4" w:space="0"/>
            </w:tcBorders>
            <w:vAlign w:val="center"/>
          </w:tcPr>
          <w:p w14:paraId="221AD1C0">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统一管理</w:t>
            </w:r>
          </w:p>
        </w:tc>
        <w:tc>
          <w:tcPr>
            <w:tcW w:w="1573" w:type="dxa"/>
            <w:tcBorders>
              <w:top w:val="single" w:color="000000" w:sz="4" w:space="0"/>
              <w:left w:val="single" w:color="000000" w:sz="4" w:space="0"/>
              <w:bottom w:val="single" w:color="000000" w:sz="4" w:space="0"/>
              <w:right w:val="single" w:color="000000" w:sz="4" w:space="0"/>
            </w:tcBorders>
            <w:vAlign w:val="center"/>
          </w:tcPr>
          <w:p w14:paraId="47BE587C">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预警管理-预警任务处置</w:t>
            </w:r>
          </w:p>
        </w:tc>
        <w:tc>
          <w:tcPr>
            <w:tcW w:w="3745" w:type="dxa"/>
            <w:tcBorders>
              <w:top w:val="single" w:color="000000" w:sz="4" w:space="0"/>
              <w:left w:val="single" w:color="000000" w:sz="4" w:space="0"/>
              <w:bottom w:val="single" w:color="000000" w:sz="4" w:space="0"/>
              <w:right w:val="single" w:color="000000" w:sz="4" w:space="0"/>
            </w:tcBorders>
            <w:vAlign w:val="center"/>
          </w:tcPr>
          <w:p w14:paraId="50074C9F">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支持将预警事件分派至指定人员或部门处理，处理人可在线填报处置意见、上传附件、确认处理状态，同时支持协同处理（主责任人 + 协办人）。</w:t>
            </w:r>
          </w:p>
        </w:tc>
      </w:tr>
      <w:tr w14:paraId="57B3B240">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0EA72393">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48</w:t>
            </w:r>
          </w:p>
        </w:tc>
        <w:tc>
          <w:tcPr>
            <w:tcW w:w="2367" w:type="dxa"/>
            <w:tcBorders>
              <w:top w:val="single" w:color="000000" w:sz="4" w:space="0"/>
              <w:left w:val="single" w:color="000000" w:sz="4" w:space="0"/>
              <w:bottom w:val="single" w:color="000000" w:sz="4" w:space="0"/>
              <w:right w:val="single" w:color="000000" w:sz="4" w:space="0"/>
            </w:tcBorders>
            <w:vAlign w:val="center"/>
          </w:tcPr>
          <w:p w14:paraId="377CD517">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统一管理</w:t>
            </w:r>
          </w:p>
        </w:tc>
        <w:tc>
          <w:tcPr>
            <w:tcW w:w="1573" w:type="dxa"/>
            <w:tcBorders>
              <w:top w:val="single" w:color="000000" w:sz="4" w:space="0"/>
              <w:left w:val="single" w:color="000000" w:sz="4" w:space="0"/>
              <w:bottom w:val="single" w:color="000000" w:sz="4" w:space="0"/>
              <w:right w:val="single" w:color="000000" w:sz="4" w:space="0"/>
            </w:tcBorders>
            <w:vAlign w:val="center"/>
          </w:tcPr>
          <w:p w14:paraId="42AD2A35">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预警管理-预警查询</w:t>
            </w:r>
          </w:p>
        </w:tc>
        <w:tc>
          <w:tcPr>
            <w:tcW w:w="3745" w:type="dxa"/>
            <w:tcBorders>
              <w:top w:val="single" w:color="000000" w:sz="4" w:space="0"/>
              <w:left w:val="single" w:color="000000" w:sz="4" w:space="0"/>
              <w:bottom w:val="single" w:color="000000" w:sz="4" w:space="0"/>
              <w:right w:val="single" w:color="000000" w:sz="4" w:space="0"/>
            </w:tcBorders>
            <w:vAlign w:val="center"/>
          </w:tcPr>
          <w:p w14:paraId="4B3B88AC">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支持按时间段、预警类型、处理状态、责任人等条件查询; 支持可视化图表展示：预警数量趋势图、各类预警占比、未处理预警清单、企业预警排行、地区风险分布热力图等。</w:t>
            </w:r>
          </w:p>
        </w:tc>
      </w:tr>
      <w:tr w14:paraId="33070157">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6C3950B1">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49</w:t>
            </w:r>
          </w:p>
        </w:tc>
        <w:tc>
          <w:tcPr>
            <w:tcW w:w="2367" w:type="dxa"/>
            <w:tcBorders>
              <w:top w:val="single" w:color="000000" w:sz="4" w:space="0"/>
              <w:left w:val="single" w:color="000000" w:sz="4" w:space="0"/>
              <w:bottom w:val="single" w:color="000000" w:sz="4" w:space="0"/>
              <w:right w:val="single" w:color="000000" w:sz="4" w:space="0"/>
            </w:tcBorders>
            <w:vAlign w:val="center"/>
          </w:tcPr>
          <w:p w14:paraId="2B32999D">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统一管理</w:t>
            </w:r>
          </w:p>
        </w:tc>
        <w:tc>
          <w:tcPr>
            <w:tcW w:w="1573" w:type="dxa"/>
            <w:tcBorders>
              <w:top w:val="single" w:color="000000" w:sz="4" w:space="0"/>
              <w:left w:val="single" w:color="000000" w:sz="4" w:space="0"/>
              <w:bottom w:val="single" w:color="000000" w:sz="4" w:space="0"/>
              <w:right w:val="single" w:color="000000" w:sz="4" w:space="0"/>
            </w:tcBorders>
            <w:vAlign w:val="center"/>
          </w:tcPr>
          <w:p w14:paraId="75CDF803">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对象库管理</w:t>
            </w:r>
          </w:p>
        </w:tc>
        <w:tc>
          <w:tcPr>
            <w:tcW w:w="3745" w:type="dxa"/>
            <w:tcBorders>
              <w:top w:val="single" w:color="000000" w:sz="4" w:space="0"/>
              <w:left w:val="single" w:color="000000" w:sz="4" w:space="0"/>
              <w:bottom w:val="single" w:color="000000" w:sz="4" w:space="0"/>
              <w:right w:val="single" w:color="000000" w:sz="4" w:space="0"/>
            </w:tcBorders>
            <w:vAlign w:val="center"/>
          </w:tcPr>
          <w:p w14:paraId="19A711A0">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1、回收拆解企业库</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（1）企业信息登记</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支持企业自主申报或由管理部门导入。企业信息包含名称、统一社会信用代码、注册地址、联系人、联系方式、回收拆解资质证书、备案文号、有效期、发证机关、年回收能力、场地情况、主要设备等信息。系统支持材料上传、附件管理、字段校验。</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（2）企业信息审核</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支持审核人员对企业的申报信息进行初审，复审。审核通过后正式入库。支持多渠道通知企业及相关部门。</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2、新车销售企业库</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（1）销售企业信息登记</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支持企业自主申报或由管理部门导入。企业信息包含名称、统一社会信用代码、注册地址、联系人、联系方式、工商营业执照、品牌授权书、各门店照片、销售许可文件等信息。系统支持材料上传、附件管理、字段校验</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（2）销售企业信息审核</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支持审核人员对企业的申报信息进行初审，复审。审核通过后正式入库。支持多渠道通知企业及相关部门。</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3、美容美发企业库</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通过对接卫健委系统，获取美容美发企业对象库。企业信息包含但不限于门店名称、营业执照、统一社会信用代码、所属法人/负责人、联系方式、开办时间、卫生许可证、美容美发从业备案、经营许可证、照片/附件。</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4、电动自行车经销商库</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（1）电动自行车经销商登记</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支持企业主动提交备案资料，或由管理单位导入已有数据。企业需提交信息包含企业名称、统一社会信用代码、法定代表人、联系人、联系方式、营业执照、品牌授权书、经营许可、产品合格证明、详细地址、服务区域、经营品牌、地图坐标、店面照片。</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（2）电动自行车经销商审核</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支持审核人员对企业的申报信息进行初审，复审。审核通过后正式入库。支持多渠道通知企业及相关部门。</w:t>
            </w:r>
          </w:p>
        </w:tc>
      </w:tr>
      <w:tr w14:paraId="593190A9">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0835FB05">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50</w:t>
            </w:r>
          </w:p>
        </w:tc>
        <w:tc>
          <w:tcPr>
            <w:tcW w:w="2367" w:type="dxa"/>
            <w:tcBorders>
              <w:top w:val="single" w:color="000000" w:sz="4" w:space="0"/>
              <w:left w:val="single" w:color="000000" w:sz="4" w:space="0"/>
              <w:bottom w:val="single" w:color="000000" w:sz="4" w:space="0"/>
              <w:right w:val="single" w:color="000000" w:sz="4" w:space="0"/>
            </w:tcBorders>
            <w:vAlign w:val="center"/>
          </w:tcPr>
          <w:p w14:paraId="38BA4CBB">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统一管理</w:t>
            </w:r>
          </w:p>
        </w:tc>
        <w:tc>
          <w:tcPr>
            <w:tcW w:w="1573" w:type="dxa"/>
            <w:tcBorders>
              <w:top w:val="single" w:color="000000" w:sz="4" w:space="0"/>
              <w:left w:val="single" w:color="000000" w:sz="4" w:space="0"/>
              <w:bottom w:val="single" w:color="000000" w:sz="4" w:space="0"/>
              <w:right w:val="single" w:color="000000" w:sz="4" w:space="0"/>
            </w:tcBorders>
            <w:vAlign w:val="center"/>
          </w:tcPr>
          <w:p w14:paraId="0D4286B1">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信用监管-信用评分</w:t>
            </w:r>
          </w:p>
        </w:tc>
        <w:tc>
          <w:tcPr>
            <w:tcW w:w="3745" w:type="dxa"/>
            <w:tcBorders>
              <w:top w:val="single" w:color="000000" w:sz="4" w:space="0"/>
              <w:left w:val="single" w:color="000000" w:sz="4" w:space="0"/>
              <w:bottom w:val="single" w:color="000000" w:sz="4" w:space="0"/>
              <w:right w:val="single" w:color="000000" w:sz="4" w:space="0"/>
            </w:tcBorders>
            <w:vAlign w:val="center"/>
          </w:tcPr>
          <w:p w14:paraId="46610BEC">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基于系统对象库，支持打分维度包括合规记录得分、完整度得分、抽检表现得分。自动计算生成“信用分”与“信用等级”（如AAA、AA、A、B、C等）。</w:t>
            </w:r>
          </w:p>
        </w:tc>
      </w:tr>
      <w:tr w14:paraId="62C127E3">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3334D99A">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51</w:t>
            </w:r>
          </w:p>
        </w:tc>
        <w:tc>
          <w:tcPr>
            <w:tcW w:w="2367" w:type="dxa"/>
            <w:tcBorders>
              <w:top w:val="single" w:color="000000" w:sz="4" w:space="0"/>
              <w:left w:val="single" w:color="000000" w:sz="4" w:space="0"/>
              <w:bottom w:val="single" w:color="000000" w:sz="4" w:space="0"/>
              <w:right w:val="single" w:color="000000" w:sz="4" w:space="0"/>
            </w:tcBorders>
            <w:vAlign w:val="center"/>
          </w:tcPr>
          <w:p w14:paraId="3C6FA852">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统一管理</w:t>
            </w:r>
          </w:p>
        </w:tc>
        <w:tc>
          <w:tcPr>
            <w:tcW w:w="1573" w:type="dxa"/>
            <w:tcBorders>
              <w:top w:val="single" w:color="000000" w:sz="4" w:space="0"/>
              <w:left w:val="single" w:color="000000" w:sz="4" w:space="0"/>
              <w:bottom w:val="single" w:color="000000" w:sz="4" w:space="0"/>
              <w:right w:val="single" w:color="000000" w:sz="4" w:space="0"/>
            </w:tcBorders>
            <w:vAlign w:val="center"/>
          </w:tcPr>
          <w:p w14:paraId="68C984DA">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信用监管-失信记录管理</w:t>
            </w:r>
          </w:p>
        </w:tc>
        <w:tc>
          <w:tcPr>
            <w:tcW w:w="3745" w:type="dxa"/>
            <w:tcBorders>
              <w:top w:val="single" w:color="000000" w:sz="4" w:space="0"/>
              <w:left w:val="single" w:color="000000" w:sz="4" w:space="0"/>
              <w:bottom w:val="single" w:color="000000" w:sz="4" w:space="0"/>
              <w:right w:val="single" w:color="000000" w:sz="4" w:space="0"/>
            </w:tcBorders>
            <w:vAlign w:val="center"/>
          </w:tcPr>
          <w:p w14:paraId="38A068E7">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对于多次违规、弄虚作假行为形成“失信记录”；记入平台“失信黑名单库”，影响后续所有业务资格。</w:t>
            </w:r>
          </w:p>
        </w:tc>
      </w:tr>
      <w:tr w14:paraId="654B86E1">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65BF88F5">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52</w:t>
            </w:r>
          </w:p>
        </w:tc>
        <w:tc>
          <w:tcPr>
            <w:tcW w:w="2367" w:type="dxa"/>
            <w:tcBorders>
              <w:top w:val="single" w:color="000000" w:sz="4" w:space="0"/>
              <w:left w:val="single" w:color="000000" w:sz="4" w:space="0"/>
              <w:bottom w:val="single" w:color="000000" w:sz="4" w:space="0"/>
              <w:right w:val="single" w:color="000000" w:sz="4" w:space="0"/>
            </w:tcBorders>
            <w:vAlign w:val="center"/>
          </w:tcPr>
          <w:p w14:paraId="4CF54F21">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统一管理</w:t>
            </w:r>
          </w:p>
        </w:tc>
        <w:tc>
          <w:tcPr>
            <w:tcW w:w="1573" w:type="dxa"/>
            <w:tcBorders>
              <w:top w:val="single" w:color="000000" w:sz="4" w:space="0"/>
              <w:left w:val="single" w:color="000000" w:sz="4" w:space="0"/>
              <w:bottom w:val="single" w:color="000000" w:sz="4" w:space="0"/>
              <w:right w:val="single" w:color="000000" w:sz="4" w:space="0"/>
            </w:tcBorders>
            <w:vAlign w:val="center"/>
          </w:tcPr>
          <w:p w14:paraId="537ED42B">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大屏展示</w:t>
            </w:r>
          </w:p>
        </w:tc>
        <w:tc>
          <w:tcPr>
            <w:tcW w:w="3745" w:type="dxa"/>
            <w:tcBorders>
              <w:top w:val="single" w:color="000000" w:sz="4" w:space="0"/>
              <w:left w:val="single" w:color="000000" w:sz="4" w:space="0"/>
              <w:bottom w:val="single" w:color="000000" w:sz="4" w:space="0"/>
              <w:right w:val="single" w:color="000000" w:sz="4" w:space="0"/>
            </w:tcBorders>
            <w:vAlign w:val="center"/>
          </w:tcPr>
          <w:p w14:paraId="50F258F1">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对接综合监管运行管理系统，将报废车、新车销售、电动自行车、美容美发等场景在本系统进行展示，实现监测对象的可视化表达。</w:t>
            </w:r>
          </w:p>
        </w:tc>
      </w:tr>
      <w:tr w14:paraId="26430B93">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117D2338">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53</w:t>
            </w:r>
          </w:p>
        </w:tc>
        <w:tc>
          <w:tcPr>
            <w:tcW w:w="2367" w:type="dxa"/>
            <w:tcBorders>
              <w:top w:val="single" w:color="000000" w:sz="4" w:space="0"/>
              <w:left w:val="single" w:color="000000" w:sz="4" w:space="0"/>
              <w:bottom w:val="single" w:color="000000" w:sz="4" w:space="0"/>
              <w:right w:val="single" w:color="000000" w:sz="4" w:space="0"/>
            </w:tcBorders>
            <w:vAlign w:val="center"/>
          </w:tcPr>
          <w:p w14:paraId="08D6C822">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统一管理</w:t>
            </w:r>
          </w:p>
        </w:tc>
        <w:tc>
          <w:tcPr>
            <w:tcW w:w="1573" w:type="dxa"/>
            <w:tcBorders>
              <w:top w:val="single" w:color="000000" w:sz="4" w:space="0"/>
              <w:left w:val="single" w:color="000000" w:sz="4" w:space="0"/>
              <w:bottom w:val="single" w:color="000000" w:sz="4" w:space="0"/>
              <w:right w:val="single" w:color="000000" w:sz="4" w:space="0"/>
            </w:tcBorders>
            <w:vAlign w:val="center"/>
          </w:tcPr>
          <w:p w14:paraId="4433AEAE">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GIS落点-落点管理</w:t>
            </w:r>
          </w:p>
        </w:tc>
        <w:tc>
          <w:tcPr>
            <w:tcW w:w="3745" w:type="dxa"/>
            <w:tcBorders>
              <w:top w:val="single" w:color="000000" w:sz="4" w:space="0"/>
              <w:left w:val="single" w:color="000000" w:sz="4" w:space="0"/>
              <w:bottom w:val="single" w:color="000000" w:sz="4" w:space="0"/>
              <w:right w:val="single" w:color="000000" w:sz="4" w:space="0"/>
            </w:tcBorders>
            <w:vAlign w:val="center"/>
          </w:tcPr>
          <w:p w14:paraId="6D149395">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对接上海城市智理时空一体化GIS平台的地图服务，支持对回收拆解企业、销售门店、服务站点、回收网点、抽检对象、重点监管区域等进行坐标落点标注。支持落点信息字段采集包含不限于名称、所属单位、坐标（经纬度）、行政区划、状态标签等字段信息。支持点位批量导入与编辑。不同类型的点位支持图层分类展示/隐藏。可自定义图标样式。</w:t>
            </w:r>
          </w:p>
        </w:tc>
      </w:tr>
      <w:tr w14:paraId="20E7D2A3">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49261253">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54</w:t>
            </w:r>
          </w:p>
        </w:tc>
        <w:tc>
          <w:tcPr>
            <w:tcW w:w="2367" w:type="dxa"/>
            <w:tcBorders>
              <w:top w:val="single" w:color="000000" w:sz="4" w:space="0"/>
              <w:left w:val="single" w:color="000000" w:sz="4" w:space="0"/>
              <w:bottom w:val="single" w:color="000000" w:sz="4" w:space="0"/>
              <w:right w:val="single" w:color="000000" w:sz="4" w:space="0"/>
            </w:tcBorders>
            <w:vAlign w:val="center"/>
          </w:tcPr>
          <w:p w14:paraId="18DC78E0">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统一管理</w:t>
            </w:r>
          </w:p>
        </w:tc>
        <w:tc>
          <w:tcPr>
            <w:tcW w:w="1573" w:type="dxa"/>
            <w:tcBorders>
              <w:top w:val="single" w:color="000000" w:sz="4" w:space="0"/>
              <w:left w:val="single" w:color="000000" w:sz="4" w:space="0"/>
              <w:bottom w:val="single" w:color="000000" w:sz="4" w:space="0"/>
              <w:right w:val="single" w:color="000000" w:sz="4" w:space="0"/>
            </w:tcBorders>
            <w:vAlign w:val="center"/>
          </w:tcPr>
          <w:p w14:paraId="3537D12D">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GIS落点-点位信息查看</w:t>
            </w:r>
          </w:p>
        </w:tc>
        <w:tc>
          <w:tcPr>
            <w:tcW w:w="3745" w:type="dxa"/>
            <w:tcBorders>
              <w:top w:val="single" w:color="000000" w:sz="4" w:space="0"/>
              <w:left w:val="single" w:color="000000" w:sz="4" w:space="0"/>
              <w:bottom w:val="single" w:color="000000" w:sz="4" w:space="0"/>
              <w:right w:val="single" w:color="000000" w:sz="4" w:space="0"/>
            </w:tcBorders>
            <w:vAlign w:val="center"/>
          </w:tcPr>
          <w:p w14:paraId="4483861C">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点击地图落点弹出信息框，展示详细信息；支持图片/视频附件展示。</w:t>
            </w:r>
          </w:p>
        </w:tc>
      </w:tr>
      <w:tr w14:paraId="16AE9714">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1F0D4D61">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55</w:t>
            </w:r>
          </w:p>
        </w:tc>
        <w:tc>
          <w:tcPr>
            <w:tcW w:w="2367" w:type="dxa"/>
            <w:tcBorders>
              <w:top w:val="single" w:color="000000" w:sz="4" w:space="0"/>
              <w:left w:val="single" w:color="000000" w:sz="4" w:space="0"/>
              <w:bottom w:val="single" w:color="000000" w:sz="4" w:space="0"/>
              <w:right w:val="single" w:color="000000" w:sz="4" w:space="0"/>
            </w:tcBorders>
            <w:vAlign w:val="center"/>
          </w:tcPr>
          <w:p w14:paraId="406DE19A">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统一管理</w:t>
            </w:r>
          </w:p>
        </w:tc>
        <w:tc>
          <w:tcPr>
            <w:tcW w:w="1573" w:type="dxa"/>
            <w:tcBorders>
              <w:top w:val="single" w:color="000000" w:sz="4" w:space="0"/>
              <w:left w:val="single" w:color="000000" w:sz="4" w:space="0"/>
              <w:bottom w:val="single" w:color="000000" w:sz="4" w:space="0"/>
              <w:right w:val="single" w:color="000000" w:sz="4" w:space="0"/>
            </w:tcBorders>
            <w:vAlign w:val="center"/>
          </w:tcPr>
          <w:p w14:paraId="272AEE30">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密码应用建设</w:t>
            </w:r>
          </w:p>
        </w:tc>
        <w:tc>
          <w:tcPr>
            <w:tcW w:w="3745" w:type="dxa"/>
            <w:tcBorders>
              <w:top w:val="single" w:color="000000" w:sz="4" w:space="0"/>
              <w:left w:val="single" w:color="000000" w:sz="4" w:space="0"/>
              <w:bottom w:val="single" w:color="000000" w:sz="4" w:space="0"/>
              <w:right w:val="single" w:color="000000" w:sz="4" w:space="0"/>
            </w:tcBorders>
            <w:vAlign w:val="center"/>
          </w:tcPr>
          <w:p w14:paraId="0C1F4BC1">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1、用户身份认证机制</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开发用户身份认证机制模块，调用云平台提供的安全认证网关服务接口，并在服务端部署站点证书，绑定应用用户数字证书和应用用户ID，实现对服务端身份的鉴别。</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2、业务重要数据安全传输</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开发业务重要数据安全传输模块，调用云平台提供的安全认证网关服务接口，实现应用系统通信数据的机密性和完整性保护。</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3、用户访问控制</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开发用户访问控制信息签名验签模块，调用云平台提供的签名验签服务接口，实现应用系统登录用户的访问控制列表完整性保护。</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4、数据加解密</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开发应用系统重要数据加解密模块，调用云平台提供的数据库加密服务接口、加密存储服务接口，实现登录用户身份鉴别数据、电子公文数据等结构化数据、非结构化数据的存储机密性保护。</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5、数据签名验签</w:t>
            </w:r>
            <w:r>
              <w:rPr>
                <w:rFonts w:ascii="Times New Roman" w:hAnsi="Times New Roman"/>
                <w:color w:val="000000"/>
                <w:kern w:val="0"/>
                <w:sz w:val="22"/>
                <w:szCs w:val="22"/>
                <w:lang w:bidi="ar"/>
              </w:rPr>
              <w:br w:type="textWrapping"/>
            </w:r>
            <w:r>
              <w:rPr>
                <w:rFonts w:ascii="Times New Roman" w:hAnsi="Times New Roman"/>
                <w:color w:val="000000"/>
                <w:kern w:val="0"/>
                <w:sz w:val="22"/>
                <w:szCs w:val="22"/>
                <w:lang w:bidi="ar"/>
              </w:rPr>
              <w:t>开发应用系统重要数据签名验签模块，调用云平台提供的签名验签服务接口，实现登录用户身份鉴别数据、电子公文数据、业务日志的存储完整性保护。</w:t>
            </w:r>
          </w:p>
        </w:tc>
      </w:tr>
      <w:tr w14:paraId="2184FECC">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483E67EE">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56</w:t>
            </w:r>
          </w:p>
        </w:tc>
        <w:tc>
          <w:tcPr>
            <w:tcW w:w="2367" w:type="dxa"/>
            <w:tcBorders>
              <w:top w:val="single" w:color="000000" w:sz="4" w:space="0"/>
              <w:left w:val="single" w:color="000000" w:sz="4" w:space="0"/>
              <w:bottom w:val="single" w:color="000000" w:sz="4" w:space="0"/>
              <w:right w:val="single" w:color="000000" w:sz="4" w:space="0"/>
            </w:tcBorders>
            <w:vAlign w:val="center"/>
          </w:tcPr>
          <w:p w14:paraId="13195634">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接口对接</w:t>
            </w:r>
          </w:p>
        </w:tc>
        <w:tc>
          <w:tcPr>
            <w:tcW w:w="1573" w:type="dxa"/>
            <w:tcBorders>
              <w:top w:val="single" w:color="000000" w:sz="4" w:space="0"/>
              <w:left w:val="single" w:color="000000" w:sz="4" w:space="0"/>
              <w:bottom w:val="single" w:color="000000" w:sz="4" w:space="0"/>
              <w:right w:val="single" w:color="000000" w:sz="4" w:space="0"/>
            </w:tcBorders>
            <w:vAlign w:val="center"/>
          </w:tcPr>
          <w:p w14:paraId="35773752">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12345投诉平台对接</w:t>
            </w:r>
          </w:p>
        </w:tc>
        <w:tc>
          <w:tcPr>
            <w:tcW w:w="3745" w:type="dxa"/>
            <w:tcBorders>
              <w:top w:val="single" w:color="000000" w:sz="4" w:space="0"/>
              <w:left w:val="single" w:color="000000" w:sz="4" w:space="0"/>
              <w:bottom w:val="single" w:color="000000" w:sz="4" w:space="0"/>
              <w:right w:val="single" w:color="000000" w:sz="4" w:space="0"/>
            </w:tcBorders>
            <w:vAlign w:val="center"/>
          </w:tcPr>
          <w:p w14:paraId="083BC6F9">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接收12345对于新车、二手车、销售门店等投诉信息对接。</w:t>
            </w:r>
          </w:p>
        </w:tc>
      </w:tr>
      <w:tr w14:paraId="776BC1CC">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11EE9AE1">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57</w:t>
            </w:r>
          </w:p>
        </w:tc>
        <w:tc>
          <w:tcPr>
            <w:tcW w:w="2367" w:type="dxa"/>
            <w:tcBorders>
              <w:top w:val="single" w:color="000000" w:sz="4" w:space="0"/>
              <w:left w:val="single" w:color="000000" w:sz="4" w:space="0"/>
              <w:bottom w:val="single" w:color="000000" w:sz="4" w:space="0"/>
              <w:right w:val="single" w:color="000000" w:sz="4" w:space="0"/>
            </w:tcBorders>
            <w:vAlign w:val="center"/>
          </w:tcPr>
          <w:p w14:paraId="4301CDD3">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接口对接</w:t>
            </w:r>
          </w:p>
        </w:tc>
        <w:tc>
          <w:tcPr>
            <w:tcW w:w="1573" w:type="dxa"/>
            <w:tcBorders>
              <w:top w:val="single" w:color="000000" w:sz="4" w:space="0"/>
              <w:left w:val="single" w:color="000000" w:sz="4" w:space="0"/>
              <w:bottom w:val="single" w:color="000000" w:sz="4" w:space="0"/>
              <w:right w:val="single" w:color="000000" w:sz="4" w:space="0"/>
            </w:tcBorders>
            <w:vAlign w:val="center"/>
          </w:tcPr>
          <w:p w14:paraId="3711DE9B">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全国汽车流通信息管理系统</w:t>
            </w:r>
          </w:p>
        </w:tc>
        <w:tc>
          <w:tcPr>
            <w:tcW w:w="3745" w:type="dxa"/>
            <w:tcBorders>
              <w:top w:val="single" w:color="000000" w:sz="4" w:space="0"/>
              <w:left w:val="single" w:color="000000" w:sz="4" w:space="0"/>
              <w:bottom w:val="single" w:color="000000" w:sz="4" w:space="0"/>
              <w:right w:val="single" w:color="000000" w:sz="4" w:space="0"/>
            </w:tcBorders>
            <w:vAlign w:val="center"/>
          </w:tcPr>
          <w:p w14:paraId="55BF4E80">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系统推送车辆报废信息记注销信息至全国汽车流通信息管理系统，获取机动车报废的全国统一回收证明编号。</w:t>
            </w:r>
          </w:p>
        </w:tc>
      </w:tr>
      <w:tr w14:paraId="5141E30D">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5ECBD58C">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58</w:t>
            </w:r>
          </w:p>
        </w:tc>
        <w:tc>
          <w:tcPr>
            <w:tcW w:w="2367" w:type="dxa"/>
            <w:tcBorders>
              <w:top w:val="single" w:color="000000" w:sz="4" w:space="0"/>
              <w:left w:val="single" w:color="000000" w:sz="4" w:space="0"/>
              <w:bottom w:val="single" w:color="000000" w:sz="4" w:space="0"/>
              <w:right w:val="single" w:color="000000" w:sz="4" w:space="0"/>
            </w:tcBorders>
            <w:vAlign w:val="center"/>
          </w:tcPr>
          <w:p w14:paraId="7AED90A0">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接口对接</w:t>
            </w:r>
          </w:p>
        </w:tc>
        <w:tc>
          <w:tcPr>
            <w:tcW w:w="1573" w:type="dxa"/>
            <w:tcBorders>
              <w:top w:val="single" w:color="000000" w:sz="4" w:space="0"/>
              <w:left w:val="single" w:color="000000" w:sz="4" w:space="0"/>
              <w:bottom w:val="single" w:color="000000" w:sz="4" w:space="0"/>
              <w:right w:val="single" w:color="000000" w:sz="4" w:space="0"/>
            </w:tcBorders>
            <w:vAlign w:val="center"/>
          </w:tcPr>
          <w:p w14:paraId="072C625A">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行业协会</w:t>
            </w:r>
          </w:p>
        </w:tc>
        <w:tc>
          <w:tcPr>
            <w:tcW w:w="3745" w:type="dxa"/>
            <w:tcBorders>
              <w:top w:val="single" w:color="000000" w:sz="4" w:space="0"/>
              <w:left w:val="single" w:color="000000" w:sz="4" w:space="0"/>
              <w:bottom w:val="single" w:color="000000" w:sz="4" w:space="0"/>
              <w:right w:val="single" w:color="000000" w:sz="4" w:space="0"/>
            </w:tcBorders>
            <w:vAlign w:val="center"/>
          </w:tcPr>
          <w:p w14:paraId="77C9388C">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系统接收新车销售协会、二手车市场协会的相关基础信息。</w:t>
            </w:r>
          </w:p>
        </w:tc>
      </w:tr>
      <w:tr w14:paraId="48C43DAA">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15458666">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59</w:t>
            </w:r>
          </w:p>
        </w:tc>
        <w:tc>
          <w:tcPr>
            <w:tcW w:w="2367" w:type="dxa"/>
            <w:tcBorders>
              <w:top w:val="single" w:color="000000" w:sz="4" w:space="0"/>
              <w:left w:val="single" w:color="000000" w:sz="4" w:space="0"/>
              <w:bottom w:val="single" w:color="000000" w:sz="4" w:space="0"/>
              <w:right w:val="single" w:color="000000" w:sz="4" w:space="0"/>
            </w:tcBorders>
            <w:vAlign w:val="center"/>
          </w:tcPr>
          <w:p w14:paraId="7C0FDEEF">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接口对接</w:t>
            </w:r>
          </w:p>
        </w:tc>
        <w:tc>
          <w:tcPr>
            <w:tcW w:w="1573" w:type="dxa"/>
            <w:tcBorders>
              <w:top w:val="single" w:color="000000" w:sz="4" w:space="0"/>
              <w:left w:val="single" w:color="000000" w:sz="4" w:space="0"/>
              <w:bottom w:val="single" w:color="000000" w:sz="4" w:space="0"/>
              <w:right w:val="single" w:color="000000" w:sz="4" w:space="0"/>
            </w:tcBorders>
            <w:vAlign w:val="center"/>
          </w:tcPr>
          <w:p w14:paraId="14DF7AAC">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综合监管运行管理系统</w:t>
            </w:r>
          </w:p>
        </w:tc>
        <w:tc>
          <w:tcPr>
            <w:tcW w:w="3745" w:type="dxa"/>
            <w:tcBorders>
              <w:top w:val="single" w:color="000000" w:sz="4" w:space="0"/>
              <w:left w:val="single" w:color="000000" w:sz="4" w:space="0"/>
              <w:bottom w:val="single" w:color="000000" w:sz="4" w:space="0"/>
              <w:right w:val="single" w:color="000000" w:sz="4" w:space="0"/>
            </w:tcBorders>
            <w:vAlign w:val="center"/>
          </w:tcPr>
          <w:p w14:paraId="0FE3D154">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对接综合监管运行管理系统，为其提供相关数据，并可登录其该系统，查看商务委监管情况。</w:t>
            </w:r>
          </w:p>
        </w:tc>
      </w:tr>
      <w:tr w14:paraId="0A0A40A6">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18D98CBF">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60</w:t>
            </w:r>
          </w:p>
        </w:tc>
        <w:tc>
          <w:tcPr>
            <w:tcW w:w="2367" w:type="dxa"/>
            <w:tcBorders>
              <w:top w:val="single" w:color="000000" w:sz="4" w:space="0"/>
              <w:left w:val="single" w:color="000000" w:sz="4" w:space="0"/>
              <w:bottom w:val="single" w:color="000000" w:sz="4" w:space="0"/>
              <w:right w:val="single" w:color="000000" w:sz="4" w:space="0"/>
            </w:tcBorders>
            <w:vAlign w:val="center"/>
          </w:tcPr>
          <w:p w14:paraId="579E19CA">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接口对接</w:t>
            </w:r>
          </w:p>
        </w:tc>
        <w:tc>
          <w:tcPr>
            <w:tcW w:w="1573" w:type="dxa"/>
            <w:tcBorders>
              <w:top w:val="single" w:color="000000" w:sz="4" w:space="0"/>
              <w:left w:val="single" w:color="000000" w:sz="4" w:space="0"/>
              <w:bottom w:val="single" w:color="000000" w:sz="4" w:space="0"/>
              <w:right w:val="single" w:color="000000" w:sz="4" w:space="0"/>
            </w:tcBorders>
            <w:vAlign w:val="center"/>
          </w:tcPr>
          <w:p w14:paraId="5F7A59C9">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大数据中心-公安专网</w:t>
            </w:r>
          </w:p>
        </w:tc>
        <w:tc>
          <w:tcPr>
            <w:tcW w:w="3745" w:type="dxa"/>
            <w:tcBorders>
              <w:top w:val="single" w:color="000000" w:sz="4" w:space="0"/>
              <w:left w:val="single" w:color="000000" w:sz="4" w:space="0"/>
              <w:bottom w:val="single" w:color="000000" w:sz="4" w:space="0"/>
              <w:right w:val="single" w:color="000000" w:sz="4" w:space="0"/>
            </w:tcBorders>
            <w:vAlign w:val="center"/>
          </w:tcPr>
          <w:p w14:paraId="05E24DAF">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对接公安专网，校验车辆状态、车辆基本信息，查验流水信息、机动车查验照片信息、机动车号牌销毁、车辆信息与所有人一致性比对。</w:t>
            </w:r>
          </w:p>
        </w:tc>
      </w:tr>
      <w:tr w14:paraId="5FADA494">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3D097018">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61</w:t>
            </w:r>
          </w:p>
        </w:tc>
        <w:tc>
          <w:tcPr>
            <w:tcW w:w="2367" w:type="dxa"/>
            <w:tcBorders>
              <w:top w:val="single" w:color="000000" w:sz="4" w:space="0"/>
              <w:left w:val="single" w:color="000000" w:sz="4" w:space="0"/>
              <w:bottom w:val="single" w:color="000000" w:sz="4" w:space="0"/>
              <w:right w:val="single" w:color="000000" w:sz="4" w:space="0"/>
            </w:tcBorders>
            <w:vAlign w:val="center"/>
          </w:tcPr>
          <w:p w14:paraId="41CDC884">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接口对接</w:t>
            </w:r>
          </w:p>
        </w:tc>
        <w:tc>
          <w:tcPr>
            <w:tcW w:w="1573" w:type="dxa"/>
            <w:tcBorders>
              <w:top w:val="single" w:color="000000" w:sz="4" w:space="0"/>
              <w:left w:val="single" w:color="000000" w:sz="4" w:space="0"/>
              <w:bottom w:val="single" w:color="000000" w:sz="4" w:space="0"/>
              <w:right w:val="single" w:color="000000" w:sz="4" w:space="0"/>
            </w:tcBorders>
            <w:vAlign w:val="center"/>
          </w:tcPr>
          <w:p w14:paraId="737F24C6">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大数据中心数据湖</w:t>
            </w:r>
          </w:p>
        </w:tc>
        <w:tc>
          <w:tcPr>
            <w:tcW w:w="3745" w:type="dxa"/>
            <w:tcBorders>
              <w:top w:val="single" w:color="000000" w:sz="4" w:space="0"/>
              <w:left w:val="single" w:color="000000" w:sz="4" w:space="0"/>
              <w:bottom w:val="single" w:color="000000" w:sz="4" w:space="0"/>
              <w:right w:val="single" w:color="000000" w:sz="4" w:space="0"/>
            </w:tcBorders>
            <w:vAlign w:val="center"/>
          </w:tcPr>
          <w:p w14:paraId="1982410F">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对接大数据中心数据湖对接，实现法人信息、处罚信息等数据对接。</w:t>
            </w:r>
          </w:p>
        </w:tc>
      </w:tr>
      <w:tr w14:paraId="6ED99ED0">
        <w:tblPrEx>
          <w:tblCellMar>
            <w:top w:w="0" w:type="dxa"/>
            <w:left w:w="108" w:type="dxa"/>
            <w:bottom w:w="0" w:type="dxa"/>
            <w:right w:w="108" w:type="dxa"/>
          </w:tblCellMar>
        </w:tblPrEx>
        <w:trPr>
          <w:jc w:val="center"/>
        </w:trPr>
        <w:tc>
          <w:tcPr>
            <w:tcW w:w="843" w:type="dxa"/>
            <w:tcBorders>
              <w:top w:val="single" w:color="000000" w:sz="4" w:space="0"/>
              <w:left w:val="single" w:color="000000" w:sz="4" w:space="0"/>
              <w:bottom w:val="single" w:color="000000" w:sz="4" w:space="0"/>
              <w:right w:val="single" w:color="000000" w:sz="4" w:space="0"/>
            </w:tcBorders>
            <w:vAlign w:val="center"/>
          </w:tcPr>
          <w:p w14:paraId="4F932BDA">
            <w:pPr>
              <w:widowControl/>
              <w:snapToGrid w:val="0"/>
              <w:spacing w:line="240" w:lineRule="auto"/>
              <w:ind w:firstLine="0" w:firstLineChars="0"/>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62</w:t>
            </w:r>
          </w:p>
        </w:tc>
        <w:tc>
          <w:tcPr>
            <w:tcW w:w="2367" w:type="dxa"/>
            <w:tcBorders>
              <w:top w:val="single" w:color="000000" w:sz="4" w:space="0"/>
              <w:left w:val="single" w:color="000000" w:sz="4" w:space="0"/>
              <w:bottom w:val="single" w:color="000000" w:sz="4" w:space="0"/>
              <w:right w:val="single" w:color="000000" w:sz="4" w:space="0"/>
            </w:tcBorders>
            <w:vAlign w:val="center"/>
          </w:tcPr>
          <w:p w14:paraId="0271E068">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接口对接</w:t>
            </w:r>
          </w:p>
        </w:tc>
        <w:tc>
          <w:tcPr>
            <w:tcW w:w="1573" w:type="dxa"/>
            <w:tcBorders>
              <w:top w:val="single" w:color="000000" w:sz="4" w:space="0"/>
              <w:left w:val="single" w:color="000000" w:sz="4" w:space="0"/>
              <w:bottom w:val="single" w:color="000000" w:sz="4" w:space="0"/>
              <w:right w:val="single" w:color="000000" w:sz="4" w:space="0"/>
            </w:tcBorders>
            <w:vAlign w:val="center"/>
          </w:tcPr>
          <w:p w14:paraId="5BF053CD">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一网通办</w:t>
            </w:r>
          </w:p>
        </w:tc>
        <w:tc>
          <w:tcPr>
            <w:tcW w:w="3745" w:type="dxa"/>
            <w:tcBorders>
              <w:top w:val="single" w:color="000000" w:sz="4" w:space="0"/>
              <w:left w:val="single" w:color="000000" w:sz="4" w:space="0"/>
              <w:bottom w:val="single" w:color="000000" w:sz="4" w:space="0"/>
              <w:right w:val="single" w:color="000000" w:sz="4" w:space="0"/>
            </w:tcBorders>
            <w:vAlign w:val="center"/>
          </w:tcPr>
          <w:p w14:paraId="2D0ECF27">
            <w:pPr>
              <w:widowControl/>
              <w:snapToGrid w:val="0"/>
              <w:spacing w:line="240" w:lineRule="auto"/>
              <w:ind w:firstLine="0" w:firstLineChars="0"/>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对接一网通办，完成报废车个人申请。</w:t>
            </w:r>
          </w:p>
        </w:tc>
      </w:tr>
    </w:tbl>
    <w:p w14:paraId="1C413F55">
      <w:pPr>
        <w:pStyle w:val="2"/>
        <w:rPr>
          <w:rFonts w:ascii="Times New Roman" w:hAnsi="Times New Roman"/>
        </w:rPr>
      </w:pPr>
      <w:bookmarkStart w:id="18" w:name="_Toc63785503"/>
      <w:r>
        <w:rPr>
          <w:rFonts w:ascii="Times New Roman" w:hAnsi="Times New Roman"/>
        </w:rPr>
        <w:t>其他工作要求</w:t>
      </w:r>
      <w:bookmarkEnd w:id="18"/>
    </w:p>
    <w:p w14:paraId="74A3F012">
      <w:pPr>
        <w:keepNext/>
        <w:keepLines/>
        <w:numPr>
          <w:ilvl w:val="1"/>
          <w:numId w:val="3"/>
        </w:numPr>
        <w:tabs>
          <w:tab w:val="left" w:pos="360"/>
        </w:tabs>
        <w:spacing w:before="120" w:line="240" w:lineRule="auto"/>
        <w:ind w:left="0" w:firstLine="0" w:firstLineChars="0"/>
        <w:outlineLvl w:val="1"/>
        <w:rPr>
          <w:rFonts w:ascii="Times New Roman" w:hAnsi="Times New Roman" w:eastAsia="仿宋"/>
          <w:b/>
          <w:vanish/>
          <w:color w:val="000000"/>
          <w:sz w:val="28"/>
          <w:szCs w:val="20"/>
        </w:rPr>
      </w:pPr>
      <w:bookmarkStart w:id="19" w:name="_Toc63785439"/>
      <w:bookmarkEnd w:id="19"/>
      <w:bookmarkStart w:id="20" w:name="_Toc63762370"/>
      <w:bookmarkEnd w:id="20"/>
      <w:bookmarkStart w:id="21" w:name="_Toc63585480"/>
      <w:bookmarkEnd w:id="21"/>
      <w:bookmarkStart w:id="22" w:name="_Toc62219358"/>
      <w:bookmarkEnd w:id="22"/>
      <w:bookmarkStart w:id="23" w:name="_Toc63785504"/>
      <w:bookmarkEnd w:id="23"/>
      <w:bookmarkStart w:id="24" w:name="_Toc63151871"/>
      <w:bookmarkEnd w:id="24"/>
      <w:bookmarkStart w:id="25" w:name="_Toc62209488"/>
      <w:bookmarkEnd w:id="25"/>
      <w:bookmarkStart w:id="26" w:name="_Toc61968111"/>
      <w:bookmarkEnd w:id="26"/>
    </w:p>
    <w:p w14:paraId="35F315F0">
      <w:pPr>
        <w:pStyle w:val="3"/>
        <w:rPr>
          <w:rFonts w:ascii="Times New Roman" w:hAnsi="Times New Roman"/>
        </w:rPr>
      </w:pPr>
      <w:bookmarkStart w:id="27" w:name="_Toc63785505"/>
      <w:r>
        <w:rPr>
          <w:rFonts w:ascii="Times New Roman" w:hAnsi="Times New Roman"/>
        </w:rPr>
        <w:t>售后服务要求</w:t>
      </w:r>
      <w:bookmarkEnd w:id="27"/>
    </w:p>
    <w:p w14:paraId="6B4A0107">
      <w:pPr>
        <w:pStyle w:val="107"/>
        <w:snapToGrid w:val="0"/>
        <w:spacing w:line="360" w:lineRule="auto"/>
        <w:ind w:firstLine="480"/>
        <w:rPr>
          <w:sz w:val="24"/>
          <w:szCs w:val="24"/>
        </w:rPr>
      </w:pPr>
      <w:r>
        <w:rPr>
          <w:sz w:val="24"/>
          <w:szCs w:val="24"/>
        </w:rPr>
        <w:t>本项目从系统验收通过之日起1年内提供7*24小时免费技术支持和售后服务，1年后进入有偿维护期。</w:t>
      </w:r>
    </w:p>
    <w:p w14:paraId="6738A74B">
      <w:pPr>
        <w:pStyle w:val="107"/>
        <w:snapToGrid w:val="0"/>
        <w:spacing w:line="360" w:lineRule="auto"/>
        <w:ind w:firstLine="480"/>
        <w:rPr>
          <w:sz w:val="24"/>
          <w:szCs w:val="24"/>
        </w:rPr>
      </w:pPr>
      <w:r>
        <w:rPr>
          <w:sz w:val="24"/>
          <w:szCs w:val="24"/>
        </w:rPr>
        <w:t>在质量保证期内，供应商将按照售后服务的承诺提供保修和运行维护服务，如果厂商对信息系统中软件等产品中的部分保修期超过上述期限的，则按照厂商的规定进行免费保修。</w:t>
      </w:r>
    </w:p>
    <w:p w14:paraId="7FCDCC63">
      <w:pPr>
        <w:widowControl/>
        <w:jc w:val="left"/>
        <w:rPr>
          <w:rFonts w:ascii="Times New Roman" w:hAnsi="Times New Roman"/>
        </w:rPr>
      </w:pPr>
      <w:r>
        <w:rPr>
          <w:rFonts w:ascii="Times New Roman" w:hAnsi="Times New Roman"/>
        </w:rPr>
        <w:t>在质量保证期内，供应商负责信息系统的运行维护工作，确保信息系统安全、稳定、可靠地运行。本项目涉及的运行维护工作范围为：</w:t>
      </w:r>
      <w:r>
        <w:rPr>
          <w:rFonts w:hint="eastAsia" w:ascii="Times New Roman" w:hAnsi="Times New Roman"/>
        </w:rPr>
        <w:t>报废机动车回收拆解综合监管、新车销售综合监管、电动自行车安全监管、统一管理、接口对接</w:t>
      </w:r>
      <w:r>
        <w:rPr>
          <w:rFonts w:ascii="Times New Roman" w:hAnsi="Times New Roman"/>
        </w:rPr>
        <w:t>。</w:t>
      </w:r>
    </w:p>
    <w:p w14:paraId="120EB5E1">
      <w:pPr>
        <w:pStyle w:val="3"/>
        <w:rPr>
          <w:rFonts w:ascii="Times New Roman" w:hAnsi="Times New Roman"/>
        </w:rPr>
      </w:pPr>
      <w:bookmarkStart w:id="28" w:name="_Toc63785506"/>
      <w:r>
        <w:rPr>
          <w:rFonts w:ascii="Times New Roman" w:hAnsi="Times New Roman"/>
        </w:rPr>
        <w:t>应急响应要求</w:t>
      </w:r>
      <w:bookmarkEnd w:id="28"/>
    </w:p>
    <w:p w14:paraId="25D36F93">
      <w:pPr>
        <w:pStyle w:val="107"/>
        <w:snapToGrid w:val="0"/>
        <w:spacing w:line="360" w:lineRule="auto"/>
        <w:ind w:firstLine="480"/>
        <w:rPr>
          <w:sz w:val="24"/>
          <w:szCs w:val="24"/>
        </w:rPr>
      </w:pPr>
      <w:r>
        <w:rPr>
          <w:sz w:val="24"/>
          <w:szCs w:val="24"/>
        </w:rPr>
        <w:t>供应商对系统故障应能够实时响应，若系统发生故障，接到通知后30分钟之内响应，专业工程师2小时内到达现场。特殊故障与客户沟通协商后，按照协商的方式制定解决方案并进行处理。</w:t>
      </w:r>
    </w:p>
    <w:p w14:paraId="2D8CB0CF">
      <w:pPr>
        <w:pStyle w:val="107"/>
        <w:snapToGrid w:val="0"/>
        <w:spacing w:line="360" w:lineRule="auto"/>
        <w:ind w:firstLine="480"/>
        <w:rPr>
          <w:sz w:val="24"/>
          <w:szCs w:val="24"/>
        </w:rPr>
      </w:pPr>
      <w:r>
        <w:rPr>
          <w:sz w:val="24"/>
          <w:szCs w:val="24"/>
        </w:rPr>
        <w:t>具体故障级别及对应的应急响应要求如下：</w:t>
      </w:r>
    </w:p>
    <w:p w14:paraId="2EAB9575">
      <w:pPr>
        <w:pStyle w:val="107"/>
        <w:snapToGrid w:val="0"/>
        <w:spacing w:line="360" w:lineRule="auto"/>
        <w:ind w:firstLine="480"/>
        <w:rPr>
          <w:sz w:val="24"/>
          <w:szCs w:val="24"/>
        </w:rPr>
      </w:pPr>
      <w:r>
        <w:rPr>
          <w:sz w:val="24"/>
          <w:szCs w:val="24"/>
        </w:rPr>
        <w:t>一级故障：在1小时内确诊，总故障解决时间不超过4小时。</w:t>
      </w:r>
    </w:p>
    <w:p w14:paraId="56F14935">
      <w:pPr>
        <w:pStyle w:val="107"/>
        <w:snapToGrid w:val="0"/>
        <w:spacing w:line="360" w:lineRule="auto"/>
        <w:ind w:firstLine="480"/>
        <w:rPr>
          <w:sz w:val="24"/>
          <w:szCs w:val="24"/>
        </w:rPr>
      </w:pPr>
      <w:r>
        <w:rPr>
          <w:sz w:val="24"/>
          <w:szCs w:val="24"/>
        </w:rPr>
        <w:t>二级故障：在2小时内确诊，并在4小时内由专家到达现场确诊并解决，总故障解决时间不超过8小时；</w:t>
      </w:r>
    </w:p>
    <w:p w14:paraId="6A310437">
      <w:pPr>
        <w:pStyle w:val="107"/>
        <w:snapToGrid w:val="0"/>
        <w:spacing w:line="360" w:lineRule="auto"/>
        <w:ind w:firstLine="480"/>
        <w:rPr>
          <w:sz w:val="24"/>
          <w:szCs w:val="24"/>
        </w:rPr>
      </w:pPr>
      <w:r>
        <w:rPr>
          <w:sz w:val="24"/>
          <w:szCs w:val="24"/>
        </w:rPr>
        <w:t>三、四级故障：在4小时内确诊故障，总故障解决时间不超过16小时。</w:t>
      </w:r>
    </w:p>
    <w:p w14:paraId="5261EC75">
      <w:pPr>
        <w:pStyle w:val="107"/>
        <w:snapToGrid w:val="0"/>
        <w:spacing w:line="360" w:lineRule="auto"/>
        <w:ind w:firstLine="480"/>
        <w:rPr>
          <w:sz w:val="24"/>
          <w:szCs w:val="24"/>
        </w:rPr>
      </w:pPr>
      <w:r>
        <w:rPr>
          <w:sz w:val="24"/>
          <w:szCs w:val="24"/>
        </w:rPr>
        <w:t>依据故障时间及故障范围划分故障级别，故障级别分为四级，依次为Ⅰ级（紧急）、Ⅱ级（严重）、Ⅲ级（较大）和Ⅳ级（一般），分别定义如下：</w:t>
      </w:r>
    </w:p>
    <w:p w14:paraId="0AED73BE">
      <w:pPr>
        <w:pStyle w:val="107"/>
        <w:snapToGrid w:val="0"/>
        <w:spacing w:line="360" w:lineRule="auto"/>
        <w:ind w:firstLine="480"/>
        <w:rPr>
          <w:sz w:val="24"/>
          <w:szCs w:val="24"/>
        </w:rPr>
      </w:pPr>
      <w:r>
        <w:rPr>
          <w:sz w:val="24"/>
          <w:szCs w:val="24"/>
        </w:rPr>
        <w:t>Ⅰ级（紧急）故障为工作时间段（8:30——17:30）内大范围故障；</w:t>
      </w:r>
    </w:p>
    <w:p w14:paraId="51D6D163">
      <w:pPr>
        <w:pStyle w:val="107"/>
        <w:snapToGrid w:val="0"/>
        <w:spacing w:line="360" w:lineRule="auto"/>
        <w:ind w:firstLine="480"/>
        <w:rPr>
          <w:sz w:val="24"/>
          <w:szCs w:val="24"/>
        </w:rPr>
      </w:pPr>
      <w:r>
        <w:rPr>
          <w:sz w:val="24"/>
          <w:szCs w:val="24"/>
        </w:rPr>
        <w:t>Ⅱ级（严重）故障为非工作时间段（17:30——次日8:30）内大范围故障；</w:t>
      </w:r>
    </w:p>
    <w:p w14:paraId="29C9C9BB">
      <w:pPr>
        <w:pStyle w:val="107"/>
        <w:snapToGrid w:val="0"/>
        <w:spacing w:line="360" w:lineRule="auto"/>
        <w:ind w:firstLine="480"/>
        <w:rPr>
          <w:sz w:val="24"/>
          <w:szCs w:val="24"/>
        </w:rPr>
      </w:pPr>
      <w:r>
        <w:rPr>
          <w:sz w:val="24"/>
          <w:szCs w:val="24"/>
        </w:rPr>
        <w:t>Ⅲ级（较大）故障为工作时间段（8:30——17:30）内小范围故障；</w:t>
      </w:r>
    </w:p>
    <w:p w14:paraId="28C4A522">
      <w:pPr>
        <w:pStyle w:val="107"/>
        <w:snapToGrid w:val="0"/>
        <w:spacing w:line="360" w:lineRule="auto"/>
        <w:ind w:firstLine="480"/>
        <w:rPr>
          <w:sz w:val="24"/>
          <w:szCs w:val="24"/>
        </w:rPr>
      </w:pPr>
      <w:r>
        <w:rPr>
          <w:sz w:val="24"/>
          <w:szCs w:val="24"/>
        </w:rPr>
        <w:t>Ⅳ级（一般）故障为非工作时间段（17:30——次日8:30）内小范围故障；</w:t>
      </w:r>
    </w:p>
    <w:p w14:paraId="7069281F">
      <w:pPr>
        <w:pStyle w:val="3"/>
        <w:rPr>
          <w:rFonts w:ascii="Times New Roman" w:hAnsi="Times New Roman"/>
        </w:rPr>
      </w:pPr>
      <w:r>
        <w:rPr>
          <w:rFonts w:ascii="Times New Roman" w:hAnsi="Times New Roman"/>
        </w:rPr>
        <w:t>网络与数据安全</w:t>
      </w:r>
    </w:p>
    <w:p w14:paraId="07566672">
      <w:pPr>
        <w:rPr>
          <w:rFonts w:hint="eastAsia" w:cs="宋体"/>
        </w:rPr>
      </w:pPr>
      <w:r>
        <w:rPr>
          <w:rFonts w:hint="eastAsia" w:cs="宋体"/>
        </w:rPr>
        <w:t>(1)供应商应在项目深化设计阶段，应开展安全需求调研和数据分类分级工作，制定网络和数据安全设计方案，制定总体安全技术架构，明确边界防护、访问控制、权限管理、系统安全配置、身份鉴别、入侵防范等系统安全防护措施，制定差异化的数据安全防护手段，确保数据全生命周期安全。</w:t>
      </w:r>
    </w:p>
    <w:p w14:paraId="0CA9169C">
      <w:pPr>
        <w:rPr>
          <w:rFonts w:hint="eastAsia" w:cs="宋体"/>
        </w:rPr>
      </w:pPr>
      <w:r>
        <w:rPr>
          <w:rFonts w:hint="eastAsia" w:cs="宋体"/>
        </w:rPr>
        <w:t>(2)供应商应配合采购人开展相关安全制度和规范的制定，并根据项目实际，制定项目实施过程安全管理方案。</w:t>
      </w:r>
    </w:p>
    <w:p w14:paraId="5CD48077">
      <w:pPr>
        <w:rPr>
          <w:rFonts w:hint="eastAsia" w:cs="宋体"/>
        </w:rPr>
      </w:pPr>
      <w:r>
        <w:rPr>
          <w:rFonts w:hint="eastAsia" w:cs="宋体"/>
        </w:rPr>
        <w:t>(3)供应商应确保所提供的软件产品和定制开发内容所涉及的供应链满足采购人的管理要求，提供供应链物料清单，落实供应链安全控制措施，包括代码安全检测和质量评估、漏洞扫描、第三方组件评估等工作，并于系统上线前，完成信息化资产的梳理。</w:t>
      </w:r>
    </w:p>
    <w:p w14:paraId="04DC9983">
      <w:pPr>
        <w:rPr>
          <w:rFonts w:hint="eastAsia" w:cs="宋体"/>
        </w:rPr>
      </w:pPr>
      <w:r>
        <w:rPr>
          <w:rFonts w:hint="eastAsia" w:cs="宋体"/>
        </w:rPr>
        <w:t>(4)供应商应在项目实施过程中，推动安全开发控制工作的实施，按照安全设计方案和采购人安全开发要求，落实安全开发规范，确保代码质量和安全性。供应商应确保系统开发及生产环境安全，落实安全管理策略及安全配置。</w:t>
      </w:r>
    </w:p>
    <w:p w14:paraId="26A9F672">
      <w:pPr>
        <w:rPr>
          <w:rFonts w:hint="eastAsia" w:cs="宋体"/>
        </w:rPr>
      </w:pPr>
      <w:r>
        <w:rPr>
          <w:rFonts w:hint="eastAsia" w:cs="宋体"/>
        </w:rPr>
        <w:t>(5)供应商应在项目实施过程中，按照数据差异化安全防护策略，根据系统需要采取数据加密、数据访问控制、日志记录、流转监测等防护能力及相关管理流程，切实保障数据安全。</w:t>
      </w:r>
    </w:p>
    <w:p w14:paraId="50D461C8">
      <w:pPr>
        <w:rPr>
          <w:rFonts w:hint="eastAsia" w:cs="宋体"/>
        </w:rPr>
      </w:pPr>
      <w:r>
        <w:rPr>
          <w:rFonts w:hint="eastAsia" w:cs="宋体"/>
        </w:rPr>
        <w:t>(6)供应商应按照采购人场地及人员安全管理制度，加强人员管理，配合采购人落实人员背调、入离场、终端管理、网络限制、数据权限最小化等管控措施。</w:t>
      </w:r>
    </w:p>
    <w:p w14:paraId="487ADD6E">
      <w:pPr>
        <w:rPr>
          <w:rFonts w:hint="eastAsia" w:cs="宋体"/>
        </w:rPr>
      </w:pPr>
      <w:r>
        <w:rPr>
          <w:rFonts w:hint="eastAsia" w:cs="宋体"/>
        </w:rPr>
        <w:t>(7)供应商应于系统上线部署前对系统运行环境、应用软件等开展安全自查，并于项目验收及系统试运行阶段，配合采购人开展安测、密测、等保、密评、数据安全风险评估等系列安全测试、评估工作，针对发现的问题及时完成整改，确保系统上线安全。</w:t>
      </w:r>
    </w:p>
    <w:p w14:paraId="5EDA4CC0">
      <w:pPr>
        <w:rPr>
          <w:rFonts w:hint="eastAsia" w:cs="宋体"/>
        </w:rPr>
      </w:pPr>
      <w:r>
        <w:rPr>
          <w:rFonts w:hint="eastAsia" w:cs="宋体"/>
        </w:rPr>
        <w:t>(8)供应商应在系统免维期内承担系统安全运维管理责任，落实安全管理保障措施，包括但不限于制度修订、风险排查、应急响应、漏洞修复、重保等工作。</w:t>
      </w:r>
    </w:p>
    <w:p w14:paraId="2276A8BE">
      <w:pPr>
        <w:pStyle w:val="3"/>
        <w:rPr>
          <w:rFonts w:ascii="Times New Roman" w:hAnsi="Times New Roman"/>
        </w:rPr>
      </w:pPr>
      <w:bookmarkStart w:id="29" w:name="_Toc63785507"/>
      <w:r>
        <w:rPr>
          <w:rFonts w:ascii="Times New Roman" w:hAnsi="Times New Roman"/>
        </w:rPr>
        <w:t>培训要求</w:t>
      </w:r>
      <w:bookmarkEnd w:id="29"/>
    </w:p>
    <w:p w14:paraId="3E084818">
      <w:pPr>
        <w:rPr>
          <w:rFonts w:ascii="Times New Roman" w:hAnsi="Times New Roman"/>
        </w:rPr>
      </w:pPr>
      <w:r>
        <w:rPr>
          <w:rFonts w:ascii="Times New Roman" w:hAnsi="Times New Roman"/>
        </w:rPr>
        <w:t>对系统使用单位提供业务操作培训，应提供详细培训方案。</w:t>
      </w:r>
    </w:p>
    <w:p w14:paraId="03E846FE">
      <w:pPr>
        <w:widowControl/>
        <w:rPr>
          <w:rFonts w:ascii="Times New Roman" w:hAnsi="Times New Roman"/>
        </w:rPr>
      </w:pPr>
      <w:r>
        <w:rPr>
          <w:rFonts w:hint="eastAsia" w:cs="宋体"/>
        </w:rPr>
        <w:t>(1)</w:t>
      </w:r>
      <w:r>
        <w:rPr>
          <w:rFonts w:ascii="Times New Roman" w:hAnsi="Times New Roman"/>
        </w:rPr>
        <w:t>在12个月的质保期内，提供2次与项目相关的必要培训。</w:t>
      </w:r>
    </w:p>
    <w:p w14:paraId="0989AD50">
      <w:pPr>
        <w:widowControl/>
        <w:rPr>
          <w:rFonts w:hint="eastAsia" w:cs="宋体"/>
        </w:rPr>
      </w:pPr>
      <w:r>
        <w:rPr>
          <w:rFonts w:hint="eastAsia" w:cs="宋体"/>
        </w:rPr>
        <w:t>(2)供应商需要开展分层次的人员培训工作，每次培训后应对参加培训人员进行测试，评估培训成果。培训应具有培训教材、培训环境和高水平的培训讲师。</w:t>
      </w:r>
    </w:p>
    <w:p w14:paraId="2F740FA4">
      <w:pPr>
        <w:widowControl/>
        <w:rPr>
          <w:rFonts w:ascii="Times New Roman" w:hAnsi="Times New Roman"/>
        </w:rPr>
      </w:pPr>
      <w:r>
        <w:rPr>
          <w:rFonts w:hint="eastAsia" w:cs="宋体"/>
        </w:rPr>
        <w:t>(3)供应商应提供一般用户的基础操作培训和部门信息管理员的日常应用</w:t>
      </w:r>
      <w:r>
        <w:rPr>
          <w:rFonts w:ascii="Times New Roman" w:hAnsi="Times New Roman"/>
        </w:rPr>
        <w:t>维护的培训，确保用户对象能够掌握对应的操作技能。</w:t>
      </w:r>
    </w:p>
    <w:p w14:paraId="4B6DE03D">
      <w:pPr>
        <w:pStyle w:val="3"/>
        <w:rPr>
          <w:rFonts w:ascii="Times New Roman" w:hAnsi="Times New Roman"/>
        </w:rPr>
      </w:pPr>
      <w:bookmarkStart w:id="30" w:name="_Toc63785508"/>
      <w:r>
        <w:rPr>
          <w:rFonts w:ascii="Times New Roman" w:hAnsi="Times New Roman"/>
        </w:rPr>
        <w:t>验收要求</w:t>
      </w:r>
      <w:bookmarkEnd w:id="30"/>
    </w:p>
    <w:p w14:paraId="536C02DB">
      <w:pPr>
        <w:rPr>
          <w:rFonts w:hint="eastAsia"/>
          <w:szCs w:val="21"/>
        </w:rPr>
      </w:pPr>
      <w:bookmarkStart w:id="31" w:name="_Toc63785509"/>
      <w:r>
        <w:rPr>
          <w:rFonts w:hint="eastAsia"/>
          <w:szCs w:val="21"/>
        </w:rPr>
        <w:t>供应商需完成软件开发和信息系统的调试等，并对本项目进行功能和运行检测，确保所有信息系统功能模块能够正常运行且已达到本项目                                                                                                                                                                                                                                                                                                                                                                                                                                                                                                                                                                                                                                                                                                                                                                                                                                                                                                                                                                                                                                                                                                                                                                                                                                                                                                                                                                                                                                                                                                                                                                                                                                                                                                                                                                                                                                                                                                                                                                                                                                                                                                                                                                                                                                                                                                                                                                                                                                                                                                                                                                                                                                                                                                                                                                                                                                                                                                                                                                                                                                                                                                                                                                                                                                                                                                                                                                                                                                                                                                                                                                                                                                                                                                                                                                                                                                                                                                 约定的各类标准要求;</w:t>
      </w:r>
    </w:p>
    <w:p w14:paraId="3A923B70">
      <w:pPr>
        <w:rPr>
          <w:rFonts w:hint="eastAsia"/>
          <w:szCs w:val="21"/>
        </w:rPr>
      </w:pPr>
      <w:r>
        <w:rPr>
          <w:rFonts w:hint="eastAsia"/>
          <w:szCs w:val="21"/>
        </w:rPr>
        <w:t>供应商还应提供软件文档包括《用户需求说明书》、《系统概要设计说明书》、《系统详细设计说明书》、《三方功能需求确认单》、《测试报告》《用户使用手册》《系统部署文档》等)及可安装的程序运行文件，所交付的文档与文件应当是可供自然人阅读的书面和电子文档;</w:t>
      </w:r>
    </w:p>
    <w:p w14:paraId="41203517">
      <w:pPr>
        <w:rPr>
          <w:rFonts w:hint="eastAsia"/>
          <w:szCs w:val="21"/>
        </w:rPr>
      </w:pPr>
      <w:r>
        <w:rPr>
          <w:rFonts w:hint="eastAsia"/>
          <w:szCs w:val="21"/>
        </w:rPr>
        <w:t>采购人享有供应商免费提供的 30 天的信息系统试运行现场驻场服务期。该期间内，供应商应当按照采购人的要求提供现场技术支持服务，解决信息系统试运行期间可能出现的各类问题或进一步提高与完善信息系统运行水平。</w:t>
      </w:r>
    </w:p>
    <w:p w14:paraId="2D46D9CA">
      <w:pPr>
        <w:rPr>
          <w:rFonts w:hint="eastAsia"/>
          <w:szCs w:val="21"/>
        </w:rPr>
      </w:pPr>
      <w:r>
        <w:rPr>
          <w:rFonts w:hint="eastAsia"/>
          <w:szCs w:val="21"/>
        </w:rPr>
        <w:t>信息系统试运行期已经达到本项目约定的时间，经供应商确认信息系统具备正常运行条件，且信息系统通过运行测试，供应商应以书面形式通知采购人信息系统已准备就绪等待项目验收。采购人在收到验收通知后的 5 个工作日内发起组织专家验收会。</w:t>
      </w:r>
    </w:p>
    <w:p w14:paraId="76FE58B7">
      <w:pPr>
        <w:rPr>
          <w:rFonts w:hint="eastAsia"/>
          <w:szCs w:val="21"/>
        </w:rPr>
      </w:pPr>
      <w:r>
        <w:rPr>
          <w:rFonts w:hint="eastAsia"/>
          <w:szCs w:val="21"/>
        </w:rPr>
        <w:t>如果属于供应商原因致使本项目未能通过验收，供应商应当排除缺陷，直至本项目完全符合验收标准，由上述情形而产生的相关费用应由供应商自行承担；</w:t>
      </w:r>
    </w:p>
    <w:p w14:paraId="296A2AD1">
      <w:pPr>
        <w:rPr>
          <w:rFonts w:hint="eastAsia"/>
          <w:szCs w:val="21"/>
        </w:rPr>
      </w:pPr>
      <w:r>
        <w:rPr>
          <w:rFonts w:hint="eastAsia"/>
          <w:szCs w:val="21"/>
        </w:rPr>
        <w:t>如果由于采购人原因导致本项目在验收通过前出现故障或问题，供应商应及时配合排除该方面的故障或问题。如本项目连续2次验收未通过，采购人有权解除项目，并有权依照本项目约定的违约条款追究供应商的违约责任。</w:t>
      </w:r>
    </w:p>
    <w:p w14:paraId="0E6E34BB">
      <w:pPr>
        <w:pStyle w:val="3"/>
        <w:rPr>
          <w:rFonts w:ascii="Times New Roman" w:hAnsi="Times New Roman"/>
        </w:rPr>
      </w:pPr>
      <w:r>
        <w:rPr>
          <w:rFonts w:ascii="Times New Roman" w:hAnsi="Times New Roman"/>
        </w:rPr>
        <w:t>进度要求</w:t>
      </w:r>
      <w:bookmarkEnd w:id="31"/>
    </w:p>
    <w:p w14:paraId="11D78D38">
      <w:pPr>
        <w:rPr>
          <w:rFonts w:ascii="Times New Roman" w:hAnsi="Times New Roman"/>
        </w:rPr>
      </w:pPr>
      <w:r>
        <w:rPr>
          <w:rFonts w:hint="eastAsia" w:ascii="Times New Roman" w:hAnsi="Times New Roman"/>
        </w:rPr>
        <w:t>供应商</w:t>
      </w:r>
      <w:r>
        <w:rPr>
          <w:rFonts w:ascii="Times New Roman" w:hAnsi="Times New Roman"/>
        </w:rPr>
        <w:t>应根据建设内容，分阶段制定合理的时间进度，应根据采购方要求进行调整和细化</w:t>
      </w:r>
      <w:r>
        <w:rPr>
          <w:rFonts w:hint="eastAsia" w:ascii="Times New Roman" w:hAnsi="Times New Roman"/>
        </w:rPr>
        <w:t>，并于2026年11月30日前完成项目建设</w:t>
      </w:r>
      <w:r>
        <w:rPr>
          <w:rFonts w:ascii="Times New Roman" w:hAnsi="Times New Roman"/>
        </w:rPr>
        <w:t>。</w:t>
      </w:r>
    </w:p>
    <w:p w14:paraId="6892D30C">
      <w:pPr>
        <w:pStyle w:val="3"/>
        <w:rPr>
          <w:rFonts w:ascii="Times New Roman" w:hAnsi="Times New Roman"/>
        </w:rPr>
      </w:pPr>
      <w:bookmarkStart w:id="32" w:name="_Toc63785510"/>
      <w:r>
        <w:rPr>
          <w:rFonts w:ascii="Times New Roman" w:hAnsi="Times New Roman"/>
        </w:rPr>
        <w:t>项目团队及驻场人员要求</w:t>
      </w:r>
      <w:bookmarkEnd w:id="32"/>
    </w:p>
    <w:p w14:paraId="22DEE07D">
      <w:pPr>
        <w:rPr>
          <w:rFonts w:ascii="Times New Roman" w:hAnsi="Times New Roman"/>
        </w:rPr>
      </w:pPr>
      <w:r>
        <w:rPr>
          <w:rFonts w:ascii="Times New Roman" w:hAnsi="Times New Roman"/>
        </w:rPr>
        <w:t>1）</w:t>
      </w:r>
      <w:r>
        <w:rPr>
          <w:rFonts w:hint="eastAsia" w:ascii="Times New Roman" w:hAnsi="Times New Roman"/>
        </w:rPr>
        <w:t>供应商需</w:t>
      </w:r>
      <w:r>
        <w:rPr>
          <w:rFonts w:ascii="Times New Roman" w:hAnsi="Times New Roman"/>
        </w:rPr>
        <w:t>具有稳定的在职技术保障力量，能够提供及时的技术支援或服务，应针对本项目提供不少于8人的项目服务团队（包括项目经理、产品经理、研发等），</w:t>
      </w:r>
      <w:r>
        <w:rPr>
          <w:rFonts w:hint="eastAsia" w:ascii="Times New Roman" w:hAnsi="Times New Roman"/>
        </w:rPr>
        <w:t>供应商</w:t>
      </w:r>
      <w:r>
        <w:rPr>
          <w:rFonts w:ascii="Times New Roman" w:hAnsi="Times New Roman"/>
        </w:rPr>
        <w:t>的相关服务人员需具备相应的服务能力，需提供相关证明。</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8"/>
        <w:gridCol w:w="2357"/>
        <w:gridCol w:w="1186"/>
        <w:gridCol w:w="2467"/>
        <w:gridCol w:w="1180"/>
      </w:tblGrid>
      <w:tr w14:paraId="4C592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38" w:type="dxa"/>
            <w:noWrap/>
            <w:vAlign w:val="center"/>
          </w:tcPr>
          <w:p w14:paraId="5B56CE96">
            <w:pPr>
              <w:widowControl/>
              <w:spacing w:line="240" w:lineRule="auto"/>
              <w:ind w:firstLine="0" w:firstLineChars="0"/>
              <w:jc w:val="center"/>
              <w:rPr>
                <w:rFonts w:ascii="Times New Roman" w:hAnsi="Times New Roman"/>
                <w:b/>
              </w:rPr>
            </w:pPr>
            <w:r>
              <w:rPr>
                <w:rFonts w:ascii="Times New Roman" w:hAnsi="Times New Roman"/>
                <w:b/>
              </w:rPr>
              <w:t>角色</w:t>
            </w:r>
          </w:p>
        </w:tc>
        <w:tc>
          <w:tcPr>
            <w:tcW w:w="2357" w:type="dxa"/>
            <w:noWrap/>
            <w:vAlign w:val="center"/>
          </w:tcPr>
          <w:p w14:paraId="2C402CA8">
            <w:pPr>
              <w:widowControl/>
              <w:spacing w:line="240" w:lineRule="auto"/>
              <w:ind w:firstLine="0" w:firstLineChars="0"/>
              <w:jc w:val="center"/>
              <w:rPr>
                <w:rFonts w:ascii="Times New Roman" w:hAnsi="Times New Roman"/>
                <w:b/>
              </w:rPr>
            </w:pPr>
            <w:r>
              <w:rPr>
                <w:rFonts w:ascii="Times New Roman" w:hAnsi="Times New Roman"/>
                <w:b/>
              </w:rPr>
              <w:t>主要职责</w:t>
            </w:r>
          </w:p>
        </w:tc>
        <w:tc>
          <w:tcPr>
            <w:tcW w:w="1186" w:type="dxa"/>
            <w:noWrap/>
            <w:vAlign w:val="center"/>
          </w:tcPr>
          <w:p w14:paraId="34FDEC8B">
            <w:pPr>
              <w:widowControl/>
              <w:spacing w:line="240" w:lineRule="auto"/>
              <w:ind w:firstLine="0" w:firstLineChars="0"/>
              <w:jc w:val="center"/>
              <w:rPr>
                <w:rFonts w:ascii="Times New Roman" w:hAnsi="Times New Roman"/>
                <w:b/>
              </w:rPr>
            </w:pPr>
            <w:r>
              <w:rPr>
                <w:rFonts w:ascii="Times New Roman" w:hAnsi="Times New Roman"/>
                <w:b/>
              </w:rPr>
              <w:t>人员数量</w:t>
            </w:r>
          </w:p>
        </w:tc>
        <w:tc>
          <w:tcPr>
            <w:tcW w:w="2467" w:type="dxa"/>
            <w:vAlign w:val="center"/>
          </w:tcPr>
          <w:p w14:paraId="0C685D3A">
            <w:pPr>
              <w:widowControl/>
              <w:spacing w:line="240" w:lineRule="auto"/>
              <w:ind w:firstLine="0" w:firstLineChars="0"/>
              <w:jc w:val="center"/>
              <w:rPr>
                <w:rFonts w:ascii="Times New Roman" w:hAnsi="Times New Roman"/>
                <w:b/>
              </w:rPr>
            </w:pPr>
            <w:r>
              <w:rPr>
                <w:rFonts w:ascii="Times New Roman" w:hAnsi="Times New Roman"/>
                <w:b/>
              </w:rPr>
              <w:t>人员要求</w:t>
            </w:r>
          </w:p>
        </w:tc>
        <w:tc>
          <w:tcPr>
            <w:tcW w:w="1180" w:type="dxa"/>
            <w:noWrap/>
            <w:vAlign w:val="center"/>
          </w:tcPr>
          <w:p w14:paraId="1ACD2D8C">
            <w:pPr>
              <w:widowControl/>
              <w:spacing w:line="240" w:lineRule="auto"/>
              <w:ind w:firstLine="0" w:firstLineChars="0"/>
              <w:jc w:val="center"/>
              <w:rPr>
                <w:rFonts w:ascii="Times New Roman" w:hAnsi="Times New Roman"/>
                <w:b/>
              </w:rPr>
            </w:pPr>
            <w:r>
              <w:rPr>
                <w:rFonts w:ascii="Times New Roman" w:hAnsi="Times New Roman"/>
                <w:b/>
              </w:rPr>
              <w:t>驻场要求</w:t>
            </w:r>
          </w:p>
        </w:tc>
      </w:tr>
      <w:tr w14:paraId="0FD31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38" w:type="dxa"/>
            <w:noWrap/>
            <w:vAlign w:val="center"/>
          </w:tcPr>
          <w:p w14:paraId="1301ABCC">
            <w:pPr>
              <w:widowControl/>
              <w:spacing w:line="240" w:lineRule="auto"/>
              <w:ind w:firstLine="0" w:firstLineChars="0"/>
              <w:jc w:val="center"/>
              <w:rPr>
                <w:rFonts w:ascii="Times New Roman" w:hAnsi="Times New Roman"/>
              </w:rPr>
            </w:pPr>
            <w:r>
              <w:rPr>
                <w:rFonts w:ascii="Times New Roman" w:hAnsi="Times New Roman"/>
              </w:rPr>
              <w:t>项目经理</w:t>
            </w:r>
          </w:p>
        </w:tc>
        <w:tc>
          <w:tcPr>
            <w:tcW w:w="2357" w:type="dxa"/>
            <w:vAlign w:val="center"/>
          </w:tcPr>
          <w:p w14:paraId="42287F56">
            <w:pPr>
              <w:widowControl/>
              <w:spacing w:line="240" w:lineRule="auto"/>
              <w:ind w:firstLine="0" w:firstLineChars="0"/>
              <w:jc w:val="center"/>
              <w:rPr>
                <w:rFonts w:ascii="Times New Roman" w:hAnsi="Times New Roman"/>
              </w:rPr>
            </w:pPr>
            <w:r>
              <w:rPr>
                <w:rFonts w:ascii="Times New Roman" w:hAnsi="Times New Roman"/>
              </w:rPr>
              <w:t>负责项目质量和进度控制</w:t>
            </w:r>
          </w:p>
        </w:tc>
        <w:tc>
          <w:tcPr>
            <w:tcW w:w="1186" w:type="dxa"/>
            <w:noWrap/>
            <w:vAlign w:val="center"/>
          </w:tcPr>
          <w:p w14:paraId="26A9D1FF">
            <w:pPr>
              <w:widowControl/>
              <w:spacing w:line="240" w:lineRule="auto"/>
              <w:ind w:firstLine="0" w:firstLineChars="0"/>
              <w:jc w:val="center"/>
              <w:rPr>
                <w:rFonts w:ascii="Times New Roman" w:hAnsi="Times New Roman"/>
              </w:rPr>
            </w:pPr>
            <w:r>
              <w:rPr>
                <w:rFonts w:ascii="Times New Roman" w:hAnsi="Times New Roman"/>
              </w:rPr>
              <w:t>1人</w:t>
            </w:r>
          </w:p>
        </w:tc>
        <w:tc>
          <w:tcPr>
            <w:tcW w:w="2467" w:type="dxa"/>
            <w:vAlign w:val="center"/>
          </w:tcPr>
          <w:p w14:paraId="5BE9EF9D">
            <w:pPr>
              <w:widowControl/>
              <w:spacing w:line="240" w:lineRule="auto"/>
              <w:ind w:firstLine="0" w:firstLineChars="0"/>
              <w:rPr>
                <w:rFonts w:ascii="Times New Roman" w:hAnsi="Times New Roman"/>
              </w:rPr>
            </w:pPr>
            <w:r>
              <w:rPr>
                <w:rFonts w:ascii="Times New Roman" w:hAnsi="Times New Roman"/>
              </w:rPr>
              <w:t>具备</w:t>
            </w:r>
            <w:r>
              <w:rPr>
                <w:rFonts w:hint="eastAsia" w:ascii="Times New Roman" w:hAnsi="Times New Roman"/>
              </w:rPr>
              <w:t>信息化领域相关专业</w:t>
            </w:r>
            <w:r>
              <w:rPr>
                <w:rFonts w:ascii="Times New Roman" w:hAnsi="Times New Roman"/>
              </w:rPr>
              <w:t>高级工程师资质证书或信息系统项目管理师证书</w:t>
            </w:r>
            <w:r>
              <w:rPr>
                <w:rFonts w:hint="eastAsia"/>
              </w:rPr>
              <w:t>，硕士及以上学历，具备10年以上相关工作经验</w:t>
            </w:r>
          </w:p>
        </w:tc>
        <w:tc>
          <w:tcPr>
            <w:tcW w:w="1180" w:type="dxa"/>
            <w:noWrap/>
            <w:vAlign w:val="center"/>
          </w:tcPr>
          <w:p w14:paraId="389A3AEB">
            <w:pPr>
              <w:widowControl/>
              <w:spacing w:line="240" w:lineRule="auto"/>
              <w:ind w:firstLine="0" w:firstLineChars="0"/>
              <w:jc w:val="center"/>
              <w:rPr>
                <w:rFonts w:ascii="Times New Roman" w:hAnsi="Times New Roman"/>
              </w:rPr>
            </w:pPr>
            <w:r>
              <w:rPr>
                <w:rFonts w:ascii="Times New Roman" w:hAnsi="Times New Roman"/>
              </w:rPr>
              <w:t>不驻场</w:t>
            </w:r>
          </w:p>
        </w:tc>
      </w:tr>
      <w:tr w14:paraId="745A0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38" w:type="dxa"/>
            <w:noWrap/>
            <w:vAlign w:val="center"/>
          </w:tcPr>
          <w:p w14:paraId="312E8979">
            <w:pPr>
              <w:widowControl/>
              <w:spacing w:line="240" w:lineRule="auto"/>
              <w:ind w:firstLine="0" w:firstLineChars="0"/>
              <w:jc w:val="center"/>
              <w:rPr>
                <w:rFonts w:ascii="Times New Roman" w:hAnsi="Times New Roman"/>
              </w:rPr>
            </w:pPr>
            <w:r>
              <w:rPr>
                <w:rFonts w:ascii="Times New Roman" w:hAnsi="Times New Roman"/>
              </w:rPr>
              <w:t>产品经理</w:t>
            </w:r>
          </w:p>
        </w:tc>
        <w:tc>
          <w:tcPr>
            <w:tcW w:w="2357" w:type="dxa"/>
            <w:vAlign w:val="center"/>
          </w:tcPr>
          <w:p w14:paraId="615CB209">
            <w:pPr>
              <w:widowControl/>
              <w:spacing w:line="240" w:lineRule="auto"/>
              <w:ind w:firstLine="0" w:firstLineChars="0"/>
              <w:jc w:val="center"/>
              <w:rPr>
                <w:rFonts w:ascii="Times New Roman" w:hAnsi="Times New Roman"/>
              </w:rPr>
            </w:pPr>
            <w:r>
              <w:rPr>
                <w:rFonts w:ascii="Times New Roman" w:hAnsi="Times New Roman"/>
              </w:rPr>
              <w:t>负责项目需求评估与产品设计</w:t>
            </w:r>
          </w:p>
        </w:tc>
        <w:tc>
          <w:tcPr>
            <w:tcW w:w="1186" w:type="dxa"/>
            <w:noWrap/>
            <w:vAlign w:val="center"/>
          </w:tcPr>
          <w:p w14:paraId="3C26DD42">
            <w:pPr>
              <w:widowControl/>
              <w:spacing w:line="240" w:lineRule="auto"/>
              <w:ind w:firstLine="0" w:firstLineChars="0"/>
              <w:jc w:val="center"/>
              <w:rPr>
                <w:rFonts w:ascii="Times New Roman" w:hAnsi="Times New Roman"/>
              </w:rPr>
            </w:pPr>
            <w:r>
              <w:rPr>
                <w:rFonts w:ascii="Times New Roman" w:hAnsi="Times New Roman"/>
              </w:rPr>
              <w:t>1人</w:t>
            </w:r>
          </w:p>
        </w:tc>
        <w:tc>
          <w:tcPr>
            <w:tcW w:w="2467" w:type="dxa"/>
            <w:vAlign w:val="center"/>
          </w:tcPr>
          <w:p w14:paraId="3A030C96">
            <w:pPr>
              <w:widowControl/>
              <w:spacing w:line="240" w:lineRule="auto"/>
              <w:ind w:firstLine="0" w:firstLineChars="0"/>
              <w:rPr>
                <w:rFonts w:ascii="Times New Roman" w:hAnsi="Times New Roman"/>
              </w:rPr>
            </w:pPr>
            <w:r>
              <w:rPr>
                <w:rFonts w:ascii="Times New Roman" w:hAnsi="Times New Roman"/>
              </w:rPr>
              <w:t>具备</w:t>
            </w:r>
            <w:r>
              <w:rPr>
                <w:rFonts w:hint="eastAsia" w:ascii="Times New Roman" w:hAnsi="Times New Roman"/>
              </w:rPr>
              <w:t>信息化领域相关专业</w:t>
            </w:r>
            <w:r>
              <w:rPr>
                <w:rFonts w:ascii="Times New Roman" w:hAnsi="Times New Roman"/>
              </w:rPr>
              <w:t>高级工程师资质证书，本科及以上学历，具备3年以上相关工作经验</w:t>
            </w:r>
          </w:p>
        </w:tc>
        <w:tc>
          <w:tcPr>
            <w:tcW w:w="1180" w:type="dxa"/>
            <w:noWrap/>
            <w:vAlign w:val="center"/>
          </w:tcPr>
          <w:p w14:paraId="2206A7A4">
            <w:pPr>
              <w:widowControl/>
              <w:spacing w:line="240" w:lineRule="auto"/>
              <w:ind w:firstLine="0" w:firstLineChars="0"/>
              <w:jc w:val="center"/>
              <w:rPr>
                <w:rFonts w:ascii="Times New Roman" w:hAnsi="Times New Roman"/>
              </w:rPr>
            </w:pPr>
            <w:r>
              <w:rPr>
                <w:rFonts w:ascii="Times New Roman" w:hAnsi="Times New Roman"/>
              </w:rPr>
              <w:t>不驻场</w:t>
            </w:r>
          </w:p>
        </w:tc>
      </w:tr>
      <w:tr w14:paraId="7FED5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38" w:type="dxa"/>
            <w:noWrap/>
            <w:vAlign w:val="center"/>
          </w:tcPr>
          <w:p w14:paraId="3DC6C54C">
            <w:pPr>
              <w:widowControl/>
              <w:spacing w:line="240" w:lineRule="auto"/>
              <w:ind w:firstLine="0" w:firstLineChars="0"/>
              <w:jc w:val="center"/>
              <w:rPr>
                <w:rFonts w:ascii="Times New Roman" w:hAnsi="Times New Roman"/>
              </w:rPr>
            </w:pPr>
            <w:r>
              <w:rPr>
                <w:rFonts w:ascii="Times New Roman" w:hAnsi="Times New Roman"/>
              </w:rPr>
              <w:t>研发</w:t>
            </w:r>
          </w:p>
        </w:tc>
        <w:tc>
          <w:tcPr>
            <w:tcW w:w="2357" w:type="dxa"/>
            <w:noWrap/>
            <w:vAlign w:val="center"/>
          </w:tcPr>
          <w:p w14:paraId="0D8BBDD1">
            <w:pPr>
              <w:widowControl/>
              <w:spacing w:line="240" w:lineRule="auto"/>
              <w:ind w:firstLine="0" w:firstLineChars="0"/>
              <w:jc w:val="center"/>
              <w:rPr>
                <w:rFonts w:ascii="Times New Roman" w:hAnsi="Times New Roman"/>
              </w:rPr>
            </w:pPr>
            <w:r>
              <w:rPr>
                <w:rFonts w:ascii="Times New Roman" w:hAnsi="Times New Roman"/>
              </w:rPr>
              <w:t>负责项目具体开发与实施</w:t>
            </w:r>
          </w:p>
        </w:tc>
        <w:tc>
          <w:tcPr>
            <w:tcW w:w="1186" w:type="dxa"/>
            <w:noWrap/>
            <w:vAlign w:val="center"/>
          </w:tcPr>
          <w:p w14:paraId="44FDC029">
            <w:pPr>
              <w:widowControl/>
              <w:spacing w:line="240" w:lineRule="auto"/>
              <w:ind w:firstLine="0" w:firstLineChars="0"/>
              <w:jc w:val="center"/>
              <w:rPr>
                <w:rFonts w:ascii="Times New Roman" w:hAnsi="Times New Roman"/>
              </w:rPr>
            </w:pPr>
            <w:r>
              <w:rPr>
                <w:rFonts w:ascii="Times New Roman" w:hAnsi="Times New Roman"/>
              </w:rPr>
              <w:t>6人</w:t>
            </w:r>
          </w:p>
        </w:tc>
        <w:tc>
          <w:tcPr>
            <w:tcW w:w="2467" w:type="dxa"/>
            <w:vAlign w:val="center"/>
          </w:tcPr>
          <w:p w14:paraId="55C1B870">
            <w:pPr>
              <w:widowControl/>
              <w:spacing w:line="240" w:lineRule="auto"/>
              <w:ind w:firstLine="0" w:firstLineChars="0"/>
              <w:rPr>
                <w:rFonts w:ascii="Times New Roman" w:hAnsi="Times New Roman"/>
              </w:rPr>
            </w:pPr>
            <w:r>
              <w:rPr>
                <w:rFonts w:hint="eastAsia" w:ascii="Times New Roman" w:hAnsi="Times New Roman"/>
              </w:rPr>
              <w:t>具备信息化领域相关专业</w:t>
            </w:r>
            <w:r>
              <w:rPr>
                <w:rFonts w:ascii="Times New Roman" w:hAnsi="Times New Roman"/>
              </w:rPr>
              <w:t>高级工程师资质证书</w:t>
            </w:r>
            <w:r>
              <w:rPr>
                <w:rFonts w:hint="eastAsia" w:ascii="Times New Roman" w:hAnsi="Times New Roman"/>
              </w:rPr>
              <w:t>、</w:t>
            </w:r>
            <w:r>
              <w:rPr>
                <w:rFonts w:ascii="Times New Roman" w:hAnsi="Times New Roman"/>
              </w:rPr>
              <w:t>本科及以上学历，具备3年以上相关工作经验</w:t>
            </w:r>
          </w:p>
        </w:tc>
        <w:tc>
          <w:tcPr>
            <w:tcW w:w="1180" w:type="dxa"/>
            <w:noWrap/>
            <w:vAlign w:val="center"/>
          </w:tcPr>
          <w:p w14:paraId="03CD8ED6">
            <w:pPr>
              <w:widowControl/>
              <w:spacing w:line="240" w:lineRule="auto"/>
              <w:ind w:firstLine="0" w:firstLineChars="0"/>
              <w:jc w:val="center"/>
              <w:rPr>
                <w:rFonts w:ascii="Times New Roman" w:hAnsi="Times New Roman"/>
              </w:rPr>
            </w:pPr>
            <w:r>
              <w:rPr>
                <w:rFonts w:ascii="Times New Roman" w:hAnsi="Times New Roman"/>
              </w:rPr>
              <w:t>不驻场</w:t>
            </w:r>
          </w:p>
        </w:tc>
      </w:tr>
    </w:tbl>
    <w:p w14:paraId="4FE2843D">
      <w:pPr>
        <w:rPr>
          <w:rFonts w:ascii="Times New Roman" w:hAnsi="Times New Roman"/>
        </w:rPr>
      </w:pPr>
      <w:r>
        <w:rPr>
          <w:rFonts w:ascii="Times New Roman" w:hAnsi="Times New Roman"/>
        </w:rPr>
        <w:t>2）</w:t>
      </w:r>
      <w:r>
        <w:rPr>
          <w:rFonts w:hint="eastAsia" w:ascii="Times New Roman" w:hAnsi="Times New Roman"/>
        </w:rPr>
        <w:t>供应商</w:t>
      </w:r>
      <w:r>
        <w:rPr>
          <w:rFonts w:ascii="Times New Roman" w:hAnsi="Times New Roman"/>
        </w:rPr>
        <w:t>应针对本项目提供不少于</w:t>
      </w:r>
      <w:r>
        <w:rPr>
          <w:rFonts w:hint="eastAsia" w:ascii="Times New Roman" w:hAnsi="Times New Roman"/>
        </w:rPr>
        <w:t>3</w:t>
      </w:r>
      <w:r>
        <w:rPr>
          <w:rFonts w:ascii="Times New Roman" w:hAnsi="Times New Roman"/>
        </w:rPr>
        <w:t>人的质保期间支撑团队（其中运维支持经理1人，运维工程师不少于2人）；</w:t>
      </w:r>
      <w:r>
        <w:rPr>
          <w:rFonts w:hint="eastAsia" w:ascii="Times New Roman" w:hAnsi="Times New Roman"/>
        </w:rPr>
        <w:t>供应商</w:t>
      </w:r>
      <w:r>
        <w:rPr>
          <w:rFonts w:ascii="Times New Roman" w:hAnsi="Times New Roman"/>
        </w:rPr>
        <w:t>的相关服务人员需具备相应的服务能力，需提供相关证明。</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8"/>
        <w:gridCol w:w="2366"/>
        <w:gridCol w:w="1180"/>
        <w:gridCol w:w="2464"/>
        <w:gridCol w:w="1180"/>
      </w:tblGrid>
      <w:tr w14:paraId="6DECF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38" w:type="dxa"/>
            <w:noWrap/>
            <w:vAlign w:val="center"/>
          </w:tcPr>
          <w:p w14:paraId="3FF7FF30">
            <w:pPr>
              <w:widowControl/>
              <w:spacing w:line="240" w:lineRule="auto"/>
              <w:ind w:firstLine="0" w:firstLineChars="0"/>
              <w:jc w:val="center"/>
              <w:rPr>
                <w:rFonts w:ascii="Times New Roman" w:hAnsi="Times New Roman"/>
                <w:b/>
              </w:rPr>
            </w:pPr>
            <w:r>
              <w:rPr>
                <w:rFonts w:ascii="Times New Roman" w:hAnsi="Times New Roman"/>
                <w:b/>
              </w:rPr>
              <w:t>角色</w:t>
            </w:r>
          </w:p>
        </w:tc>
        <w:tc>
          <w:tcPr>
            <w:tcW w:w="2366" w:type="dxa"/>
            <w:noWrap/>
            <w:vAlign w:val="center"/>
          </w:tcPr>
          <w:p w14:paraId="2805A4EA">
            <w:pPr>
              <w:widowControl/>
              <w:spacing w:line="240" w:lineRule="auto"/>
              <w:ind w:firstLine="0" w:firstLineChars="0"/>
              <w:jc w:val="center"/>
              <w:rPr>
                <w:rFonts w:ascii="Times New Roman" w:hAnsi="Times New Roman"/>
                <w:b/>
              </w:rPr>
            </w:pPr>
            <w:r>
              <w:rPr>
                <w:rFonts w:ascii="Times New Roman" w:hAnsi="Times New Roman"/>
                <w:b/>
              </w:rPr>
              <w:t>主要职责</w:t>
            </w:r>
          </w:p>
        </w:tc>
        <w:tc>
          <w:tcPr>
            <w:tcW w:w="1180" w:type="dxa"/>
            <w:noWrap/>
            <w:vAlign w:val="center"/>
          </w:tcPr>
          <w:p w14:paraId="7B945BA1">
            <w:pPr>
              <w:widowControl/>
              <w:spacing w:line="240" w:lineRule="auto"/>
              <w:ind w:firstLine="0" w:firstLineChars="0"/>
              <w:jc w:val="center"/>
              <w:rPr>
                <w:rFonts w:ascii="Times New Roman" w:hAnsi="Times New Roman"/>
                <w:b/>
              </w:rPr>
            </w:pPr>
            <w:r>
              <w:rPr>
                <w:rFonts w:ascii="Times New Roman" w:hAnsi="Times New Roman"/>
                <w:b/>
              </w:rPr>
              <w:t>人员数量</w:t>
            </w:r>
          </w:p>
        </w:tc>
        <w:tc>
          <w:tcPr>
            <w:tcW w:w="2464" w:type="dxa"/>
            <w:vAlign w:val="center"/>
          </w:tcPr>
          <w:p w14:paraId="058C194A">
            <w:pPr>
              <w:widowControl/>
              <w:spacing w:line="240" w:lineRule="auto"/>
              <w:ind w:firstLine="0" w:firstLineChars="0"/>
              <w:jc w:val="center"/>
              <w:rPr>
                <w:rFonts w:ascii="Times New Roman" w:hAnsi="Times New Roman"/>
                <w:b/>
              </w:rPr>
            </w:pPr>
            <w:r>
              <w:rPr>
                <w:rFonts w:ascii="Times New Roman" w:hAnsi="Times New Roman"/>
                <w:b/>
              </w:rPr>
              <w:t>人员要求</w:t>
            </w:r>
          </w:p>
        </w:tc>
        <w:tc>
          <w:tcPr>
            <w:tcW w:w="1180" w:type="dxa"/>
            <w:noWrap/>
            <w:vAlign w:val="center"/>
          </w:tcPr>
          <w:p w14:paraId="6AB2F1A4">
            <w:pPr>
              <w:widowControl/>
              <w:spacing w:line="240" w:lineRule="auto"/>
              <w:ind w:firstLine="0" w:firstLineChars="0"/>
              <w:jc w:val="center"/>
              <w:rPr>
                <w:rFonts w:ascii="Times New Roman" w:hAnsi="Times New Roman"/>
                <w:b/>
              </w:rPr>
            </w:pPr>
            <w:r>
              <w:rPr>
                <w:rFonts w:ascii="Times New Roman" w:hAnsi="Times New Roman"/>
                <w:b/>
              </w:rPr>
              <w:t>驻场要求</w:t>
            </w:r>
          </w:p>
        </w:tc>
      </w:tr>
      <w:tr w14:paraId="17F10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38" w:type="dxa"/>
            <w:noWrap/>
            <w:vAlign w:val="center"/>
          </w:tcPr>
          <w:p w14:paraId="40EC26DC">
            <w:pPr>
              <w:widowControl/>
              <w:spacing w:line="240" w:lineRule="auto"/>
              <w:ind w:firstLine="0" w:firstLineChars="0"/>
              <w:jc w:val="center"/>
              <w:rPr>
                <w:rFonts w:ascii="Times New Roman" w:hAnsi="Times New Roman"/>
              </w:rPr>
            </w:pPr>
            <w:r>
              <w:rPr>
                <w:rFonts w:ascii="Times New Roman" w:hAnsi="Times New Roman"/>
              </w:rPr>
              <w:t>运维支持经理</w:t>
            </w:r>
          </w:p>
        </w:tc>
        <w:tc>
          <w:tcPr>
            <w:tcW w:w="2366" w:type="dxa"/>
            <w:noWrap/>
            <w:vAlign w:val="center"/>
          </w:tcPr>
          <w:p w14:paraId="3E9BA8C1">
            <w:pPr>
              <w:widowControl/>
              <w:spacing w:line="240" w:lineRule="auto"/>
              <w:ind w:firstLine="0" w:firstLineChars="0"/>
              <w:jc w:val="center"/>
              <w:rPr>
                <w:rFonts w:ascii="Times New Roman" w:hAnsi="Times New Roman"/>
              </w:rPr>
            </w:pPr>
            <w:r>
              <w:rPr>
                <w:rFonts w:ascii="Times New Roman" w:hAnsi="Times New Roman"/>
              </w:rPr>
              <w:t>负责项目需求评估与产品设计</w:t>
            </w:r>
          </w:p>
        </w:tc>
        <w:tc>
          <w:tcPr>
            <w:tcW w:w="1180" w:type="dxa"/>
            <w:noWrap/>
            <w:vAlign w:val="center"/>
          </w:tcPr>
          <w:p w14:paraId="74A5BDFD">
            <w:pPr>
              <w:widowControl/>
              <w:spacing w:line="240" w:lineRule="auto"/>
              <w:ind w:firstLine="0" w:firstLineChars="0"/>
              <w:jc w:val="center"/>
              <w:rPr>
                <w:rFonts w:ascii="Times New Roman" w:hAnsi="Times New Roman"/>
              </w:rPr>
            </w:pPr>
            <w:r>
              <w:rPr>
                <w:rFonts w:ascii="Times New Roman" w:hAnsi="Times New Roman"/>
              </w:rPr>
              <w:t>1人</w:t>
            </w:r>
          </w:p>
        </w:tc>
        <w:tc>
          <w:tcPr>
            <w:tcW w:w="2464" w:type="dxa"/>
            <w:vAlign w:val="center"/>
          </w:tcPr>
          <w:p w14:paraId="5D73B24F">
            <w:pPr>
              <w:widowControl/>
              <w:spacing w:line="240" w:lineRule="auto"/>
              <w:ind w:firstLine="0" w:firstLineChars="0"/>
              <w:rPr>
                <w:rFonts w:ascii="Times New Roman" w:hAnsi="Times New Roman"/>
              </w:rPr>
            </w:pPr>
            <w:r>
              <w:rPr>
                <w:rFonts w:ascii="Times New Roman" w:hAnsi="Times New Roman"/>
              </w:rPr>
              <w:t>本科及以上学历，具备</w:t>
            </w:r>
            <w:r>
              <w:rPr>
                <w:rFonts w:hint="eastAsia" w:ascii="Times New Roman" w:hAnsi="Times New Roman"/>
                <w:lang w:eastAsia="zh-CN"/>
              </w:rPr>
              <w:t>信息化领域</w:t>
            </w:r>
            <w:r>
              <w:rPr>
                <w:rFonts w:ascii="Times New Roman" w:hAnsi="Times New Roman"/>
              </w:rPr>
              <w:t>高级工程师资质证</w:t>
            </w:r>
          </w:p>
          <w:p w14:paraId="157696DD">
            <w:pPr>
              <w:widowControl/>
              <w:spacing w:line="240" w:lineRule="auto"/>
              <w:ind w:firstLine="0" w:firstLineChars="0"/>
              <w:rPr>
                <w:rFonts w:ascii="Times New Roman" w:hAnsi="Times New Roman"/>
              </w:rPr>
            </w:pPr>
            <w:r>
              <w:rPr>
                <w:rFonts w:ascii="Times New Roman" w:hAnsi="Times New Roman"/>
              </w:rPr>
              <w:t>书</w:t>
            </w:r>
            <w:r>
              <w:rPr>
                <w:rFonts w:hint="eastAsia" w:ascii="Times New Roman" w:hAnsi="Times New Roman"/>
              </w:rPr>
              <w:t>，具有3年及以上相关工作经验</w:t>
            </w:r>
          </w:p>
        </w:tc>
        <w:tc>
          <w:tcPr>
            <w:tcW w:w="1180" w:type="dxa"/>
            <w:noWrap/>
            <w:vAlign w:val="center"/>
          </w:tcPr>
          <w:p w14:paraId="01864AD2">
            <w:pPr>
              <w:widowControl/>
              <w:spacing w:line="240" w:lineRule="auto"/>
              <w:ind w:firstLine="0" w:firstLineChars="0"/>
              <w:jc w:val="center"/>
              <w:rPr>
                <w:rFonts w:ascii="Times New Roman" w:hAnsi="Times New Roman"/>
              </w:rPr>
            </w:pPr>
            <w:r>
              <w:rPr>
                <w:rFonts w:ascii="Times New Roman" w:hAnsi="Times New Roman"/>
              </w:rPr>
              <w:t>不驻场</w:t>
            </w:r>
          </w:p>
        </w:tc>
      </w:tr>
      <w:tr w14:paraId="5F9BA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38" w:type="dxa"/>
            <w:noWrap/>
            <w:vAlign w:val="center"/>
          </w:tcPr>
          <w:p w14:paraId="1481D733">
            <w:pPr>
              <w:widowControl/>
              <w:spacing w:line="240" w:lineRule="auto"/>
              <w:ind w:firstLine="0" w:firstLineChars="0"/>
              <w:jc w:val="center"/>
              <w:rPr>
                <w:rFonts w:ascii="Times New Roman" w:hAnsi="Times New Roman"/>
              </w:rPr>
            </w:pPr>
            <w:r>
              <w:rPr>
                <w:rFonts w:ascii="Times New Roman" w:hAnsi="Times New Roman"/>
              </w:rPr>
              <w:t>运维工程师</w:t>
            </w:r>
          </w:p>
        </w:tc>
        <w:tc>
          <w:tcPr>
            <w:tcW w:w="2366" w:type="dxa"/>
            <w:noWrap/>
            <w:vAlign w:val="center"/>
          </w:tcPr>
          <w:p w14:paraId="54298087">
            <w:pPr>
              <w:widowControl/>
              <w:spacing w:line="240" w:lineRule="auto"/>
              <w:ind w:firstLine="0" w:firstLineChars="0"/>
              <w:jc w:val="center"/>
              <w:rPr>
                <w:rFonts w:ascii="Times New Roman" w:hAnsi="Times New Roman"/>
              </w:rPr>
            </w:pPr>
            <w:r>
              <w:rPr>
                <w:rFonts w:ascii="Times New Roman" w:hAnsi="Times New Roman"/>
              </w:rPr>
              <w:t>负责项目运行维护</w:t>
            </w:r>
          </w:p>
        </w:tc>
        <w:tc>
          <w:tcPr>
            <w:tcW w:w="1180" w:type="dxa"/>
            <w:noWrap/>
            <w:vAlign w:val="center"/>
          </w:tcPr>
          <w:p w14:paraId="573497B1">
            <w:pPr>
              <w:widowControl/>
              <w:spacing w:line="240" w:lineRule="auto"/>
              <w:ind w:firstLine="0" w:firstLineChars="0"/>
              <w:jc w:val="center"/>
              <w:rPr>
                <w:rFonts w:ascii="Times New Roman" w:hAnsi="Times New Roman"/>
              </w:rPr>
            </w:pPr>
            <w:r>
              <w:rPr>
                <w:rFonts w:ascii="Times New Roman" w:hAnsi="Times New Roman"/>
              </w:rPr>
              <w:t>2人</w:t>
            </w:r>
          </w:p>
        </w:tc>
        <w:tc>
          <w:tcPr>
            <w:tcW w:w="2464" w:type="dxa"/>
            <w:vAlign w:val="center"/>
          </w:tcPr>
          <w:p w14:paraId="17AC3EF7">
            <w:pPr>
              <w:widowControl/>
              <w:spacing w:line="240" w:lineRule="auto"/>
              <w:ind w:firstLine="0" w:firstLineChars="0"/>
              <w:rPr>
                <w:rFonts w:ascii="Times New Roman" w:hAnsi="Times New Roman"/>
              </w:rPr>
            </w:pPr>
            <w:r>
              <w:rPr>
                <w:rFonts w:ascii="Times New Roman" w:hAnsi="Times New Roman"/>
              </w:rPr>
              <w:t>本科及以上学历</w:t>
            </w:r>
            <w:r>
              <w:rPr>
                <w:rFonts w:hint="eastAsia" w:ascii="Times New Roman" w:hAnsi="Times New Roman"/>
              </w:rPr>
              <w:t>，</w:t>
            </w:r>
            <w:r>
              <w:rPr>
                <w:rFonts w:ascii="Times New Roman" w:hAnsi="Times New Roman"/>
              </w:rPr>
              <w:t>具备3年以上相关工作经验</w:t>
            </w:r>
          </w:p>
        </w:tc>
        <w:tc>
          <w:tcPr>
            <w:tcW w:w="1180" w:type="dxa"/>
            <w:noWrap/>
            <w:vAlign w:val="center"/>
          </w:tcPr>
          <w:p w14:paraId="45F83F28">
            <w:pPr>
              <w:widowControl/>
              <w:spacing w:line="240" w:lineRule="auto"/>
              <w:ind w:firstLine="0" w:firstLineChars="0"/>
              <w:jc w:val="center"/>
              <w:rPr>
                <w:rFonts w:ascii="Times New Roman" w:hAnsi="Times New Roman"/>
              </w:rPr>
            </w:pPr>
            <w:r>
              <w:rPr>
                <w:rFonts w:ascii="Times New Roman" w:hAnsi="Times New Roman"/>
              </w:rPr>
              <w:t>不驻场</w:t>
            </w:r>
          </w:p>
        </w:tc>
      </w:tr>
    </w:tbl>
    <w:p w14:paraId="76EE09C4">
      <w:pPr>
        <w:pStyle w:val="3"/>
        <w:rPr>
          <w:rFonts w:ascii="Times New Roman" w:hAnsi="Times New Roman"/>
        </w:rPr>
      </w:pPr>
      <w:bookmarkStart w:id="33" w:name="_Toc63785511"/>
      <w:r>
        <w:rPr>
          <w:rFonts w:ascii="Times New Roman" w:hAnsi="Times New Roman"/>
        </w:rPr>
        <w:t>等级保护要求</w:t>
      </w:r>
      <w:bookmarkEnd w:id="33"/>
    </w:p>
    <w:p w14:paraId="23030897">
      <w:pPr>
        <w:rPr>
          <w:rFonts w:ascii="Times New Roman" w:hAnsi="Times New Roman" w:eastAsia="仿宋_GB2312"/>
          <w:color w:val="000000"/>
          <w:kern w:val="0"/>
          <w:sz w:val="28"/>
          <w:szCs w:val="28"/>
        </w:rPr>
      </w:pPr>
      <w:r>
        <w:rPr>
          <w:rFonts w:ascii="Times New Roman" w:hAnsi="Times New Roman"/>
        </w:rPr>
        <w:t>本系统部署在市电子政务云上，满足网络安全等级保护三级要求</w:t>
      </w:r>
      <w:r>
        <w:rPr>
          <w:rFonts w:ascii="Times New Roman" w:hAnsi="Times New Roman" w:eastAsia="仿宋_GB2312"/>
          <w:color w:val="000000"/>
          <w:kern w:val="0"/>
          <w:sz w:val="28"/>
          <w:szCs w:val="28"/>
        </w:rPr>
        <w:t>。</w:t>
      </w:r>
    </w:p>
    <w:p w14:paraId="6A065944">
      <w:pPr>
        <w:pStyle w:val="3"/>
        <w:rPr>
          <w:rFonts w:ascii="Times New Roman" w:hAnsi="Times New Roman"/>
        </w:rPr>
      </w:pPr>
      <w:r>
        <w:rPr>
          <w:rFonts w:ascii="Times New Roman" w:hAnsi="Times New Roman"/>
        </w:rPr>
        <w:t>商业密码应用需求</w:t>
      </w:r>
    </w:p>
    <w:p w14:paraId="341212C0">
      <w:pPr>
        <w:rPr>
          <w:rFonts w:ascii="Times New Roman" w:hAnsi="Times New Roman"/>
        </w:rPr>
      </w:pPr>
      <w:r>
        <w:rPr>
          <w:rFonts w:ascii="Times New Roman" w:hAnsi="Times New Roman"/>
        </w:rPr>
        <w:t>依据GB/T39786—2021《信息安全技术信息系统密码应用基本要求》，结合本系统风险控制需求分析结果，本系统的主要密码应用需求包括：</w:t>
      </w:r>
    </w:p>
    <w:tbl>
      <w:tblPr>
        <w:tblStyle w:val="35"/>
        <w:tblW w:w="928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6"/>
        <w:gridCol w:w="858"/>
        <w:gridCol w:w="2286"/>
        <w:gridCol w:w="3715"/>
        <w:gridCol w:w="1573"/>
      </w:tblGrid>
      <w:tr w14:paraId="09A65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tblHeader/>
          <w:jc w:val="center"/>
        </w:trPr>
        <w:tc>
          <w:tcPr>
            <w:tcW w:w="1714" w:type="dxa"/>
            <w:gridSpan w:val="2"/>
            <w:vAlign w:val="center"/>
          </w:tcPr>
          <w:p w14:paraId="60F9699D">
            <w:pPr>
              <w:pStyle w:val="16"/>
              <w:spacing w:after="0"/>
              <w:jc w:val="center"/>
              <w:rPr>
                <w:b/>
                <w:bCs/>
                <w:sz w:val="24"/>
              </w:rPr>
            </w:pPr>
            <w:r>
              <w:rPr>
                <w:b/>
                <w:bCs/>
                <w:sz w:val="24"/>
              </w:rPr>
              <w:t>安全层面</w:t>
            </w:r>
          </w:p>
        </w:tc>
        <w:tc>
          <w:tcPr>
            <w:tcW w:w="2286" w:type="dxa"/>
            <w:vAlign w:val="center"/>
          </w:tcPr>
          <w:p w14:paraId="5B558A4B">
            <w:pPr>
              <w:pStyle w:val="16"/>
              <w:spacing w:after="0"/>
              <w:jc w:val="center"/>
              <w:rPr>
                <w:b/>
                <w:bCs/>
                <w:sz w:val="24"/>
              </w:rPr>
            </w:pPr>
            <w:r>
              <w:rPr>
                <w:b/>
                <w:bCs/>
                <w:sz w:val="24"/>
              </w:rPr>
              <w:t>指标要求</w:t>
            </w:r>
          </w:p>
        </w:tc>
        <w:tc>
          <w:tcPr>
            <w:tcW w:w="3715" w:type="dxa"/>
            <w:vAlign w:val="center"/>
          </w:tcPr>
          <w:p w14:paraId="7BA74C6A">
            <w:pPr>
              <w:pStyle w:val="16"/>
              <w:spacing w:after="0"/>
              <w:jc w:val="center"/>
              <w:rPr>
                <w:b/>
                <w:bCs/>
                <w:sz w:val="24"/>
              </w:rPr>
            </w:pPr>
            <w:r>
              <w:rPr>
                <w:b/>
                <w:bCs/>
                <w:sz w:val="24"/>
              </w:rPr>
              <w:t>系统密码应用需求</w:t>
            </w:r>
          </w:p>
        </w:tc>
        <w:tc>
          <w:tcPr>
            <w:tcW w:w="1573" w:type="dxa"/>
            <w:vAlign w:val="center"/>
          </w:tcPr>
          <w:p w14:paraId="5C2B714C">
            <w:pPr>
              <w:pStyle w:val="16"/>
              <w:spacing w:after="0"/>
              <w:jc w:val="center"/>
              <w:rPr>
                <w:b/>
                <w:bCs/>
                <w:sz w:val="24"/>
              </w:rPr>
            </w:pPr>
            <w:r>
              <w:rPr>
                <w:b/>
                <w:bCs/>
                <w:sz w:val="24"/>
              </w:rPr>
              <w:t>不适用说明</w:t>
            </w:r>
          </w:p>
        </w:tc>
      </w:tr>
      <w:tr w14:paraId="5AA8B2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restart"/>
            <w:vAlign w:val="center"/>
          </w:tcPr>
          <w:p w14:paraId="4D155D58">
            <w:pPr>
              <w:pStyle w:val="16"/>
              <w:spacing w:after="0"/>
              <w:rPr>
                <w:sz w:val="24"/>
              </w:rPr>
            </w:pPr>
            <w:r>
              <w:rPr>
                <w:sz w:val="24"/>
              </w:rPr>
              <w:t>计算平台安全</w:t>
            </w:r>
          </w:p>
        </w:tc>
        <w:tc>
          <w:tcPr>
            <w:tcW w:w="858" w:type="dxa"/>
            <w:vMerge w:val="restart"/>
            <w:vAlign w:val="center"/>
          </w:tcPr>
          <w:p w14:paraId="47AAD0DC">
            <w:pPr>
              <w:pStyle w:val="16"/>
              <w:spacing w:after="0"/>
              <w:rPr>
                <w:sz w:val="24"/>
              </w:rPr>
            </w:pPr>
            <w:r>
              <w:rPr>
                <w:sz w:val="24"/>
              </w:rPr>
              <w:t>物理和环境安全</w:t>
            </w:r>
          </w:p>
        </w:tc>
        <w:tc>
          <w:tcPr>
            <w:tcW w:w="2286" w:type="dxa"/>
            <w:vAlign w:val="center"/>
          </w:tcPr>
          <w:p w14:paraId="7F1B643B">
            <w:pPr>
              <w:pStyle w:val="16"/>
              <w:spacing w:after="0"/>
              <w:rPr>
                <w:sz w:val="24"/>
              </w:rPr>
            </w:pPr>
            <w:r>
              <w:rPr>
                <w:sz w:val="24"/>
              </w:rPr>
              <w:t>身份鉴别</w:t>
            </w:r>
          </w:p>
        </w:tc>
        <w:tc>
          <w:tcPr>
            <w:tcW w:w="3715" w:type="dxa"/>
            <w:vAlign w:val="center"/>
          </w:tcPr>
          <w:p w14:paraId="58E1233E">
            <w:pPr>
              <w:pStyle w:val="16"/>
              <w:spacing w:after="0"/>
              <w:rPr>
                <w:sz w:val="24"/>
              </w:rPr>
            </w:pPr>
            <w:r>
              <w:rPr>
                <w:sz w:val="24"/>
              </w:rPr>
              <w:t>已符合密码应用要求。</w:t>
            </w:r>
          </w:p>
        </w:tc>
        <w:tc>
          <w:tcPr>
            <w:tcW w:w="1573" w:type="dxa"/>
            <w:vAlign w:val="center"/>
          </w:tcPr>
          <w:p w14:paraId="5011EC72">
            <w:pPr>
              <w:pStyle w:val="16"/>
              <w:spacing w:after="0"/>
              <w:rPr>
                <w:sz w:val="24"/>
              </w:rPr>
            </w:pPr>
            <w:r>
              <w:rPr>
                <w:sz w:val="24"/>
              </w:rPr>
              <w:t>无</w:t>
            </w:r>
          </w:p>
        </w:tc>
      </w:tr>
      <w:tr w14:paraId="49D54B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continue"/>
            <w:vAlign w:val="center"/>
          </w:tcPr>
          <w:p w14:paraId="14E6C0F8">
            <w:pPr>
              <w:pStyle w:val="16"/>
              <w:spacing w:after="0"/>
              <w:rPr>
                <w:sz w:val="24"/>
              </w:rPr>
            </w:pPr>
          </w:p>
        </w:tc>
        <w:tc>
          <w:tcPr>
            <w:tcW w:w="858" w:type="dxa"/>
            <w:vMerge w:val="continue"/>
            <w:vAlign w:val="center"/>
          </w:tcPr>
          <w:p w14:paraId="73859AA5">
            <w:pPr>
              <w:pStyle w:val="16"/>
              <w:spacing w:after="0"/>
              <w:rPr>
                <w:sz w:val="24"/>
              </w:rPr>
            </w:pPr>
          </w:p>
        </w:tc>
        <w:tc>
          <w:tcPr>
            <w:tcW w:w="2286" w:type="dxa"/>
            <w:vAlign w:val="center"/>
          </w:tcPr>
          <w:p w14:paraId="678AA0C1">
            <w:pPr>
              <w:pStyle w:val="16"/>
              <w:spacing w:after="0"/>
              <w:rPr>
                <w:sz w:val="24"/>
              </w:rPr>
            </w:pPr>
            <w:r>
              <w:rPr>
                <w:sz w:val="24"/>
              </w:rPr>
              <w:t>电子门禁记录数据完整性</w:t>
            </w:r>
          </w:p>
        </w:tc>
        <w:tc>
          <w:tcPr>
            <w:tcW w:w="3715" w:type="dxa"/>
            <w:vMerge w:val="restart"/>
            <w:vAlign w:val="center"/>
          </w:tcPr>
          <w:p w14:paraId="4C45ECD8">
            <w:pPr>
              <w:pStyle w:val="16"/>
              <w:spacing w:after="0"/>
              <w:rPr>
                <w:sz w:val="24"/>
              </w:rPr>
            </w:pPr>
            <w:r>
              <w:rPr>
                <w:sz w:val="24"/>
              </w:rPr>
              <w:t>已符合密码应用要求。</w:t>
            </w:r>
          </w:p>
        </w:tc>
        <w:tc>
          <w:tcPr>
            <w:tcW w:w="1573" w:type="dxa"/>
            <w:vMerge w:val="restart"/>
            <w:vAlign w:val="center"/>
          </w:tcPr>
          <w:p w14:paraId="319C076A">
            <w:pPr>
              <w:pStyle w:val="16"/>
              <w:spacing w:after="0"/>
              <w:rPr>
                <w:sz w:val="24"/>
              </w:rPr>
            </w:pPr>
            <w:r>
              <w:rPr>
                <w:sz w:val="24"/>
              </w:rPr>
              <w:t>无</w:t>
            </w:r>
          </w:p>
        </w:tc>
      </w:tr>
      <w:tr w14:paraId="7BC9AC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continue"/>
            <w:vAlign w:val="center"/>
          </w:tcPr>
          <w:p w14:paraId="16BA2C06">
            <w:pPr>
              <w:pStyle w:val="16"/>
              <w:spacing w:after="0"/>
              <w:rPr>
                <w:sz w:val="24"/>
              </w:rPr>
            </w:pPr>
          </w:p>
        </w:tc>
        <w:tc>
          <w:tcPr>
            <w:tcW w:w="858" w:type="dxa"/>
            <w:vMerge w:val="continue"/>
            <w:vAlign w:val="center"/>
          </w:tcPr>
          <w:p w14:paraId="7F379CD8">
            <w:pPr>
              <w:pStyle w:val="16"/>
              <w:spacing w:after="0"/>
              <w:rPr>
                <w:sz w:val="24"/>
              </w:rPr>
            </w:pPr>
          </w:p>
        </w:tc>
        <w:tc>
          <w:tcPr>
            <w:tcW w:w="2286" w:type="dxa"/>
            <w:vAlign w:val="center"/>
          </w:tcPr>
          <w:p w14:paraId="1389134A">
            <w:pPr>
              <w:pStyle w:val="16"/>
              <w:spacing w:after="0"/>
              <w:rPr>
                <w:sz w:val="24"/>
              </w:rPr>
            </w:pPr>
            <w:r>
              <w:rPr>
                <w:sz w:val="24"/>
              </w:rPr>
              <w:t>视频监控记录数据完整性</w:t>
            </w:r>
          </w:p>
        </w:tc>
        <w:tc>
          <w:tcPr>
            <w:tcW w:w="3715" w:type="dxa"/>
            <w:vMerge w:val="continue"/>
            <w:vAlign w:val="center"/>
          </w:tcPr>
          <w:p w14:paraId="0CB5CB70">
            <w:pPr>
              <w:pStyle w:val="16"/>
              <w:spacing w:after="0"/>
              <w:rPr>
                <w:sz w:val="24"/>
              </w:rPr>
            </w:pPr>
          </w:p>
        </w:tc>
        <w:tc>
          <w:tcPr>
            <w:tcW w:w="1573" w:type="dxa"/>
            <w:vMerge w:val="continue"/>
            <w:vAlign w:val="center"/>
          </w:tcPr>
          <w:p w14:paraId="354A3B17">
            <w:pPr>
              <w:pStyle w:val="16"/>
              <w:spacing w:after="0"/>
              <w:rPr>
                <w:sz w:val="24"/>
              </w:rPr>
            </w:pPr>
          </w:p>
        </w:tc>
      </w:tr>
      <w:tr w14:paraId="50E32F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continue"/>
            <w:vAlign w:val="center"/>
          </w:tcPr>
          <w:p w14:paraId="1766B271">
            <w:pPr>
              <w:pStyle w:val="16"/>
              <w:spacing w:after="0"/>
              <w:rPr>
                <w:sz w:val="24"/>
              </w:rPr>
            </w:pPr>
          </w:p>
        </w:tc>
        <w:tc>
          <w:tcPr>
            <w:tcW w:w="858" w:type="dxa"/>
            <w:vMerge w:val="continue"/>
            <w:vAlign w:val="center"/>
          </w:tcPr>
          <w:p w14:paraId="59D861BB">
            <w:pPr>
              <w:pStyle w:val="16"/>
              <w:spacing w:after="0"/>
              <w:rPr>
                <w:sz w:val="24"/>
              </w:rPr>
            </w:pPr>
          </w:p>
        </w:tc>
        <w:tc>
          <w:tcPr>
            <w:tcW w:w="2286" w:type="dxa"/>
            <w:vAlign w:val="center"/>
          </w:tcPr>
          <w:p w14:paraId="5D2A241D">
            <w:pPr>
              <w:pStyle w:val="16"/>
              <w:spacing w:after="0"/>
              <w:rPr>
                <w:sz w:val="24"/>
              </w:rPr>
            </w:pPr>
            <w:r>
              <w:rPr>
                <w:sz w:val="24"/>
              </w:rPr>
              <w:t>密码产品</w:t>
            </w:r>
          </w:p>
        </w:tc>
        <w:tc>
          <w:tcPr>
            <w:tcW w:w="3715" w:type="dxa"/>
            <w:vAlign w:val="center"/>
          </w:tcPr>
          <w:p w14:paraId="34B85CEE">
            <w:pPr>
              <w:pStyle w:val="16"/>
              <w:spacing w:after="0"/>
              <w:rPr>
                <w:sz w:val="24"/>
              </w:rPr>
            </w:pPr>
            <w:r>
              <w:rPr>
                <w:sz w:val="24"/>
              </w:rPr>
              <w:t>采用的密码产品应达到GB/T 37092-2018二级及以上安全要求。</w:t>
            </w:r>
          </w:p>
        </w:tc>
        <w:tc>
          <w:tcPr>
            <w:tcW w:w="1573" w:type="dxa"/>
            <w:vAlign w:val="center"/>
          </w:tcPr>
          <w:p w14:paraId="1FD1DB9F">
            <w:pPr>
              <w:pStyle w:val="16"/>
              <w:spacing w:after="0"/>
              <w:rPr>
                <w:sz w:val="24"/>
              </w:rPr>
            </w:pPr>
            <w:r>
              <w:rPr>
                <w:sz w:val="24"/>
              </w:rPr>
              <w:t>无</w:t>
            </w:r>
          </w:p>
        </w:tc>
      </w:tr>
      <w:tr w14:paraId="4DEA37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continue"/>
            <w:vAlign w:val="center"/>
          </w:tcPr>
          <w:p w14:paraId="369BE882">
            <w:pPr>
              <w:pStyle w:val="16"/>
              <w:spacing w:after="0"/>
              <w:rPr>
                <w:sz w:val="24"/>
              </w:rPr>
            </w:pPr>
          </w:p>
        </w:tc>
        <w:tc>
          <w:tcPr>
            <w:tcW w:w="858" w:type="dxa"/>
            <w:vMerge w:val="restart"/>
            <w:vAlign w:val="center"/>
          </w:tcPr>
          <w:p w14:paraId="16339D25">
            <w:pPr>
              <w:pStyle w:val="16"/>
              <w:spacing w:after="0"/>
              <w:rPr>
                <w:sz w:val="24"/>
              </w:rPr>
            </w:pPr>
            <w:r>
              <w:rPr>
                <w:sz w:val="24"/>
              </w:rPr>
              <w:t>网络和通信安全</w:t>
            </w:r>
          </w:p>
        </w:tc>
        <w:tc>
          <w:tcPr>
            <w:tcW w:w="2286" w:type="dxa"/>
            <w:vAlign w:val="center"/>
          </w:tcPr>
          <w:p w14:paraId="552046B8">
            <w:pPr>
              <w:pStyle w:val="16"/>
              <w:spacing w:after="0"/>
              <w:rPr>
                <w:sz w:val="24"/>
              </w:rPr>
            </w:pPr>
            <w:r>
              <w:rPr>
                <w:sz w:val="24"/>
              </w:rPr>
              <w:t>身份鉴别</w:t>
            </w:r>
          </w:p>
        </w:tc>
        <w:tc>
          <w:tcPr>
            <w:tcW w:w="3715" w:type="dxa"/>
            <w:vAlign w:val="center"/>
          </w:tcPr>
          <w:p w14:paraId="5245D61D">
            <w:pPr>
              <w:pStyle w:val="16"/>
              <w:spacing w:after="0"/>
              <w:rPr>
                <w:sz w:val="24"/>
              </w:rPr>
            </w:pPr>
            <w:r>
              <w:rPr>
                <w:sz w:val="24"/>
              </w:rPr>
              <w:t>已符合密码应用要求。</w:t>
            </w:r>
          </w:p>
        </w:tc>
        <w:tc>
          <w:tcPr>
            <w:tcW w:w="1573" w:type="dxa"/>
            <w:vAlign w:val="center"/>
          </w:tcPr>
          <w:p w14:paraId="5C33E522">
            <w:pPr>
              <w:pStyle w:val="16"/>
              <w:spacing w:after="0"/>
              <w:rPr>
                <w:sz w:val="24"/>
              </w:rPr>
            </w:pPr>
            <w:r>
              <w:rPr>
                <w:sz w:val="24"/>
              </w:rPr>
              <w:t>无</w:t>
            </w:r>
          </w:p>
        </w:tc>
      </w:tr>
      <w:tr w14:paraId="063132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continue"/>
            <w:vAlign w:val="center"/>
          </w:tcPr>
          <w:p w14:paraId="2D711CA7">
            <w:pPr>
              <w:pStyle w:val="16"/>
              <w:spacing w:after="0"/>
              <w:rPr>
                <w:sz w:val="24"/>
              </w:rPr>
            </w:pPr>
          </w:p>
        </w:tc>
        <w:tc>
          <w:tcPr>
            <w:tcW w:w="858" w:type="dxa"/>
            <w:vMerge w:val="continue"/>
            <w:vAlign w:val="center"/>
          </w:tcPr>
          <w:p w14:paraId="6764EF0F">
            <w:pPr>
              <w:pStyle w:val="16"/>
              <w:spacing w:after="0"/>
              <w:rPr>
                <w:sz w:val="24"/>
              </w:rPr>
            </w:pPr>
          </w:p>
        </w:tc>
        <w:tc>
          <w:tcPr>
            <w:tcW w:w="2286" w:type="dxa"/>
            <w:vAlign w:val="center"/>
          </w:tcPr>
          <w:p w14:paraId="2633FBBA">
            <w:pPr>
              <w:pStyle w:val="16"/>
              <w:spacing w:after="0"/>
              <w:rPr>
                <w:sz w:val="24"/>
              </w:rPr>
            </w:pPr>
            <w:r>
              <w:rPr>
                <w:sz w:val="24"/>
              </w:rPr>
              <w:t>通信数据完整性</w:t>
            </w:r>
          </w:p>
        </w:tc>
        <w:tc>
          <w:tcPr>
            <w:tcW w:w="3715" w:type="dxa"/>
            <w:vMerge w:val="restart"/>
            <w:vAlign w:val="center"/>
          </w:tcPr>
          <w:p w14:paraId="334CC9EA">
            <w:pPr>
              <w:pStyle w:val="16"/>
              <w:spacing w:after="0"/>
              <w:rPr>
                <w:sz w:val="24"/>
              </w:rPr>
            </w:pPr>
            <w:r>
              <w:rPr>
                <w:sz w:val="24"/>
              </w:rPr>
              <w:t>保护通信过程中重要业务数据的完整性和机密性，防止数据被非授权篡改，防止重要数据泄露。</w:t>
            </w:r>
          </w:p>
        </w:tc>
        <w:tc>
          <w:tcPr>
            <w:tcW w:w="1573" w:type="dxa"/>
            <w:vAlign w:val="center"/>
          </w:tcPr>
          <w:p w14:paraId="23EAEA74">
            <w:pPr>
              <w:pStyle w:val="16"/>
              <w:spacing w:after="0"/>
              <w:rPr>
                <w:sz w:val="24"/>
              </w:rPr>
            </w:pPr>
            <w:r>
              <w:rPr>
                <w:sz w:val="24"/>
              </w:rPr>
              <w:t>无</w:t>
            </w:r>
          </w:p>
        </w:tc>
      </w:tr>
      <w:tr w14:paraId="5D512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continue"/>
            <w:vAlign w:val="center"/>
          </w:tcPr>
          <w:p w14:paraId="28774B20">
            <w:pPr>
              <w:pStyle w:val="16"/>
              <w:spacing w:after="0"/>
              <w:rPr>
                <w:sz w:val="24"/>
              </w:rPr>
            </w:pPr>
          </w:p>
        </w:tc>
        <w:tc>
          <w:tcPr>
            <w:tcW w:w="858" w:type="dxa"/>
            <w:vMerge w:val="continue"/>
            <w:vAlign w:val="center"/>
          </w:tcPr>
          <w:p w14:paraId="0389E43E">
            <w:pPr>
              <w:pStyle w:val="16"/>
              <w:spacing w:after="0"/>
              <w:rPr>
                <w:sz w:val="24"/>
              </w:rPr>
            </w:pPr>
          </w:p>
        </w:tc>
        <w:tc>
          <w:tcPr>
            <w:tcW w:w="2286" w:type="dxa"/>
            <w:vAlign w:val="center"/>
          </w:tcPr>
          <w:p w14:paraId="5C05DB4A">
            <w:pPr>
              <w:pStyle w:val="16"/>
              <w:spacing w:after="0"/>
              <w:rPr>
                <w:sz w:val="24"/>
              </w:rPr>
            </w:pPr>
            <w:r>
              <w:rPr>
                <w:sz w:val="24"/>
              </w:rPr>
              <w:t>通信过程中重要数据的机密性</w:t>
            </w:r>
          </w:p>
        </w:tc>
        <w:tc>
          <w:tcPr>
            <w:tcW w:w="3715" w:type="dxa"/>
            <w:vMerge w:val="continue"/>
            <w:vAlign w:val="center"/>
          </w:tcPr>
          <w:p w14:paraId="67BA8BA2">
            <w:pPr>
              <w:pStyle w:val="16"/>
              <w:spacing w:after="0"/>
              <w:rPr>
                <w:sz w:val="24"/>
              </w:rPr>
            </w:pPr>
          </w:p>
        </w:tc>
        <w:tc>
          <w:tcPr>
            <w:tcW w:w="1573" w:type="dxa"/>
            <w:vAlign w:val="center"/>
          </w:tcPr>
          <w:p w14:paraId="7A8BB950">
            <w:pPr>
              <w:pStyle w:val="16"/>
              <w:spacing w:after="0"/>
              <w:rPr>
                <w:sz w:val="24"/>
              </w:rPr>
            </w:pPr>
            <w:r>
              <w:rPr>
                <w:sz w:val="24"/>
              </w:rPr>
              <w:t>无</w:t>
            </w:r>
          </w:p>
        </w:tc>
      </w:tr>
      <w:tr w14:paraId="761CE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continue"/>
            <w:vAlign w:val="center"/>
          </w:tcPr>
          <w:p w14:paraId="0E7B1275">
            <w:pPr>
              <w:pStyle w:val="16"/>
              <w:spacing w:after="0"/>
              <w:rPr>
                <w:sz w:val="24"/>
              </w:rPr>
            </w:pPr>
          </w:p>
        </w:tc>
        <w:tc>
          <w:tcPr>
            <w:tcW w:w="858" w:type="dxa"/>
            <w:vMerge w:val="continue"/>
            <w:vAlign w:val="center"/>
          </w:tcPr>
          <w:p w14:paraId="227FC768">
            <w:pPr>
              <w:pStyle w:val="16"/>
              <w:spacing w:after="0"/>
              <w:rPr>
                <w:sz w:val="24"/>
              </w:rPr>
            </w:pPr>
          </w:p>
        </w:tc>
        <w:tc>
          <w:tcPr>
            <w:tcW w:w="2286" w:type="dxa"/>
            <w:vAlign w:val="center"/>
          </w:tcPr>
          <w:p w14:paraId="1B119D67">
            <w:pPr>
              <w:pStyle w:val="16"/>
              <w:spacing w:after="0"/>
              <w:rPr>
                <w:sz w:val="24"/>
              </w:rPr>
            </w:pPr>
            <w:r>
              <w:rPr>
                <w:sz w:val="24"/>
              </w:rPr>
              <w:t xml:space="preserve">网络边界访问控制信息的完整性 </w:t>
            </w:r>
          </w:p>
        </w:tc>
        <w:tc>
          <w:tcPr>
            <w:tcW w:w="3715" w:type="dxa"/>
            <w:vAlign w:val="center"/>
          </w:tcPr>
          <w:p w14:paraId="0DD029E0">
            <w:pPr>
              <w:pStyle w:val="16"/>
              <w:spacing w:after="0"/>
              <w:rPr>
                <w:sz w:val="24"/>
              </w:rPr>
            </w:pPr>
            <w:r>
              <w:rPr>
                <w:sz w:val="24"/>
              </w:rPr>
              <w:t>保护互联网用户访问应用系统的网络边界访问控制信息的完整性，防止被非授权篡改。</w:t>
            </w:r>
          </w:p>
        </w:tc>
        <w:tc>
          <w:tcPr>
            <w:tcW w:w="1573" w:type="dxa"/>
            <w:vAlign w:val="center"/>
          </w:tcPr>
          <w:p w14:paraId="05E3255C">
            <w:pPr>
              <w:pStyle w:val="16"/>
              <w:spacing w:after="0"/>
              <w:rPr>
                <w:sz w:val="24"/>
              </w:rPr>
            </w:pPr>
            <w:r>
              <w:rPr>
                <w:sz w:val="24"/>
              </w:rPr>
              <w:t>无</w:t>
            </w:r>
          </w:p>
        </w:tc>
      </w:tr>
      <w:tr w14:paraId="7DF9D4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continue"/>
            <w:vAlign w:val="center"/>
          </w:tcPr>
          <w:p w14:paraId="52A26DA3">
            <w:pPr>
              <w:pStyle w:val="16"/>
              <w:spacing w:after="0"/>
              <w:rPr>
                <w:sz w:val="24"/>
              </w:rPr>
            </w:pPr>
          </w:p>
        </w:tc>
        <w:tc>
          <w:tcPr>
            <w:tcW w:w="858" w:type="dxa"/>
            <w:vMerge w:val="continue"/>
            <w:vAlign w:val="center"/>
          </w:tcPr>
          <w:p w14:paraId="3C54E79F">
            <w:pPr>
              <w:pStyle w:val="16"/>
              <w:spacing w:after="0"/>
              <w:rPr>
                <w:sz w:val="24"/>
              </w:rPr>
            </w:pPr>
          </w:p>
        </w:tc>
        <w:tc>
          <w:tcPr>
            <w:tcW w:w="2286" w:type="dxa"/>
            <w:vAlign w:val="center"/>
          </w:tcPr>
          <w:p w14:paraId="20469DB3">
            <w:pPr>
              <w:pStyle w:val="16"/>
              <w:spacing w:after="0"/>
              <w:rPr>
                <w:sz w:val="24"/>
              </w:rPr>
            </w:pPr>
            <w:r>
              <w:rPr>
                <w:sz w:val="24"/>
              </w:rPr>
              <w:t>密码服务</w:t>
            </w:r>
          </w:p>
        </w:tc>
        <w:tc>
          <w:tcPr>
            <w:tcW w:w="3715" w:type="dxa"/>
            <w:vAlign w:val="center"/>
          </w:tcPr>
          <w:p w14:paraId="501C94D3">
            <w:pPr>
              <w:pStyle w:val="16"/>
              <w:spacing w:after="0"/>
              <w:rPr>
                <w:sz w:val="24"/>
              </w:rPr>
            </w:pPr>
            <w:r>
              <w:rPr>
                <w:sz w:val="24"/>
              </w:rPr>
              <w:t>采用的数字证书由具有电子认证服务资质的机构签发。</w:t>
            </w:r>
          </w:p>
        </w:tc>
        <w:tc>
          <w:tcPr>
            <w:tcW w:w="1573" w:type="dxa"/>
            <w:vAlign w:val="center"/>
          </w:tcPr>
          <w:p w14:paraId="7386305A">
            <w:pPr>
              <w:pStyle w:val="16"/>
              <w:spacing w:after="0"/>
              <w:rPr>
                <w:sz w:val="24"/>
              </w:rPr>
            </w:pPr>
            <w:r>
              <w:rPr>
                <w:sz w:val="24"/>
              </w:rPr>
              <w:t>无</w:t>
            </w:r>
          </w:p>
        </w:tc>
      </w:tr>
      <w:tr w14:paraId="379FBF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continue"/>
            <w:vAlign w:val="center"/>
          </w:tcPr>
          <w:p w14:paraId="74560F83">
            <w:pPr>
              <w:pStyle w:val="16"/>
              <w:spacing w:after="0"/>
              <w:rPr>
                <w:sz w:val="24"/>
              </w:rPr>
            </w:pPr>
          </w:p>
        </w:tc>
        <w:tc>
          <w:tcPr>
            <w:tcW w:w="858" w:type="dxa"/>
            <w:vMerge w:val="continue"/>
            <w:vAlign w:val="center"/>
          </w:tcPr>
          <w:p w14:paraId="249E194A">
            <w:pPr>
              <w:pStyle w:val="16"/>
              <w:spacing w:after="0"/>
              <w:rPr>
                <w:sz w:val="24"/>
              </w:rPr>
            </w:pPr>
          </w:p>
        </w:tc>
        <w:tc>
          <w:tcPr>
            <w:tcW w:w="2286" w:type="dxa"/>
            <w:vAlign w:val="center"/>
          </w:tcPr>
          <w:p w14:paraId="603CF9BB">
            <w:pPr>
              <w:pStyle w:val="16"/>
              <w:spacing w:after="0"/>
              <w:rPr>
                <w:sz w:val="24"/>
              </w:rPr>
            </w:pPr>
            <w:r>
              <w:rPr>
                <w:sz w:val="24"/>
              </w:rPr>
              <w:t>密码产品</w:t>
            </w:r>
          </w:p>
        </w:tc>
        <w:tc>
          <w:tcPr>
            <w:tcW w:w="3715" w:type="dxa"/>
            <w:vAlign w:val="center"/>
          </w:tcPr>
          <w:p w14:paraId="1E457093">
            <w:pPr>
              <w:pStyle w:val="16"/>
              <w:spacing w:after="0"/>
              <w:rPr>
                <w:sz w:val="24"/>
              </w:rPr>
            </w:pPr>
            <w:r>
              <w:rPr>
                <w:sz w:val="24"/>
              </w:rPr>
              <w:t>采用的密码产品应达到GB/T 37092-2018二级及以上安全要求。</w:t>
            </w:r>
          </w:p>
        </w:tc>
        <w:tc>
          <w:tcPr>
            <w:tcW w:w="1573" w:type="dxa"/>
            <w:vAlign w:val="center"/>
          </w:tcPr>
          <w:p w14:paraId="68FC719F">
            <w:pPr>
              <w:pStyle w:val="16"/>
              <w:spacing w:after="0"/>
              <w:rPr>
                <w:sz w:val="24"/>
              </w:rPr>
            </w:pPr>
            <w:r>
              <w:rPr>
                <w:sz w:val="24"/>
              </w:rPr>
              <w:t>无</w:t>
            </w:r>
          </w:p>
        </w:tc>
      </w:tr>
      <w:tr w14:paraId="38A32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continue"/>
            <w:vAlign w:val="center"/>
          </w:tcPr>
          <w:p w14:paraId="068CCEB3">
            <w:pPr>
              <w:pStyle w:val="16"/>
              <w:spacing w:after="0"/>
              <w:rPr>
                <w:sz w:val="24"/>
              </w:rPr>
            </w:pPr>
          </w:p>
        </w:tc>
        <w:tc>
          <w:tcPr>
            <w:tcW w:w="858" w:type="dxa"/>
            <w:vMerge w:val="restart"/>
            <w:vAlign w:val="center"/>
          </w:tcPr>
          <w:p w14:paraId="62E24C3E">
            <w:pPr>
              <w:pStyle w:val="16"/>
              <w:spacing w:after="0"/>
              <w:rPr>
                <w:sz w:val="24"/>
              </w:rPr>
            </w:pPr>
            <w:r>
              <w:rPr>
                <w:sz w:val="24"/>
              </w:rPr>
              <w:t>设备和计算安全</w:t>
            </w:r>
          </w:p>
        </w:tc>
        <w:tc>
          <w:tcPr>
            <w:tcW w:w="2286" w:type="dxa"/>
            <w:vAlign w:val="center"/>
          </w:tcPr>
          <w:p w14:paraId="1E93CE9A">
            <w:pPr>
              <w:pStyle w:val="16"/>
              <w:spacing w:after="0"/>
              <w:rPr>
                <w:sz w:val="24"/>
              </w:rPr>
            </w:pPr>
            <w:r>
              <w:rPr>
                <w:sz w:val="24"/>
              </w:rPr>
              <w:t>身份鉴别</w:t>
            </w:r>
          </w:p>
        </w:tc>
        <w:tc>
          <w:tcPr>
            <w:tcW w:w="3715" w:type="dxa"/>
            <w:vAlign w:val="center"/>
          </w:tcPr>
          <w:p w14:paraId="2769A8E3">
            <w:pPr>
              <w:pStyle w:val="16"/>
              <w:spacing w:after="0"/>
              <w:rPr>
                <w:sz w:val="24"/>
              </w:rPr>
            </w:pPr>
            <w:r>
              <w:rPr>
                <w:sz w:val="24"/>
              </w:rPr>
              <w:t>管理员通过远程运维管理终端访问堡垒机、服务器虚拟机、数据库、密码服务时，对其身份真实性进行识别和确认，防止假冒人员登录。</w:t>
            </w:r>
          </w:p>
        </w:tc>
        <w:tc>
          <w:tcPr>
            <w:tcW w:w="1573" w:type="dxa"/>
            <w:vAlign w:val="center"/>
          </w:tcPr>
          <w:p w14:paraId="1B80D61F">
            <w:pPr>
              <w:pStyle w:val="16"/>
              <w:spacing w:after="0"/>
              <w:rPr>
                <w:sz w:val="24"/>
              </w:rPr>
            </w:pPr>
            <w:r>
              <w:rPr>
                <w:sz w:val="24"/>
              </w:rPr>
              <w:t>无</w:t>
            </w:r>
          </w:p>
        </w:tc>
      </w:tr>
      <w:tr w14:paraId="325B3C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continue"/>
            <w:vAlign w:val="center"/>
          </w:tcPr>
          <w:p w14:paraId="66D99DBB">
            <w:pPr>
              <w:pStyle w:val="16"/>
              <w:spacing w:after="0"/>
              <w:rPr>
                <w:sz w:val="24"/>
              </w:rPr>
            </w:pPr>
          </w:p>
        </w:tc>
        <w:tc>
          <w:tcPr>
            <w:tcW w:w="858" w:type="dxa"/>
            <w:vMerge w:val="continue"/>
            <w:vAlign w:val="center"/>
          </w:tcPr>
          <w:p w14:paraId="4584FF53">
            <w:pPr>
              <w:pStyle w:val="16"/>
              <w:spacing w:after="0"/>
              <w:rPr>
                <w:sz w:val="24"/>
              </w:rPr>
            </w:pPr>
          </w:p>
        </w:tc>
        <w:tc>
          <w:tcPr>
            <w:tcW w:w="2286" w:type="dxa"/>
            <w:vAlign w:val="center"/>
          </w:tcPr>
          <w:p w14:paraId="1A43FEAD">
            <w:pPr>
              <w:pStyle w:val="16"/>
              <w:spacing w:after="0"/>
              <w:rPr>
                <w:sz w:val="24"/>
              </w:rPr>
            </w:pPr>
            <w:r>
              <w:rPr>
                <w:sz w:val="24"/>
              </w:rPr>
              <w:t>远程管理通道安全</w:t>
            </w:r>
          </w:p>
        </w:tc>
        <w:tc>
          <w:tcPr>
            <w:tcW w:w="3715" w:type="dxa"/>
            <w:vAlign w:val="center"/>
          </w:tcPr>
          <w:p w14:paraId="3D8DFF6D">
            <w:pPr>
              <w:pStyle w:val="16"/>
              <w:spacing w:after="0"/>
              <w:rPr>
                <w:sz w:val="24"/>
              </w:rPr>
            </w:pPr>
            <w:r>
              <w:rPr>
                <w:sz w:val="24"/>
              </w:rPr>
              <w:t>在设备实施远程运维管理时，对设备的运维管理通道进行保护，防止运维管理数据泄漏。</w:t>
            </w:r>
          </w:p>
        </w:tc>
        <w:tc>
          <w:tcPr>
            <w:tcW w:w="1573" w:type="dxa"/>
            <w:vAlign w:val="center"/>
          </w:tcPr>
          <w:p w14:paraId="0B8CC481">
            <w:pPr>
              <w:pStyle w:val="16"/>
              <w:spacing w:after="0"/>
              <w:rPr>
                <w:sz w:val="24"/>
              </w:rPr>
            </w:pPr>
            <w:r>
              <w:rPr>
                <w:sz w:val="24"/>
              </w:rPr>
              <w:t>无</w:t>
            </w:r>
          </w:p>
        </w:tc>
      </w:tr>
      <w:tr w14:paraId="66A8BD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continue"/>
            <w:vAlign w:val="center"/>
          </w:tcPr>
          <w:p w14:paraId="71298725">
            <w:pPr>
              <w:pStyle w:val="16"/>
              <w:spacing w:after="0"/>
              <w:rPr>
                <w:sz w:val="24"/>
              </w:rPr>
            </w:pPr>
          </w:p>
        </w:tc>
        <w:tc>
          <w:tcPr>
            <w:tcW w:w="858" w:type="dxa"/>
            <w:vMerge w:val="continue"/>
            <w:vAlign w:val="center"/>
          </w:tcPr>
          <w:p w14:paraId="61329212">
            <w:pPr>
              <w:pStyle w:val="16"/>
              <w:spacing w:after="0"/>
              <w:rPr>
                <w:sz w:val="24"/>
              </w:rPr>
            </w:pPr>
          </w:p>
        </w:tc>
        <w:tc>
          <w:tcPr>
            <w:tcW w:w="2286" w:type="dxa"/>
            <w:vAlign w:val="center"/>
          </w:tcPr>
          <w:p w14:paraId="6C1AB1A6">
            <w:pPr>
              <w:pStyle w:val="16"/>
              <w:spacing w:after="0"/>
              <w:rPr>
                <w:sz w:val="24"/>
              </w:rPr>
            </w:pPr>
            <w:r>
              <w:rPr>
                <w:sz w:val="24"/>
              </w:rPr>
              <w:t>系统资源访问控制信息完整性</w:t>
            </w:r>
          </w:p>
        </w:tc>
        <w:tc>
          <w:tcPr>
            <w:tcW w:w="3715" w:type="dxa"/>
            <w:vAlign w:val="center"/>
          </w:tcPr>
          <w:p w14:paraId="571E29D6">
            <w:pPr>
              <w:pStyle w:val="16"/>
              <w:spacing w:after="0"/>
              <w:rPr>
                <w:sz w:val="24"/>
              </w:rPr>
            </w:pPr>
            <w:r>
              <w:rPr>
                <w:sz w:val="24"/>
              </w:rPr>
              <w:t>保护系统中服务器虚拟机、数据库、密码服务的访问控制信息的完整性，防止被非授权篡改。</w:t>
            </w:r>
          </w:p>
        </w:tc>
        <w:tc>
          <w:tcPr>
            <w:tcW w:w="1573" w:type="dxa"/>
            <w:vAlign w:val="center"/>
          </w:tcPr>
          <w:p w14:paraId="3B37CC63">
            <w:pPr>
              <w:pStyle w:val="16"/>
              <w:spacing w:after="0"/>
              <w:rPr>
                <w:sz w:val="24"/>
              </w:rPr>
            </w:pPr>
            <w:r>
              <w:rPr>
                <w:sz w:val="24"/>
              </w:rPr>
              <w:t>无</w:t>
            </w:r>
          </w:p>
        </w:tc>
      </w:tr>
      <w:tr w14:paraId="6A2A6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continue"/>
            <w:vAlign w:val="center"/>
          </w:tcPr>
          <w:p w14:paraId="7EA04565">
            <w:pPr>
              <w:pStyle w:val="16"/>
              <w:spacing w:after="0"/>
              <w:rPr>
                <w:sz w:val="24"/>
              </w:rPr>
            </w:pPr>
          </w:p>
        </w:tc>
        <w:tc>
          <w:tcPr>
            <w:tcW w:w="858" w:type="dxa"/>
            <w:vMerge w:val="continue"/>
            <w:vAlign w:val="center"/>
          </w:tcPr>
          <w:p w14:paraId="65933491">
            <w:pPr>
              <w:pStyle w:val="16"/>
              <w:spacing w:after="0"/>
              <w:rPr>
                <w:sz w:val="24"/>
              </w:rPr>
            </w:pPr>
          </w:p>
        </w:tc>
        <w:tc>
          <w:tcPr>
            <w:tcW w:w="2286" w:type="dxa"/>
            <w:vAlign w:val="center"/>
          </w:tcPr>
          <w:p w14:paraId="5B5488B3">
            <w:pPr>
              <w:pStyle w:val="16"/>
              <w:spacing w:after="0"/>
              <w:rPr>
                <w:sz w:val="24"/>
              </w:rPr>
            </w:pPr>
            <w:r>
              <w:rPr>
                <w:sz w:val="24"/>
              </w:rPr>
              <w:t>日志记录完整性</w:t>
            </w:r>
          </w:p>
        </w:tc>
        <w:tc>
          <w:tcPr>
            <w:tcW w:w="3715" w:type="dxa"/>
            <w:vAlign w:val="center"/>
          </w:tcPr>
          <w:p w14:paraId="550D15B1">
            <w:pPr>
              <w:pStyle w:val="16"/>
              <w:spacing w:after="0"/>
              <w:rPr>
                <w:sz w:val="24"/>
              </w:rPr>
            </w:pPr>
            <w:r>
              <w:rPr>
                <w:sz w:val="24"/>
              </w:rPr>
              <w:t>保护系统中服务器虚拟机、数据库、密码服务的日志记录的完整性，防止被非授权篡改。</w:t>
            </w:r>
          </w:p>
        </w:tc>
        <w:tc>
          <w:tcPr>
            <w:tcW w:w="1573" w:type="dxa"/>
            <w:vAlign w:val="center"/>
          </w:tcPr>
          <w:p w14:paraId="7205F8E5">
            <w:pPr>
              <w:pStyle w:val="16"/>
              <w:spacing w:after="0"/>
              <w:rPr>
                <w:sz w:val="24"/>
              </w:rPr>
            </w:pPr>
            <w:r>
              <w:rPr>
                <w:sz w:val="24"/>
              </w:rPr>
              <w:t>无</w:t>
            </w:r>
          </w:p>
        </w:tc>
      </w:tr>
      <w:tr w14:paraId="0EEF1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continue"/>
            <w:vAlign w:val="center"/>
          </w:tcPr>
          <w:p w14:paraId="76FD862A">
            <w:pPr>
              <w:pStyle w:val="16"/>
              <w:spacing w:after="0"/>
              <w:rPr>
                <w:sz w:val="24"/>
              </w:rPr>
            </w:pPr>
          </w:p>
        </w:tc>
        <w:tc>
          <w:tcPr>
            <w:tcW w:w="858" w:type="dxa"/>
            <w:vMerge w:val="continue"/>
            <w:vAlign w:val="center"/>
          </w:tcPr>
          <w:p w14:paraId="7710EAFF">
            <w:pPr>
              <w:pStyle w:val="16"/>
              <w:spacing w:after="0"/>
              <w:rPr>
                <w:sz w:val="24"/>
              </w:rPr>
            </w:pPr>
          </w:p>
        </w:tc>
        <w:tc>
          <w:tcPr>
            <w:tcW w:w="2286" w:type="dxa"/>
            <w:vAlign w:val="center"/>
          </w:tcPr>
          <w:p w14:paraId="5F142EA6">
            <w:pPr>
              <w:pStyle w:val="16"/>
              <w:spacing w:after="0"/>
              <w:rPr>
                <w:sz w:val="24"/>
              </w:rPr>
            </w:pPr>
            <w:r>
              <w:rPr>
                <w:sz w:val="24"/>
              </w:rPr>
              <w:t>重要可执行程序完整性、</w:t>
            </w:r>
          </w:p>
          <w:p w14:paraId="244E7371">
            <w:pPr>
              <w:pStyle w:val="16"/>
              <w:spacing w:after="0"/>
              <w:rPr>
                <w:sz w:val="24"/>
              </w:rPr>
            </w:pPr>
            <w:r>
              <w:rPr>
                <w:sz w:val="24"/>
              </w:rPr>
              <w:t>来源真实性</w:t>
            </w:r>
          </w:p>
        </w:tc>
        <w:tc>
          <w:tcPr>
            <w:tcW w:w="3715" w:type="dxa"/>
            <w:vAlign w:val="center"/>
          </w:tcPr>
          <w:p w14:paraId="70AF876C">
            <w:pPr>
              <w:pStyle w:val="16"/>
              <w:spacing w:after="0"/>
              <w:rPr>
                <w:sz w:val="24"/>
              </w:rPr>
            </w:pPr>
            <w:r>
              <w:rPr>
                <w:sz w:val="24"/>
              </w:rPr>
              <w:t>保护应用服务器等设备中部署的重要可执行程序的完整性和来源真实性，防止被非授权篡改。</w:t>
            </w:r>
          </w:p>
        </w:tc>
        <w:tc>
          <w:tcPr>
            <w:tcW w:w="1573" w:type="dxa"/>
            <w:vAlign w:val="center"/>
          </w:tcPr>
          <w:p w14:paraId="18EB1E1E">
            <w:pPr>
              <w:pStyle w:val="16"/>
              <w:spacing w:after="0"/>
              <w:rPr>
                <w:sz w:val="24"/>
              </w:rPr>
            </w:pPr>
            <w:r>
              <w:rPr>
                <w:sz w:val="24"/>
              </w:rPr>
              <w:t>无</w:t>
            </w:r>
          </w:p>
        </w:tc>
      </w:tr>
      <w:tr w14:paraId="2BD762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continue"/>
            <w:vAlign w:val="center"/>
          </w:tcPr>
          <w:p w14:paraId="461D6235">
            <w:pPr>
              <w:pStyle w:val="16"/>
              <w:spacing w:after="0"/>
              <w:rPr>
                <w:sz w:val="24"/>
              </w:rPr>
            </w:pPr>
          </w:p>
        </w:tc>
        <w:tc>
          <w:tcPr>
            <w:tcW w:w="858" w:type="dxa"/>
            <w:vMerge w:val="continue"/>
            <w:vAlign w:val="center"/>
          </w:tcPr>
          <w:p w14:paraId="704D5774">
            <w:pPr>
              <w:pStyle w:val="16"/>
              <w:spacing w:after="0"/>
              <w:rPr>
                <w:sz w:val="24"/>
              </w:rPr>
            </w:pPr>
          </w:p>
        </w:tc>
        <w:tc>
          <w:tcPr>
            <w:tcW w:w="2286" w:type="dxa"/>
            <w:vAlign w:val="center"/>
          </w:tcPr>
          <w:p w14:paraId="6220F2ED">
            <w:pPr>
              <w:pStyle w:val="16"/>
              <w:spacing w:after="0"/>
              <w:rPr>
                <w:sz w:val="24"/>
              </w:rPr>
            </w:pPr>
            <w:r>
              <w:rPr>
                <w:sz w:val="24"/>
              </w:rPr>
              <w:t>密码产品</w:t>
            </w:r>
          </w:p>
        </w:tc>
        <w:tc>
          <w:tcPr>
            <w:tcW w:w="3715" w:type="dxa"/>
            <w:vAlign w:val="center"/>
          </w:tcPr>
          <w:p w14:paraId="25145C9E">
            <w:pPr>
              <w:pStyle w:val="16"/>
              <w:spacing w:after="0"/>
              <w:rPr>
                <w:sz w:val="24"/>
              </w:rPr>
            </w:pPr>
            <w:r>
              <w:rPr>
                <w:sz w:val="24"/>
              </w:rPr>
              <w:t>采用的密码产品应达到GB/T 37092-2018二级及以上安全要求。</w:t>
            </w:r>
          </w:p>
        </w:tc>
        <w:tc>
          <w:tcPr>
            <w:tcW w:w="1573" w:type="dxa"/>
            <w:vAlign w:val="center"/>
          </w:tcPr>
          <w:p w14:paraId="1931F02B">
            <w:pPr>
              <w:pStyle w:val="16"/>
              <w:spacing w:after="0"/>
              <w:rPr>
                <w:sz w:val="24"/>
              </w:rPr>
            </w:pPr>
            <w:r>
              <w:rPr>
                <w:sz w:val="24"/>
              </w:rPr>
              <w:t>无</w:t>
            </w:r>
          </w:p>
        </w:tc>
      </w:tr>
      <w:tr w14:paraId="525310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restart"/>
            <w:vAlign w:val="center"/>
          </w:tcPr>
          <w:p w14:paraId="00DC9B41">
            <w:pPr>
              <w:pStyle w:val="16"/>
              <w:spacing w:after="0"/>
              <w:rPr>
                <w:sz w:val="24"/>
              </w:rPr>
            </w:pPr>
            <w:r>
              <w:rPr>
                <w:sz w:val="24"/>
              </w:rPr>
              <w:t>业务应用安全</w:t>
            </w:r>
          </w:p>
        </w:tc>
        <w:tc>
          <w:tcPr>
            <w:tcW w:w="858" w:type="dxa"/>
            <w:vMerge w:val="restart"/>
            <w:vAlign w:val="center"/>
          </w:tcPr>
          <w:p w14:paraId="2A3CCB7B">
            <w:pPr>
              <w:pStyle w:val="16"/>
              <w:spacing w:after="0"/>
              <w:rPr>
                <w:sz w:val="24"/>
              </w:rPr>
            </w:pPr>
            <w:r>
              <w:rPr>
                <w:sz w:val="24"/>
              </w:rPr>
              <w:t>应用和数据安全</w:t>
            </w:r>
          </w:p>
        </w:tc>
        <w:tc>
          <w:tcPr>
            <w:tcW w:w="2286" w:type="dxa"/>
            <w:vAlign w:val="center"/>
          </w:tcPr>
          <w:p w14:paraId="7956F05E">
            <w:pPr>
              <w:pStyle w:val="16"/>
              <w:spacing w:after="0"/>
              <w:rPr>
                <w:sz w:val="24"/>
              </w:rPr>
            </w:pPr>
            <w:r>
              <w:rPr>
                <w:sz w:val="24"/>
              </w:rPr>
              <w:t>身份鉴别</w:t>
            </w:r>
          </w:p>
        </w:tc>
        <w:tc>
          <w:tcPr>
            <w:tcW w:w="3715" w:type="dxa"/>
            <w:vAlign w:val="center"/>
          </w:tcPr>
          <w:p w14:paraId="175044D1">
            <w:pPr>
              <w:pStyle w:val="16"/>
              <w:spacing w:after="0"/>
              <w:rPr>
                <w:sz w:val="24"/>
              </w:rPr>
            </w:pPr>
            <w:r>
              <w:rPr>
                <w:sz w:val="24"/>
              </w:rPr>
              <w:t>确认应用系统用户身份的真实性，防止假冒人员登录。</w:t>
            </w:r>
          </w:p>
        </w:tc>
        <w:tc>
          <w:tcPr>
            <w:tcW w:w="1573" w:type="dxa"/>
            <w:vAlign w:val="center"/>
          </w:tcPr>
          <w:p w14:paraId="7D6CCF21">
            <w:pPr>
              <w:pStyle w:val="16"/>
              <w:spacing w:after="0"/>
              <w:rPr>
                <w:sz w:val="24"/>
              </w:rPr>
            </w:pPr>
            <w:r>
              <w:rPr>
                <w:sz w:val="24"/>
              </w:rPr>
              <w:t>无</w:t>
            </w:r>
          </w:p>
        </w:tc>
      </w:tr>
      <w:tr w14:paraId="6B540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continue"/>
            <w:vAlign w:val="center"/>
          </w:tcPr>
          <w:p w14:paraId="57B01E09">
            <w:pPr>
              <w:pStyle w:val="16"/>
              <w:spacing w:after="0"/>
              <w:rPr>
                <w:sz w:val="24"/>
              </w:rPr>
            </w:pPr>
          </w:p>
        </w:tc>
        <w:tc>
          <w:tcPr>
            <w:tcW w:w="858" w:type="dxa"/>
            <w:vMerge w:val="continue"/>
            <w:vAlign w:val="center"/>
          </w:tcPr>
          <w:p w14:paraId="1A7D2D6B">
            <w:pPr>
              <w:pStyle w:val="16"/>
              <w:spacing w:after="0"/>
              <w:rPr>
                <w:sz w:val="24"/>
              </w:rPr>
            </w:pPr>
          </w:p>
        </w:tc>
        <w:tc>
          <w:tcPr>
            <w:tcW w:w="2286" w:type="dxa"/>
            <w:vAlign w:val="center"/>
          </w:tcPr>
          <w:p w14:paraId="4F4415CC">
            <w:pPr>
              <w:pStyle w:val="16"/>
              <w:spacing w:after="0"/>
              <w:rPr>
                <w:sz w:val="24"/>
              </w:rPr>
            </w:pPr>
            <w:r>
              <w:rPr>
                <w:sz w:val="24"/>
              </w:rPr>
              <w:t>访问控制信息完整性</w:t>
            </w:r>
          </w:p>
        </w:tc>
        <w:tc>
          <w:tcPr>
            <w:tcW w:w="3715" w:type="dxa"/>
            <w:vAlign w:val="center"/>
          </w:tcPr>
          <w:p w14:paraId="0205083B">
            <w:pPr>
              <w:pStyle w:val="16"/>
              <w:spacing w:after="0"/>
              <w:rPr>
                <w:sz w:val="24"/>
              </w:rPr>
            </w:pPr>
            <w:r>
              <w:rPr>
                <w:sz w:val="24"/>
              </w:rPr>
              <w:t>对应用系统的访问权限控制列表进行完整性保护，防止被非授权篡改。</w:t>
            </w:r>
          </w:p>
        </w:tc>
        <w:tc>
          <w:tcPr>
            <w:tcW w:w="1573" w:type="dxa"/>
            <w:vAlign w:val="center"/>
          </w:tcPr>
          <w:p w14:paraId="16198019">
            <w:pPr>
              <w:pStyle w:val="16"/>
              <w:spacing w:after="0"/>
              <w:rPr>
                <w:sz w:val="24"/>
              </w:rPr>
            </w:pPr>
            <w:r>
              <w:rPr>
                <w:sz w:val="24"/>
              </w:rPr>
              <w:t>无</w:t>
            </w:r>
          </w:p>
        </w:tc>
      </w:tr>
      <w:tr w14:paraId="7D2A2C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6" w:type="dxa"/>
            <w:vMerge w:val="continue"/>
            <w:vAlign w:val="center"/>
          </w:tcPr>
          <w:p w14:paraId="50C21869">
            <w:pPr>
              <w:pStyle w:val="16"/>
              <w:spacing w:after="0"/>
              <w:rPr>
                <w:sz w:val="24"/>
              </w:rPr>
            </w:pPr>
          </w:p>
        </w:tc>
        <w:tc>
          <w:tcPr>
            <w:tcW w:w="858" w:type="dxa"/>
            <w:vMerge w:val="continue"/>
            <w:vAlign w:val="center"/>
          </w:tcPr>
          <w:p w14:paraId="412F4777">
            <w:pPr>
              <w:pStyle w:val="16"/>
              <w:spacing w:after="0"/>
              <w:rPr>
                <w:sz w:val="24"/>
              </w:rPr>
            </w:pPr>
          </w:p>
        </w:tc>
        <w:tc>
          <w:tcPr>
            <w:tcW w:w="2286" w:type="dxa"/>
            <w:vAlign w:val="center"/>
          </w:tcPr>
          <w:p w14:paraId="4DD57978">
            <w:pPr>
              <w:pStyle w:val="16"/>
              <w:spacing w:after="0"/>
              <w:rPr>
                <w:sz w:val="24"/>
              </w:rPr>
            </w:pPr>
            <w:r>
              <w:rPr>
                <w:sz w:val="24"/>
              </w:rPr>
              <w:t>数据传输机密性</w:t>
            </w:r>
          </w:p>
        </w:tc>
        <w:tc>
          <w:tcPr>
            <w:tcW w:w="3715" w:type="dxa"/>
            <w:vMerge w:val="restart"/>
            <w:vAlign w:val="center"/>
          </w:tcPr>
          <w:p w14:paraId="11A1D740">
            <w:pPr>
              <w:pStyle w:val="16"/>
              <w:spacing w:after="0"/>
              <w:rPr>
                <w:sz w:val="24"/>
              </w:rPr>
            </w:pPr>
            <w:r>
              <w:rPr>
                <w:sz w:val="24"/>
              </w:rPr>
              <w:t>保护互联网客户端与服务端之间传输和存储的用户登录身份鉴别信息、业务流转数据等重要数据的机密性和完整性，防止数据泄露给非授权的个人、进程等。保护系统业务日志数据的完整性，防止该数据被非授权篡改。</w:t>
            </w:r>
          </w:p>
        </w:tc>
        <w:tc>
          <w:tcPr>
            <w:tcW w:w="1573" w:type="dxa"/>
            <w:vMerge w:val="restart"/>
            <w:vAlign w:val="center"/>
          </w:tcPr>
          <w:p w14:paraId="08CB5FE3">
            <w:pPr>
              <w:pStyle w:val="16"/>
              <w:spacing w:after="0"/>
              <w:rPr>
                <w:sz w:val="24"/>
              </w:rPr>
            </w:pPr>
            <w:r>
              <w:rPr>
                <w:sz w:val="24"/>
              </w:rPr>
              <w:t>无</w:t>
            </w:r>
          </w:p>
        </w:tc>
      </w:tr>
      <w:tr w14:paraId="026AE6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6" w:type="dxa"/>
            <w:vMerge w:val="continue"/>
            <w:vAlign w:val="center"/>
          </w:tcPr>
          <w:p w14:paraId="55F37A71">
            <w:pPr>
              <w:pStyle w:val="16"/>
              <w:spacing w:after="0"/>
              <w:rPr>
                <w:sz w:val="24"/>
              </w:rPr>
            </w:pPr>
          </w:p>
        </w:tc>
        <w:tc>
          <w:tcPr>
            <w:tcW w:w="858" w:type="dxa"/>
            <w:vMerge w:val="continue"/>
            <w:vAlign w:val="center"/>
          </w:tcPr>
          <w:p w14:paraId="78AD187D">
            <w:pPr>
              <w:pStyle w:val="16"/>
              <w:spacing w:after="0"/>
              <w:rPr>
                <w:sz w:val="24"/>
              </w:rPr>
            </w:pPr>
          </w:p>
        </w:tc>
        <w:tc>
          <w:tcPr>
            <w:tcW w:w="2286" w:type="dxa"/>
            <w:vAlign w:val="center"/>
          </w:tcPr>
          <w:p w14:paraId="239172A4">
            <w:pPr>
              <w:pStyle w:val="16"/>
              <w:spacing w:after="0"/>
              <w:rPr>
                <w:sz w:val="24"/>
              </w:rPr>
            </w:pPr>
            <w:r>
              <w:rPr>
                <w:sz w:val="24"/>
              </w:rPr>
              <w:t>数据存储机密性</w:t>
            </w:r>
          </w:p>
        </w:tc>
        <w:tc>
          <w:tcPr>
            <w:tcW w:w="3715" w:type="dxa"/>
            <w:vMerge w:val="continue"/>
            <w:vAlign w:val="center"/>
          </w:tcPr>
          <w:p w14:paraId="1DE7C18A">
            <w:pPr>
              <w:pStyle w:val="16"/>
              <w:spacing w:after="0"/>
              <w:rPr>
                <w:sz w:val="24"/>
              </w:rPr>
            </w:pPr>
          </w:p>
        </w:tc>
        <w:tc>
          <w:tcPr>
            <w:tcW w:w="1573" w:type="dxa"/>
            <w:vMerge w:val="continue"/>
            <w:vAlign w:val="center"/>
          </w:tcPr>
          <w:p w14:paraId="5EF89B4E">
            <w:pPr>
              <w:pStyle w:val="16"/>
              <w:spacing w:after="0"/>
              <w:rPr>
                <w:sz w:val="24"/>
              </w:rPr>
            </w:pPr>
          </w:p>
        </w:tc>
      </w:tr>
      <w:tr w14:paraId="4CA301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6" w:type="dxa"/>
            <w:vMerge w:val="continue"/>
            <w:vAlign w:val="center"/>
          </w:tcPr>
          <w:p w14:paraId="5A258D7B">
            <w:pPr>
              <w:pStyle w:val="16"/>
              <w:spacing w:after="0"/>
              <w:rPr>
                <w:sz w:val="24"/>
              </w:rPr>
            </w:pPr>
          </w:p>
        </w:tc>
        <w:tc>
          <w:tcPr>
            <w:tcW w:w="858" w:type="dxa"/>
            <w:vMerge w:val="continue"/>
            <w:vAlign w:val="center"/>
          </w:tcPr>
          <w:p w14:paraId="6DB1924E">
            <w:pPr>
              <w:pStyle w:val="16"/>
              <w:spacing w:after="0"/>
              <w:rPr>
                <w:sz w:val="24"/>
              </w:rPr>
            </w:pPr>
          </w:p>
        </w:tc>
        <w:tc>
          <w:tcPr>
            <w:tcW w:w="2286" w:type="dxa"/>
            <w:vAlign w:val="center"/>
          </w:tcPr>
          <w:p w14:paraId="5046BD63">
            <w:pPr>
              <w:pStyle w:val="16"/>
              <w:spacing w:after="0"/>
              <w:rPr>
                <w:sz w:val="24"/>
              </w:rPr>
            </w:pPr>
            <w:r>
              <w:rPr>
                <w:sz w:val="24"/>
              </w:rPr>
              <w:t>数据传输完整性</w:t>
            </w:r>
          </w:p>
        </w:tc>
        <w:tc>
          <w:tcPr>
            <w:tcW w:w="3715" w:type="dxa"/>
            <w:vMerge w:val="continue"/>
            <w:vAlign w:val="center"/>
          </w:tcPr>
          <w:p w14:paraId="44DC4CF7">
            <w:pPr>
              <w:pStyle w:val="16"/>
              <w:spacing w:after="0"/>
              <w:rPr>
                <w:sz w:val="24"/>
              </w:rPr>
            </w:pPr>
          </w:p>
        </w:tc>
        <w:tc>
          <w:tcPr>
            <w:tcW w:w="1573" w:type="dxa"/>
            <w:vMerge w:val="continue"/>
            <w:vAlign w:val="center"/>
          </w:tcPr>
          <w:p w14:paraId="52817CF1">
            <w:pPr>
              <w:pStyle w:val="16"/>
              <w:spacing w:after="0"/>
              <w:rPr>
                <w:sz w:val="24"/>
              </w:rPr>
            </w:pPr>
          </w:p>
        </w:tc>
      </w:tr>
      <w:tr w14:paraId="6FD499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6" w:type="dxa"/>
            <w:vMerge w:val="continue"/>
            <w:vAlign w:val="center"/>
          </w:tcPr>
          <w:p w14:paraId="248C6797">
            <w:pPr>
              <w:pStyle w:val="16"/>
              <w:spacing w:after="0"/>
              <w:rPr>
                <w:sz w:val="24"/>
              </w:rPr>
            </w:pPr>
          </w:p>
        </w:tc>
        <w:tc>
          <w:tcPr>
            <w:tcW w:w="858" w:type="dxa"/>
            <w:vMerge w:val="continue"/>
            <w:vAlign w:val="center"/>
          </w:tcPr>
          <w:p w14:paraId="396EC494">
            <w:pPr>
              <w:pStyle w:val="16"/>
              <w:spacing w:after="0"/>
              <w:rPr>
                <w:sz w:val="24"/>
              </w:rPr>
            </w:pPr>
          </w:p>
        </w:tc>
        <w:tc>
          <w:tcPr>
            <w:tcW w:w="2286" w:type="dxa"/>
            <w:vAlign w:val="center"/>
          </w:tcPr>
          <w:p w14:paraId="6978287F">
            <w:pPr>
              <w:pStyle w:val="16"/>
              <w:spacing w:after="0"/>
              <w:rPr>
                <w:sz w:val="24"/>
              </w:rPr>
            </w:pPr>
            <w:r>
              <w:rPr>
                <w:sz w:val="24"/>
              </w:rPr>
              <w:t>数据存储完整性</w:t>
            </w:r>
          </w:p>
        </w:tc>
        <w:tc>
          <w:tcPr>
            <w:tcW w:w="3715" w:type="dxa"/>
            <w:vMerge w:val="continue"/>
            <w:vAlign w:val="center"/>
          </w:tcPr>
          <w:p w14:paraId="41B67BF5">
            <w:pPr>
              <w:pStyle w:val="16"/>
              <w:spacing w:after="0"/>
              <w:rPr>
                <w:sz w:val="24"/>
              </w:rPr>
            </w:pPr>
          </w:p>
        </w:tc>
        <w:tc>
          <w:tcPr>
            <w:tcW w:w="1573" w:type="dxa"/>
            <w:vMerge w:val="continue"/>
            <w:vAlign w:val="center"/>
          </w:tcPr>
          <w:p w14:paraId="10BE4E75">
            <w:pPr>
              <w:pStyle w:val="16"/>
              <w:spacing w:after="0"/>
              <w:rPr>
                <w:sz w:val="24"/>
              </w:rPr>
            </w:pPr>
          </w:p>
        </w:tc>
      </w:tr>
      <w:tr w14:paraId="202FC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continue"/>
            <w:vAlign w:val="center"/>
          </w:tcPr>
          <w:p w14:paraId="4A21CE26">
            <w:pPr>
              <w:pStyle w:val="16"/>
              <w:spacing w:after="0"/>
              <w:rPr>
                <w:sz w:val="24"/>
              </w:rPr>
            </w:pPr>
          </w:p>
        </w:tc>
        <w:tc>
          <w:tcPr>
            <w:tcW w:w="858" w:type="dxa"/>
            <w:vMerge w:val="continue"/>
            <w:vAlign w:val="center"/>
          </w:tcPr>
          <w:p w14:paraId="0DEE525D">
            <w:pPr>
              <w:pStyle w:val="16"/>
              <w:spacing w:after="0"/>
              <w:rPr>
                <w:sz w:val="24"/>
              </w:rPr>
            </w:pPr>
          </w:p>
        </w:tc>
        <w:tc>
          <w:tcPr>
            <w:tcW w:w="2286" w:type="dxa"/>
            <w:vAlign w:val="center"/>
          </w:tcPr>
          <w:p w14:paraId="0ADA6300">
            <w:pPr>
              <w:pStyle w:val="16"/>
              <w:spacing w:after="0"/>
              <w:rPr>
                <w:sz w:val="24"/>
              </w:rPr>
            </w:pPr>
            <w:r>
              <w:rPr>
                <w:sz w:val="24"/>
              </w:rPr>
              <w:t>不可否认性</w:t>
            </w:r>
          </w:p>
        </w:tc>
        <w:tc>
          <w:tcPr>
            <w:tcW w:w="3715" w:type="dxa"/>
            <w:vAlign w:val="center"/>
          </w:tcPr>
          <w:p w14:paraId="7714A6BA">
            <w:pPr>
              <w:pStyle w:val="16"/>
              <w:spacing w:after="0"/>
              <w:rPr>
                <w:sz w:val="24"/>
              </w:rPr>
            </w:pPr>
            <w:r>
              <w:rPr>
                <w:sz w:val="24"/>
              </w:rPr>
              <w:t>保护系统中流转审批数据的不可否认性，确保发送方对已经发生的操作行为无法否认。</w:t>
            </w:r>
          </w:p>
        </w:tc>
        <w:tc>
          <w:tcPr>
            <w:tcW w:w="1573" w:type="dxa"/>
            <w:vAlign w:val="center"/>
          </w:tcPr>
          <w:p w14:paraId="6E4D2275">
            <w:pPr>
              <w:pStyle w:val="16"/>
              <w:spacing w:after="0"/>
              <w:rPr>
                <w:sz w:val="24"/>
              </w:rPr>
            </w:pPr>
            <w:r>
              <w:rPr>
                <w:sz w:val="24"/>
              </w:rPr>
              <w:t>无</w:t>
            </w:r>
          </w:p>
        </w:tc>
      </w:tr>
      <w:tr w14:paraId="528C4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continue"/>
            <w:vAlign w:val="center"/>
          </w:tcPr>
          <w:p w14:paraId="646A35EB">
            <w:pPr>
              <w:pStyle w:val="16"/>
              <w:spacing w:after="0"/>
              <w:rPr>
                <w:sz w:val="24"/>
              </w:rPr>
            </w:pPr>
          </w:p>
        </w:tc>
        <w:tc>
          <w:tcPr>
            <w:tcW w:w="858" w:type="dxa"/>
            <w:vMerge w:val="continue"/>
            <w:vAlign w:val="center"/>
          </w:tcPr>
          <w:p w14:paraId="59A361B8">
            <w:pPr>
              <w:pStyle w:val="16"/>
              <w:spacing w:after="0"/>
              <w:rPr>
                <w:sz w:val="24"/>
              </w:rPr>
            </w:pPr>
          </w:p>
        </w:tc>
        <w:tc>
          <w:tcPr>
            <w:tcW w:w="2286" w:type="dxa"/>
            <w:vAlign w:val="center"/>
          </w:tcPr>
          <w:p w14:paraId="6BE8B884">
            <w:pPr>
              <w:pStyle w:val="16"/>
              <w:spacing w:after="0"/>
              <w:rPr>
                <w:sz w:val="24"/>
              </w:rPr>
            </w:pPr>
            <w:r>
              <w:rPr>
                <w:sz w:val="24"/>
              </w:rPr>
              <w:t>密码服务</w:t>
            </w:r>
          </w:p>
        </w:tc>
        <w:tc>
          <w:tcPr>
            <w:tcW w:w="3715" w:type="dxa"/>
            <w:vAlign w:val="center"/>
          </w:tcPr>
          <w:p w14:paraId="59FB96A3">
            <w:pPr>
              <w:pStyle w:val="16"/>
              <w:spacing w:after="0"/>
              <w:rPr>
                <w:sz w:val="24"/>
              </w:rPr>
            </w:pPr>
            <w:r>
              <w:rPr>
                <w:sz w:val="24"/>
              </w:rPr>
              <w:t>采用的数字证书由具有电子认证服务资质的机构签发。</w:t>
            </w:r>
          </w:p>
        </w:tc>
        <w:tc>
          <w:tcPr>
            <w:tcW w:w="1573" w:type="dxa"/>
            <w:vAlign w:val="center"/>
          </w:tcPr>
          <w:p w14:paraId="23CEE0A1">
            <w:pPr>
              <w:pStyle w:val="16"/>
              <w:spacing w:after="0"/>
              <w:rPr>
                <w:sz w:val="24"/>
              </w:rPr>
            </w:pPr>
            <w:r>
              <w:rPr>
                <w:sz w:val="24"/>
              </w:rPr>
              <w:t>无</w:t>
            </w:r>
          </w:p>
        </w:tc>
      </w:tr>
      <w:tr w14:paraId="443E3D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856" w:type="dxa"/>
            <w:vMerge w:val="continue"/>
            <w:vAlign w:val="center"/>
          </w:tcPr>
          <w:p w14:paraId="6B52D2A1">
            <w:pPr>
              <w:pStyle w:val="16"/>
              <w:spacing w:after="0"/>
              <w:rPr>
                <w:sz w:val="24"/>
              </w:rPr>
            </w:pPr>
          </w:p>
        </w:tc>
        <w:tc>
          <w:tcPr>
            <w:tcW w:w="858" w:type="dxa"/>
            <w:vMerge w:val="continue"/>
            <w:vAlign w:val="center"/>
          </w:tcPr>
          <w:p w14:paraId="63674F7D">
            <w:pPr>
              <w:pStyle w:val="16"/>
              <w:spacing w:after="0"/>
              <w:rPr>
                <w:sz w:val="24"/>
              </w:rPr>
            </w:pPr>
          </w:p>
        </w:tc>
        <w:tc>
          <w:tcPr>
            <w:tcW w:w="2286" w:type="dxa"/>
            <w:vAlign w:val="center"/>
          </w:tcPr>
          <w:p w14:paraId="0D6168EC">
            <w:pPr>
              <w:pStyle w:val="16"/>
              <w:spacing w:after="0"/>
              <w:rPr>
                <w:sz w:val="24"/>
              </w:rPr>
            </w:pPr>
            <w:r>
              <w:rPr>
                <w:sz w:val="24"/>
              </w:rPr>
              <w:t>密码产品</w:t>
            </w:r>
          </w:p>
        </w:tc>
        <w:tc>
          <w:tcPr>
            <w:tcW w:w="3715" w:type="dxa"/>
            <w:vAlign w:val="center"/>
          </w:tcPr>
          <w:p w14:paraId="6D02D889">
            <w:pPr>
              <w:pStyle w:val="16"/>
              <w:spacing w:after="0"/>
              <w:rPr>
                <w:sz w:val="24"/>
              </w:rPr>
            </w:pPr>
            <w:r>
              <w:rPr>
                <w:sz w:val="24"/>
              </w:rPr>
              <w:t>采用的密码产品，应达到GB/T 37092-2018二级及以上安全要求。</w:t>
            </w:r>
          </w:p>
        </w:tc>
        <w:tc>
          <w:tcPr>
            <w:tcW w:w="1573" w:type="dxa"/>
            <w:vAlign w:val="center"/>
          </w:tcPr>
          <w:p w14:paraId="2139DF75">
            <w:pPr>
              <w:pStyle w:val="16"/>
              <w:spacing w:after="0"/>
              <w:rPr>
                <w:sz w:val="24"/>
              </w:rPr>
            </w:pPr>
            <w:r>
              <w:rPr>
                <w:sz w:val="24"/>
              </w:rPr>
              <w:t>无</w:t>
            </w:r>
          </w:p>
        </w:tc>
      </w:tr>
    </w:tbl>
    <w:p w14:paraId="715CBE02">
      <w:pPr>
        <w:pStyle w:val="3"/>
        <w:rPr>
          <w:rFonts w:ascii="Times New Roman" w:hAnsi="Times New Roman"/>
        </w:rPr>
      </w:pPr>
      <w:bookmarkStart w:id="34" w:name="_Toc63785512"/>
      <w:r>
        <w:rPr>
          <w:rFonts w:ascii="Times New Roman" w:hAnsi="Times New Roman"/>
        </w:rPr>
        <w:t>技术文件要求</w:t>
      </w:r>
    </w:p>
    <w:p w14:paraId="2A1CD28D">
      <w:pPr>
        <w:rPr>
          <w:rFonts w:ascii="Times New Roman" w:hAnsi="Times New Roman"/>
        </w:rPr>
      </w:pPr>
      <w:r>
        <w:rPr>
          <w:rFonts w:hint="eastAsia" w:ascii="Times New Roman" w:hAnsi="Times New Roman"/>
        </w:rPr>
        <w:t>供应商</w:t>
      </w:r>
      <w:r>
        <w:rPr>
          <w:rFonts w:ascii="Times New Roman" w:hAnsi="Times New Roman"/>
        </w:rPr>
        <w:t>提供的书面技术资料应能确保系统正常运行所需的管理、运营及维护有关的全套文件。技术文件应该全面、完整、详细。</w:t>
      </w:r>
      <w:r>
        <w:rPr>
          <w:rFonts w:hint="eastAsia" w:ascii="Times New Roman" w:hAnsi="Times New Roman"/>
        </w:rPr>
        <w:t>供应商</w:t>
      </w:r>
      <w:r>
        <w:rPr>
          <w:rFonts w:ascii="Times New Roman" w:hAnsi="Times New Roman"/>
        </w:rPr>
        <w:t>提供的技术文件至少应包括：</w:t>
      </w:r>
    </w:p>
    <w:p w14:paraId="3AC42B77">
      <w:pPr>
        <w:rPr>
          <w:rFonts w:ascii="Times New Roman" w:hAnsi="Times New Roman"/>
        </w:rPr>
      </w:pPr>
      <w:r>
        <w:rPr>
          <w:rFonts w:ascii="Times New Roman" w:hAnsi="Times New Roman"/>
        </w:rPr>
        <w:t xml:space="preserve">－ 系统说明文件； </w:t>
      </w:r>
    </w:p>
    <w:p w14:paraId="63D3F298">
      <w:pPr>
        <w:rPr>
          <w:rFonts w:ascii="Times New Roman" w:hAnsi="Times New Roman"/>
        </w:rPr>
      </w:pPr>
      <w:r>
        <w:rPr>
          <w:rFonts w:ascii="Times New Roman" w:hAnsi="Times New Roman"/>
        </w:rPr>
        <w:t xml:space="preserve">－ 技术手册(安装、测试、操作、维护、故障排除等)； </w:t>
      </w:r>
    </w:p>
    <w:p w14:paraId="3E4AB222">
      <w:pPr>
        <w:rPr>
          <w:rFonts w:ascii="Times New Roman" w:hAnsi="Times New Roman"/>
        </w:rPr>
      </w:pPr>
      <w:r>
        <w:rPr>
          <w:rFonts w:ascii="Times New Roman" w:hAnsi="Times New Roman"/>
        </w:rPr>
        <w:t>－ 项目文档，应该包括：</w:t>
      </w:r>
    </w:p>
    <w:p w14:paraId="10373A71">
      <w:pPr>
        <w:ind w:left="360"/>
        <w:rPr>
          <w:rFonts w:hint="eastAsia" w:cs="宋体"/>
        </w:rPr>
      </w:pPr>
      <w:r>
        <w:rPr>
          <w:rFonts w:hint="eastAsia" w:cs="宋体"/>
        </w:rPr>
        <w:t>(1)软件需求说明书</w:t>
      </w:r>
    </w:p>
    <w:p w14:paraId="130A925C">
      <w:pPr>
        <w:ind w:left="360"/>
        <w:rPr>
          <w:rFonts w:hint="eastAsia" w:cs="宋体"/>
        </w:rPr>
      </w:pPr>
      <w:r>
        <w:rPr>
          <w:rFonts w:hint="eastAsia" w:cs="宋体"/>
        </w:rPr>
        <w:t>(2)系统总体设计说明书</w:t>
      </w:r>
    </w:p>
    <w:p w14:paraId="60AAB628">
      <w:pPr>
        <w:ind w:left="360"/>
        <w:rPr>
          <w:rFonts w:hint="eastAsia" w:cs="宋体"/>
        </w:rPr>
      </w:pPr>
      <w:r>
        <w:rPr>
          <w:rFonts w:hint="eastAsia" w:cs="宋体"/>
        </w:rPr>
        <w:t>(3)应用软件功能清单</w:t>
      </w:r>
    </w:p>
    <w:p w14:paraId="291DE33D">
      <w:pPr>
        <w:rPr>
          <w:rFonts w:ascii="Times New Roman" w:hAnsi="Times New Roman"/>
        </w:rPr>
      </w:pPr>
      <w:r>
        <w:rPr>
          <w:rFonts w:ascii="Times New Roman" w:hAnsi="Times New Roman"/>
        </w:rPr>
        <w:t>提供全套技术文件纸介质3套以及电子文件1套。</w:t>
      </w:r>
    </w:p>
    <w:p w14:paraId="37379474">
      <w:pPr>
        <w:pStyle w:val="2"/>
        <w:rPr>
          <w:rFonts w:ascii="Times New Roman" w:hAnsi="Times New Roman"/>
        </w:rPr>
      </w:pPr>
      <w:r>
        <w:rPr>
          <w:rFonts w:ascii="Times New Roman" w:hAnsi="Times New Roman"/>
        </w:rPr>
        <w:t>供应商资质要求</w:t>
      </w:r>
    </w:p>
    <w:p w14:paraId="37E3A343">
      <w:pPr>
        <w:rPr>
          <w:rFonts w:hint="eastAsia" w:cs="宋体"/>
        </w:rPr>
      </w:pPr>
      <w:r>
        <w:rPr>
          <w:rFonts w:hint="eastAsia" w:cs="宋体"/>
        </w:rPr>
        <w:t>1、符合《中华人民共和国政府采购法》第二十二条规定的供应商。</w:t>
      </w:r>
    </w:p>
    <w:p w14:paraId="32FB1CC1">
      <w:pPr>
        <w:rPr>
          <w:rFonts w:hint="eastAsia" w:cs="宋体"/>
        </w:rPr>
      </w:pPr>
      <w:r>
        <w:rPr>
          <w:rFonts w:hint="eastAsia" w:cs="宋体"/>
        </w:rPr>
        <w:t>2、根据《上海市政府采购供应商登记及诚信管理办法》已登记入库的供应商。</w:t>
      </w:r>
    </w:p>
    <w:p w14:paraId="668AE2AA">
      <w:pPr>
        <w:rPr>
          <w:rFonts w:hint="eastAsia" w:cs="宋体"/>
        </w:rPr>
      </w:pPr>
      <w:r>
        <w:rPr>
          <w:rFonts w:hint="eastAsia" w:cs="宋体"/>
        </w:rPr>
        <w:t>3、其他资格要求：</w:t>
      </w:r>
    </w:p>
    <w:p w14:paraId="792689B1">
      <w:pPr>
        <w:rPr>
          <w:rFonts w:hint="eastAsia" w:cs="宋体"/>
        </w:rPr>
      </w:pPr>
      <w:r>
        <w:rPr>
          <w:rFonts w:hint="eastAsia" w:cs="宋体"/>
        </w:rPr>
        <w:t>3.1本项目面向大、中、小、微型等各类供应商采购。</w:t>
      </w:r>
    </w:p>
    <w:p w14:paraId="415D6B21">
      <w:pPr>
        <w:rPr>
          <w:rFonts w:ascii="Times New Roman" w:hAnsi="Times New Roman"/>
        </w:rPr>
      </w:pPr>
      <w:r>
        <w:rPr>
          <w:rFonts w:hint="eastAsia" w:cs="宋体"/>
        </w:rPr>
        <w:t>3.2未被列入“信用中国”网站(www.creditchina.gov.cn)失信被执行人名单、重大税收违法案件当事人名单和中国政府采购网(www.ccgp.gov.cn)政府采购严</w:t>
      </w:r>
      <w:r>
        <w:rPr>
          <w:rFonts w:ascii="Times New Roman" w:hAnsi="Times New Roman"/>
        </w:rPr>
        <w:t>重违法失信行为记录名单。</w:t>
      </w:r>
    </w:p>
    <w:p w14:paraId="599F140E">
      <w:pPr>
        <w:pStyle w:val="2"/>
        <w:rPr>
          <w:rFonts w:ascii="Times New Roman" w:hAnsi="Times New Roman"/>
        </w:rPr>
      </w:pPr>
      <w:r>
        <w:rPr>
          <w:rFonts w:ascii="Times New Roman" w:hAnsi="Times New Roman"/>
        </w:rPr>
        <w:t>供应商管理要求</w:t>
      </w:r>
      <w:bookmarkEnd w:id="34"/>
    </w:p>
    <w:p w14:paraId="7E97F865">
      <w:pPr>
        <w:pStyle w:val="81"/>
        <w:ind w:firstLine="480"/>
        <w:rPr>
          <w:rFonts w:hint="eastAsia" w:cs="宋体"/>
          <w:sz w:val="24"/>
          <w:szCs w:val="24"/>
        </w:rPr>
      </w:pPr>
      <w:r>
        <w:rPr>
          <w:rFonts w:hint="eastAsia" w:cs="宋体"/>
          <w:sz w:val="24"/>
          <w:szCs w:val="24"/>
        </w:rPr>
        <w:t>1、在项目实施期间，成交供应商应严格执行国家、地方、行业有关本项目业务管理和安全作业的法律、法规和制度并按规定承担相应的费用。成交供应商因违反规定等原因造成的一切损失和责任由成交供应商自行承担。</w:t>
      </w:r>
    </w:p>
    <w:p w14:paraId="32C0C776">
      <w:pPr>
        <w:pStyle w:val="81"/>
        <w:ind w:firstLine="480"/>
        <w:rPr>
          <w:rFonts w:hint="eastAsia" w:cs="宋体"/>
          <w:sz w:val="24"/>
          <w:szCs w:val="24"/>
        </w:rPr>
      </w:pPr>
      <w:r>
        <w:rPr>
          <w:rFonts w:hint="eastAsia" w:cs="宋体"/>
          <w:sz w:val="24"/>
          <w:szCs w:val="24"/>
        </w:rPr>
        <w:t>2、成交供应商在响应文件中承诺并经采购人认定的项目负责人及专业技术人员必需是本单位职工（在本单位缴纳社会保障金）和该项目实施现场的实际操作者，应具有类似本项目的实施经验，并应在软件应用调研、安装、试运行等期间常驻项目现场。未经采购人同意，成交供应商不得调换或撤离上述人员。如采购人认为有必要，可要求成交供应商对上述人员中的部分人员作出更好的调整。</w:t>
      </w:r>
    </w:p>
    <w:p w14:paraId="135B43DC">
      <w:pPr>
        <w:pStyle w:val="81"/>
        <w:ind w:firstLine="480"/>
        <w:rPr>
          <w:rFonts w:hint="eastAsia" w:cs="宋体"/>
          <w:sz w:val="24"/>
          <w:szCs w:val="24"/>
        </w:rPr>
      </w:pPr>
      <w:r>
        <w:rPr>
          <w:rFonts w:hint="eastAsia" w:cs="宋体"/>
          <w:sz w:val="24"/>
          <w:szCs w:val="24"/>
        </w:rPr>
        <w:t>3、成交供应商在项目实施期间，应按项目实际进度与环节落实所对应项目整体及各环节管理工作，按照规范做好项目实施期间相关管理与实施记录。</w:t>
      </w:r>
    </w:p>
    <w:p w14:paraId="341BECDE">
      <w:pPr>
        <w:pStyle w:val="81"/>
        <w:ind w:firstLine="480"/>
        <w:rPr>
          <w:rFonts w:hint="eastAsia" w:cs="宋体"/>
          <w:sz w:val="24"/>
          <w:szCs w:val="24"/>
        </w:rPr>
      </w:pPr>
      <w:r>
        <w:rPr>
          <w:rFonts w:hint="eastAsia" w:cs="宋体"/>
          <w:sz w:val="24"/>
          <w:szCs w:val="24"/>
        </w:rPr>
        <w:t>4、参与本项目的工作人员应严格遵循采购人的安全制度，保障采购人资料和设备的安全。如需进入采购人机房工作，只能在采购人规定的工作区域内对项目涉及的设备进行操作，严禁触动与项目无关的任何设备（包括任何操作行为），如需跨区操作必需得到采购人项目联系人确认。</w:t>
      </w:r>
    </w:p>
    <w:p w14:paraId="3980E021">
      <w:pPr>
        <w:pStyle w:val="81"/>
        <w:ind w:firstLine="480"/>
        <w:rPr>
          <w:rFonts w:hint="eastAsia" w:cs="宋体"/>
          <w:sz w:val="24"/>
          <w:szCs w:val="24"/>
        </w:rPr>
      </w:pPr>
      <w:r>
        <w:rPr>
          <w:rFonts w:hint="eastAsia" w:cs="宋体"/>
          <w:sz w:val="24"/>
          <w:szCs w:val="24"/>
        </w:rPr>
        <w:t>5、成交供应商在项目实施期间必需遵守采购人的规章制度并提供实施人员名单。</w:t>
      </w:r>
    </w:p>
    <w:p w14:paraId="3DCCD6A0">
      <w:pPr>
        <w:pStyle w:val="81"/>
        <w:ind w:firstLine="480"/>
        <w:rPr>
          <w:rFonts w:hint="eastAsia" w:cs="宋体"/>
          <w:sz w:val="24"/>
          <w:szCs w:val="24"/>
        </w:rPr>
      </w:pPr>
      <w:r>
        <w:rPr>
          <w:rFonts w:hint="eastAsia" w:cs="宋体"/>
          <w:sz w:val="24"/>
          <w:szCs w:val="24"/>
        </w:rPr>
        <w:t>6、各供应商在响应文件中要结合本项目的特点和采购人上述的具体要求制定相应的管理措施，并在报价中列支相应的费用清单，供应商报价中未列支上述费用清单的，上述费用视为已包含在供应商的总报价中。</w:t>
      </w:r>
    </w:p>
    <w:p w14:paraId="75244C67">
      <w:pPr>
        <w:pStyle w:val="81"/>
        <w:ind w:firstLine="480"/>
        <w:rPr>
          <w:rFonts w:hint="eastAsia" w:cs="宋体"/>
        </w:rPr>
      </w:pPr>
      <w:r>
        <w:rPr>
          <w:rFonts w:hint="eastAsia" w:cs="宋体"/>
          <w:sz w:val="24"/>
          <w:szCs w:val="24"/>
        </w:rPr>
        <w:t>7、本项目软件开发及调试将纳入采购人的管理范围，成交供应商在此过程中需服从上述单位的管理协调。</w:t>
      </w:r>
    </w:p>
    <w:p w14:paraId="41FC1874">
      <w:pPr>
        <w:pStyle w:val="2"/>
        <w:rPr>
          <w:rFonts w:ascii="Times New Roman" w:hAnsi="Times New Roman"/>
        </w:rPr>
      </w:pPr>
      <w:bookmarkStart w:id="35" w:name="_Toc63785513"/>
      <w:r>
        <w:rPr>
          <w:rFonts w:ascii="Times New Roman" w:hAnsi="Times New Roman"/>
        </w:rPr>
        <w:t>关于转让和分包的规定</w:t>
      </w:r>
    </w:p>
    <w:p w14:paraId="3D9F70A2">
      <w:pPr>
        <w:spacing w:line="560" w:lineRule="exact"/>
        <w:rPr>
          <w:rFonts w:ascii="Times New Roman" w:hAnsi="Times New Roman" w:eastAsia="仿宋_GB2312"/>
          <w:b/>
          <w:sz w:val="28"/>
          <w:szCs w:val="28"/>
        </w:rPr>
      </w:pPr>
      <w:r>
        <w:rPr>
          <w:rFonts w:ascii="Times New Roman" w:hAnsi="Times New Roman"/>
        </w:rPr>
        <w:t>本项目不得转让不得分包</w:t>
      </w:r>
      <w:r>
        <w:rPr>
          <w:rFonts w:ascii="Times New Roman" w:hAnsi="Times New Roman" w:eastAsia="仿宋_GB2312"/>
          <w:b/>
          <w:sz w:val="28"/>
          <w:szCs w:val="28"/>
        </w:rPr>
        <w:t>。</w:t>
      </w:r>
    </w:p>
    <w:p w14:paraId="0F70AB7A">
      <w:pPr>
        <w:pStyle w:val="2"/>
        <w:rPr>
          <w:rFonts w:ascii="Times New Roman" w:hAnsi="Times New Roman"/>
        </w:rPr>
      </w:pPr>
      <w:r>
        <w:rPr>
          <w:rFonts w:ascii="Times New Roman" w:hAnsi="Times New Roman"/>
        </w:rPr>
        <w:t>知识产权及保密要求</w:t>
      </w:r>
      <w:bookmarkEnd w:id="35"/>
    </w:p>
    <w:p w14:paraId="1049CB7F">
      <w:pPr>
        <w:ind w:firstLine="482"/>
        <w:rPr>
          <w:rFonts w:ascii="Times New Roman" w:hAnsi="Times New Roman"/>
          <w:b/>
        </w:rPr>
      </w:pPr>
      <w:r>
        <w:rPr>
          <w:rFonts w:ascii="Times New Roman" w:hAnsi="Times New Roman"/>
          <w:b/>
        </w:rPr>
        <w:t>1、</w:t>
      </w:r>
      <w:r>
        <w:rPr>
          <w:rFonts w:hint="eastAsia" w:ascii="Times New Roman" w:hAnsi="Times New Roman"/>
          <w:b/>
        </w:rPr>
        <w:t>成交供应商</w:t>
      </w:r>
      <w:r>
        <w:rPr>
          <w:rFonts w:ascii="Times New Roman" w:hAnsi="Times New Roman"/>
          <w:b/>
        </w:rPr>
        <w:t>数据、文件、资料知识产权</w:t>
      </w:r>
    </w:p>
    <w:p w14:paraId="0EAD0124">
      <w:pPr>
        <w:rPr>
          <w:rFonts w:ascii="Times New Roman" w:hAnsi="Times New Roman"/>
        </w:rPr>
      </w:pPr>
      <w:r>
        <w:rPr>
          <w:rFonts w:hint="eastAsia" w:ascii="Times New Roman" w:hAnsi="Times New Roman"/>
        </w:rPr>
        <w:t>成交供应商</w:t>
      </w:r>
      <w:r>
        <w:rPr>
          <w:rFonts w:ascii="Times New Roman" w:hAnsi="Times New Roman"/>
        </w:rPr>
        <w:t>保证其所提供的服务和交付的成果以及在履行本项目义务中使用到的所有数据、文件、信息不会引起任何第三方在专利权、著作权、商标权等知识产权方面向采购人或采购人的关联方及合作方（包括但不限于采购人的主管单位和采购人的合作单位等）发出侵权指控或提出索赔。若有，</w:t>
      </w:r>
      <w:r>
        <w:rPr>
          <w:rFonts w:hint="eastAsia" w:ascii="Times New Roman" w:hAnsi="Times New Roman"/>
        </w:rPr>
        <w:t>成交供应商</w:t>
      </w:r>
      <w:r>
        <w:rPr>
          <w:rFonts w:ascii="Times New Roman" w:hAnsi="Times New Roman"/>
        </w:rPr>
        <w:t>应负责与第三方解决纠纷，若因此导致采购人损失的，采购人有权要求</w:t>
      </w:r>
      <w:r>
        <w:rPr>
          <w:rFonts w:hint="eastAsia" w:ascii="Times New Roman" w:hAnsi="Times New Roman"/>
        </w:rPr>
        <w:t>成交供应商</w:t>
      </w:r>
      <w:r>
        <w:rPr>
          <w:rFonts w:ascii="Times New Roman" w:hAnsi="Times New Roman"/>
        </w:rPr>
        <w:t>赔偿采购人因此遭受的全部损失，包括但不限于直接损失、间接损失、诉讼费／仲裁费、律师费、公证费、鉴定费等。</w:t>
      </w:r>
    </w:p>
    <w:p w14:paraId="4B00351B">
      <w:pPr>
        <w:rPr>
          <w:rFonts w:ascii="Times New Roman" w:hAnsi="Times New Roman"/>
        </w:rPr>
      </w:pPr>
      <w:r>
        <w:rPr>
          <w:rFonts w:hint="eastAsia" w:ascii="Times New Roman" w:hAnsi="Times New Roman"/>
        </w:rPr>
        <w:t>成交供应商</w:t>
      </w:r>
      <w:r>
        <w:rPr>
          <w:rFonts w:ascii="Times New Roman" w:hAnsi="Times New Roman"/>
        </w:rPr>
        <w:t>因履行本项目而产生的所有成果的知识产权等权利均归采购人所有，</w:t>
      </w:r>
      <w:r>
        <w:rPr>
          <w:rFonts w:hint="eastAsia" w:ascii="Times New Roman" w:hAnsi="Times New Roman"/>
        </w:rPr>
        <w:t>成交供应商</w:t>
      </w:r>
      <w:r>
        <w:rPr>
          <w:rFonts w:ascii="Times New Roman" w:hAnsi="Times New Roman"/>
        </w:rPr>
        <w:t>应配合采购人进行相关权利登记或申请。未经采购人书面同意，</w:t>
      </w:r>
      <w:r>
        <w:rPr>
          <w:rFonts w:hint="eastAsia" w:ascii="Times New Roman" w:hAnsi="Times New Roman"/>
        </w:rPr>
        <w:t>成交供应商</w:t>
      </w:r>
      <w:r>
        <w:rPr>
          <w:rFonts w:ascii="Times New Roman" w:hAnsi="Times New Roman"/>
        </w:rPr>
        <w:t>不得以任何形式使用或许可他人使用本项目成果的相关内容，不得擅自对外公开发表或向任何第三方透露。</w:t>
      </w:r>
    </w:p>
    <w:p w14:paraId="13711D37">
      <w:pPr>
        <w:rPr>
          <w:rFonts w:ascii="Times New Roman" w:hAnsi="Times New Roman"/>
        </w:rPr>
      </w:pPr>
      <w:r>
        <w:rPr>
          <w:rFonts w:ascii="Times New Roman" w:hAnsi="Times New Roman"/>
        </w:rPr>
        <w:t>在不影响上述条款规定的由采购人取得所有成果的知识产权的前提下，双方因履行本项目而被授权接触或使用对方之知识产权（包括但不限于商标、专利、著作权等），和/或任何其他相关资料、数据等涉及的任何权利，均不视为向另一方转让上述权利或在本项目范围外授权许可另一方使用上述权利，上述权利仍应属于提供方，并仅可使用于本项目，被授权接触或使用方未经提供方书面同意，不得擅自挪作他用。</w:t>
      </w:r>
    </w:p>
    <w:p w14:paraId="0B4D4C54">
      <w:pPr>
        <w:ind w:firstLine="482"/>
        <w:rPr>
          <w:rFonts w:ascii="Times New Roman" w:hAnsi="Times New Roman"/>
          <w:b/>
        </w:rPr>
      </w:pPr>
      <w:r>
        <w:rPr>
          <w:rFonts w:ascii="Times New Roman" w:hAnsi="Times New Roman"/>
          <w:b/>
        </w:rPr>
        <w:t>2、项目保密要求</w:t>
      </w:r>
    </w:p>
    <w:p w14:paraId="59996EC9">
      <w:pPr>
        <w:rPr>
          <w:rFonts w:ascii="Times New Roman" w:hAnsi="Times New Roman"/>
        </w:rPr>
      </w:pPr>
      <w:r>
        <w:rPr>
          <w:rFonts w:hint="eastAsia" w:ascii="Times New Roman" w:hAnsi="Times New Roman"/>
        </w:rPr>
        <w:t>成交供应商</w:t>
      </w:r>
      <w:r>
        <w:rPr>
          <w:rFonts w:ascii="Times New Roman" w:hAnsi="Times New Roman"/>
        </w:rPr>
        <w:t>因履行本项目而知悉的所有数据、信息和资料（包括但不限于账号信息、图表、文字、计算过程、任何形式的文件、访谈记录、现场实测数据、采购人相关工作程序等）以及因履行本项目而形成的数据、信息和任何形式的工作成果，均是采购人要求保密的信息。未经采购人书面同意，</w:t>
      </w:r>
      <w:r>
        <w:rPr>
          <w:rFonts w:hint="eastAsia" w:ascii="Times New Roman" w:hAnsi="Times New Roman"/>
        </w:rPr>
        <w:t>成交供应商</w:t>
      </w:r>
      <w:r>
        <w:rPr>
          <w:rFonts w:ascii="Times New Roman" w:hAnsi="Times New Roman"/>
        </w:rPr>
        <w:t>不得对外泄露采购人要求保密的信息，不得用于其他用途，否则</w:t>
      </w:r>
      <w:r>
        <w:rPr>
          <w:rFonts w:hint="eastAsia" w:ascii="Times New Roman" w:hAnsi="Times New Roman"/>
        </w:rPr>
        <w:t>成交供应商</w:t>
      </w:r>
      <w:r>
        <w:rPr>
          <w:rFonts w:ascii="Times New Roman" w:hAnsi="Times New Roman"/>
        </w:rPr>
        <w:t>需承担由此引起的法律责任和经济责任，包括但不限于直接损失、间接损失、律师费、诉讼费/仲裁费、调查费、公证费等。</w:t>
      </w:r>
    </w:p>
    <w:p w14:paraId="2C08394B">
      <w:pPr>
        <w:rPr>
          <w:rFonts w:ascii="Times New Roman" w:hAnsi="Times New Roman"/>
        </w:rPr>
      </w:pPr>
      <w:r>
        <w:rPr>
          <w:rFonts w:hint="eastAsia" w:ascii="Times New Roman" w:hAnsi="Times New Roman"/>
        </w:rPr>
        <w:t>成交供应商</w:t>
      </w:r>
      <w:r>
        <w:rPr>
          <w:rFonts w:ascii="Times New Roman" w:hAnsi="Times New Roman"/>
        </w:rPr>
        <w:t>应采取必要的有效措施保证其参与本项目的人员（包括</w:t>
      </w:r>
      <w:r>
        <w:rPr>
          <w:rFonts w:hint="eastAsia" w:ascii="Times New Roman" w:hAnsi="Times New Roman"/>
        </w:rPr>
        <w:t>成交供应商</w:t>
      </w:r>
      <w:r>
        <w:rPr>
          <w:rFonts w:ascii="Times New Roman" w:hAnsi="Times New Roman"/>
        </w:rPr>
        <w:t>聘用的人员、借调的人员、实习的人员）无论是在职或离职后，以及</w:t>
      </w:r>
      <w:r>
        <w:rPr>
          <w:rFonts w:hint="eastAsia" w:ascii="Times New Roman" w:hAnsi="Times New Roman"/>
        </w:rPr>
        <w:t>成交供应商</w:t>
      </w:r>
      <w:r>
        <w:rPr>
          <w:rFonts w:ascii="Times New Roman" w:hAnsi="Times New Roman"/>
        </w:rPr>
        <w:t>的合作方无论是合作中或合作终止后，都能够履行本项目约定的保密义务。若</w:t>
      </w:r>
      <w:r>
        <w:rPr>
          <w:rFonts w:hint="eastAsia" w:ascii="Times New Roman" w:hAnsi="Times New Roman"/>
        </w:rPr>
        <w:t>成交供应商</w:t>
      </w:r>
      <w:r>
        <w:rPr>
          <w:rFonts w:ascii="Times New Roman" w:hAnsi="Times New Roman"/>
        </w:rPr>
        <w:t>人员或</w:t>
      </w:r>
      <w:r>
        <w:rPr>
          <w:rFonts w:hint="eastAsia" w:ascii="Times New Roman" w:hAnsi="Times New Roman"/>
        </w:rPr>
        <w:t>成交供应商</w:t>
      </w:r>
      <w:r>
        <w:rPr>
          <w:rFonts w:ascii="Times New Roman" w:hAnsi="Times New Roman"/>
        </w:rPr>
        <w:t>合作方违反保密规定，</w:t>
      </w:r>
      <w:r>
        <w:rPr>
          <w:rFonts w:hint="eastAsia" w:ascii="Times New Roman" w:hAnsi="Times New Roman"/>
        </w:rPr>
        <w:t>成交供应商</w:t>
      </w:r>
      <w:r>
        <w:rPr>
          <w:rFonts w:ascii="Times New Roman" w:hAnsi="Times New Roman"/>
        </w:rPr>
        <w:t>应承担连带责任。</w:t>
      </w:r>
    </w:p>
    <w:p w14:paraId="6C789A00">
      <w:pPr>
        <w:rPr>
          <w:rFonts w:ascii="Times New Roman" w:hAnsi="Times New Roman"/>
        </w:rPr>
      </w:pPr>
      <w:r>
        <w:rPr>
          <w:rFonts w:hint="eastAsia" w:ascii="Times New Roman" w:hAnsi="Times New Roman"/>
        </w:rPr>
        <w:t>成交供应商</w:t>
      </w:r>
      <w:r>
        <w:rPr>
          <w:rFonts w:ascii="Times New Roman" w:hAnsi="Times New Roman"/>
        </w:rPr>
        <w:t>（含</w:t>
      </w:r>
      <w:r>
        <w:rPr>
          <w:rFonts w:hint="eastAsia" w:ascii="Times New Roman" w:hAnsi="Times New Roman"/>
        </w:rPr>
        <w:t>成交供应商</w:t>
      </w:r>
      <w:r>
        <w:rPr>
          <w:rFonts w:ascii="Times New Roman" w:hAnsi="Times New Roman"/>
        </w:rPr>
        <w:t>参与本项目的人员以及其合作方）未经采购方书面许可，不得以任何形式自行使用或以任何方式向第三方披露、转让、授权、出售与本项目有关的技术成果、计算机软件、源代码、策划文档、技术诀窍、秘密信息、技术资料和其他文件。</w:t>
      </w:r>
    </w:p>
    <w:p w14:paraId="5F7D9351">
      <w:pPr>
        <w:rPr>
          <w:rFonts w:ascii="Times New Roman" w:hAnsi="Times New Roman"/>
        </w:rPr>
      </w:pPr>
      <w:r>
        <w:rPr>
          <w:rFonts w:ascii="Times New Roman" w:hAnsi="Times New Roman"/>
        </w:rPr>
        <w:t>以上内容的保密期限自</w:t>
      </w:r>
      <w:r>
        <w:rPr>
          <w:rFonts w:hint="eastAsia" w:ascii="Times New Roman" w:hAnsi="Times New Roman"/>
        </w:rPr>
        <w:t>成交供应商</w:t>
      </w:r>
      <w:r>
        <w:rPr>
          <w:rFonts w:ascii="Times New Roman" w:hAnsi="Times New Roman"/>
        </w:rPr>
        <w:t>知悉保密信息起始至保密信息被合法公开之日止。</w:t>
      </w:r>
    </w:p>
    <w:p w14:paraId="479BC9EC">
      <w:pPr>
        <w:ind w:firstLine="482"/>
        <w:rPr>
          <w:rFonts w:ascii="Times New Roman" w:hAnsi="Times New Roman"/>
          <w:b/>
        </w:rPr>
      </w:pPr>
      <w:r>
        <w:rPr>
          <w:rFonts w:ascii="Times New Roman" w:hAnsi="Times New Roman"/>
          <w:b/>
        </w:rPr>
        <w:t>3、临时账号等使用要求</w:t>
      </w:r>
    </w:p>
    <w:p w14:paraId="5F6D0106">
      <w:pPr>
        <w:rPr>
          <w:rFonts w:ascii="Times New Roman" w:hAnsi="Times New Roman"/>
        </w:rPr>
      </w:pPr>
      <w:r>
        <w:rPr>
          <w:rFonts w:hint="eastAsia" w:ascii="Times New Roman" w:hAnsi="Times New Roman"/>
        </w:rPr>
        <w:t>成交供应商</w:t>
      </w:r>
      <w:r>
        <w:rPr>
          <w:rFonts w:ascii="Times New Roman" w:hAnsi="Times New Roman"/>
        </w:rPr>
        <w:t>对采购人提拱的临时使用账号要保密，不得公开，对组件开发的账号密码需进行加密，避免信息安全的泄露。未经采购人的同意不得利用采购人的网络及平台进行短信、彩信、微信发送,造成的一切后果由</w:t>
      </w:r>
      <w:r>
        <w:rPr>
          <w:rFonts w:hint="eastAsia" w:ascii="Times New Roman" w:hAnsi="Times New Roman"/>
        </w:rPr>
        <w:t>成交供应商</w:t>
      </w:r>
      <w:r>
        <w:rPr>
          <w:rFonts w:ascii="Times New Roman" w:hAnsi="Times New Roman"/>
        </w:rPr>
        <w:t>负责。</w:t>
      </w:r>
    </w:p>
    <w:p w14:paraId="0F756395">
      <w:pPr>
        <w:pStyle w:val="2"/>
        <w:rPr>
          <w:rFonts w:ascii="Times New Roman" w:hAnsi="Times New Roman"/>
        </w:rPr>
      </w:pPr>
      <w:bookmarkStart w:id="36" w:name="_Toc65170093"/>
      <w:r>
        <w:rPr>
          <w:rFonts w:ascii="Times New Roman" w:hAnsi="Times New Roman"/>
        </w:rPr>
        <w:t>项目的变更、解除和终止</w:t>
      </w:r>
    </w:p>
    <w:p w14:paraId="63C9A9FD">
      <w:pPr>
        <w:rPr>
          <w:rFonts w:ascii="Times New Roman" w:hAnsi="Times New Roman"/>
        </w:rPr>
      </w:pPr>
      <w:r>
        <w:rPr>
          <w:rFonts w:ascii="Times New Roman" w:hAnsi="Times New Roman"/>
        </w:rPr>
        <w:t>如果</w:t>
      </w:r>
      <w:r>
        <w:rPr>
          <w:rFonts w:hint="eastAsia" w:ascii="Times New Roman" w:hAnsi="Times New Roman"/>
        </w:rPr>
        <w:t>成交供应商</w:t>
      </w:r>
      <w:r>
        <w:rPr>
          <w:rFonts w:ascii="Times New Roman" w:hAnsi="Times New Roman"/>
        </w:rPr>
        <w:t>丧失履约能力、发生资不抵债或进入破产程序，采购人可在任何时候以书面形式通知</w:t>
      </w:r>
      <w:r>
        <w:rPr>
          <w:rFonts w:hint="eastAsia" w:ascii="Times New Roman" w:hAnsi="Times New Roman"/>
        </w:rPr>
        <w:t>成交供应商</w:t>
      </w:r>
      <w:r>
        <w:rPr>
          <w:rFonts w:ascii="Times New Roman" w:hAnsi="Times New Roman"/>
        </w:rPr>
        <w:t>终止本项目的执行而不给予</w:t>
      </w:r>
      <w:r>
        <w:rPr>
          <w:rFonts w:hint="eastAsia" w:ascii="Times New Roman" w:hAnsi="Times New Roman"/>
        </w:rPr>
        <w:t>成交供应商</w:t>
      </w:r>
      <w:r>
        <w:rPr>
          <w:rFonts w:ascii="Times New Roman" w:hAnsi="Times New Roman"/>
        </w:rPr>
        <w:t>补偿。该终止本项目将不损害或影响采购人已经采取或将要采取任何行动或补救措施的权利。</w:t>
      </w:r>
    </w:p>
    <w:p w14:paraId="0900A423">
      <w:pPr>
        <w:rPr>
          <w:rFonts w:ascii="Times New Roman" w:hAnsi="Times New Roman"/>
        </w:rPr>
      </w:pPr>
      <w:r>
        <w:rPr>
          <w:rFonts w:ascii="Times New Roman" w:hAnsi="Times New Roman"/>
        </w:rPr>
        <w:t>如遇国家、行业管理部门等机构的有关标准和规定调整的，导致本项目内容</w:t>
      </w:r>
      <w:r>
        <w:rPr>
          <w:rFonts w:hint="eastAsia" w:ascii="Times New Roman" w:hAnsi="Times New Roman"/>
        </w:rPr>
        <w:t>需</w:t>
      </w:r>
      <w:r>
        <w:rPr>
          <w:rFonts w:ascii="Times New Roman" w:hAnsi="Times New Roman"/>
        </w:rPr>
        <w:t>做相应调整时，双方应按照公平、合理的原则共同协商修改本项目对应的合同的相关条款。</w:t>
      </w:r>
    </w:p>
    <w:p w14:paraId="55803F81">
      <w:pPr>
        <w:pStyle w:val="2"/>
        <w:rPr>
          <w:rFonts w:ascii="Times New Roman" w:hAnsi="Times New Roman"/>
        </w:rPr>
      </w:pPr>
      <w:r>
        <w:rPr>
          <w:rFonts w:ascii="Times New Roman" w:hAnsi="Times New Roman"/>
        </w:rPr>
        <w:t>违约责任</w:t>
      </w:r>
      <w:bookmarkEnd w:id="36"/>
    </w:p>
    <w:p w14:paraId="2B6A540E">
      <w:pPr>
        <w:rPr>
          <w:rFonts w:ascii="Times New Roman" w:hAnsi="Times New Roman"/>
        </w:rPr>
      </w:pPr>
      <w:r>
        <w:rPr>
          <w:rFonts w:ascii="Times New Roman" w:hAnsi="Times New Roman"/>
        </w:rPr>
        <w:t>1、如</w:t>
      </w:r>
      <w:r>
        <w:rPr>
          <w:rFonts w:hint="eastAsia" w:ascii="Times New Roman" w:hAnsi="Times New Roman"/>
        </w:rPr>
        <w:t>成交供应商</w:t>
      </w:r>
      <w:r>
        <w:rPr>
          <w:rFonts w:ascii="Times New Roman" w:hAnsi="Times New Roman"/>
        </w:rPr>
        <w:t>未按约定的时间或服务标准完成建设工作，采购人可要求</w:t>
      </w:r>
      <w:r>
        <w:rPr>
          <w:rFonts w:hint="eastAsia" w:ascii="Times New Roman" w:hAnsi="Times New Roman"/>
        </w:rPr>
        <w:t>成交供应商</w:t>
      </w:r>
      <w:r>
        <w:rPr>
          <w:rFonts w:ascii="Times New Roman" w:hAnsi="Times New Roman"/>
        </w:rPr>
        <w:t>在规定的时间内采取补救措施。</w:t>
      </w:r>
      <w:r>
        <w:rPr>
          <w:rFonts w:hint="eastAsia" w:ascii="Times New Roman" w:hAnsi="Times New Roman"/>
        </w:rPr>
        <w:t>成交供应商</w:t>
      </w:r>
      <w:r>
        <w:rPr>
          <w:rFonts w:ascii="Times New Roman" w:hAnsi="Times New Roman"/>
        </w:rPr>
        <w:t>还应向采购人支付本项目费用总额30%的违约金，违约金不足以弥补采购人损失的，采购人有权要求</w:t>
      </w:r>
      <w:r>
        <w:rPr>
          <w:rFonts w:hint="eastAsia" w:ascii="Times New Roman" w:hAnsi="Times New Roman"/>
        </w:rPr>
        <w:t>成交供应商</w:t>
      </w:r>
      <w:r>
        <w:rPr>
          <w:rFonts w:ascii="Times New Roman" w:hAnsi="Times New Roman"/>
        </w:rPr>
        <w:t>赔偿超过部分。</w:t>
      </w:r>
    </w:p>
    <w:p w14:paraId="012F232D">
      <w:pPr>
        <w:rPr>
          <w:rFonts w:ascii="Times New Roman" w:hAnsi="Times New Roman"/>
        </w:rPr>
      </w:pPr>
      <w:r>
        <w:rPr>
          <w:rFonts w:ascii="Times New Roman" w:hAnsi="Times New Roman"/>
        </w:rPr>
        <w:t>2、因</w:t>
      </w:r>
      <w:r>
        <w:rPr>
          <w:rFonts w:hint="eastAsia" w:ascii="Times New Roman" w:hAnsi="Times New Roman"/>
        </w:rPr>
        <w:t>成交供应商</w:t>
      </w:r>
      <w:r>
        <w:rPr>
          <w:rFonts w:ascii="Times New Roman" w:hAnsi="Times New Roman"/>
        </w:rPr>
        <w:t>违反保密义务或知识产权约定的，采购人有权要求</w:t>
      </w:r>
      <w:r>
        <w:rPr>
          <w:rFonts w:hint="eastAsia" w:ascii="Times New Roman" w:hAnsi="Times New Roman"/>
        </w:rPr>
        <w:t>成交供应商</w:t>
      </w:r>
      <w:r>
        <w:rPr>
          <w:rFonts w:ascii="Times New Roman" w:hAnsi="Times New Roman"/>
        </w:rPr>
        <w:t>支付本项目费用总额30%的违约金，违约金不足以弥补采购人损失的，采购人有权要求</w:t>
      </w:r>
      <w:r>
        <w:rPr>
          <w:rFonts w:hint="eastAsia" w:ascii="Times New Roman" w:hAnsi="Times New Roman"/>
        </w:rPr>
        <w:t>成交供应商</w:t>
      </w:r>
      <w:r>
        <w:rPr>
          <w:rFonts w:ascii="Times New Roman" w:hAnsi="Times New Roman"/>
        </w:rPr>
        <w:t>赔偿超过部分。若</w:t>
      </w:r>
      <w:r>
        <w:rPr>
          <w:rFonts w:hint="eastAsia" w:ascii="Times New Roman" w:hAnsi="Times New Roman"/>
        </w:rPr>
        <w:t>成交供应商</w:t>
      </w:r>
      <w:r>
        <w:rPr>
          <w:rFonts w:ascii="Times New Roman" w:hAnsi="Times New Roman"/>
        </w:rPr>
        <w:t>违反保密义务，采购人还有权立即单方解除合同而不承担任何违约责任。</w:t>
      </w:r>
    </w:p>
    <w:p w14:paraId="3C3B4ED2">
      <w:pPr>
        <w:rPr>
          <w:rFonts w:ascii="Times New Roman" w:hAnsi="Times New Roman"/>
        </w:rPr>
      </w:pPr>
      <w:r>
        <w:rPr>
          <w:rFonts w:ascii="Times New Roman" w:hAnsi="Times New Roman"/>
        </w:rPr>
        <w:t>3、</w:t>
      </w:r>
      <w:r>
        <w:rPr>
          <w:rFonts w:hint="eastAsia" w:ascii="Times New Roman" w:hAnsi="Times New Roman"/>
        </w:rPr>
        <w:t>成交供应商</w:t>
      </w:r>
      <w:r>
        <w:rPr>
          <w:rFonts w:ascii="Times New Roman" w:hAnsi="Times New Roman"/>
        </w:rPr>
        <w:t>有其他违反本项目合同约定的行为，</w:t>
      </w:r>
      <w:r>
        <w:rPr>
          <w:rFonts w:hint="eastAsia" w:ascii="Times New Roman" w:hAnsi="Times New Roman"/>
        </w:rPr>
        <w:t>成交供应商</w:t>
      </w:r>
      <w:r>
        <w:rPr>
          <w:rFonts w:ascii="Times New Roman" w:hAnsi="Times New Roman"/>
        </w:rPr>
        <w:t>应当支付本项目总价款金额的20%作为违约金，违约金不足以弥补采购人损失的，采购人有权要求</w:t>
      </w:r>
      <w:r>
        <w:rPr>
          <w:rFonts w:hint="eastAsia" w:ascii="Times New Roman" w:hAnsi="Times New Roman"/>
        </w:rPr>
        <w:t>成交供应商</w:t>
      </w:r>
      <w:r>
        <w:rPr>
          <w:rFonts w:ascii="Times New Roman" w:hAnsi="Times New Roman"/>
        </w:rPr>
        <w:t>赔偿超过部分。</w:t>
      </w:r>
    </w:p>
    <w:p w14:paraId="23011691">
      <w:pPr>
        <w:rPr>
          <w:rFonts w:ascii="Times New Roman" w:hAnsi="Times New Roman"/>
        </w:rPr>
      </w:pPr>
      <w:r>
        <w:rPr>
          <w:rFonts w:ascii="Times New Roman" w:hAnsi="Times New Roman"/>
        </w:rPr>
        <w:t>4、</w:t>
      </w:r>
      <w:r>
        <w:rPr>
          <w:rFonts w:hint="eastAsia" w:ascii="Times New Roman" w:hAnsi="Times New Roman"/>
        </w:rPr>
        <w:t>成交供应商</w:t>
      </w:r>
      <w:r>
        <w:rPr>
          <w:rFonts w:ascii="Times New Roman" w:hAnsi="Times New Roman"/>
        </w:rPr>
        <w:t>有下列情形之一，采购人有权解除合同：</w:t>
      </w:r>
    </w:p>
    <w:p w14:paraId="744440A6">
      <w:pPr>
        <w:rPr>
          <w:rFonts w:ascii="Times New Roman" w:hAnsi="Times New Roman"/>
        </w:rPr>
      </w:pPr>
      <w:r>
        <w:rPr>
          <w:rFonts w:ascii="Times New Roman" w:hAnsi="Times New Roman"/>
        </w:rPr>
        <w:t>（1）因</w:t>
      </w:r>
      <w:r>
        <w:rPr>
          <w:rFonts w:hint="eastAsia" w:ascii="Times New Roman" w:hAnsi="Times New Roman"/>
        </w:rPr>
        <w:t>成交供应商</w:t>
      </w:r>
      <w:r>
        <w:rPr>
          <w:rFonts w:ascii="Times New Roman" w:hAnsi="Times New Roman"/>
        </w:rPr>
        <w:t>服务质量问题导致采购人无法实现目的；</w:t>
      </w:r>
    </w:p>
    <w:p w14:paraId="09F56EAC">
      <w:pPr>
        <w:rPr>
          <w:rFonts w:ascii="Times New Roman" w:hAnsi="Times New Roman"/>
        </w:rPr>
      </w:pPr>
      <w:r>
        <w:rPr>
          <w:rFonts w:ascii="Times New Roman" w:hAnsi="Times New Roman"/>
        </w:rPr>
        <w:t>（2）擅自转让或者分包其应履行的义务的；</w:t>
      </w:r>
    </w:p>
    <w:p w14:paraId="42E0A834">
      <w:pPr>
        <w:rPr>
          <w:rFonts w:ascii="Times New Roman" w:hAnsi="Times New Roman"/>
        </w:rPr>
      </w:pPr>
      <w:r>
        <w:rPr>
          <w:rFonts w:ascii="Times New Roman" w:hAnsi="Times New Roman"/>
        </w:rPr>
        <w:t>（3）违反或者未履行本项目合同约定的其他相关义务，且在采购人要求的合理时间内未能纠正的。</w:t>
      </w:r>
    </w:p>
    <w:p w14:paraId="555B77F0">
      <w:pPr>
        <w:rPr>
          <w:rFonts w:ascii="Times New Roman" w:hAnsi="Times New Roman"/>
        </w:rPr>
      </w:pPr>
      <w:bookmarkStart w:id="37" w:name="_Toc63785516"/>
      <w:bookmarkStart w:id="38" w:name="_Toc68798863"/>
      <w:r>
        <w:rPr>
          <w:rFonts w:ascii="Times New Roman" w:hAnsi="Times New Roman"/>
        </w:rPr>
        <w:br w:type="page"/>
      </w:r>
    </w:p>
    <w:bookmarkEnd w:id="37"/>
    <w:p w14:paraId="039DF357">
      <w:pPr>
        <w:pStyle w:val="2"/>
        <w:rPr>
          <w:rFonts w:ascii="Times New Roman" w:hAnsi="Times New Roman"/>
        </w:rPr>
      </w:pPr>
      <w:bookmarkStart w:id="39" w:name="_GoBack"/>
      <w:bookmarkEnd w:id="39"/>
      <w:r>
        <w:rPr>
          <w:rFonts w:ascii="Times New Roman" w:hAnsi="Times New Roman"/>
        </w:rPr>
        <w:t>附录</w:t>
      </w:r>
      <w:bookmarkEnd w:id="38"/>
    </w:p>
    <w:p w14:paraId="413C0992">
      <w:pPr>
        <w:ind w:firstLine="0" w:firstLineChars="0"/>
        <w:rPr>
          <w:rFonts w:ascii="Times New Roman" w:hAnsi="Times New Roman"/>
        </w:rPr>
      </w:pPr>
      <w:r>
        <w:rPr>
          <w:rFonts w:ascii="Times New Roman" w:hAnsi="Times New Roman"/>
        </w:rPr>
        <w:t>1、《政务网络安全监测平台总体技术要求》</w:t>
      </w:r>
    </w:p>
    <w:p w14:paraId="531F214B">
      <w:pPr>
        <w:ind w:firstLine="0" w:firstLineChars="0"/>
        <w:rPr>
          <w:rFonts w:ascii="Times New Roman" w:hAnsi="Times New Roman"/>
        </w:rPr>
      </w:pPr>
      <w:r>
        <w:rPr>
          <w:rFonts w:ascii="Times New Roman" w:hAnsi="Times New Roman"/>
        </w:rPr>
        <w:object>
          <v:shape id="_x0000_i1025" o:spt="75" type="#_x0000_t75" style="height:55.35pt;width:77pt;" o:ole="t" filled="f" o:preferrelative="t" stroked="f" coordsize="21600,21600">
            <v:path/>
            <v:fill on="f" focussize="0,0"/>
            <v:stroke on="f" joinstyle="miter"/>
            <v:imagedata r:id="rId13" o:title=""/>
            <o:lock v:ext="edit" aspectratio="t"/>
            <w10:wrap type="none"/>
            <w10:anchorlock/>
          </v:shape>
          <o:OLEObject Type="Embed" ProgID="Package" ShapeID="_x0000_i1025" DrawAspect="Icon" ObjectID="_1468075725" r:id="rId12">
            <o:LockedField>false</o:LockedField>
          </o:OLEObject>
        </w:object>
      </w:r>
    </w:p>
    <w:p w14:paraId="5F0FFC60">
      <w:pPr>
        <w:ind w:firstLine="0" w:firstLineChars="0"/>
        <w:jc w:val="left"/>
        <w:rPr>
          <w:rFonts w:ascii="Times New Roman" w:hAnsi="Times New Roman"/>
        </w:rPr>
      </w:pPr>
      <w:r>
        <w:rPr>
          <w:rFonts w:ascii="Times New Roman" w:hAnsi="Times New Roman"/>
        </w:rPr>
        <w:t>2、《上海市电子政务外网建设和运行管理指南（试行）》</w:t>
      </w:r>
    </w:p>
    <w:p w14:paraId="3E94C8F5">
      <w:pPr>
        <w:ind w:firstLine="0" w:firstLineChars="0"/>
        <w:jc w:val="left"/>
        <w:rPr>
          <w:rFonts w:ascii="Times New Roman" w:hAnsi="Times New Roman"/>
        </w:rPr>
      </w:pPr>
      <w:r>
        <w:rPr>
          <w:rFonts w:ascii="Times New Roman" w:hAnsi="Times New Roman"/>
        </w:rPr>
        <w:object>
          <v:shape id="_x0000_i1026" o:spt="75" type="#_x0000_t75" style="height:55.35pt;width:77pt;" o:ole="t" filled="f" o:preferrelative="t" stroked="f" coordsize="21600,21600">
            <v:path/>
            <v:fill on="f" focussize="0,0"/>
            <v:stroke on="f" joinstyle="miter"/>
            <v:imagedata r:id="rId15" o:title=""/>
            <o:lock v:ext="edit" aspectratio="t"/>
            <w10:wrap type="none"/>
            <w10:anchorlock/>
          </v:shape>
          <o:OLEObject Type="Embed" ProgID="Package" ShapeID="_x0000_i1026" DrawAspect="Icon" ObjectID="_1468075726" r:id="rId14">
            <o:LockedField>false</o:LockedField>
          </o:OLEObject>
        </w:object>
      </w:r>
    </w:p>
    <w:p w14:paraId="6AFA3FA4">
      <w:pPr>
        <w:ind w:firstLine="0" w:firstLineChars="0"/>
        <w:jc w:val="left"/>
        <w:rPr>
          <w:rFonts w:ascii="Times New Roman" w:hAnsi="Times New Roman"/>
          <w:b/>
          <w:bCs/>
        </w:rPr>
      </w:pPr>
      <w:r>
        <w:rPr>
          <w:rFonts w:ascii="Times New Roman" w:hAnsi="Times New Roman"/>
        </w:rPr>
        <w:t>3、其他标准</w:t>
      </w:r>
    </w:p>
    <w:sectPr>
      <w:pgSz w:w="11906" w:h="16838"/>
      <w:pgMar w:top="1134" w:right="1797" w:bottom="1135" w:left="1797" w:header="340" w:footer="7"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Arial">
    <w:altName w:val="DejaVu Sans"/>
    <w:panose1 w:val="020B0604020202020204"/>
    <w:charset w:val="00"/>
    <w:family w:val="swiss"/>
    <w:pitch w:val="default"/>
    <w:sig w:usb0="00000000" w:usb1="00000000" w:usb2="00000009" w:usb3="00000000" w:csb0="000001FF" w:csb1="00000000"/>
  </w:font>
  <w:font w:name="方正黑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0000019F" w:csb1="00000000"/>
  </w:font>
  <w:font w:name="Noto Sans Syriac Eastern">
    <w:panose1 w:val="02040503050306020203"/>
    <w:charset w:val="86"/>
    <w:family w:val="auto"/>
    <w:pitch w:val="default"/>
    <w:sig w:usb0="00000000" w:usb1="00000000" w:usb2="00000080" w:usb3="00000000" w:csb0="203E0161" w:csb1="D7FF0000"/>
  </w:font>
  <w:font w:name="等线">
    <w:altName w:val="汉仪中宋简"/>
    <w:panose1 w:val="02010600030101010101"/>
    <w:charset w:val="86"/>
    <w:family w:val="auto"/>
    <w:pitch w:val="default"/>
    <w:sig w:usb0="00000000" w:usb1="00000000" w:usb2="00000016" w:usb3="00000000" w:csb0="0004000F" w:csb1="00000000"/>
  </w:font>
  <w:font w:name="汉仪中宋简">
    <w:panose1 w:val="02010600000101010101"/>
    <w:charset w:val="86"/>
    <w:family w:val="auto"/>
    <w:pitch w:val="default"/>
    <w:sig w:usb0="00000001" w:usb1="080E0800" w:usb2="00000002"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Courier New">
    <w:altName w:val="DejaVu Sans"/>
    <w:panose1 w:val="02070309020205020404"/>
    <w:charset w:val="00"/>
    <w:family w:val="modern"/>
    <w:pitch w:val="default"/>
    <w:sig w:usb0="00000000" w:usb1="00000000" w:usb2="00000009" w:usb3="00000000" w:csb0="000001FF" w:csb1="00000000"/>
  </w:font>
  <w:font w:name="Calibri Light">
    <w:altName w:val="DejaVu Sans"/>
    <w:panose1 w:val="020F0302020204030204"/>
    <w:charset w:val="00"/>
    <w:family w:val="swiss"/>
    <w:pitch w:val="default"/>
    <w:sig w:usb0="00000000" w:usb1="00000000" w:usb2="00000009" w:usb3="00000000" w:csb0="000001FF" w:csb1="00000000"/>
  </w:font>
  <w:font w:name="Arial Unicode MS">
    <w:altName w:val="DejaVu Sans"/>
    <w:panose1 w:val="020B0604020202020204"/>
    <w:charset w:val="86"/>
    <w:family w:val="swiss"/>
    <w:pitch w:val="default"/>
    <w:sig w:usb0="00000000" w:usb1="00000000" w:usb2="0000003F" w:usb3="00000000" w:csb0="003F01FF" w:csb1="00000000"/>
  </w:font>
  <w:font w:name="等线 Light">
    <w:altName w:val="汉仪中宋简"/>
    <w:panose1 w:val="02010600030101010101"/>
    <w:charset w:val="86"/>
    <w:family w:val="auto"/>
    <w:pitch w:val="default"/>
    <w:sig w:usb0="00000000" w:usb1="00000000" w:usb2="00000016" w:usb3="00000000" w:csb0="0004000F" w:csb1="00000000"/>
  </w:font>
  <w:font w:name="time">
    <w:altName w:val="思源宋体"/>
    <w:panose1 w:val="00000000000000000000"/>
    <w:charset w:val="00"/>
    <w:family w:val="roman"/>
    <w:pitch w:val="default"/>
    <w:sig w:usb0="00000000" w:usb1="00000000" w:usb2="00000000" w:usb3="00000000" w:csb0="00040001" w:csb1="00000000"/>
  </w:font>
  <w:font w:name="思源宋体">
    <w:panose1 w:val="02020400000000000000"/>
    <w:charset w:val="86"/>
    <w:family w:val="auto"/>
    <w:pitch w:val="default"/>
    <w:sig w:usb0="30000083" w:usb1="2BDF3C10" w:usb2="00000016" w:usb3="00000000" w:csb0="602E0107" w:csb1="00000000"/>
  </w:font>
  <w:font w:name="Microsoft YaHei UI">
    <w:altName w:val="文泉驿微米黑"/>
    <w:panose1 w:val="020B0503020204020204"/>
    <w:charset w:val="86"/>
    <w:family w:val="swiss"/>
    <w:pitch w:val="default"/>
    <w:sig w:usb0="00000000" w:usb1="00000000" w:usb2="00000016" w:usb3="00000000" w:csb0="0004001F" w:csb1="00000000"/>
  </w:font>
  <w:font w:name="文泉驿微米黑">
    <w:panose1 w:val="020B0606030804020204"/>
    <w:charset w:val="86"/>
    <w:family w:val="auto"/>
    <w:pitch w:val="default"/>
    <w:sig w:usb0="E10002EF" w:usb1="6BDFFCFB" w:usb2="00800036" w:usb3="00000000" w:csb0="603E019F" w:csb1="DFD70000"/>
  </w:font>
  <w:font w:name="Microsoft Sans Serif">
    <w:altName w:val="Liberation Sans"/>
    <w:panose1 w:val="020B0604020202020204"/>
    <w:charset w:val="00"/>
    <w:family w:val="swiss"/>
    <w:pitch w:val="default"/>
    <w:sig w:usb0="00000000" w:usb1="00000000" w:usb2="00000029" w:usb3="00000000" w:csb0="000101FF" w:csb1="00000000"/>
  </w:font>
  <w:font w:name="Liberation Sans">
    <w:panose1 w:val="020B0604020202020204"/>
    <w:charset w:val="00"/>
    <w:family w:val="auto"/>
    <w:pitch w:val="default"/>
    <w:sig w:usb0="A00002AF" w:usb1="500078FB" w:usb2="00000000" w:usb3="00000000" w:csb0="6000009F" w:csb1="DFD7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altName w:val="方正黑体_GBK"/>
    <w:panose1 w:val="00000000000000000000"/>
    <w:charset w:val="00"/>
    <w:family w:val="auto"/>
    <w:pitch w:val="default"/>
    <w:sig w:usb0="00000000" w:usb1="00000000" w:usb2="00000000" w:usb3="00000000" w:csb0="00000000" w:csb1="00000000"/>
  </w:font>
  <w:font w:name="Tahoma">
    <w:altName w:val="noto sans thai"/>
    <w:panose1 w:val="00000000000000000000"/>
    <w:charset w:val="00"/>
    <w:family w:val="auto"/>
    <w:pitch w:val="default"/>
    <w:sig w:usb0="00000000" w:usb1="00000000" w:usb2="00000000" w:usb3="00000000" w:csb0="00000000" w:csb1="00000000"/>
  </w:font>
  <w:font w:name="noto sans thai">
    <w:panose1 w:val="020B0502040504020204"/>
    <w:charset w:val="00"/>
    <w:family w:val="auto"/>
    <w:pitch w:val="default"/>
    <w:sig w:usb0="81000063" w:usb1="00002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C3EAC">
    <w:pPr>
      <w:pStyle w:val="2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9608C">
    <w:pPr>
      <w:pStyle w:val="2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63142">
    <w:pPr>
      <w:ind w:firstLine="0" w:firstLineChars="0"/>
      <w:jc w:val="center"/>
      <w:rPr>
        <w:rFonts w:hint="eastAsia"/>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p w14:paraId="1DCBC849">
    <w:pPr>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1E90E">
    <w:pPr>
      <w:pStyle w:val="2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D4086">
    <w:pPr>
      <w:pStyle w:val="2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4787E">
    <w:pPr>
      <w:pStyle w:val="2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BCC7CA"/>
    <w:multiLevelType w:val="singleLevel"/>
    <w:tmpl w:val="8ABCC7CA"/>
    <w:lvl w:ilvl="0" w:tentative="0">
      <w:start w:val="1"/>
      <w:numFmt w:val="decimal"/>
      <w:lvlText w:val="%1)"/>
      <w:lvlJc w:val="left"/>
      <w:pPr>
        <w:ind w:left="425" w:hanging="425"/>
      </w:pPr>
      <w:rPr>
        <w:rFonts w:hint="default"/>
      </w:rPr>
    </w:lvl>
  </w:abstractNum>
  <w:abstractNum w:abstractNumId="1">
    <w:nsid w:val="6350366A"/>
    <w:multiLevelType w:val="multilevel"/>
    <w:tmpl w:val="6350366A"/>
    <w:lvl w:ilvl="0" w:tentative="0">
      <w:start w:val="1"/>
      <w:numFmt w:val="none"/>
      <w:pStyle w:val="113"/>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6A2F4AB3"/>
    <w:multiLevelType w:val="multilevel"/>
    <w:tmpl w:val="6A2F4AB3"/>
    <w:lvl w:ilvl="0" w:tentative="0">
      <w:start w:val="1"/>
      <w:numFmt w:val="chineseCountingThousand"/>
      <w:pStyle w:val="2"/>
      <w:suff w:val="nothing"/>
      <w:lvlText w:val="%1、"/>
      <w:lvlJc w:val="left"/>
      <w:pPr>
        <w:ind w:left="425" w:hanging="425"/>
      </w:pPr>
      <w:rPr>
        <w:rFonts w:hint="eastAsia"/>
        <w:sz w:val="32"/>
        <w:szCs w:val="32"/>
      </w:rPr>
    </w:lvl>
    <w:lvl w:ilvl="1" w:tentative="0">
      <w:start w:val="1"/>
      <w:numFmt w:val="decimal"/>
      <w:pStyle w:val="3"/>
      <w:isLgl/>
      <w:suff w:val="nothing"/>
      <w:lvlText w:val="%1.%2、"/>
      <w:lvlJc w:val="left"/>
      <w:pPr>
        <w:ind w:left="480" w:hanging="567"/>
      </w:pPr>
    </w:lvl>
    <w:lvl w:ilvl="2" w:tentative="0">
      <w:start w:val="1"/>
      <w:numFmt w:val="decimal"/>
      <w:pStyle w:val="4"/>
      <w:isLgl/>
      <w:suff w:val="nothing"/>
      <w:lvlText w:val="%1.%2.%3、"/>
      <w:lvlJc w:val="left"/>
      <w:pPr>
        <w:ind w:left="1069" w:hanging="1069"/>
      </w:pPr>
      <w:rPr>
        <w:rFonts w:hint="default" w:ascii="宋体" w:hAnsi="宋体" w:eastAsia="宋体" w:cs="Arial"/>
      </w:rPr>
    </w:lvl>
    <w:lvl w:ilvl="3" w:tentative="0">
      <w:start w:val="1"/>
      <w:numFmt w:val="decimal"/>
      <w:pStyle w:val="5"/>
      <w:isLgl/>
      <w:suff w:val="nothing"/>
      <w:lvlText w:val="%1.%2.%3.%4、"/>
      <w:lvlJc w:val="left"/>
      <w:pPr>
        <w:ind w:left="3403" w:hanging="851"/>
      </w:pPr>
    </w:lvl>
    <w:lvl w:ilvl="4" w:tentative="0">
      <w:start w:val="1"/>
      <w:numFmt w:val="decimal"/>
      <w:pStyle w:val="6"/>
      <w:isLgl/>
      <w:suff w:val="nothing"/>
      <w:lvlText w:val="%1.%2.%3.%4.%5、"/>
      <w:lvlJc w:val="left"/>
      <w:pPr>
        <w:ind w:left="3544" w:hanging="992"/>
      </w:pPr>
      <w:rPr>
        <w:rFonts w:hint="eastAsia"/>
      </w:rPr>
    </w:lvl>
    <w:lvl w:ilvl="5" w:tentative="0">
      <w:start w:val="1"/>
      <w:numFmt w:val="decimal"/>
      <w:pStyle w:val="7"/>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trackRevisions w:val="1"/>
  <w:documentProtection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0C0"/>
    <w:rsid w:val="0000005A"/>
    <w:rsid w:val="00000AED"/>
    <w:rsid w:val="00002DBA"/>
    <w:rsid w:val="00003516"/>
    <w:rsid w:val="0000380E"/>
    <w:rsid w:val="00005AFD"/>
    <w:rsid w:val="00006563"/>
    <w:rsid w:val="000074F1"/>
    <w:rsid w:val="00007A41"/>
    <w:rsid w:val="00007DA7"/>
    <w:rsid w:val="00012EF0"/>
    <w:rsid w:val="000156DE"/>
    <w:rsid w:val="000165AD"/>
    <w:rsid w:val="000179E9"/>
    <w:rsid w:val="00020C18"/>
    <w:rsid w:val="00021EE6"/>
    <w:rsid w:val="0002280E"/>
    <w:rsid w:val="00022C74"/>
    <w:rsid w:val="00025122"/>
    <w:rsid w:val="000252D5"/>
    <w:rsid w:val="00026997"/>
    <w:rsid w:val="00027A64"/>
    <w:rsid w:val="00032D27"/>
    <w:rsid w:val="00035325"/>
    <w:rsid w:val="00035D5B"/>
    <w:rsid w:val="000378D0"/>
    <w:rsid w:val="00037F2C"/>
    <w:rsid w:val="00042C2A"/>
    <w:rsid w:val="000430EC"/>
    <w:rsid w:val="000447CB"/>
    <w:rsid w:val="00047915"/>
    <w:rsid w:val="00047D06"/>
    <w:rsid w:val="00050FBD"/>
    <w:rsid w:val="0005107A"/>
    <w:rsid w:val="0005192C"/>
    <w:rsid w:val="00052929"/>
    <w:rsid w:val="0005299F"/>
    <w:rsid w:val="000541D7"/>
    <w:rsid w:val="000545C0"/>
    <w:rsid w:val="0005586D"/>
    <w:rsid w:val="00056C0E"/>
    <w:rsid w:val="000574A8"/>
    <w:rsid w:val="000574F8"/>
    <w:rsid w:val="00057A49"/>
    <w:rsid w:val="0006231F"/>
    <w:rsid w:val="00062A05"/>
    <w:rsid w:val="00062EE6"/>
    <w:rsid w:val="0006344E"/>
    <w:rsid w:val="000649E6"/>
    <w:rsid w:val="0006794B"/>
    <w:rsid w:val="00067DCA"/>
    <w:rsid w:val="00070063"/>
    <w:rsid w:val="0007087A"/>
    <w:rsid w:val="000710EC"/>
    <w:rsid w:val="00072237"/>
    <w:rsid w:val="00072ABE"/>
    <w:rsid w:val="00080B39"/>
    <w:rsid w:val="00083950"/>
    <w:rsid w:val="0008452F"/>
    <w:rsid w:val="00084E8E"/>
    <w:rsid w:val="00085A68"/>
    <w:rsid w:val="00090625"/>
    <w:rsid w:val="00090948"/>
    <w:rsid w:val="00091CD1"/>
    <w:rsid w:val="0009460E"/>
    <w:rsid w:val="000951D4"/>
    <w:rsid w:val="000A2146"/>
    <w:rsid w:val="000A2930"/>
    <w:rsid w:val="000A3276"/>
    <w:rsid w:val="000A3C35"/>
    <w:rsid w:val="000A3E30"/>
    <w:rsid w:val="000A5876"/>
    <w:rsid w:val="000A61D0"/>
    <w:rsid w:val="000A6C67"/>
    <w:rsid w:val="000A6DB8"/>
    <w:rsid w:val="000A7596"/>
    <w:rsid w:val="000B11A8"/>
    <w:rsid w:val="000B1959"/>
    <w:rsid w:val="000B2E1C"/>
    <w:rsid w:val="000B4459"/>
    <w:rsid w:val="000B4B46"/>
    <w:rsid w:val="000B5363"/>
    <w:rsid w:val="000B53BA"/>
    <w:rsid w:val="000B642F"/>
    <w:rsid w:val="000B6C99"/>
    <w:rsid w:val="000C3F3C"/>
    <w:rsid w:val="000C5A75"/>
    <w:rsid w:val="000C75E9"/>
    <w:rsid w:val="000C75F7"/>
    <w:rsid w:val="000D0AB2"/>
    <w:rsid w:val="000D225C"/>
    <w:rsid w:val="000D36F2"/>
    <w:rsid w:val="000D4B26"/>
    <w:rsid w:val="000D74DB"/>
    <w:rsid w:val="000E24D6"/>
    <w:rsid w:val="000E6072"/>
    <w:rsid w:val="000E6D61"/>
    <w:rsid w:val="000E7A23"/>
    <w:rsid w:val="000F1C29"/>
    <w:rsid w:val="000F1E9E"/>
    <w:rsid w:val="000F2B10"/>
    <w:rsid w:val="000F3F72"/>
    <w:rsid w:val="00104889"/>
    <w:rsid w:val="001055B2"/>
    <w:rsid w:val="001068F0"/>
    <w:rsid w:val="00106AB8"/>
    <w:rsid w:val="00106C9E"/>
    <w:rsid w:val="00106E16"/>
    <w:rsid w:val="0010768B"/>
    <w:rsid w:val="00111701"/>
    <w:rsid w:val="00112A29"/>
    <w:rsid w:val="001167F6"/>
    <w:rsid w:val="00116C86"/>
    <w:rsid w:val="00121ACF"/>
    <w:rsid w:val="00121D8F"/>
    <w:rsid w:val="00122037"/>
    <w:rsid w:val="0012210C"/>
    <w:rsid w:val="00122A7F"/>
    <w:rsid w:val="00123F98"/>
    <w:rsid w:val="001242A5"/>
    <w:rsid w:val="00124531"/>
    <w:rsid w:val="00126EDF"/>
    <w:rsid w:val="00127BBE"/>
    <w:rsid w:val="00130BAF"/>
    <w:rsid w:val="00131D52"/>
    <w:rsid w:val="001329C1"/>
    <w:rsid w:val="00132C16"/>
    <w:rsid w:val="00135097"/>
    <w:rsid w:val="00136320"/>
    <w:rsid w:val="00136FFA"/>
    <w:rsid w:val="00137AC6"/>
    <w:rsid w:val="00145512"/>
    <w:rsid w:val="001465BD"/>
    <w:rsid w:val="00147B45"/>
    <w:rsid w:val="00150803"/>
    <w:rsid w:val="00151D83"/>
    <w:rsid w:val="001546C9"/>
    <w:rsid w:val="00154FAE"/>
    <w:rsid w:val="00155E77"/>
    <w:rsid w:val="00156A70"/>
    <w:rsid w:val="00160A61"/>
    <w:rsid w:val="00160FC0"/>
    <w:rsid w:val="0016429B"/>
    <w:rsid w:val="00164525"/>
    <w:rsid w:val="00164C50"/>
    <w:rsid w:val="00165CB2"/>
    <w:rsid w:val="00166203"/>
    <w:rsid w:val="00166767"/>
    <w:rsid w:val="001707CB"/>
    <w:rsid w:val="00170C54"/>
    <w:rsid w:val="00171477"/>
    <w:rsid w:val="00172A1A"/>
    <w:rsid w:val="00173251"/>
    <w:rsid w:val="00176BED"/>
    <w:rsid w:val="0017759D"/>
    <w:rsid w:val="001804A5"/>
    <w:rsid w:val="00181C94"/>
    <w:rsid w:val="00182C84"/>
    <w:rsid w:val="00187031"/>
    <w:rsid w:val="00191EA4"/>
    <w:rsid w:val="00192B6C"/>
    <w:rsid w:val="00192C30"/>
    <w:rsid w:val="0019381E"/>
    <w:rsid w:val="00194CF5"/>
    <w:rsid w:val="0019503C"/>
    <w:rsid w:val="00195D94"/>
    <w:rsid w:val="00196F7B"/>
    <w:rsid w:val="001971CB"/>
    <w:rsid w:val="0019795C"/>
    <w:rsid w:val="001A053A"/>
    <w:rsid w:val="001A22A2"/>
    <w:rsid w:val="001A2971"/>
    <w:rsid w:val="001A3D52"/>
    <w:rsid w:val="001A460A"/>
    <w:rsid w:val="001A4A4C"/>
    <w:rsid w:val="001A668A"/>
    <w:rsid w:val="001B0230"/>
    <w:rsid w:val="001B13AB"/>
    <w:rsid w:val="001B3907"/>
    <w:rsid w:val="001B3B49"/>
    <w:rsid w:val="001B4907"/>
    <w:rsid w:val="001B4DC5"/>
    <w:rsid w:val="001B5505"/>
    <w:rsid w:val="001C2180"/>
    <w:rsid w:val="001C29CC"/>
    <w:rsid w:val="001C3217"/>
    <w:rsid w:val="001C3B98"/>
    <w:rsid w:val="001C6028"/>
    <w:rsid w:val="001C6365"/>
    <w:rsid w:val="001C7F57"/>
    <w:rsid w:val="001D0E79"/>
    <w:rsid w:val="001D6049"/>
    <w:rsid w:val="001D7339"/>
    <w:rsid w:val="001E2750"/>
    <w:rsid w:val="001E4343"/>
    <w:rsid w:val="001E52BB"/>
    <w:rsid w:val="001E660A"/>
    <w:rsid w:val="001F05D6"/>
    <w:rsid w:val="001F5B0A"/>
    <w:rsid w:val="001F640F"/>
    <w:rsid w:val="001F6794"/>
    <w:rsid w:val="001F6F65"/>
    <w:rsid w:val="001F771F"/>
    <w:rsid w:val="002002DF"/>
    <w:rsid w:val="00203A6F"/>
    <w:rsid w:val="00205646"/>
    <w:rsid w:val="002063F7"/>
    <w:rsid w:val="002129E5"/>
    <w:rsid w:val="00212AA4"/>
    <w:rsid w:val="00212E13"/>
    <w:rsid w:val="002163C8"/>
    <w:rsid w:val="002179FE"/>
    <w:rsid w:val="00220CC0"/>
    <w:rsid w:val="00221A36"/>
    <w:rsid w:val="00223296"/>
    <w:rsid w:val="0022329B"/>
    <w:rsid w:val="002240F7"/>
    <w:rsid w:val="0022486F"/>
    <w:rsid w:val="00225314"/>
    <w:rsid w:val="00225DF4"/>
    <w:rsid w:val="00226C70"/>
    <w:rsid w:val="00230C8A"/>
    <w:rsid w:val="00231F98"/>
    <w:rsid w:val="002324F8"/>
    <w:rsid w:val="002348B0"/>
    <w:rsid w:val="00235CDC"/>
    <w:rsid w:val="00237E76"/>
    <w:rsid w:val="00240BBE"/>
    <w:rsid w:val="00241525"/>
    <w:rsid w:val="00241D87"/>
    <w:rsid w:val="00243C55"/>
    <w:rsid w:val="00243D5E"/>
    <w:rsid w:val="002451EC"/>
    <w:rsid w:val="00245ED4"/>
    <w:rsid w:val="00246B41"/>
    <w:rsid w:val="0025002B"/>
    <w:rsid w:val="002500DE"/>
    <w:rsid w:val="00252457"/>
    <w:rsid w:val="00252581"/>
    <w:rsid w:val="002535B5"/>
    <w:rsid w:val="002538CB"/>
    <w:rsid w:val="002542BD"/>
    <w:rsid w:val="00255112"/>
    <w:rsid w:val="0025774E"/>
    <w:rsid w:val="00257D64"/>
    <w:rsid w:val="0026340A"/>
    <w:rsid w:val="002654EA"/>
    <w:rsid w:val="002704EA"/>
    <w:rsid w:val="0027061A"/>
    <w:rsid w:val="002719CC"/>
    <w:rsid w:val="002730C5"/>
    <w:rsid w:val="0027337C"/>
    <w:rsid w:val="0027602B"/>
    <w:rsid w:val="00277F5E"/>
    <w:rsid w:val="00280084"/>
    <w:rsid w:val="00280490"/>
    <w:rsid w:val="002860B8"/>
    <w:rsid w:val="0029206E"/>
    <w:rsid w:val="00293382"/>
    <w:rsid w:val="00294F51"/>
    <w:rsid w:val="002A2342"/>
    <w:rsid w:val="002A279E"/>
    <w:rsid w:val="002A4FA3"/>
    <w:rsid w:val="002A7E17"/>
    <w:rsid w:val="002B3606"/>
    <w:rsid w:val="002B3D80"/>
    <w:rsid w:val="002B4402"/>
    <w:rsid w:val="002B4946"/>
    <w:rsid w:val="002B4C41"/>
    <w:rsid w:val="002B588D"/>
    <w:rsid w:val="002C1839"/>
    <w:rsid w:val="002C214A"/>
    <w:rsid w:val="002C28E8"/>
    <w:rsid w:val="002C3027"/>
    <w:rsid w:val="002C674D"/>
    <w:rsid w:val="002C7648"/>
    <w:rsid w:val="002C7DC4"/>
    <w:rsid w:val="002D0821"/>
    <w:rsid w:val="002D1929"/>
    <w:rsid w:val="002D1B73"/>
    <w:rsid w:val="002D3CB0"/>
    <w:rsid w:val="002D4800"/>
    <w:rsid w:val="002D5B21"/>
    <w:rsid w:val="002D6F6D"/>
    <w:rsid w:val="002E1FE6"/>
    <w:rsid w:val="002E2EA7"/>
    <w:rsid w:val="002E36D2"/>
    <w:rsid w:val="002E748B"/>
    <w:rsid w:val="002F2002"/>
    <w:rsid w:val="002F335D"/>
    <w:rsid w:val="002F4E32"/>
    <w:rsid w:val="002F503F"/>
    <w:rsid w:val="002F51DD"/>
    <w:rsid w:val="002F5D08"/>
    <w:rsid w:val="002F6895"/>
    <w:rsid w:val="002F6D13"/>
    <w:rsid w:val="003038D3"/>
    <w:rsid w:val="003049C7"/>
    <w:rsid w:val="00305F0E"/>
    <w:rsid w:val="0030667A"/>
    <w:rsid w:val="003106DE"/>
    <w:rsid w:val="00311530"/>
    <w:rsid w:val="00312D31"/>
    <w:rsid w:val="00315216"/>
    <w:rsid w:val="0031691C"/>
    <w:rsid w:val="00317AEF"/>
    <w:rsid w:val="00317F49"/>
    <w:rsid w:val="0032089B"/>
    <w:rsid w:val="00323450"/>
    <w:rsid w:val="00323D93"/>
    <w:rsid w:val="0032489B"/>
    <w:rsid w:val="0032525B"/>
    <w:rsid w:val="00326A7A"/>
    <w:rsid w:val="00326FEE"/>
    <w:rsid w:val="003315D7"/>
    <w:rsid w:val="00334DE6"/>
    <w:rsid w:val="0033536D"/>
    <w:rsid w:val="003353FF"/>
    <w:rsid w:val="003366B2"/>
    <w:rsid w:val="003366D2"/>
    <w:rsid w:val="00337C79"/>
    <w:rsid w:val="00337FEF"/>
    <w:rsid w:val="0034084C"/>
    <w:rsid w:val="00340D5E"/>
    <w:rsid w:val="003420B5"/>
    <w:rsid w:val="00343646"/>
    <w:rsid w:val="00344CCB"/>
    <w:rsid w:val="00345897"/>
    <w:rsid w:val="00351BFC"/>
    <w:rsid w:val="0035575E"/>
    <w:rsid w:val="003565B4"/>
    <w:rsid w:val="00362E75"/>
    <w:rsid w:val="003631AA"/>
    <w:rsid w:val="003632D5"/>
    <w:rsid w:val="00363575"/>
    <w:rsid w:val="00364EF9"/>
    <w:rsid w:val="00367346"/>
    <w:rsid w:val="00367579"/>
    <w:rsid w:val="0036795B"/>
    <w:rsid w:val="00370A29"/>
    <w:rsid w:val="003722F9"/>
    <w:rsid w:val="00372349"/>
    <w:rsid w:val="00372CBC"/>
    <w:rsid w:val="00373A61"/>
    <w:rsid w:val="00374BDE"/>
    <w:rsid w:val="00376B39"/>
    <w:rsid w:val="003772C0"/>
    <w:rsid w:val="00377BAC"/>
    <w:rsid w:val="00380142"/>
    <w:rsid w:val="00380558"/>
    <w:rsid w:val="00381D3C"/>
    <w:rsid w:val="0038223E"/>
    <w:rsid w:val="00382D92"/>
    <w:rsid w:val="00385AEF"/>
    <w:rsid w:val="003860EA"/>
    <w:rsid w:val="0038781A"/>
    <w:rsid w:val="0039080B"/>
    <w:rsid w:val="0039326E"/>
    <w:rsid w:val="00394E22"/>
    <w:rsid w:val="003967A4"/>
    <w:rsid w:val="00397FA3"/>
    <w:rsid w:val="003A1596"/>
    <w:rsid w:val="003A317E"/>
    <w:rsid w:val="003A345B"/>
    <w:rsid w:val="003A49EE"/>
    <w:rsid w:val="003A674D"/>
    <w:rsid w:val="003A7123"/>
    <w:rsid w:val="003B102E"/>
    <w:rsid w:val="003B2167"/>
    <w:rsid w:val="003B5F5D"/>
    <w:rsid w:val="003B62C8"/>
    <w:rsid w:val="003C0C62"/>
    <w:rsid w:val="003C12DC"/>
    <w:rsid w:val="003C2CDA"/>
    <w:rsid w:val="003D000A"/>
    <w:rsid w:val="003D31E9"/>
    <w:rsid w:val="003D544E"/>
    <w:rsid w:val="003D5980"/>
    <w:rsid w:val="003D6AC6"/>
    <w:rsid w:val="003E0842"/>
    <w:rsid w:val="003E13B0"/>
    <w:rsid w:val="003E2580"/>
    <w:rsid w:val="003E3DEE"/>
    <w:rsid w:val="003E3EBB"/>
    <w:rsid w:val="003E4A4C"/>
    <w:rsid w:val="003E4CBA"/>
    <w:rsid w:val="003E4D2F"/>
    <w:rsid w:val="003E4EDC"/>
    <w:rsid w:val="003E599D"/>
    <w:rsid w:val="003E5C81"/>
    <w:rsid w:val="003E6965"/>
    <w:rsid w:val="003F00E8"/>
    <w:rsid w:val="003F1936"/>
    <w:rsid w:val="003F1BDD"/>
    <w:rsid w:val="003F3BA3"/>
    <w:rsid w:val="003F3BD5"/>
    <w:rsid w:val="003F400E"/>
    <w:rsid w:val="003F6F35"/>
    <w:rsid w:val="003F7768"/>
    <w:rsid w:val="00400E8C"/>
    <w:rsid w:val="004017DC"/>
    <w:rsid w:val="00401B53"/>
    <w:rsid w:val="00402668"/>
    <w:rsid w:val="00403D68"/>
    <w:rsid w:val="00404FEC"/>
    <w:rsid w:val="0040534D"/>
    <w:rsid w:val="00405FAD"/>
    <w:rsid w:val="004117AB"/>
    <w:rsid w:val="00412B2F"/>
    <w:rsid w:val="00415281"/>
    <w:rsid w:val="00415716"/>
    <w:rsid w:val="0041604D"/>
    <w:rsid w:val="00417842"/>
    <w:rsid w:val="00417A6E"/>
    <w:rsid w:val="00420CDF"/>
    <w:rsid w:val="0042285D"/>
    <w:rsid w:val="00427D2B"/>
    <w:rsid w:val="00430B13"/>
    <w:rsid w:val="00430CE5"/>
    <w:rsid w:val="0043153C"/>
    <w:rsid w:val="00431D0F"/>
    <w:rsid w:val="0043481C"/>
    <w:rsid w:val="00444307"/>
    <w:rsid w:val="0044436F"/>
    <w:rsid w:val="004443EB"/>
    <w:rsid w:val="00444432"/>
    <w:rsid w:val="00444673"/>
    <w:rsid w:val="0044621E"/>
    <w:rsid w:val="00447BF1"/>
    <w:rsid w:val="00450BA4"/>
    <w:rsid w:val="004511FC"/>
    <w:rsid w:val="00456784"/>
    <w:rsid w:val="00456DCA"/>
    <w:rsid w:val="00461140"/>
    <w:rsid w:val="004611DB"/>
    <w:rsid w:val="004658B0"/>
    <w:rsid w:val="0046614B"/>
    <w:rsid w:val="00467FD7"/>
    <w:rsid w:val="00470073"/>
    <w:rsid w:val="004730F8"/>
    <w:rsid w:val="00474353"/>
    <w:rsid w:val="00474555"/>
    <w:rsid w:val="004750F4"/>
    <w:rsid w:val="00476CB1"/>
    <w:rsid w:val="00480A48"/>
    <w:rsid w:val="00482501"/>
    <w:rsid w:val="00482E7D"/>
    <w:rsid w:val="00484395"/>
    <w:rsid w:val="004865FB"/>
    <w:rsid w:val="00486C03"/>
    <w:rsid w:val="00491AB3"/>
    <w:rsid w:val="00497A33"/>
    <w:rsid w:val="004A1112"/>
    <w:rsid w:val="004A1DA0"/>
    <w:rsid w:val="004A1F20"/>
    <w:rsid w:val="004A2393"/>
    <w:rsid w:val="004A3569"/>
    <w:rsid w:val="004A452A"/>
    <w:rsid w:val="004A5F2C"/>
    <w:rsid w:val="004A6E4F"/>
    <w:rsid w:val="004A720D"/>
    <w:rsid w:val="004B00D0"/>
    <w:rsid w:val="004B6084"/>
    <w:rsid w:val="004B7AE0"/>
    <w:rsid w:val="004C0BC4"/>
    <w:rsid w:val="004C260D"/>
    <w:rsid w:val="004C2D47"/>
    <w:rsid w:val="004C4357"/>
    <w:rsid w:val="004C4477"/>
    <w:rsid w:val="004C5730"/>
    <w:rsid w:val="004C6397"/>
    <w:rsid w:val="004C668F"/>
    <w:rsid w:val="004C682B"/>
    <w:rsid w:val="004D142C"/>
    <w:rsid w:val="004D29F7"/>
    <w:rsid w:val="004D36D8"/>
    <w:rsid w:val="004D4C5C"/>
    <w:rsid w:val="004D5AB0"/>
    <w:rsid w:val="004D5EAE"/>
    <w:rsid w:val="004D7A0E"/>
    <w:rsid w:val="004E06E7"/>
    <w:rsid w:val="004E0AE3"/>
    <w:rsid w:val="004E20D3"/>
    <w:rsid w:val="004E2C82"/>
    <w:rsid w:val="004E4FAE"/>
    <w:rsid w:val="004E62C7"/>
    <w:rsid w:val="004E68FF"/>
    <w:rsid w:val="004E7A1B"/>
    <w:rsid w:val="004F0B7F"/>
    <w:rsid w:val="004F1193"/>
    <w:rsid w:val="004F11DC"/>
    <w:rsid w:val="004F2124"/>
    <w:rsid w:val="004F271B"/>
    <w:rsid w:val="004F3A52"/>
    <w:rsid w:val="004F449F"/>
    <w:rsid w:val="004F4E7E"/>
    <w:rsid w:val="004F63AB"/>
    <w:rsid w:val="004F6B76"/>
    <w:rsid w:val="004F6C7C"/>
    <w:rsid w:val="004F7F1A"/>
    <w:rsid w:val="004F7FBB"/>
    <w:rsid w:val="005042B3"/>
    <w:rsid w:val="005045AB"/>
    <w:rsid w:val="00505207"/>
    <w:rsid w:val="00507D43"/>
    <w:rsid w:val="005103F2"/>
    <w:rsid w:val="00510E2C"/>
    <w:rsid w:val="00511FDC"/>
    <w:rsid w:val="005124C6"/>
    <w:rsid w:val="00513EBC"/>
    <w:rsid w:val="00514CE1"/>
    <w:rsid w:val="00516030"/>
    <w:rsid w:val="00517155"/>
    <w:rsid w:val="00517DB3"/>
    <w:rsid w:val="005200DC"/>
    <w:rsid w:val="005200F2"/>
    <w:rsid w:val="0052369D"/>
    <w:rsid w:val="005271DB"/>
    <w:rsid w:val="00530D2F"/>
    <w:rsid w:val="0053487C"/>
    <w:rsid w:val="005356E1"/>
    <w:rsid w:val="00536A8B"/>
    <w:rsid w:val="00540418"/>
    <w:rsid w:val="00541A96"/>
    <w:rsid w:val="00541C6A"/>
    <w:rsid w:val="00542C54"/>
    <w:rsid w:val="00546A43"/>
    <w:rsid w:val="00546C70"/>
    <w:rsid w:val="00547258"/>
    <w:rsid w:val="00550CF0"/>
    <w:rsid w:val="005559FE"/>
    <w:rsid w:val="005560D6"/>
    <w:rsid w:val="00556D07"/>
    <w:rsid w:val="005611F2"/>
    <w:rsid w:val="00561734"/>
    <w:rsid w:val="00561952"/>
    <w:rsid w:val="00564B9A"/>
    <w:rsid w:val="00565694"/>
    <w:rsid w:val="00566DD6"/>
    <w:rsid w:val="005714EF"/>
    <w:rsid w:val="005717D9"/>
    <w:rsid w:val="00571CEC"/>
    <w:rsid w:val="00572FCE"/>
    <w:rsid w:val="005750DB"/>
    <w:rsid w:val="005759FC"/>
    <w:rsid w:val="00575B85"/>
    <w:rsid w:val="00576DB9"/>
    <w:rsid w:val="0057738F"/>
    <w:rsid w:val="005805E4"/>
    <w:rsid w:val="0058202F"/>
    <w:rsid w:val="00584221"/>
    <w:rsid w:val="00584EB6"/>
    <w:rsid w:val="00586B68"/>
    <w:rsid w:val="0058774E"/>
    <w:rsid w:val="005878CF"/>
    <w:rsid w:val="00590CA0"/>
    <w:rsid w:val="00595B01"/>
    <w:rsid w:val="00595D73"/>
    <w:rsid w:val="00596D98"/>
    <w:rsid w:val="005979A5"/>
    <w:rsid w:val="005A0021"/>
    <w:rsid w:val="005A017B"/>
    <w:rsid w:val="005A2AEC"/>
    <w:rsid w:val="005A412D"/>
    <w:rsid w:val="005A5212"/>
    <w:rsid w:val="005B002D"/>
    <w:rsid w:val="005B0FFF"/>
    <w:rsid w:val="005B19AF"/>
    <w:rsid w:val="005B258C"/>
    <w:rsid w:val="005B2CCA"/>
    <w:rsid w:val="005B61DD"/>
    <w:rsid w:val="005B6735"/>
    <w:rsid w:val="005B7831"/>
    <w:rsid w:val="005C0CD6"/>
    <w:rsid w:val="005C12D9"/>
    <w:rsid w:val="005C2146"/>
    <w:rsid w:val="005C309D"/>
    <w:rsid w:val="005C544B"/>
    <w:rsid w:val="005C5916"/>
    <w:rsid w:val="005C5AEE"/>
    <w:rsid w:val="005C774A"/>
    <w:rsid w:val="005D3734"/>
    <w:rsid w:val="005D4F16"/>
    <w:rsid w:val="005D5A53"/>
    <w:rsid w:val="005D5DA0"/>
    <w:rsid w:val="005D7FBD"/>
    <w:rsid w:val="005E19B4"/>
    <w:rsid w:val="005E1D6B"/>
    <w:rsid w:val="005E227A"/>
    <w:rsid w:val="005E2CF8"/>
    <w:rsid w:val="005E3126"/>
    <w:rsid w:val="005E7075"/>
    <w:rsid w:val="005E75A7"/>
    <w:rsid w:val="005F293C"/>
    <w:rsid w:val="005F38E2"/>
    <w:rsid w:val="005F3EE6"/>
    <w:rsid w:val="005F6736"/>
    <w:rsid w:val="00602C10"/>
    <w:rsid w:val="00602EBD"/>
    <w:rsid w:val="00604CF2"/>
    <w:rsid w:val="00606DFF"/>
    <w:rsid w:val="00606FB7"/>
    <w:rsid w:val="00610533"/>
    <w:rsid w:val="006110F6"/>
    <w:rsid w:val="00611FA1"/>
    <w:rsid w:val="00612522"/>
    <w:rsid w:val="00612DA6"/>
    <w:rsid w:val="0061365B"/>
    <w:rsid w:val="006138B6"/>
    <w:rsid w:val="00614BC6"/>
    <w:rsid w:val="00614E33"/>
    <w:rsid w:val="006158B8"/>
    <w:rsid w:val="0061706D"/>
    <w:rsid w:val="006173DA"/>
    <w:rsid w:val="00617EF9"/>
    <w:rsid w:val="00620295"/>
    <w:rsid w:val="00622F8E"/>
    <w:rsid w:val="00626AC8"/>
    <w:rsid w:val="00627912"/>
    <w:rsid w:val="0063195F"/>
    <w:rsid w:val="00636C0A"/>
    <w:rsid w:val="00637EC6"/>
    <w:rsid w:val="0064240C"/>
    <w:rsid w:val="00642FF5"/>
    <w:rsid w:val="006430FB"/>
    <w:rsid w:val="00643992"/>
    <w:rsid w:val="00644DBC"/>
    <w:rsid w:val="00646FE6"/>
    <w:rsid w:val="006474CD"/>
    <w:rsid w:val="00647744"/>
    <w:rsid w:val="006479A0"/>
    <w:rsid w:val="006500D9"/>
    <w:rsid w:val="00650DE1"/>
    <w:rsid w:val="00653B54"/>
    <w:rsid w:val="006541A3"/>
    <w:rsid w:val="00654FAD"/>
    <w:rsid w:val="00655C9F"/>
    <w:rsid w:val="006567FF"/>
    <w:rsid w:val="00656867"/>
    <w:rsid w:val="0066109F"/>
    <w:rsid w:val="00663B99"/>
    <w:rsid w:val="00664B26"/>
    <w:rsid w:val="0066596B"/>
    <w:rsid w:val="00670295"/>
    <w:rsid w:val="006704F5"/>
    <w:rsid w:val="00672894"/>
    <w:rsid w:val="00674B47"/>
    <w:rsid w:val="0067609E"/>
    <w:rsid w:val="00676BE1"/>
    <w:rsid w:val="00677749"/>
    <w:rsid w:val="00680E07"/>
    <w:rsid w:val="00682B9D"/>
    <w:rsid w:val="00683806"/>
    <w:rsid w:val="00686AF9"/>
    <w:rsid w:val="006910C0"/>
    <w:rsid w:val="00691954"/>
    <w:rsid w:val="0069320E"/>
    <w:rsid w:val="00693D13"/>
    <w:rsid w:val="00694F58"/>
    <w:rsid w:val="006955BC"/>
    <w:rsid w:val="006959E2"/>
    <w:rsid w:val="00696920"/>
    <w:rsid w:val="00697C9A"/>
    <w:rsid w:val="00697EB9"/>
    <w:rsid w:val="006A20D4"/>
    <w:rsid w:val="006A268D"/>
    <w:rsid w:val="006A350F"/>
    <w:rsid w:val="006A3957"/>
    <w:rsid w:val="006A39A4"/>
    <w:rsid w:val="006A41D6"/>
    <w:rsid w:val="006A669D"/>
    <w:rsid w:val="006A6E41"/>
    <w:rsid w:val="006B012F"/>
    <w:rsid w:val="006B22B8"/>
    <w:rsid w:val="006B27CF"/>
    <w:rsid w:val="006B41BD"/>
    <w:rsid w:val="006B5678"/>
    <w:rsid w:val="006B62B2"/>
    <w:rsid w:val="006C1C57"/>
    <w:rsid w:val="006C5760"/>
    <w:rsid w:val="006C6D6F"/>
    <w:rsid w:val="006D0D78"/>
    <w:rsid w:val="006D1128"/>
    <w:rsid w:val="006D2848"/>
    <w:rsid w:val="006D30E0"/>
    <w:rsid w:val="006D5521"/>
    <w:rsid w:val="006D5543"/>
    <w:rsid w:val="006D5FE9"/>
    <w:rsid w:val="006D6CBB"/>
    <w:rsid w:val="006D76A9"/>
    <w:rsid w:val="006D77F4"/>
    <w:rsid w:val="006E0898"/>
    <w:rsid w:val="006E41CD"/>
    <w:rsid w:val="006F3BEC"/>
    <w:rsid w:val="00703C00"/>
    <w:rsid w:val="007057CC"/>
    <w:rsid w:val="007066F2"/>
    <w:rsid w:val="00706AE5"/>
    <w:rsid w:val="0070740A"/>
    <w:rsid w:val="00711F93"/>
    <w:rsid w:val="00712940"/>
    <w:rsid w:val="00713708"/>
    <w:rsid w:val="0071428C"/>
    <w:rsid w:val="00715A16"/>
    <w:rsid w:val="007164B0"/>
    <w:rsid w:val="007166FF"/>
    <w:rsid w:val="007260CC"/>
    <w:rsid w:val="00726543"/>
    <w:rsid w:val="0073353E"/>
    <w:rsid w:val="007340E9"/>
    <w:rsid w:val="00736633"/>
    <w:rsid w:val="00741EE7"/>
    <w:rsid w:val="00743A79"/>
    <w:rsid w:val="007444D4"/>
    <w:rsid w:val="0074594D"/>
    <w:rsid w:val="007459F3"/>
    <w:rsid w:val="00746E35"/>
    <w:rsid w:val="007470E2"/>
    <w:rsid w:val="0074743D"/>
    <w:rsid w:val="0075232F"/>
    <w:rsid w:val="00753132"/>
    <w:rsid w:val="007550B3"/>
    <w:rsid w:val="00760451"/>
    <w:rsid w:val="0077182A"/>
    <w:rsid w:val="00771913"/>
    <w:rsid w:val="00772718"/>
    <w:rsid w:val="00775BCF"/>
    <w:rsid w:val="007818AA"/>
    <w:rsid w:val="00783140"/>
    <w:rsid w:val="007838B6"/>
    <w:rsid w:val="00783E77"/>
    <w:rsid w:val="007906F1"/>
    <w:rsid w:val="00791A42"/>
    <w:rsid w:val="0079243D"/>
    <w:rsid w:val="00794A9B"/>
    <w:rsid w:val="00795079"/>
    <w:rsid w:val="0079555B"/>
    <w:rsid w:val="0079583B"/>
    <w:rsid w:val="00796602"/>
    <w:rsid w:val="00797185"/>
    <w:rsid w:val="007976B7"/>
    <w:rsid w:val="00797A7E"/>
    <w:rsid w:val="00797D6F"/>
    <w:rsid w:val="007B014B"/>
    <w:rsid w:val="007B0D88"/>
    <w:rsid w:val="007B306F"/>
    <w:rsid w:val="007B4714"/>
    <w:rsid w:val="007B4E82"/>
    <w:rsid w:val="007C1996"/>
    <w:rsid w:val="007C1E66"/>
    <w:rsid w:val="007C3773"/>
    <w:rsid w:val="007C3F1F"/>
    <w:rsid w:val="007D2D0D"/>
    <w:rsid w:val="007D3325"/>
    <w:rsid w:val="007D3818"/>
    <w:rsid w:val="007D6DC5"/>
    <w:rsid w:val="007D7425"/>
    <w:rsid w:val="007E320E"/>
    <w:rsid w:val="007E3280"/>
    <w:rsid w:val="007E4A02"/>
    <w:rsid w:val="007E595C"/>
    <w:rsid w:val="007E59A5"/>
    <w:rsid w:val="007F3B8C"/>
    <w:rsid w:val="007F41D0"/>
    <w:rsid w:val="007F4B8B"/>
    <w:rsid w:val="007F5957"/>
    <w:rsid w:val="007F70B6"/>
    <w:rsid w:val="007F74CA"/>
    <w:rsid w:val="00800F1E"/>
    <w:rsid w:val="0080195A"/>
    <w:rsid w:val="0080239C"/>
    <w:rsid w:val="00802841"/>
    <w:rsid w:val="008037D5"/>
    <w:rsid w:val="008043DC"/>
    <w:rsid w:val="00805447"/>
    <w:rsid w:val="008054FA"/>
    <w:rsid w:val="0080717A"/>
    <w:rsid w:val="00807DFA"/>
    <w:rsid w:val="0081009F"/>
    <w:rsid w:val="00810152"/>
    <w:rsid w:val="008115AB"/>
    <w:rsid w:val="00812D2C"/>
    <w:rsid w:val="008159F4"/>
    <w:rsid w:val="008167C1"/>
    <w:rsid w:val="008167C6"/>
    <w:rsid w:val="00816B8F"/>
    <w:rsid w:val="00820331"/>
    <w:rsid w:val="00820BF5"/>
    <w:rsid w:val="008212B1"/>
    <w:rsid w:val="0082155A"/>
    <w:rsid w:val="0082209F"/>
    <w:rsid w:val="008223C2"/>
    <w:rsid w:val="008250A2"/>
    <w:rsid w:val="00825D64"/>
    <w:rsid w:val="0082650B"/>
    <w:rsid w:val="008301CE"/>
    <w:rsid w:val="008312E3"/>
    <w:rsid w:val="00831D5B"/>
    <w:rsid w:val="00832DD6"/>
    <w:rsid w:val="00832F0C"/>
    <w:rsid w:val="008336F2"/>
    <w:rsid w:val="008345D9"/>
    <w:rsid w:val="008347CB"/>
    <w:rsid w:val="00835647"/>
    <w:rsid w:val="00837A2E"/>
    <w:rsid w:val="00837C65"/>
    <w:rsid w:val="00841558"/>
    <w:rsid w:val="00842A68"/>
    <w:rsid w:val="008435BA"/>
    <w:rsid w:val="0084558B"/>
    <w:rsid w:val="0084654A"/>
    <w:rsid w:val="00847654"/>
    <w:rsid w:val="00851064"/>
    <w:rsid w:val="00855543"/>
    <w:rsid w:val="008566B3"/>
    <w:rsid w:val="008576B7"/>
    <w:rsid w:val="00857F7B"/>
    <w:rsid w:val="00861C08"/>
    <w:rsid w:val="00863DA1"/>
    <w:rsid w:val="008654A6"/>
    <w:rsid w:val="00865D86"/>
    <w:rsid w:val="00870495"/>
    <w:rsid w:val="00870EA1"/>
    <w:rsid w:val="008710C5"/>
    <w:rsid w:val="00874438"/>
    <w:rsid w:val="00874E75"/>
    <w:rsid w:val="008767F3"/>
    <w:rsid w:val="00876CEF"/>
    <w:rsid w:val="00877342"/>
    <w:rsid w:val="008803C3"/>
    <w:rsid w:val="00881450"/>
    <w:rsid w:val="008817C7"/>
    <w:rsid w:val="00881875"/>
    <w:rsid w:val="008848A3"/>
    <w:rsid w:val="00884AF1"/>
    <w:rsid w:val="00885F7A"/>
    <w:rsid w:val="00890712"/>
    <w:rsid w:val="00890D81"/>
    <w:rsid w:val="0089153B"/>
    <w:rsid w:val="00892955"/>
    <w:rsid w:val="00893628"/>
    <w:rsid w:val="008941EB"/>
    <w:rsid w:val="0089545A"/>
    <w:rsid w:val="00895A02"/>
    <w:rsid w:val="008A01EE"/>
    <w:rsid w:val="008A0DAC"/>
    <w:rsid w:val="008A3B78"/>
    <w:rsid w:val="008A4166"/>
    <w:rsid w:val="008A7DBF"/>
    <w:rsid w:val="008B136C"/>
    <w:rsid w:val="008B55EF"/>
    <w:rsid w:val="008B6910"/>
    <w:rsid w:val="008C0B5C"/>
    <w:rsid w:val="008C1343"/>
    <w:rsid w:val="008C3912"/>
    <w:rsid w:val="008C5598"/>
    <w:rsid w:val="008C5C60"/>
    <w:rsid w:val="008C69EA"/>
    <w:rsid w:val="008C6F8B"/>
    <w:rsid w:val="008C7AB7"/>
    <w:rsid w:val="008C7FB4"/>
    <w:rsid w:val="008D2C8C"/>
    <w:rsid w:val="008D3040"/>
    <w:rsid w:val="008D3ECD"/>
    <w:rsid w:val="008D5C03"/>
    <w:rsid w:val="008D7580"/>
    <w:rsid w:val="008D7C35"/>
    <w:rsid w:val="008E4A71"/>
    <w:rsid w:val="008E5698"/>
    <w:rsid w:val="008E5733"/>
    <w:rsid w:val="008E77D2"/>
    <w:rsid w:val="008E78FD"/>
    <w:rsid w:val="008F1314"/>
    <w:rsid w:val="008F199D"/>
    <w:rsid w:val="008F38A0"/>
    <w:rsid w:val="008F39C9"/>
    <w:rsid w:val="008F5EB5"/>
    <w:rsid w:val="008F678C"/>
    <w:rsid w:val="008F75A7"/>
    <w:rsid w:val="008F7E5A"/>
    <w:rsid w:val="00900A7F"/>
    <w:rsid w:val="009036EE"/>
    <w:rsid w:val="00905815"/>
    <w:rsid w:val="00905D1D"/>
    <w:rsid w:val="0091016D"/>
    <w:rsid w:val="009108A7"/>
    <w:rsid w:val="00910C98"/>
    <w:rsid w:val="00911910"/>
    <w:rsid w:val="00912A58"/>
    <w:rsid w:val="00913908"/>
    <w:rsid w:val="00913D26"/>
    <w:rsid w:val="00914344"/>
    <w:rsid w:val="0091438B"/>
    <w:rsid w:val="009147E3"/>
    <w:rsid w:val="00920FD2"/>
    <w:rsid w:val="00923A43"/>
    <w:rsid w:val="0092439C"/>
    <w:rsid w:val="0092498E"/>
    <w:rsid w:val="00925B91"/>
    <w:rsid w:val="00934461"/>
    <w:rsid w:val="00934F7E"/>
    <w:rsid w:val="00936A1C"/>
    <w:rsid w:val="00943E35"/>
    <w:rsid w:val="00945278"/>
    <w:rsid w:val="0094658D"/>
    <w:rsid w:val="00947678"/>
    <w:rsid w:val="00947878"/>
    <w:rsid w:val="00947DFE"/>
    <w:rsid w:val="009504C2"/>
    <w:rsid w:val="0095254A"/>
    <w:rsid w:val="0095273B"/>
    <w:rsid w:val="009559E1"/>
    <w:rsid w:val="009568D5"/>
    <w:rsid w:val="00957CD3"/>
    <w:rsid w:val="0096269B"/>
    <w:rsid w:val="00963FB0"/>
    <w:rsid w:val="00964C86"/>
    <w:rsid w:val="00965E82"/>
    <w:rsid w:val="009664BB"/>
    <w:rsid w:val="009669F8"/>
    <w:rsid w:val="00966F89"/>
    <w:rsid w:val="00973B5D"/>
    <w:rsid w:val="0097755E"/>
    <w:rsid w:val="00981467"/>
    <w:rsid w:val="00981C24"/>
    <w:rsid w:val="009852F6"/>
    <w:rsid w:val="00985DE5"/>
    <w:rsid w:val="00986254"/>
    <w:rsid w:val="0098729E"/>
    <w:rsid w:val="00990067"/>
    <w:rsid w:val="00991FD7"/>
    <w:rsid w:val="00992977"/>
    <w:rsid w:val="009937D4"/>
    <w:rsid w:val="00993C78"/>
    <w:rsid w:val="009948C7"/>
    <w:rsid w:val="00995850"/>
    <w:rsid w:val="0099796C"/>
    <w:rsid w:val="009A194E"/>
    <w:rsid w:val="009A1EA2"/>
    <w:rsid w:val="009A209E"/>
    <w:rsid w:val="009A3FD7"/>
    <w:rsid w:val="009A6652"/>
    <w:rsid w:val="009A74FD"/>
    <w:rsid w:val="009B25D8"/>
    <w:rsid w:val="009B42E3"/>
    <w:rsid w:val="009B5859"/>
    <w:rsid w:val="009C6D07"/>
    <w:rsid w:val="009C7CEC"/>
    <w:rsid w:val="009D154D"/>
    <w:rsid w:val="009D18EF"/>
    <w:rsid w:val="009D3BE8"/>
    <w:rsid w:val="009D44E0"/>
    <w:rsid w:val="009D573B"/>
    <w:rsid w:val="009D59A0"/>
    <w:rsid w:val="009D716A"/>
    <w:rsid w:val="009E1AC4"/>
    <w:rsid w:val="009E20B8"/>
    <w:rsid w:val="009E29A0"/>
    <w:rsid w:val="009E41B5"/>
    <w:rsid w:val="009E55D7"/>
    <w:rsid w:val="009E627C"/>
    <w:rsid w:val="009F0F12"/>
    <w:rsid w:val="009F110B"/>
    <w:rsid w:val="009F1498"/>
    <w:rsid w:val="009F1E9F"/>
    <w:rsid w:val="009F3793"/>
    <w:rsid w:val="009F54F2"/>
    <w:rsid w:val="00A0056B"/>
    <w:rsid w:val="00A01657"/>
    <w:rsid w:val="00A01C65"/>
    <w:rsid w:val="00A0213D"/>
    <w:rsid w:val="00A04C73"/>
    <w:rsid w:val="00A0679A"/>
    <w:rsid w:val="00A07A2B"/>
    <w:rsid w:val="00A12375"/>
    <w:rsid w:val="00A125B8"/>
    <w:rsid w:val="00A13124"/>
    <w:rsid w:val="00A15370"/>
    <w:rsid w:val="00A156AB"/>
    <w:rsid w:val="00A16B8D"/>
    <w:rsid w:val="00A21293"/>
    <w:rsid w:val="00A2134B"/>
    <w:rsid w:val="00A21623"/>
    <w:rsid w:val="00A220EB"/>
    <w:rsid w:val="00A22302"/>
    <w:rsid w:val="00A25F1B"/>
    <w:rsid w:val="00A26F26"/>
    <w:rsid w:val="00A325F3"/>
    <w:rsid w:val="00A33103"/>
    <w:rsid w:val="00A33294"/>
    <w:rsid w:val="00A35CA0"/>
    <w:rsid w:val="00A35DCB"/>
    <w:rsid w:val="00A3690E"/>
    <w:rsid w:val="00A37751"/>
    <w:rsid w:val="00A40544"/>
    <w:rsid w:val="00A406B1"/>
    <w:rsid w:val="00A4113E"/>
    <w:rsid w:val="00A42435"/>
    <w:rsid w:val="00A438BA"/>
    <w:rsid w:val="00A446FD"/>
    <w:rsid w:val="00A46F46"/>
    <w:rsid w:val="00A52CB6"/>
    <w:rsid w:val="00A52F99"/>
    <w:rsid w:val="00A538BB"/>
    <w:rsid w:val="00A54164"/>
    <w:rsid w:val="00A56737"/>
    <w:rsid w:val="00A60002"/>
    <w:rsid w:val="00A603D8"/>
    <w:rsid w:val="00A60AE2"/>
    <w:rsid w:val="00A61834"/>
    <w:rsid w:val="00A618B0"/>
    <w:rsid w:val="00A62790"/>
    <w:rsid w:val="00A6291F"/>
    <w:rsid w:val="00A63F53"/>
    <w:rsid w:val="00A7111E"/>
    <w:rsid w:val="00A755B6"/>
    <w:rsid w:val="00A75B1A"/>
    <w:rsid w:val="00A80ED4"/>
    <w:rsid w:val="00A816C4"/>
    <w:rsid w:val="00A82981"/>
    <w:rsid w:val="00A86F10"/>
    <w:rsid w:val="00A87AF2"/>
    <w:rsid w:val="00A9095C"/>
    <w:rsid w:val="00A90B23"/>
    <w:rsid w:val="00A93193"/>
    <w:rsid w:val="00A93C2B"/>
    <w:rsid w:val="00A94556"/>
    <w:rsid w:val="00A974CB"/>
    <w:rsid w:val="00AA1EAC"/>
    <w:rsid w:val="00AA45E2"/>
    <w:rsid w:val="00AA7AC1"/>
    <w:rsid w:val="00AB6327"/>
    <w:rsid w:val="00AB6B8F"/>
    <w:rsid w:val="00AC0C65"/>
    <w:rsid w:val="00AC0FB2"/>
    <w:rsid w:val="00AC3721"/>
    <w:rsid w:val="00AC41C6"/>
    <w:rsid w:val="00AC70C7"/>
    <w:rsid w:val="00AC76B7"/>
    <w:rsid w:val="00AD0223"/>
    <w:rsid w:val="00AD123A"/>
    <w:rsid w:val="00AD15FF"/>
    <w:rsid w:val="00AD1AA5"/>
    <w:rsid w:val="00AD2920"/>
    <w:rsid w:val="00AD2CD5"/>
    <w:rsid w:val="00AD2DFC"/>
    <w:rsid w:val="00AD38C4"/>
    <w:rsid w:val="00AD5A4A"/>
    <w:rsid w:val="00AD60EE"/>
    <w:rsid w:val="00AD6A2B"/>
    <w:rsid w:val="00AD73D4"/>
    <w:rsid w:val="00AE1EA2"/>
    <w:rsid w:val="00AE2874"/>
    <w:rsid w:val="00AE2BA2"/>
    <w:rsid w:val="00AE2F98"/>
    <w:rsid w:val="00AE3300"/>
    <w:rsid w:val="00AE3602"/>
    <w:rsid w:val="00AE5342"/>
    <w:rsid w:val="00AE5987"/>
    <w:rsid w:val="00AE6472"/>
    <w:rsid w:val="00AF1345"/>
    <w:rsid w:val="00AF38A8"/>
    <w:rsid w:val="00AF63EB"/>
    <w:rsid w:val="00B016D2"/>
    <w:rsid w:val="00B018EC"/>
    <w:rsid w:val="00B060C7"/>
    <w:rsid w:val="00B11AB7"/>
    <w:rsid w:val="00B12213"/>
    <w:rsid w:val="00B13710"/>
    <w:rsid w:val="00B22881"/>
    <w:rsid w:val="00B23EFC"/>
    <w:rsid w:val="00B24B72"/>
    <w:rsid w:val="00B25DB8"/>
    <w:rsid w:val="00B2656C"/>
    <w:rsid w:val="00B266E6"/>
    <w:rsid w:val="00B3094D"/>
    <w:rsid w:val="00B30B04"/>
    <w:rsid w:val="00B311BC"/>
    <w:rsid w:val="00B31810"/>
    <w:rsid w:val="00B31C10"/>
    <w:rsid w:val="00B3446D"/>
    <w:rsid w:val="00B34652"/>
    <w:rsid w:val="00B34F89"/>
    <w:rsid w:val="00B358C8"/>
    <w:rsid w:val="00B36185"/>
    <w:rsid w:val="00B3662F"/>
    <w:rsid w:val="00B373CD"/>
    <w:rsid w:val="00B377C8"/>
    <w:rsid w:val="00B400B8"/>
    <w:rsid w:val="00B404DE"/>
    <w:rsid w:val="00B40765"/>
    <w:rsid w:val="00B4232D"/>
    <w:rsid w:val="00B42682"/>
    <w:rsid w:val="00B43065"/>
    <w:rsid w:val="00B44784"/>
    <w:rsid w:val="00B449D0"/>
    <w:rsid w:val="00B456AB"/>
    <w:rsid w:val="00B46C2A"/>
    <w:rsid w:val="00B47E8B"/>
    <w:rsid w:val="00B51C67"/>
    <w:rsid w:val="00B53F86"/>
    <w:rsid w:val="00B53FDC"/>
    <w:rsid w:val="00B55431"/>
    <w:rsid w:val="00B55CAE"/>
    <w:rsid w:val="00B576C6"/>
    <w:rsid w:val="00B615F2"/>
    <w:rsid w:val="00B61A28"/>
    <w:rsid w:val="00B65C6D"/>
    <w:rsid w:val="00B66B06"/>
    <w:rsid w:val="00B67862"/>
    <w:rsid w:val="00B70634"/>
    <w:rsid w:val="00B70BE4"/>
    <w:rsid w:val="00B73880"/>
    <w:rsid w:val="00B73CF1"/>
    <w:rsid w:val="00B745B3"/>
    <w:rsid w:val="00B7599D"/>
    <w:rsid w:val="00B7648F"/>
    <w:rsid w:val="00B76E13"/>
    <w:rsid w:val="00B771EE"/>
    <w:rsid w:val="00B7765B"/>
    <w:rsid w:val="00B77B4B"/>
    <w:rsid w:val="00B80ABC"/>
    <w:rsid w:val="00B814C2"/>
    <w:rsid w:val="00B877D1"/>
    <w:rsid w:val="00B900FE"/>
    <w:rsid w:val="00B9064C"/>
    <w:rsid w:val="00BA0A14"/>
    <w:rsid w:val="00BA228D"/>
    <w:rsid w:val="00BA398D"/>
    <w:rsid w:val="00BA39D3"/>
    <w:rsid w:val="00BA5C56"/>
    <w:rsid w:val="00BA776F"/>
    <w:rsid w:val="00BB0C0D"/>
    <w:rsid w:val="00BB0D69"/>
    <w:rsid w:val="00BB366E"/>
    <w:rsid w:val="00BB3AF0"/>
    <w:rsid w:val="00BB4F70"/>
    <w:rsid w:val="00BB67FF"/>
    <w:rsid w:val="00BC11B9"/>
    <w:rsid w:val="00BC138C"/>
    <w:rsid w:val="00BC14CF"/>
    <w:rsid w:val="00BC1659"/>
    <w:rsid w:val="00BC2C91"/>
    <w:rsid w:val="00BC3A9C"/>
    <w:rsid w:val="00BC5288"/>
    <w:rsid w:val="00BC6A71"/>
    <w:rsid w:val="00BC6B2F"/>
    <w:rsid w:val="00BD0637"/>
    <w:rsid w:val="00BD08A8"/>
    <w:rsid w:val="00BD1BAC"/>
    <w:rsid w:val="00BD1FA8"/>
    <w:rsid w:val="00BD25A6"/>
    <w:rsid w:val="00BD4C95"/>
    <w:rsid w:val="00BD65FC"/>
    <w:rsid w:val="00BD7660"/>
    <w:rsid w:val="00BE0666"/>
    <w:rsid w:val="00BE24B9"/>
    <w:rsid w:val="00BE2AE8"/>
    <w:rsid w:val="00BE2D55"/>
    <w:rsid w:val="00BE38DD"/>
    <w:rsid w:val="00BE4AB1"/>
    <w:rsid w:val="00BF16C3"/>
    <w:rsid w:val="00BF2158"/>
    <w:rsid w:val="00BF38E0"/>
    <w:rsid w:val="00BF44FA"/>
    <w:rsid w:val="00BF57E1"/>
    <w:rsid w:val="00C003B4"/>
    <w:rsid w:val="00C00A5F"/>
    <w:rsid w:val="00C042E0"/>
    <w:rsid w:val="00C051D9"/>
    <w:rsid w:val="00C06333"/>
    <w:rsid w:val="00C06F68"/>
    <w:rsid w:val="00C075BA"/>
    <w:rsid w:val="00C10A3A"/>
    <w:rsid w:val="00C11E20"/>
    <w:rsid w:val="00C15D16"/>
    <w:rsid w:val="00C20015"/>
    <w:rsid w:val="00C247DD"/>
    <w:rsid w:val="00C25B43"/>
    <w:rsid w:val="00C26A54"/>
    <w:rsid w:val="00C3261C"/>
    <w:rsid w:val="00C3318B"/>
    <w:rsid w:val="00C33C20"/>
    <w:rsid w:val="00C35362"/>
    <w:rsid w:val="00C357EA"/>
    <w:rsid w:val="00C379F8"/>
    <w:rsid w:val="00C37A1C"/>
    <w:rsid w:val="00C42323"/>
    <w:rsid w:val="00C4316E"/>
    <w:rsid w:val="00C453A9"/>
    <w:rsid w:val="00C465D5"/>
    <w:rsid w:val="00C4756A"/>
    <w:rsid w:val="00C47C39"/>
    <w:rsid w:val="00C50649"/>
    <w:rsid w:val="00C50E1F"/>
    <w:rsid w:val="00C51C09"/>
    <w:rsid w:val="00C52BB6"/>
    <w:rsid w:val="00C53471"/>
    <w:rsid w:val="00C55143"/>
    <w:rsid w:val="00C5611B"/>
    <w:rsid w:val="00C5695E"/>
    <w:rsid w:val="00C61528"/>
    <w:rsid w:val="00C63457"/>
    <w:rsid w:val="00C64964"/>
    <w:rsid w:val="00C6631E"/>
    <w:rsid w:val="00C67473"/>
    <w:rsid w:val="00C67AA4"/>
    <w:rsid w:val="00C7148C"/>
    <w:rsid w:val="00C72192"/>
    <w:rsid w:val="00C732E5"/>
    <w:rsid w:val="00C73D0B"/>
    <w:rsid w:val="00C75017"/>
    <w:rsid w:val="00C765B4"/>
    <w:rsid w:val="00C813EA"/>
    <w:rsid w:val="00C81496"/>
    <w:rsid w:val="00C82CE6"/>
    <w:rsid w:val="00C82E22"/>
    <w:rsid w:val="00C85144"/>
    <w:rsid w:val="00C86738"/>
    <w:rsid w:val="00C86A27"/>
    <w:rsid w:val="00C91517"/>
    <w:rsid w:val="00C929BD"/>
    <w:rsid w:val="00C931A2"/>
    <w:rsid w:val="00CA02E1"/>
    <w:rsid w:val="00CA15DA"/>
    <w:rsid w:val="00CA224E"/>
    <w:rsid w:val="00CA41C5"/>
    <w:rsid w:val="00CA42B7"/>
    <w:rsid w:val="00CA4A53"/>
    <w:rsid w:val="00CA51F5"/>
    <w:rsid w:val="00CA611C"/>
    <w:rsid w:val="00CB218A"/>
    <w:rsid w:val="00CB225A"/>
    <w:rsid w:val="00CB69E6"/>
    <w:rsid w:val="00CB761B"/>
    <w:rsid w:val="00CB7E33"/>
    <w:rsid w:val="00CC13DF"/>
    <w:rsid w:val="00CC1EEE"/>
    <w:rsid w:val="00CC562B"/>
    <w:rsid w:val="00CC6C15"/>
    <w:rsid w:val="00CC7FCF"/>
    <w:rsid w:val="00CD2749"/>
    <w:rsid w:val="00CD2A60"/>
    <w:rsid w:val="00CD306F"/>
    <w:rsid w:val="00CD3971"/>
    <w:rsid w:val="00CD3DAB"/>
    <w:rsid w:val="00CD49BC"/>
    <w:rsid w:val="00CE0DF1"/>
    <w:rsid w:val="00CE3786"/>
    <w:rsid w:val="00CE4027"/>
    <w:rsid w:val="00CE47CC"/>
    <w:rsid w:val="00CE68F6"/>
    <w:rsid w:val="00CE7E27"/>
    <w:rsid w:val="00CF22AC"/>
    <w:rsid w:val="00CF2F0A"/>
    <w:rsid w:val="00CF79E8"/>
    <w:rsid w:val="00D00400"/>
    <w:rsid w:val="00D015AA"/>
    <w:rsid w:val="00D021B8"/>
    <w:rsid w:val="00D03D90"/>
    <w:rsid w:val="00D04024"/>
    <w:rsid w:val="00D043EB"/>
    <w:rsid w:val="00D06705"/>
    <w:rsid w:val="00D06A9B"/>
    <w:rsid w:val="00D0750D"/>
    <w:rsid w:val="00D07DD8"/>
    <w:rsid w:val="00D1038F"/>
    <w:rsid w:val="00D10BF7"/>
    <w:rsid w:val="00D10FEB"/>
    <w:rsid w:val="00D140A0"/>
    <w:rsid w:val="00D203D1"/>
    <w:rsid w:val="00D2057A"/>
    <w:rsid w:val="00D21D98"/>
    <w:rsid w:val="00D2317F"/>
    <w:rsid w:val="00D231A9"/>
    <w:rsid w:val="00D24391"/>
    <w:rsid w:val="00D2472B"/>
    <w:rsid w:val="00D253DD"/>
    <w:rsid w:val="00D26FFA"/>
    <w:rsid w:val="00D3215D"/>
    <w:rsid w:val="00D33352"/>
    <w:rsid w:val="00D347D9"/>
    <w:rsid w:val="00D35565"/>
    <w:rsid w:val="00D36A19"/>
    <w:rsid w:val="00D40DCF"/>
    <w:rsid w:val="00D41075"/>
    <w:rsid w:val="00D41C76"/>
    <w:rsid w:val="00D41DD8"/>
    <w:rsid w:val="00D4222C"/>
    <w:rsid w:val="00D425CE"/>
    <w:rsid w:val="00D42F40"/>
    <w:rsid w:val="00D4396C"/>
    <w:rsid w:val="00D4446F"/>
    <w:rsid w:val="00D44B55"/>
    <w:rsid w:val="00D45490"/>
    <w:rsid w:val="00D45725"/>
    <w:rsid w:val="00D457B8"/>
    <w:rsid w:val="00D457E1"/>
    <w:rsid w:val="00D47BEB"/>
    <w:rsid w:val="00D50487"/>
    <w:rsid w:val="00D50563"/>
    <w:rsid w:val="00D50F50"/>
    <w:rsid w:val="00D5235F"/>
    <w:rsid w:val="00D52F50"/>
    <w:rsid w:val="00D55A98"/>
    <w:rsid w:val="00D56B49"/>
    <w:rsid w:val="00D6053F"/>
    <w:rsid w:val="00D6073D"/>
    <w:rsid w:val="00D618D6"/>
    <w:rsid w:val="00D62426"/>
    <w:rsid w:val="00D62804"/>
    <w:rsid w:val="00D70F55"/>
    <w:rsid w:val="00D70FA5"/>
    <w:rsid w:val="00D73231"/>
    <w:rsid w:val="00D74171"/>
    <w:rsid w:val="00D7474C"/>
    <w:rsid w:val="00D8032C"/>
    <w:rsid w:val="00D80CE2"/>
    <w:rsid w:val="00D83080"/>
    <w:rsid w:val="00D83E66"/>
    <w:rsid w:val="00D84D5F"/>
    <w:rsid w:val="00D851E2"/>
    <w:rsid w:val="00D87FFA"/>
    <w:rsid w:val="00D91419"/>
    <w:rsid w:val="00D92A09"/>
    <w:rsid w:val="00D92D2A"/>
    <w:rsid w:val="00D92EEC"/>
    <w:rsid w:val="00D93470"/>
    <w:rsid w:val="00D9395F"/>
    <w:rsid w:val="00D93D55"/>
    <w:rsid w:val="00D941FA"/>
    <w:rsid w:val="00D94B59"/>
    <w:rsid w:val="00D95315"/>
    <w:rsid w:val="00D95EAB"/>
    <w:rsid w:val="00DA0B39"/>
    <w:rsid w:val="00DA1203"/>
    <w:rsid w:val="00DA2316"/>
    <w:rsid w:val="00DA25E0"/>
    <w:rsid w:val="00DA2700"/>
    <w:rsid w:val="00DA3001"/>
    <w:rsid w:val="00DA3C5D"/>
    <w:rsid w:val="00DA3EFF"/>
    <w:rsid w:val="00DA7769"/>
    <w:rsid w:val="00DB08C6"/>
    <w:rsid w:val="00DB1BC2"/>
    <w:rsid w:val="00DB1CBB"/>
    <w:rsid w:val="00DB31ED"/>
    <w:rsid w:val="00DB4124"/>
    <w:rsid w:val="00DB4511"/>
    <w:rsid w:val="00DB4F0C"/>
    <w:rsid w:val="00DC0176"/>
    <w:rsid w:val="00DC043F"/>
    <w:rsid w:val="00DC093E"/>
    <w:rsid w:val="00DC0E29"/>
    <w:rsid w:val="00DC0E7A"/>
    <w:rsid w:val="00DC2A65"/>
    <w:rsid w:val="00DC2A86"/>
    <w:rsid w:val="00DC3631"/>
    <w:rsid w:val="00DC37F7"/>
    <w:rsid w:val="00DC6F54"/>
    <w:rsid w:val="00DD0C00"/>
    <w:rsid w:val="00DD0F8C"/>
    <w:rsid w:val="00DD116C"/>
    <w:rsid w:val="00DD23D5"/>
    <w:rsid w:val="00DD2AF1"/>
    <w:rsid w:val="00DD46DA"/>
    <w:rsid w:val="00DD6072"/>
    <w:rsid w:val="00DD62BE"/>
    <w:rsid w:val="00DD77D9"/>
    <w:rsid w:val="00DD7CA4"/>
    <w:rsid w:val="00DE167C"/>
    <w:rsid w:val="00DE3B70"/>
    <w:rsid w:val="00DE569C"/>
    <w:rsid w:val="00DE5813"/>
    <w:rsid w:val="00DF10B1"/>
    <w:rsid w:val="00DF1FDA"/>
    <w:rsid w:val="00DF214A"/>
    <w:rsid w:val="00DF3DD0"/>
    <w:rsid w:val="00DF4D50"/>
    <w:rsid w:val="00DF538C"/>
    <w:rsid w:val="00DF6383"/>
    <w:rsid w:val="00E021C2"/>
    <w:rsid w:val="00E024A3"/>
    <w:rsid w:val="00E0423D"/>
    <w:rsid w:val="00E057B5"/>
    <w:rsid w:val="00E0581E"/>
    <w:rsid w:val="00E079C5"/>
    <w:rsid w:val="00E07CBD"/>
    <w:rsid w:val="00E07F56"/>
    <w:rsid w:val="00E10A16"/>
    <w:rsid w:val="00E1112F"/>
    <w:rsid w:val="00E12E5D"/>
    <w:rsid w:val="00E1318F"/>
    <w:rsid w:val="00E13B3B"/>
    <w:rsid w:val="00E13E29"/>
    <w:rsid w:val="00E16857"/>
    <w:rsid w:val="00E16C3A"/>
    <w:rsid w:val="00E20651"/>
    <w:rsid w:val="00E2107C"/>
    <w:rsid w:val="00E21E70"/>
    <w:rsid w:val="00E224DE"/>
    <w:rsid w:val="00E23DCE"/>
    <w:rsid w:val="00E26363"/>
    <w:rsid w:val="00E272A4"/>
    <w:rsid w:val="00E305F9"/>
    <w:rsid w:val="00E306AC"/>
    <w:rsid w:val="00E34446"/>
    <w:rsid w:val="00E3633B"/>
    <w:rsid w:val="00E36870"/>
    <w:rsid w:val="00E374E1"/>
    <w:rsid w:val="00E417AB"/>
    <w:rsid w:val="00E43D48"/>
    <w:rsid w:val="00E4542D"/>
    <w:rsid w:val="00E45BE0"/>
    <w:rsid w:val="00E46CAD"/>
    <w:rsid w:val="00E47521"/>
    <w:rsid w:val="00E4760C"/>
    <w:rsid w:val="00E507A6"/>
    <w:rsid w:val="00E5375C"/>
    <w:rsid w:val="00E561AD"/>
    <w:rsid w:val="00E57FAF"/>
    <w:rsid w:val="00E60BA9"/>
    <w:rsid w:val="00E63510"/>
    <w:rsid w:val="00E635EA"/>
    <w:rsid w:val="00E655E5"/>
    <w:rsid w:val="00E65F4E"/>
    <w:rsid w:val="00E662E0"/>
    <w:rsid w:val="00E67D5D"/>
    <w:rsid w:val="00E71C7A"/>
    <w:rsid w:val="00E73119"/>
    <w:rsid w:val="00E73E1E"/>
    <w:rsid w:val="00E767FF"/>
    <w:rsid w:val="00E84C91"/>
    <w:rsid w:val="00E84E60"/>
    <w:rsid w:val="00E8556E"/>
    <w:rsid w:val="00E86B2D"/>
    <w:rsid w:val="00E86F4D"/>
    <w:rsid w:val="00E87D08"/>
    <w:rsid w:val="00E90D0E"/>
    <w:rsid w:val="00E91B2D"/>
    <w:rsid w:val="00E92FCA"/>
    <w:rsid w:val="00E95CAA"/>
    <w:rsid w:val="00EA0A39"/>
    <w:rsid w:val="00EA0EB2"/>
    <w:rsid w:val="00EA236F"/>
    <w:rsid w:val="00EA3023"/>
    <w:rsid w:val="00EA3E49"/>
    <w:rsid w:val="00EA3FC8"/>
    <w:rsid w:val="00EA5B8C"/>
    <w:rsid w:val="00EB0DC9"/>
    <w:rsid w:val="00EB1383"/>
    <w:rsid w:val="00EB252D"/>
    <w:rsid w:val="00EB29FA"/>
    <w:rsid w:val="00EB2CCE"/>
    <w:rsid w:val="00EB385F"/>
    <w:rsid w:val="00EB3E49"/>
    <w:rsid w:val="00EB5FC3"/>
    <w:rsid w:val="00EB6DA9"/>
    <w:rsid w:val="00EC1561"/>
    <w:rsid w:val="00EC462E"/>
    <w:rsid w:val="00EC6CD8"/>
    <w:rsid w:val="00EC7719"/>
    <w:rsid w:val="00EC786F"/>
    <w:rsid w:val="00ED1866"/>
    <w:rsid w:val="00ED3134"/>
    <w:rsid w:val="00ED38E2"/>
    <w:rsid w:val="00ED5C44"/>
    <w:rsid w:val="00ED635B"/>
    <w:rsid w:val="00EE742D"/>
    <w:rsid w:val="00EF0A22"/>
    <w:rsid w:val="00EF1267"/>
    <w:rsid w:val="00EF180C"/>
    <w:rsid w:val="00EF3B6B"/>
    <w:rsid w:val="00EF4B43"/>
    <w:rsid w:val="00EF6750"/>
    <w:rsid w:val="00EF770B"/>
    <w:rsid w:val="00F02836"/>
    <w:rsid w:val="00F02FB5"/>
    <w:rsid w:val="00F0534E"/>
    <w:rsid w:val="00F05C30"/>
    <w:rsid w:val="00F10F1B"/>
    <w:rsid w:val="00F14179"/>
    <w:rsid w:val="00F15786"/>
    <w:rsid w:val="00F167C5"/>
    <w:rsid w:val="00F17C88"/>
    <w:rsid w:val="00F20B5A"/>
    <w:rsid w:val="00F21F0B"/>
    <w:rsid w:val="00F236AB"/>
    <w:rsid w:val="00F24EA4"/>
    <w:rsid w:val="00F257F1"/>
    <w:rsid w:val="00F27087"/>
    <w:rsid w:val="00F2773C"/>
    <w:rsid w:val="00F300B3"/>
    <w:rsid w:val="00F30DB9"/>
    <w:rsid w:val="00F30FB8"/>
    <w:rsid w:val="00F31D68"/>
    <w:rsid w:val="00F33152"/>
    <w:rsid w:val="00F338F2"/>
    <w:rsid w:val="00F349D3"/>
    <w:rsid w:val="00F3533E"/>
    <w:rsid w:val="00F35B84"/>
    <w:rsid w:val="00F35EB3"/>
    <w:rsid w:val="00F402B5"/>
    <w:rsid w:val="00F4072F"/>
    <w:rsid w:val="00F42839"/>
    <w:rsid w:val="00F44CC0"/>
    <w:rsid w:val="00F450BA"/>
    <w:rsid w:val="00F4684B"/>
    <w:rsid w:val="00F46BE9"/>
    <w:rsid w:val="00F47C3B"/>
    <w:rsid w:val="00F506CA"/>
    <w:rsid w:val="00F53A7A"/>
    <w:rsid w:val="00F54FCD"/>
    <w:rsid w:val="00F5785C"/>
    <w:rsid w:val="00F65E3C"/>
    <w:rsid w:val="00F67076"/>
    <w:rsid w:val="00F677FA"/>
    <w:rsid w:val="00F7115A"/>
    <w:rsid w:val="00F717AA"/>
    <w:rsid w:val="00F72714"/>
    <w:rsid w:val="00F744C3"/>
    <w:rsid w:val="00F75EE2"/>
    <w:rsid w:val="00F75F69"/>
    <w:rsid w:val="00F76014"/>
    <w:rsid w:val="00F802D3"/>
    <w:rsid w:val="00F80F94"/>
    <w:rsid w:val="00F81BA2"/>
    <w:rsid w:val="00F823A4"/>
    <w:rsid w:val="00F8412F"/>
    <w:rsid w:val="00F84791"/>
    <w:rsid w:val="00F85995"/>
    <w:rsid w:val="00F85FC5"/>
    <w:rsid w:val="00F86C22"/>
    <w:rsid w:val="00F90CB3"/>
    <w:rsid w:val="00F912A2"/>
    <w:rsid w:val="00F913A3"/>
    <w:rsid w:val="00F925C3"/>
    <w:rsid w:val="00FA0109"/>
    <w:rsid w:val="00FA458B"/>
    <w:rsid w:val="00FA5EC5"/>
    <w:rsid w:val="00FA7016"/>
    <w:rsid w:val="00FA7174"/>
    <w:rsid w:val="00FA793D"/>
    <w:rsid w:val="00FB020E"/>
    <w:rsid w:val="00FB0F17"/>
    <w:rsid w:val="00FB4B9D"/>
    <w:rsid w:val="00FB50ED"/>
    <w:rsid w:val="00FB6E18"/>
    <w:rsid w:val="00FC144B"/>
    <w:rsid w:val="00FC2169"/>
    <w:rsid w:val="00FC28E2"/>
    <w:rsid w:val="00FC3BF6"/>
    <w:rsid w:val="00FC3D22"/>
    <w:rsid w:val="00FC6FE1"/>
    <w:rsid w:val="00FD0C3D"/>
    <w:rsid w:val="00FD2F6B"/>
    <w:rsid w:val="00FE064A"/>
    <w:rsid w:val="00FE0B55"/>
    <w:rsid w:val="00FE1E98"/>
    <w:rsid w:val="00FE2452"/>
    <w:rsid w:val="00FE5469"/>
    <w:rsid w:val="00FE66C2"/>
    <w:rsid w:val="00FE684A"/>
    <w:rsid w:val="00FE6F23"/>
    <w:rsid w:val="00FF0F8C"/>
    <w:rsid w:val="00FF408B"/>
    <w:rsid w:val="00FF43E1"/>
    <w:rsid w:val="01205D35"/>
    <w:rsid w:val="01706922"/>
    <w:rsid w:val="02056D00"/>
    <w:rsid w:val="02850C9B"/>
    <w:rsid w:val="02EB239A"/>
    <w:rsid w:val="03430854"/>
    <w:rsid w:val="03806CF0"/>
    <w:rsid w:val="039F5FA6"/>
    <w:rsid w:val="03CA7EB2"/>
    <w:rsid w:val="06E232A0"/>
    <w:rsid w:val="081878A1"/>
    <w:rsid w:val="091D363E"/>
    <w:rsid w:val="09305ADA"/>
    <w:rsid w:val="09CC41FB"/>
    <w:rsid w:val="0A2763AD"/>
    <w:rsid w:val="0B731858"/>
    <w:rsid w:val="0CB52099"/>
    <w:rsid w:val="0CDD7094"/>
    <w:rsid w:val="0E8013B7"/>
    <w:rsid w:val="0F697E5D"/>
    <w:rsid w:val="10D604C6"/>
    <w:rsid w:val="110A60E1"/>
    <w:rsid w:val="11431ACC"/>
    <w:rsid w:val="11B515E0"/>
    <w:rsid w:val="13A53267"/>
    <w:rsid w:val="13F970D2"/>
    <w:rsid w:val="14847F58"/>
    <w:rsid w:val="14A8633C"/>
    <w:rsid w:val="14AA4136"/>
    <w:rsid w:val="14C322A9"/>
    <w:rsid w:val="14E212FF"/>
    <w:rsid w:val="163A420B"/>
    <w:rsid w:val="169D49B2"/>
    <w:rsid w:val="1720103B"/>
    <w:rsid w:val="175F188E"/>
    <w:rsid w:val="17C52B9C"/>
    <w:rsid w:val="17CF1E32"/>
    <w:rsid w:val="18F30939"/>
    <w:rsid w:val="19413B26"/>
    <w:rsid w:val="19446E42"/>
    <w:rsid w:val="1A3D2E49"/>
    <w:rsid w:val="1B77219A"/>
    <w:rsid w:val="1C6D3688"/>
    <w:rsid w:val="1C974DF7"/>
    <w:rsid w:val="1CC63D0A"/>
    <w:rsid w:val="1DB93368"/>
    <w:rsid w:val="1DC2081A"/>
    <w:rsid w:val="1DD94266"/>
    <w:rsid w:val="1E00075A"/>
    <w:rsid w:val="1EFD6D7F"/>
    <w:rsid w:val="1F2111C5"/>
    <w:rsid w:val="1F9D0947"/>
    <w:rsid w:val="1FFB29C6"/>
    <w:rsid w:val="21005318"/>
    <w:rsid w:val="210B5E71"/>
    <w:rsid w:val="210E6C71"/>
    <w:rsid w:val="219F63D1"/>
    <w:rsid w:val="22201532"/>
    <w:rsid w:val="22AF3620"/>
    <w:rsid w:val="22E70AD4"/>
    <w:rsid w:val="23D412DC"/>
    <w:rsid w:val="24AA3687"/>
    <w:rsid w:val="24F1508D"/>
    <w:rsid w:val="25066FA5"/>
    <w:rsid w:val="25585215"/>
    <w:rsid w:val="25706A02"/>
    <w:rsid w:val="25872C96"/>
    <w:rsid w:val="25C95979"/>
    <w:rsid w:val="25FE60B9"/>
    <w:rsid w:val="266F634F"/>
    <w:rsid w:val="26910CA2"/>
    <w:rsid w:val="27076EF2"/>
    <w:rsid w:val="27350CE8"/>
    <w:rsid w:val="273B77C5"/>
    <w:rsid w:val="277B58F1"/>
    <w:rsid w:val="27D8263D"/>
    <w:rsid w:val="2862636E"/>
    <w:rsid w:val="28D81B7D"/>
    <w:rsid w:val="28E55011"/>
    <w:rsid w:val="291059EA"/>
    <w:rsid w:val="294F4CD6"/>
    <w:rsid w:val="29FE026D"/>
    <w:rsid w:val="2A1017AA"/>
    <w:rsid w:val="2A497822"/>
    <w:rsid w:val="2BBF12EC"/>
    <w:rsid w:val="2BC649D9"/>
    <w:rsid w:val="2BDE6CD3"/>
    <w:rsid w:val="2BEB54C9"/>
    <w:rsid w:val="2DC17D9D"/>
    <w:rsid w:val="2E1B14D5"/>
    <w:rsid w:val="2E5323F5"/>
    <w:rsid w:val="2FC811E9"/>
    <w:rsid w:val="2FEF2E52"/>
    <w:rsid w:val="3067A27A"/>
    <w:rsid w:val="313B5FC6"/>
    <w:rsid w:val="31CB66C3"/>
    <w:rsid w:val="325E2F79"/>
    <w:rsid w:val="32715B68"/>
    <w:rsid w:val="32776183"/>
    <w:rsid w:val="32805DAB"/>
    <w:rsid w:val="32973FA5"/>
    <w:rsid w:val="33BE2439"/>
    <w:rsid w:val="33F22C86"/>
    <w:rsid w:val="3515160D"/>
    <w:rsid w:val="35B46497"/>
    <w:rsid w:val="35F83418"/>
    <w:rsid w:val="377D778F"/>
    <w:rsid w:val="38137281"/>
    <w:rsid w:val="38394B60"/>
    <w:rsid w:val="397058EA"/>
    <w:rsid w:val="397D3003"/>
    <w:rsid w:val="399DAE19"/>
    <w:rsid w:val="3A3F1455"/>
    <w:rsid w:val="3A427F5C"/>
    <w:rsid w:val="3B7B3E41"/>
    <w:rsid w:val="3C1C11EE"/>
    <w:rsid w:val="3C7D00D8"/>
    <w:rsid w:val="3C8974B7"/>
    <w:rsid w:val="3CA06C0C"/>
    <w:rsid w:val="3CBE5E4E"/>
    <w:rsid w:val="3CD016DD"/>
    <w:rsid w:val="3CFB7BC9"/>
    <w:rsid w:val="3CFECA62"/>
    <w:rsid w:val="3D344F1C"/>
    <w:rsid w:val="3D90606A"/>
    <w:rsid w:val="3DB1571E"/>
    <w:rsid w:val="3E691DE9"/>
    <w:rsid w:val="3EA25851"/>
    <w:rsid w:val="3F453F0E"/>
    <w:rsid w:val="3F6C3757"/>
    <w:rsid w:val="3F9E3C3C"/>
    <w:rsid w:val="3FED7281"/>
    <w:rsid w:val="405D6A10"/>
    <w:rsid w:val="41485829"/>
    <w:rsid w:val="41CE90B8"/>
    <w:rsid w:val="41DA6594"/>
    <w:rsid w:val="41F30347"/>
    <w:rsid w:val="433F136A"/>
    <w:rsid w:val="43413334"/>
    <w:rsid w:val="444C1A75"/>
    <w:rsid w:val="44A3526F"/>
    <w:rsid w:val="44B032F4"/>
    <w:rsid w:val="457D25F7"/>
    <w:rsid w:val="458D3293"/>
    <w:rsid w:val="468341CD"/>
    <w:rsid w:val="46B75DE7"/>
    <w:rsid w:val="472C2589"/>
    <w:rsid w:val="475207B5"/>
    <w:rsid w:val="47541888"/>
    <w:rsid w:val="47597F19"/>
    <w:rsid w:val="48C0013E"/>
    <w:rsid w:val="4A760AEB"/>
    <w:rsid w:val="4B02661D"/>
    <w:rsid w:val="4B6416C5"/>
    <w:rsid w:val="4D9E5561"/>
    <w:rsid w:val="4E5F3F4C"/>
    <w:rsid w:val="4EC210D8"/>
    <w:rsid w:val="4F3162CA"/>
    <w:rsid w:val="4FAF53EA"/>
    <w:rsid w:val="4FB20036"/>
    <w:rsid w:val="4FF6243C"/>
    <w:rsid w:val="50913B2F"/>
    <w:rsid w:val="50D95873"/>
    <w:rsid w:val="50DE0415"/>
    <w:rsid w:val="525D5FFC"/>
    <w:rsid w:val="526102AF"/>
    <w:rsid w:val="528444DA"/>
    <w:rsid w:val="529E60AD"/>
    <w:rsid w:val="53073C53"/>
    <w:rsid w:val="537745D5"/>
    <w:rsid w:val="5492343E"/>
    <w:rsid w:val="552306F6"/>
    <w:rsid w:val="553B58E4"/>
    <w:rsid w:val="55656791"/>
    <w:rsid w:val="567B2535"/>
    <w:rsid w:val="56E352D5"/>
    <w:rsid w:val="571A1437"/>
    <w:rsid w:val="57C9715E"/>
    <w:rsid w:val="57E435FE"/>
    <w:rsid w:val="581C52AA"/>
    <w:rsid w:val="582D0655"/>
    <w:rsid w:val="58AF4966"/>
    <w:rsid w:val="58C3686E"/>
    <w:rsid w:val="5951205C"/>
    <w:rsid w:val="59D079E8"/>
    <w:rsid w:val="59D40847"/>
    <w:rsid w:val="5AB64AF1"/>
    <w:rsid w:val="5AE37F25"/>
    <w:rsid w:val="5B555777"/>
    <w:rsid w:val="5B67AC4A"/>
    <w:rsid w:val="5BD60FD7"/>
    <w:rsid w:val="5CB23D47"/>
    <w:rsid w:val="5EA31114"/>
    <w:rsid w:val="5EB033E1"/>
    <w:rsid w:val="5EEA8D14"/>
    <w:rsid w:val="5FAF09C4"/>
    <w:rsid w:val="60407565"/>
    <w:rsid w:val="608C4642"/>
    <w:rsid w:val="60A56859"/>
    <w:rsid w:val="62795572"/>
    <w:rsid w:val="63344E12"/>
    <w:rsid w:val="639E686F"/>
    <w:rsid w:val="64DD6417"/>
    <w:rsid w:val="65AA0B85"/>
    <w:rsid w:val="66004745"/>
    <w:rsid w:val="660356CA"/>
    <w:rsid w:val="6655119C"/>
    <w:rsid w:val="66CEDD80"/>
    <w:rsid w:val="67A7735B"/>
    <w:rsid w:val="690E0236"/>
    <w:rsid w:val="6A3E56F7"/>
    <w:rsid w:val="6A567F20"/>
    <w:rsid w:val="6AA13A6B"/>
    <w:rsid w:val="6B275FB9"/>
    <w:rsid w:val="6B4D6F5F"/>
    <w:rsid w:val="6B8B11F0"/>
    <w:rsid w:val="6C3719F8"/>
    <w:rsid w:val="6CD97953"/>
    <w:rsid w:val="6D1C1317"/>
    <w:rsid w:val="6E2765F9"/>
    <w:rsid w:val="6ED30FD7"/>
    <w:rsid w:val="6EEA775A"/>
    <w:rsid w:val="6EF554FF"/>
    <w:rsid w:val="6F3602DA"/>
    <w:rsid w:val="6F3B6E2D"/>
    <w:rsid w:val="6FA6799E"/>
    <w:rsid w:val="6FF73710"/>
    <w:rsid w:val="6FFABAE4"/>
    <w:rsid w:val="705160B5"/>
    <w:rsid w:val="71A60B31"/>
    <w:rsid w:val="723EF6DC"/>
    <w:rsid w:val="727D78FD"/>
    <w:rsid w:val="72E9722D"/>
    <w:rsid w:val="73AF56DE"/>
    <w:rsid w:val="73BAB497"/>
    <w:rsid w:val="73CC655F"/>
    <w:rsid w:val="740A1C05"/>
    <w:rsid w:val="74BF1934"/>
    <w:rsid w:val="75202B6D"/>
    <w:rsid w:val="75864A53"/>
    <w:rsid w:val="75957445"/>
    <w:rsid w:val="75D01AE1"/>
    <w:rsid w:val="75D4756D"/>
    <w:rsid w:val="77524363"/>
    <w:rsid w:val="7772C226"/>
    <w:rsid w:val="77925931"/>
    <w:rsid w:val="77B917B5"/>
    <w:rsid w:val="77FEB0C9"/>
    <w:rsid w:val="77FFB7F8"/>
    <w:rsid w:val="77FFF56F"/>
    <w:rsid w:val="78703975"/>
    <w:rsid w:val="79312F28"/>
    <w:rsid w:val="7969526E"/>
    <w:rsid w:val="79FBA9C7"/>
    <w:rsid w:val="7A8F6158"/>
    <w:rsid w:val="7A9BEEA6"/>
    <w:rsid w:val="7AD85D51"/>
    <w:rsid w:val="7AF20495"/>
    <w:rsid w:val="7B6906DD"/>
    <w:rsid w:val="7BBBCF66"/>
    <w:rsid w:val="7BE420FD"/>
    <w:rsid w:val="7BFB0B73"/>
    <w:rsid w:val="7BFF26E8"/>
    <w:rsid w:val="7CF6A036"/>
    <w:rsid w:val="7D0D296B"/>
    <w:rsid w:val="7D4E0B54"/>
    <w:rsid w:val="7D503E78"/>
    <w:rsid w:val="7D593F03"/>
    <w:rsid w:val="7DBA34EC"/>
    <w:rsid w:val="7DDD9546"/>
    <w:rsid w:val="7DF41D9F"/>
    <w:rsid w:val="7DFF1BDD"/>
    <w:rsid w:val="7DFF75A3"/>
    <w:rsid w:val="7E0160D4"/>
    <w:rsid w:val="7E094315"/>
    <w:rsid w:val="7E775C5B"/>
    <w:rsid w:val="7F74973E"/>
    <w:rsid w:val="7F77B7CB"/>
    <w:rsid w:val="7F77B9C2"/>
    <w:rsid w:val="7FBF16CA"/>
    <w:rsid w:val="7FE7A2DD"/>
    <w:rsid w:val="7FFB418C"/>
    <w:rsid w:val="8FF7AEBF"/>
    <w:rsid w:val="966A084F"/>
    <w:rsid w:val="9F6FF3E6"/>
    <w:rsid w:val="9FFB6DB9"/>
    <w:rsid w:val="A71F7F55"/>
    <w:rsid w:val="A7FE7295"/>
    <w:rsid w:val="ABED0D46"/>
    <w:rsid w:val="B8ADA0C4"/>
    <w:rsid w:val="BEEEA0C4"/>
    <w:rsid w:val="BF6C707B"/>
    <w:rsid w:val="BF76EE63"/>
    <w:rsid w:val="BFAE6CBF"/>
    <w:rsid w:val="BFE7CCBD"/>
    <w:rsid w:val="C7B9B9C7"/>
    <w:rsid w:val="CF6F09C5"/>
    <w:rsid w:val="CFBE7D01"/>
    <w:rsid w:val="CFCCB12C"/>
    <w:rsid w:val="D1E303AB"/>
    <w:rsid w:val="D77FE155"/>
    <w:rsid w:val="D7FFDEAB"/>
    <w:rsid w:val="DB9B45ED"/>
    <w:rsid w:val="DD74ACC1"/>
    <w:rsid w:val="DF6BF0D7"/>
    <w:rsid w:val="DF7F4F28"/>
    <w:rsid w:val="E9EF7F12"/>
    <w:rsid w:val="EDBB9937"/>
    <w:rsid w:val="EDF5EF58"/>
    <w:rsid w:val="EDFFF268"/>
    <w:rsid w:val="EFD32D82"/>
    <w:rsid w:val="EFFD0240"/>
    <w:rsid w:val="F5BF8F8A"/>
    <w:rsid w:val="F5CEC8EB"/>
    <w:rsid w:val="F6DFA88C"/>
    <w:rsid w:val="F76AEACE"/>
    <w:rsid w:val="F7BF74C4"/>
    <w:rsid w:val="F7FBFD32"/>
    <w:rsid w:val="F957E969"/>
    <w:rsid w:val="F9D58487"/>
    <w:rsid w:val="FBBD5677"/>
    <w:rsid w:val="FBDBF82D"/>
    <w:rsid w:val="FBFF4CEE"/>
    <w:rsid w:val="FD36BCC8"/>
    <w:rsid w:val="FDBD1096"/>
    <w:rsid w:val="FDCF7E0E"/>
    <w:rsid w:val="FE73D8D5"/>
    <w:rsid w:val="FEAF4DD7"/>
    <w:rsid w:val="FEBECBB0"/>
    <w:rsid w:val="FEED86F2"/>
    <w:rsid w:val="FEFFE5A4"/>
    <w:rsid w:val="FF7F8122"/>
    <w:rsid w:val="FFDFA621"/>
    <w:rsid w:val="FFEFCA1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2">
    <w:name w:val="heading 1"/>
    <w:basedOn w:val="1"/>
    <w:next w:val="1"/>
    <w:link w:val="76"/>
    <w:qFormat/>
    <w:uiPriority w:val="0"/>
    <w:pPr>
      <w:keepNext/>
      <w:keepLines/>
      <w:numPr>
        <w:ilvl w:val="0"/>
        <w:numId w:val="1"/>
      </w:numPr>
      <w:spacing w:before="120" w:after="120"/>
      <w:ind w:firstLine="0" w:firstLineChars="0"/>
      <w:outlineLvl w:val="0"/>
    </w:pPr>
    <w:rPr>
      <w:rFonts w:eastAsia="黑体"/>
      <w:b/>
      <w:bCs/>
      <w:kern w:val="44"/>
      <w:sz w:val="32"/>
      <w:szCs w:val="28"/>
    </w:rPr>
  </w:style>
  <w:style w:type="paragraph" w:styleId="3">
    <w:name w:val="heading 2"/>
    <w:basedOn w:val="1"/>
    <w:next w:val="1"/>
    <w:link w:val="89"/>
    <w:qFormat/>
    <w:uiPriority w:val="9"/>
    <w:pPr>
      <w:keepNext/>
      <w:keepLines/>
      <w:numPr>
        <w:ilvl w:val="1"/>
        <w:numId w:val="1"/>
      </w:numPr>
      <w:spacing w:before="120" w:after="120"/>
      <w:ind w:firstLine="0" w:firstLineChars="0"/>
      <w:outlineLvl w:val="1"/>
    </w:pPr>
    <w:rPr>
      <w:b/>
      <w:bCs/>
      <w:sz w:val="30"/>
      <w:szCs w:val="32"/>
    </w:rPr>
  </w:style>
  <w:style w:type="paragraph" w:styleId="4">
    <w:name w:val="heading 3"/>
    <w:basedOn w:val="1"/>
    <w:next w:val="1"/>
    <w:link w:val="82"/>
    <w:qFormat/>
    <w:uiPriority w:val="0"/>
    <w:pPr>
      <w:keepNext/>
      <w:keepLines/>
      <w:numPr>
        <w:ilvl w:val="2"/>
        <w:numId w:val="1"/>
      </w:numPr>
      <w:spacing w:before="120" w:after="120"/>
      <w:ind w:firstLine="0" w:firstLineChars="0"/>
      <w:outlineLvl w:val="2"/>
    </w:pPr>
    <w:rPr>
      <w:b/>
      <w:bCs/>
      <w:sz w:val="28"/>
      <w:szCs w:val="28"/>
    </w:rPr>
  </w:style>
  <w:style w:type="paragraph" w:styleId="5">
    <w:name w:val="heading 4"/>
    <w:basedOn w:val="1"/>
    <w:next w:val="1"/>
    <w:link w:val="59"/>
    <w:qFormat/>
    <w:uiPriority w:val="0"/>
    <w:pPr>
      <w:keepNext/>
      <w:keepLines/>
      <w:numPr>
        <w:ilvl w:val="3"/>
        <w:numId w:val="1"/>
      </w:numPr>
      <w:spacing w:before="120" w:after="120"/>
      <w:ind w:left="851" w:firstLine="0" w:firstLineChars="0"/>
      <w:outlineLvl w:val="3"/>
    </w:pPr>
    <w:rPr>
      <w:b/>
      <w:bCs/>
      <w:sz w:val="30"/>
      <w:szCs w:val="30"/>
    </w:rPr>
  </w:style>
  <w:style w:type="paragraph" w:styleId="6">
    <w:name w:val="heading 5"/>
    <w:basedOn w:val="1"/>
    <w:next w:val="1"/>
    <w:link w:val="87"/>
    <w:qFormat/>
    <w:uiPriority w:val="0"/>
    <w:pPr>
      <w:keepNext/>
      <w:keepLines/>
      <w:numPr>
        <w:ilvl w:val="4"/>
        <w:numId w:val="1"/>
      </w:numPr>
      <w:spacing w:before="120" w:after="120"/>
      <w:ind w:left="0" w:firstLine="0" w:firstLineChars="0"/>
      <w:outlineLvl w:val="4"/>
    </w:pPr>
    <w:rPr>
      <w:b/>
      <w:bCs/>
      <w:szCs w:val="28"/>
    </w:rPr>
  </w:style>
  <w:style w:type="paragraph" w:styleId="7">
    <w:name w:val="heading 6"/>
    <w:basedOn w:val="1"/>
    <w:next w:val="1"/>
    <w:link w:val="100"/>
    <w:qFormat/>
    <w:uiPriority w:val="0"/>
    <w:pPr>
      <w:keepNext/>
      <w:keepLines/>
      <w:numPr>
        <w:ilvl w:val="5"/>
        <w:numId w:val="1"/>
      </w:numPr>
      <w:spacing w:before="120" w:after="120"/>
      <w:ind w:firstLine="0" w:firstLineChars="0"/>
      <w:outlineLvl w:val="5"/>
    </w:pPr>
    <w:rPr>
      <w:rFonts w:ascii="Cambria" w:hAnsi="Cambria"/>
      <w:b/>
      <w:bCs/>
    </w:rPr>
  </w:style>
  <w:style w:type="paragraph" w:styleId="8">
    <w:name w:val="heading 7"/>
    <w:basedOn w:val="1"/>
    <w:next w:val="1"/>
    <w:link w:val="73"/>
    <w:qFormat/>
    <w:uiPriority w:val="9"/>
    <w:pPr>
      <w:keepNext/>
      <w:keepLines/>
      <w:spacing w:before="240" w:after="64" w:line="319" w:lineRule="auto"/>
      <w:ind w:firstLine="0" w:firstLineChars="0"/>
      <w:outlineLvl w:val="6"/>
    </w:pPr>
    <w:rPr>
      <w:rFonts w:ascii="Times New Roman" w:hAnsi="Times New Roman"/>
      <w:b/>
      <w:bCs/>
      <w:sz w:val="21"/>
    </w:rPr>
  </w:style>
  <w:style w:type="paragraph" w:styleId="9">
    <w:name w:val="heading 8"/>
    <w:basedOn w:val="1"/>
    <w:next w:val="1"/>
    <w:link w:val="99"/>
    <w:qFormat/>
    <w:uiPriority w:val="9"/>
    <w:pPr>
      <w:keepNext/>
      <w:keepLines/>
      <w:spacing w:before="240" w:after="64" w:line="319" w:lineRule="auto"/>
      <w:ind w:firstLine="0" w:firstLineChars="0"/>
      <w:outlineLvl w:val="7"/>
    </w:pPr>
    <w:rPr>
      <w:rFonts w:ascii="Cambria" w:hAnsi="Cambria"/>
      <w:sz w:val="21"/>
    </w:rPr>
  </w:style>
  <w:style w:type="paragraph" w:styleId="10">
    <w:name w:val="heading 9"/>
    <w:basedOn w:val="1"/>
    <w:next w:val="1"/>
    <w:link w:val="49"/>
    <w:qFormat/>
    <w:uiPriority w:val="9"/>
    <w:pPr>
      <w:keepNext/>
      <w:keepLines/>
      <w:spacing w:before="240" w:after="64" w:line="319" w:lineRule="auto"/>
      <w:ind w:firstLine="0" w:firstLineChars="0"/>
      <w:outlineLvl w:val="8"/>
    </w:pPr>
    <w:rPr>
      <w:rFonts w:ascii="Cambria" w:hAnsi="Cambria"/>
      <w:sz w:val="21"/>
      <w:szCs w:val="21"/>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ascii="等线" w:hAnsi="等线" w:eastAsia="等线"/>
      <w:szCs w:val="22"/>
    </w:rPr>
  </w:style>
  <w:style w:type="paragraph" w:styleId="12">
    <w:name w:val="Normal Indent"/>
    <w:basedOn w:val="1"/>
    <w:unhideWhenUsed/>
    <w:qFormat/>
    <w:uiPriority w:val="99"/>
    <w:pPr>
      <w:spacing w:line="240" w:lineRule="auto"/>
      <w:ind w:firstLine="420"/>
    </w:pPr>
    <w:rPr>
      <w:rFonts w:ascii="Calibri" w:hAnsi="Calibri"/>
      <w:sz w:val="21"/>
    </w:rPr>
  </w:style>
  <w:style w:type="paragraph" w:styleId="13">
    <w:name w:val="caption"/>
    <w:basedOn w:val="1"/>
    <w:next w:val="1"/>
    <w:link w:val="55"/>
    <w:qFormat/>
    <w:uiPriority w:val="0"/>
    <w:pPr>
      <w:spacing w:afterLines="50"/>
      <w:ind w:firstLine="200"/>
    </w:pPr>
    <w:rPr>
      <w:rFonts w:ascii="Arial" w:hAnsi="Arial" w:eastAsia="黑体"/>
      <w:sz w:val="20"/>
      <w:szCs w:val="20"/>
    </w:rPr>
  </w:style>
  <w:style w:type="paragraph" w:styleId="14">
    <w:name w:val="Document Map"/>
    <w:basedOn w:val="1"/>
    <w:link w:val="92"/>
    <w:qFormat/>
    <w:uiPriority w:val="0"/>
    <w:rPr>
      <w:rFonts w:hAnsi="Times New Roman"/>
      <w:sz w:val="18"/>
      <w:szCs w:val="18"/>
    </w:rPr>
  </w:style>
  <w:style w:type="paragraph" w:styleId="15">
    <w:name w:val="annotation text"/>
    <w:basedOn w:val="1"/>
    <w:link w:val="46"/>
    <w:qFormat/>
    <w:uiPriority w:val="99"/>
    <w:pPr>
      <w:jc w:val="left"/>
    </w:pPr>
    <w:rPr>
      <w:rFonts w:ascii="Times New Roman" w:hAnsi="Times New Roman" w:eastAsia="仿宋"/>
      <w:sz w:val="28"/>
    </w:rPr>
  </w:style>
  <w:style w:type="paragraph" w:styleId="16">
    <w:name w:val="Body Text"/>
    <w:basedOn w:val="1"/>
    <w:link w:val="60"/>
    <w:unhideWhenUsed/>
    <w:qFormat/>
    <w:uiPriority w:val="0"/>
    <w:pPr>
      <w:spacing w:after="120" w:line="240" w:lineRule="auto"/>
      <w:ind w:firstLine="0" w:firstLineChars="0"/>
    </w:pPr>
    <w:rPr>
      <w:rFonts w:ascii="Times New Roman" w:hAnsi="Times New Roman"/>
      <w:sz w:val="21"/>
    </w:rPr>
  </w:style>
  <w:style w:type="paragraph" w:styleId="17">
    <w:name w:val="Body Text Indent"/>
    <w:basedOn w:val="1"/>
    <w:link w:val="86"/>
    <w:qFormat/>
    <w:uiPriority w:val="0"/>
    <w:pPr>
      <w:spacing w:after="120"/>
      <w:ind w:firstLine="200"/>
    </w:pPr>
    <w:rPr>
      <w:rFonts w:ascii="Times New Roman" w:hAnsi="Times New Roman"/>
      <w:sz w:val="21"/>
      <w:szCs w:val="20"/>
    </w:rPr>
  </w:style>
  <w:style w:type="paragraph" w:styleId="18">
    <w:name w:val="toc 5"/>
    <w:basedOn w:val="1"/>
    <w:next w:val="1"/>
    <w:unhideWhenUsed/>
    <w:qFormat/>
    <w:uiPriority w:val="39"/>
    <w:pPr>
      <w:ind w:left="1680" w:leftChars="800"/>
    </w:pPr>
    <w:rPr>
      <w:rFonts w:ascii="等线" w:hAnsi="等线" w:eastAsia="等线"/>
      <w:szCs w:val="22"/>
    </w:rPr>
  </w:style>
  <w:style w:type="paragraph" w:styleId="19">
    <w:name w:val="toc 3"/>
    <w:basedOn w:val="1"/>
    <w:next w:val="1"/>
    <w:qFormat/>
    <w:uiPriority w:val="39"/>
    <w:pPr>
      <w:tabs>
        <w:tab w:val="right" w:leader="dot" w:pos="8302"/>
      </w:tabs>
      <w:ind w:left="840" w:leftChars="400"/>
    </w:pPr>
  </w:style>
  <w:style w:type="paragraph" w:styleId="20">
    <w:name w:val="Plain Text"/>
    <w:basedOn w:val="1"/>
    <w:link w:val="67"/>
    <w:qFormat/>
    <w:uiPriority w:val="0"/>
    <w:pPr>
      <w:spacing w:line="240" w:lineRule="auto"/>
      <w:ind w:firstLine="0" w:firstLineChars="0"/>
    </w:pPr>
    <w:rPr>
      <w:rFonts w:hAnsi="Courier New"/>
      <w:sz w:val="21"/>
      <w:szCs w:val="20"/>
    </w:rPr>
  </w:style>
  <w:style w:type="paragraph" w:styleId="21">
    <w:name w:val="toc 8"/>
    <w:basedOn w:val="1"/>
    <w:next w:val="1"/>
    <w:unhideWhenUsed/>
    <w:qFormat/>
    <w:uiPriority w:val="39"/>
    <w:pPr>
      <w:ind w:left="2940" w:leftChars="1400"/>
    </w:pPr>
    <w:rPr>
      <w:rFonts w:ascii="等线" w:hAnsi="等线" w:eastAsia="等线"/>
      <w:szCs w:val="22"/>
    </w:rPr>
  </w:style>
  <w:style w:type="paragraph" w:styleId="22">
    <w:name w:val="Date"/>
    <w:basedOn w:val="1"/>
    <w:next w:val="1"/>
    <w:link w:val="48"/>
    <w:qFormat/>
    <w:uiPriority w:val="0"/>
    <w:pPr>
      <w:ind w:left="100" w:leftChars="2500"/>
    </w:pPr>
    <w:rPr>
      <w:rFonts w:ascii="Times New Roman" w:hAnsi="Times New Roman"/>
      <w:sz w:val="21"/>
    </w:rPr>
  </w:style>
  <w:style w:type="paragraph" w:styleId="23">
    <w:name w:val="Balloon Text"/>
    <w:basedOn w:val="1"/>
    <w:link w:val="97"/>
    <w:qFormat/>
    <w:uiPriority w:val="0"/>
    <w:rPr>
      <w:rFonts w:ascii="Times New Roman" w:hAnsi="Times New Roman"/>
      <w:sz w:val="18"/>
      <w:szCs w:val="18"/>
    </w:rPr>
  </w:style>
  <w:style w:type="paragraph" w:styleId="24">
    <w:name w:val="footer"/>
    <w:basedOn w:val="1"/>
    <w:link w:val="90"/>
    <w:qFormat/>
    <w:uiPriority w:val="99"/>
    <w:pPr>
      <w:tabs>
        <w:tab w:val="center" w:pos="4153"/>
        <w:tab w:val="right" w:pos="8306"/>
      </w:tabs>
      <w:snapToGrid w:val="0"/>
      <w:jc w:val="center"/>
    </w:pPr>
    <w:rPr>
      <w:rFonts w:ascii="Times New Roman" w:hAnsi="Times New Roman"/>
      <w:sz w:val="18"/>
      <w:szCs w:val="18"/>
    </w:rPr>
  </w:style>
  <w:style w:type="paragraph" w:styleId="25">
    <w:name w:val="header"/>
    <w:basedOn w:val="1"/>
    <w:link w:val="98"/>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26">
    <w:name w:val="toc 1"/>
    <w:basedOn w:val="1"/>
    <w:next w:val="1"/>
    <w:qFormat/>
    <w:uiPriority w:val="39"/>
  </w:style>
  <w:style w:type="paragraph" w:styleId="27">
    <w:name w:val="toc 4"/>
    <w:basedOn w:val="1"/>
    <w:next w:val="1"/>
    <w:unhideWhenUsed/>
    <w:qFormat/>
    <w:uiPriority w:val="39"/>
    <w:pPr>
      <w:ind w:left="1260" w:leftChars="600"/>
    </w:pPr>
    <w:rPr>
      <w:rFonts w:ascii="等线" w:hAnsi="等线" w:eastAsia="等线"/>
      <w:szCs w:val="22"/>
    </w:rPr>
  </w:style>
  <w:style w:type="paragraph" w:styleId="28">
    <w:name w:val="Subtitle"/>
    <w:basedOn w:val="1"/>
    <w:next w:val="1"/>
    <w:link w:val="88"/>
    <w:qFormat/>
    <w:uiPriority w:val="0"/>
    <w:pPr>
      <w:spacing w:before="240" w:after="60" w:line="312" w:lineRule="auto"/>
      <w:jc w:val="center"/>
      <w:outlineLvl w:val="1"/>
    </w:pPr>
    <w:rPr>
      <w:rFonts w:ascii="Calibri Light" w:hAnsi="Calibri Light"/>
      <w:b/>
      <w:bCs/>
      <w:kern w:val="28"/>
      <w:sz w:val="32"/>
      <w:szCs w:val="32"/>
    </w:rPr>
  </w:style>
  <w:style w:type="paragraph" w:styleId="29">
    <w:name w:val="toc 6"/>
    <w:basedOn w:val="1"/>
    <w:next w:val="1"/>
    <w:unhideWhenUsed/>
    <w:qFormat/>
    <w:uiPriority w:val="39"/>
    <w:pPr>
      <w:ind w:left="2100" w:leftChars="1000"/>
    </w:pPr>
    <w:rPr>
      <w:rFonts w:ascii="等线" w:hAnsi="等线" w:eastAsia="等线"/>
      <w:szCs w:val="22"/>
    </w:rPr>
  </w:style>
  <w:style w:type="paragraph" w:styleId="30">
    <w:name w:val="toc 2"/>
    <w:basedOn w:val="1"/>
    <w:next w:val="1"/>
    <w:qFormat/>
    <w:uiPriority w:val="39"/>
    <w:pPr>
      <w:tabs>
        <w:tab w:val="right" w:leader="dot" w:pos="8302"/>
      </w:tabs>
      <w:ind w:left="420" w:leftChars="200"/>
    </w:pPr>
  </w:style>
  <w:style w:type="paragraph" w:styleId="31">
    <w:name w:val="toc 9"/>
    <w:basedOn w:val="1"/>
    <w:next w:val="1"/>
    <w:unhideWhenUsed/>
    <w:qFormat/>
    <w:uiPriority w:val="39"/>
    <w:pPr>
      <w:ind w:left="3360" w:leftChars="1600"/>
    </w:pPr>
    <w:rPr>
      <w:rFonts w:ascii="等线" w:hAnsi="等线" w:eastAsia="等线"/>
      <w:szCs w:val="22"/>
    </w:rPr>
  </w:style>
  <w:style w:type="paragraph" w:styleId="32">
    <w:name w:val="Normal (Web)"/>
    <w:basedOn w:val="1"/>
    <w:qFormat/>
    <w:uiPriority w:val="99"/>
    <w:pPr>
      <w:widowControl/>
      <w:spacing w:before="100" w:after="100"/>
      <w:jc w:val="left"/>
    </w:pPr>
    <w:rPr>
      <w:rFonts w:hint="eastAsia" w:ascii="Arial Unicode MS" w:hAnsi="Arial Unicode MS" w:eastAsia="Arial Unicode MS"/>
      <w:kern w:val="0"/>
    </w:rPr>
  </w:style>
  <w:style w:type="paragraph" w:styleId="33">
    <w:name w:val="Title"/>
    <w:basedOn w:val="1"/>
    <w:next w:val="1"/>
    <w:link w:val="96"/>
    <w:qFormat/>
    <w:uiPriority w:val="0"/>
    <w:pPr>
      <w:spacing w:before="240" w:after="60" w:line="960" w:lineRule="auto"/>
      <w:jc w:val="center"/>
    </w:pPr>
    <w:rPr>
      <w:rFonts w:ascii="Cambria" w:hAnsi="Cambria" w:eastAsia="黑体"/>
      <w:b/>
      <w:bCs/>
      <w:sz w:val="52"/>
      <w:szCs w:val="32"/>
    </w:rPr>
  </w:style>
  <w:style w:type="paragraph" w:styleId="34">
    <w:name w:val="annotation subject"/>
    <w:basedOn w:val="15"/>
    <w:next w:val="15"/>
    <w:link w:val="84"/>
    <w:qFormat/>
    <w:uiPriority w:val="0"/>
    <w:rPr>
      <w:b/>
      <w:bCs/>
      <w:sz w:val="21"/>
    </w:rPr>
  </w:style>
  <w:style w:type="table" w:styleId="36">
    <w:name w:val="Table Grid"/>
    <w:basedOn w:val="35"/>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0"/>
    <w:rPr>
      <w:b/>
    </w:rPr>
  </w:style>
  <w:style w:type="character" w:styleId="39">
    <w:name w:val="page number"/>
    <w:basedOn w:val="37"/>
    <w:qFormat/>
    <w:uiPriority w:val="0"/>
  </w:style>
  <w:style w:type="character" w:styleId="40">
    <w:name w:val="FollowedHyperlink"/>
    <w:unhideWhenUsed/>
    <w:qFormat/>
    <w:uiPriority w:val="99"/>
    <w:rPr>
      <w:color w:val="954F72"/>
      <w:u w:val="single"/>
    </w:rPr>
  </w:style>
  <w:style w:type="character" w:styleId="41">
    <w:name w:val="Hyperlink"/>
    <w:qFormat/>
    <w:uiPriority w:val="99"/>
    <w:rPr>
      <w:color w:val="0000FF"/>
      <w:u w:val="single"/>
    </w:rPr>
  </w:style>
  <w:style w:type="character" w:styleId="42">
    <w:name w:val="annotation reference"/>
    <w:qFormat/>
    <w:uiPriority w:val="99"/>
    <w:rPr>
      <w:sz w:val="21"/>
      <w:szCs w:val="21"/>
    </w:rPr>
  </w:style>
  <w:style w:type="character" w:customStyle="1" w:styleId="43">
    <w:name w:val="标题 3 字符1"/>
    <w:qFormat/>
    <w:uiPriority w:val="0"/>
    <w:rPr>
      <w:rFonts w:ascii="宋体" w:hAnsi="宋体"/>
      <w:b/>
      <w:bCs/>
      <w:kern w:val="2"/>
      <w:sz w:val="28"/>
      <w:szCs w:val="28"/>
    </w:rPr>
  </w:style>
  <w:style w:type="character" w:customStyle="1" w:styleId="44">
    <w:name w:val="首行缩进正文 Char"/>
    <w:link w:val="45"/>
    <w:qFormat/>
    <w:uiPriority w:val="0"/>
    <w:rPr>
      <w:kern w:val="2"/>
      <w:sz w:val="24"/>
    </w:rPr>
  </w:style>
  <w:style w:type="paragraph" w:customStyle="1" w:styleId="45">
    <w:name w:val="首行缩进正文"/>
    <w:basedOn w:val="1"/>
    <w:link w:val="44"/>
    <w:qFormat/>
    <w:uiPriority w:val="0"/>
    <w:pPr>
      <w:widowControl/>
      <w:adjustRightInd w:val="0"/>
      <w:snapToGrid w:val="0"/>
      <w:spacing w:afterLines="50" w:line="276" w:lineRule="auto"/>
      <w:ind w:firstLine="420" w:firstLineChars="0"/>
      <w:jc w:val="left"/>
    </w:pPr>
    <w:rPr>
      <w:rFonts w:ascii="Times New Roman" w:hAnsi="Times New Roman"/>
      <w:szCs w:val="20"/>
    </w:rPr>
  </w:style>
  <w:style w:type="character" w:customStyle="1" w:styleId="46">
    <w:name w:val="批注文字 字符1"/>
    <w:link w:val="15"/>
    <w:qFormat/>
    <w:uiPriority w:val="99"/>
    <w:rPr>
      <w:rFonts w:eastAsia="仿宋"/>
      <w:kern w:val="2"/>
      <w:sz w:val="28"/>
      <w:szCs w:val="24"/>
    </w:rPr>
  </w:style>
  <w:style w:type="character" w:customStyle="1" w:styleId="47">
    <w:name w:val="日期 字符"/>
    <w:semiHidden/>
    <w:qFormat/>
    <w:uiPriority w:val="99"/>
    <w:rPr>
      <w:rFonts w:ascii="宋体" w:hAnsi="宋体"/>
      <w:kern w:val="2"/>
      <w:sz w:val="24"/>
      <w:szCs w:val="24"/>
    </w:rPr>
  </w:style>
  <w:style w:type="character" w:customStyle="1" w:styleId="48">
    <w:name w:val="日期 字符1"/>
    <w:link w:val="22"/>
    <w:qFormat/>
    <w:uiPriority w:val="0"/>
    <w:rPr>
      <w:kern w:val="2"/>
      <w:sz w:val="21"/>
      <w:szCs w:val="24"/>
    </w:rPr>
  </w:style>
  <w:style w:type="character" w:customStyle="1" w:styleId="49">
    <w:name w:val="标题 9 字符"/>
    <w:link w:val="10"/>
    <w:qFormat/>
    <w:uiPriority w:val="9"/>
    <w:rPr>
      <w:rFonts w:ascii="Cambria" w:hAnsi="Cambria"/>
      <w:kern w:val="2"/>
      <w:sz w:val="21"/>
      <w:szCs w:val="21"/>
    </w:rPr>
  </w:style>
  <w:style w:type="character" w:customStyle="1" w:styleId="50">
    <w:name w:val="未处理的提及1"/>
    <w:unhideWhenUsed/>
    <w:qFormat/>
    <w:uiPriority w:val="99"/>
    <w:rPr>
      <w:color w:val="605E5C"/>
      <w:shd w:val="clear" w:color="auto" w:fill="E1DFDD"/>
    </w:rPr>
  </w:style>
  <w:style w:type="character" w:customStyle="1" w:styleId="51">
    <w:name w:val="标题 1 字符"/>
    <w:qFormat/>
    <w:uiPriority w:val="9"/>
    <w:rPr>
      <w:rFonts w:ascii="宋体" w:hAnsi="宋体"/>
      <w:b/>
      <w:bCs/>
      <w:kern w:val="44"/>
      <w:sz w:val="44"/>
      <w:szCs w:val="44"/>
    </w:rPr>
  </w:style>
  <w:style w:type="character" w:customStyle="1" w:styleId="52">
    <w:name w:val="标题 3 字符"/>
    <w:semiHidden/>
    <w:qFormat/>
    <w:uiPriority w:val="9"/>
    <w:rPr>
      <w:rFonts w:ascii="宋体" w:hAnsi="宋体"/>
      <w:b/>
      <w:bCs/>
      <w:kern w:val="2"/>
      <w:sz w:val="32"/>
      <w:szCs w:val="32"/>
    </w:rPr>
  </w:style>
  <w:style w:type="character" w:customStyle="1" w:styleId="53">
    <w:name w:val="页脚 字符"/>
    <w:qFormat/>
    <w:uiPriority w:val="99"/>
  </w:style>
  <w:style w:type="character" w:customStyle="1" w:styleId="54">
    <w:name w:val="标题 5 字符"/>
    <w:semiHidden/>
    <w:qFormat/>
    <w:uiPriority w:val="9"/>
    <w:rPr>
      <w:rFonts w:ascii="宋体" w:hAnsi="宋体"/>
      <w:b/>
      <w:bCs/>
      <w:kern w:val="2"/>
      <w:sz w:val="28"/>
      <w:szCs w:val="28"/>
    </w:rPr>
  </w:style>
  <w:style w:type="character" w:customStyle="1" w:styleId="55">
    <w:name w:val="题注 字符"/>
    <w:link w:val="13"/>
    <w:qFormat/>
    <w:locked/>
    <w:uiPriority w:val="0"/>
    <w:rPr>
      <w:rFonts w:ascii="Arial" w:hAnsi="Arial" w:eastAsia="黑体"/>
      <w:kern w:val="2"/>
    </w:rPr>
  </w:style>
  <w:style w:type="character" w:customStyle="1" w:styleId="56">
    <w:name w:val="标题 2 字符"/>
    <w:semiHidden/>
    <w:qFormat/>
    <w:uiPriority w:val="9"/>
    <w:rPr>
      <w:rFonts w:ascii="等线 Light" w:hAnsi="等线 Light" w:eastAsia="等线 Light" w:cs="Times New Roman"/>
      <w:b/>
      <w:bCs/>
      <w:kern w:val="2"/>
      <w:sz w:val="32"/>
      <w:szCs w:val="32"/>
    </w:rPr>
  </w:style>
  <w:style w:type="character" w:customStyle="1" w:styleId="57">
    <w:name w:val="纯文本 字符"/>
    <w:qFormat/>
    <w:uiPriority w:val="0"/>
    <w:rPr>
      <w:rFonts w:ascii="宋体" w:hAnsi="Courier New" w:cs="Courier New"/>
      <w:kern w:val="2"/>
      <w:sz w:val="21"/>
      <w:szCs w:val="21"/>
    </w:rPr>
  </w:style>
  <w:style w:type="character" w:customStyle="1" w:styleId="58">
    <w:name w:val="列表段落 字符"/>
    <w:qFormat/>
    <w:uiPriority w:val="34"/>
    <w:rPr>
      <w:kern w:val="2"/>
      <w:sz w:val="21"/>
      <w:szCs w:val="22"/>
    </w:rPr>
  </w:style>
  <w:style w:type="character" w:customStyle="1" w:styleId="59">
    <w:name w:val="标题 4 字符1"/>
    <w:link w:val="5"/>
    <w:qFormat/>
    <w:uiPriority w:val="0"/>
    <w:rPr>
      <w:rFonts w:ascii="宋体" w:hAnsi="宋体"/>
      <w:b/>
      <w:bCs/>
      <w:kern w:val="2"/>
      <w:sz w:val="30"/>
      <w:szCs w:val="30"/>
    </w:rPr>
  </w:style>
  <w:style w:type="character" w:customStyle="1" w:styleId="60">
    <w:name w:val="正文文本 字符"/>
    <w:link w:val="16"/>
    <w:qFormat/>
    <w:uiPriority w:val="0"/>
    <w:rPr>
      <w:kern w:val="2"/>
      <w:sz w:val="21"/>
      <w:szCs w:val="24"/>
    </w:rPr>
  </w:style>
  <w:style w:type="character" w:customStyle="1" w:styleId="61">
    <w:name w:val="列表段落 字符1"/>
    <w:link w:val="62"/>
    <w:qFormat/>
    <w:uiPriority w:val="34"/>
    <w:rPr>
      <w:kern w:val="2"/>
      <w:sz w:val="21"/>
      <w:szCs w:val="24"/>
    </w:rPr>
  </w:style>
  <w:style w:type="paragraph" w:styleId="62">
    <w:name w:val="List Paragraph"/>
    <w:basedOn w:val="1"/>
    <w:link w:val="61"/>
    <w:qFormat/>
    <w:uiPriority w:val="34"/>
    <w:pPr>
      <w:ind w:firstLine="420"/>
    </w:pPr>
    <w:rPr>
      <w:rFonts w:ascii="Times New Roman" w:hAnsi="Times New Roman"/>
      <w:sz w:val="21"/>
    </w:rPr>
  </w:style>
  <w:style w:type="character" w:customStyle="1" w:styleId="63">
    <w:name w:val="font21"/>
    <w:qFormat/>
    <w:uiPriority w:val="0"/>
    <w:rPr>
      <w:rFonts w:ascii="Calibri" w:hAnsi="Calibri" w:cs="Calibri"/>
      <w:color w:val="000000"/>
      <w:sz w:val="21"/>
      <w:szCs w:val="21"/>
      <w:u w:val="none"/>
    </w:rPr>
  </w:style>
  <w:style w:type="character" w:customStyle="1" w:styleId="64">
    <w:name w:val="*正文 Char"/>
    <w:link w:val="65"/>
    <w:qFormat/>
    <w:uiPriority w:val="0"/>
    <w:rPr>
      <w:rFonts w:ascii="time" w:hAnsi="time"/>
      <w:sz w:val="24"/>
      <w:szCs w:val="24"/>
      <w:lang w:bidi="en-US"/>
    </w:rPr>
  </w:style>
  <w:style w:type="paragraph" w:customStyle="1" w:styleId="65">
    <w:name w:val="*正文"/>
    <w:basedOn w:val="1"/>
    <w:link w:val="64"/>
    <w:qFormat/>
    <w:uiPriority w:val="0"/>
    <w:pPr>
      <w:widowControl/>
      <w:ind w:firstLine="200"/>
      <w:contextualSpacing/>
    </w:pPr>
    <w:rPr>
      <w:rFonts w:ascii="time" w:hAnsi="time"/>
      <w:kern w:val="0"/>
      <w:lang w:bidi="en-US"/>
    </w:rPr>
  </w:style>
  <w:style w:type="character" w:customStyle="1" w:styleId="66">
    <w:name w:val="正文文本缩进 字符"/>
    <w:semiHidden/>
    <w:qFormat/>
    <w:uiPriority w:val="99"/>
    <w:rPr>
      <w:rFonts w:ascii="宋体" w:hAnsi="宋体"/>
      <w:kern w:val="2"/>
      <w:sz w:val="24"/>
      <w:szCs w:val="24"/>
    </w:rPr>
  </w:style>
  <w:style w:type="character" w:customStyle="1" w:styleId="67">
    <w:name w:val="纯文本 字符1"/>
    <w:link w:val="20"/>
    <w:qFormat/>
    <w:locked/>
    <w:uiPriority w:val="0"/>
    <w:rPr>
      <w:rFonts w:ascii="宋体" w:hAnsi="Courier New"/>
      <w:kern w:val="2"/>
      <w:sz w:val="21"/>
    </w:rPr>
  </w:style>
  <w:style w:type="character" w:customStyle="1" w:styleId="68">
    <w:name w:val="my正文 Char"/>
    <w:link w:val="69"/>
    <w:qFormat/>
    <w:uiPriority w:val="0"/>
    <w:rPr>
      <w:kern w:val="2"/>
      <w:sz w:val="21"/>
      <w:szCs w:val="24"/>
    </w:rPr>
  </w:style>
  <w:style w:type="paragraph" w:customStyle="1" w:styleId="69">
    <w:name w:val="my正文"/>
    <w:basedOn w:val="1"/>
    <w:link w:val="68"/>
    <w:qFormat/>
    <w:uiPriority w:val="0"/>
    <w:pPr>
      <w:spacing w:line="240" w:lineRule="auto"/>
      <w:ind w:firstLine="0" w:firstLineChars="0"/>
    </w:pPr>
    <w:rPr>
      <w:rFonts w:ascii="Times New Roman" w:hAnsi="Times New Roman"/>
      <w:sz w:val="21"/>
    </w:rPr>
  </w:style>
  <w:style w:type="character" w:customStyle="1" w:styleId="70">
    <w:name w:val="正文2 字符"/>
    <w:link w:val="71"/>
    <w:qFormat/>
    <w:uiPriority w:val="0"/>
    <w:rPr>
      <w:kern w:val="2"/>
      <w:sz w:val="21"/>
      <w:szCs w:val="24"/>
    </w:rPr>
  </w:style>
  <w:style w:type="paragraph" w:customStyle="1" w:styleId="71">
    <w:name w:val="正文2"/>
    <w:basedOn w:val="1"/>
    <w:link w:val="70"/>
    <w:qFormat/>
    <w:uiPriority w:val="0"/>
    <w:pPr>
      <w:ind w:firstLine="420"/>
    </w:pPr>
    <w:rPr>
      <w:rFonts w:ascii="Times New Roman" w:hAnsi="Times New Roman"/>
      <w:sz w:val="21"/>
    </w:rPr>
  </w:style>
  <w:style w:type="character" w:customStyle="1" w:styleId="72">
    <w:name w:val="font41"/>
    <w:qFormat/>
    <w:uiPriority w:val="0"/>
    <w:rPr>
      <w:rFonts w:hint="eastAsia" w:ascii="宋体" w:hAnsi="宋体" w:eastAsia="宋体" w:cs="宋体"/>
      <w:color w:val="000000"/>
      <w:sz w:val="21"/>
      <w:szCs w:val="21"/>
      <w:u w:val="none"/>
    </w:rPr>
  </w:style>
  <w:style w:type="character" w:customStyle="1" w:styleId="73">
    <w:name w:val="标题 7 字符"/>
    <w:link w:val="8"/>
    <w:qFormat/>
    <w:uiPriority w:val="9"/>
    <w:rPr>
      <w:b/>
      <w:bCs/>
      <w:kern w:val="2"/>
      <w:sz w:val="21"/>
      <w:szCs w:val="24"/>
    </w:rPr>
  </w:style>
  <w:style w:type="character" w:customStyle="1" w:styleId="74">
    <w:name w:val="批注框文本 字符"/>
    <w:semiHidden/>
    <w:qFormat/>
    <w:uiPriority w:val="99"/>
    <w:rPr>
      <w:rFonts w:ascii="宋体" w:hAnsi="宋体"/>
      <w:kern w:val="2"/>
      <w:sz w:val="18"/>
      <w:szCs w:val="18"/>
    </w:rPr>
  </w:style>
  <w:style w:type="character" w:customStyle="1" w:styleId="75">
    <w:name w:val="副标题 Char1"/>
    <w:qFormat/>
    <w:uiPriority w:val="0"/>
    <w:rPr>
      <w:rFonts w:ascii="Calibri Light" w:hAnsi="Calibri Light" w:cs="Times New Roman"/>
      <w:b/>
      <w:bCs/>
      <w:kern w:val="28"/>
      <w:sz w:val="32"/>
      <w:szCs w:val="32"/>
    </w:rPr>
  </w:style>
  <w:style w:type="character" w:customStyle="1" w:styleId="76">
    <w:name w:val="标题 1 字符1"/>
    <w:link w:val="2"/>
    <w:qFormat/>
    <w:uiPriority w:val="0"/>
    <w:rPr>
      <w:rFonts w:ascii="宋体" w:hAnsi="宋体" w:eastAsia="黑体"/>
      <w:b/>
      <w:bCs/>
      <w:kern w:val="44"/>
      <w:sz w:val="32"/>
      <w:szCs w:val="28"/>
    </w:rPr>
  </w:style>
  <w:style w:type="character" w:customStyle="1" w:styleId="77">
    <w:name w:val="批注文字 字符"/>
    <w:qFormat/>
    <w:uiPriority w:val="99"/>
    <w:rPr>
      <w:rFonts w:ascii="宋体" w:hAnsi="宋体"/>
      <w:kern w:val="2"/>
      <w:sz w:val="24"/>
      <w:szCs w:val="24"/>
    </w:rPr>
  </w:style>
  <w:style w:type="character" w:customStyle="1" w:styleId="78">
    <w:name w:val="文档结构图 字符"/>
    <w:semiHidden/>
    <w:qFormat/>
    <w:uiPriority w:val="99"/>
    <w:rPr>
      <w:rFonts w:ascii="Microsoft YaHei UI" w:hAnsi="宋体" w:eastAsia="Microsoft YaHei UI"/>
      <w:kern w:val="2"/>
      <w:sz w:val="18"/>
      <w:szCs w:val="18"/>
    </w:rPr>
  </w:style>
  <w:style w:type="character" w:customStyle="1" w:styleId="79">
    <w:name w:val="标题 6 字符"/>
    <w:semiHidden/>
    <w:qFormat/>
    <w:uiPriority w:val="9"/>
    <w:rPr>
      <w:rFonts w:ascii="等线 Light" w:hAnsi="等线 Light" w:eastAsia="等线 Light" w:cs="Times New Roman"/>
      <w:b/>
      <w:bCs/>
      <w:kern w:val="2"/>
      <w:sz w:val="24"/>
      <w:szCs w:val="24"/>
    </w:rPr>
  </w:style>
  <w:style w:type="character" w:customStyle="1" w:styleId="80">
    <w:name w:val="正文正文2 Char"/>
    <w:link w:val="81"/>
    <w:qFormat/>
    <w:uiPriority w:val="0"/>
    <w:rPr>
      <w:rFonts w:ascii="宋体" w:hAnsi="宋体"/>
      <w:kern w:val="2"/>
      <w:sz w:val="21"/>
      <w:szCs w:val="21"/>
    </w:rPr>
  </w:style>
  <w:style w:type="paragraph" w:customStyle="1" w:styleId="81">
    <w:name w:val="正文正文2"/>
    <w:basedOn w:val="1"/>
    <w:link w:val="80"/>
    <w:qFormat/>
    <w:uiPriority w:val="0"/>
    <w:pPr>
      <w:ind w:firstLine="460"/>
    </w:pPr>
    <w:rPr>
      <w:sz w:val="21"/>
      <w:szCs w:val="21"/>
    </w:rPr>
  </w:style>
  <w:style w:type="character" w:customStyle="1" w:styleId="82">
    <w:name w:val="标题 3 字符2"/>
    <w:link w:val="4"/>
    <w:qFormat/>
    <w:uiPriority w:val="0"/>
    <w:rPr>
      <w:rFonts w:ascii="宋体" w:hAnsi="宋体"/>
      <w:b/>
      <w:bCs/>
      <w:kern w:val="2"/>
      <w:sz w:val="28"/>
      <w:szCs w:val="28"/>
    </w:rPr>
  </w:style>
  <w:style w:type="character" w:customStyle="1" w:styleId="83">
    <w:name w:val="标题 4 字符"/>
    <w:semiHidden/>
    <w:qFormat/>
    <w:uiPriority w:val="9"/>
    <w:rPr>
      <w:rFonts w:ascii="等线 Light" w:hAnsi="等线 Light" w:eastAsia="等线 Light" w:cs="Times New Roman"/>
      <w:b/>
      <w:bCs/>
      <w:kern w:val="2"/>
      <w:sz w:val="28"/>
      <w:szCs w:val="28"/>
    </w:rPr>
  </w:style>
  <w:style w:type="character" w:customStyle="1" w:styleId="84">
    <w:name w:val="批注主题 字符1"/>
    <w:link w:val="34"/>
    <w:qFormat/>
    <w:uiPriority w:val="0"/>
    <w:rPr>
      <w:rFonts w:eastAsia="仿宋"/>
      <w:b/>
      <w:bCs/>
      <w:kern w:val="2"/>
      <w:sz w:val="21"/>
      <w:szCs w:val="24"/>
    </w:rPr>
  </w:style>
  <w:style w:type="character" w:customStyle="1" w:styleId="85">
    <w:name w:val="页眉 字符"/>
    <w:semiHidden/>
    <w:qFormat/>
    <w:uiPriority w:val="99"/>
    <w:rPr>
      <w:rFonts w:ascii="宋体" w:hAnsi="宋体"/>
      <w:kern w:val="2"/>
      <w:sz w:val="18"/>
      <w:szCs w:val="18"/>
    </w:rPr>
  </w:style>
  <w:style w:type="character" w:customStyle="1" w:styleId="86">
    <w:name w:val="正文文本缩进 字符1"/>
    <w:link w:val="17"/>
    <w:qFormat/>
    <w:uiPriority w:val="0"/>
    <w:rPr>
      <w:kern w:val="2"/>
      <w:sz w:val="21"/>
    </w:rPr>
  </w:style>
  <w:style w:type="character" w:customStyle="1" w:styleId="87">
    <w:name w:val="标题 5 字符1"/>
    <w:link w:val="6"/>
    <w:qFormat/>
    <w:uiPriority w:val="0"/>
    <w:rPr>
      <w:rFonts w:ascii="宋体" w:hAnsi="宋体"/>
      <w:b/>
      <w:bCs/>
      <w:kern w:val="2"/>
      <w:sz w:val="24"/>
      <w:szCs w:val="28"/>
    </w:rPr>
  </w:style>
  <w:style w:type="character" w:customStyle="1" w:styleId="88">
    <w:name w:val="副标题 字符1"/>
    <w:link w:val="28"/>
    <w:qFormat/>
    <w:uiPriority w:val="0"/>
    <w:rPr>
      <w:rFonts w:ascii="Calibri Light" w:hAnsi="Calibri Light"/>
      <w:b/>
      <w:bCs/>
      <w:kern w:val="28"/>
      <w:sz w:val="32"/>
      <w:szCs w:val="32"/>
    </w:rPr>
  </w:style>
  <w:style w:type="character" w:customStyle="1" w:styleId="89">
    <w:name w:val="标题 2 字符1"/>
    <w:link w:val="3"/>
    <w:qFormat/>
    <w:uiPriority w:val="9"/>
    <w:rPr>
      <w:rFonts w:ascii="宋体" w:hAnsi="宋体"/>
      <w:b/>
      <w:bCs/>
      <w:kern w:val="2"/>
      <w:sz w:val="30"/>
      <w:szCs w:val="32"/>
    </w:rPr>
  </w:style>
  <w:style w:type="character" w:customStyle="1" w:styleId="90">
    <w:name w:val="页脚 字符1"/>
    <w:link w:val="24"/>
    <w:qFormat/>
    <w:uiPriority w:val="99"/>
    <w:rPr>
      <w:kern w:val="2"/>
      <w:sz w:val="18"/>
      <w:szCs w:val="18"/>
    </w:rPr>
  </w:style>
  <w:style w:type="character" w:customStyle="1" w:styleId="91">
    <w:name w:val="批注主题 字符"/>
    <w:semiHidden/>
    <w:qFormat/>
    <w:uiPriority w:val="99"/>
    <w:rPr>
      <w:rFonts w:ascii="宋体" w:hAnsi="宋体"/>
      <w:b/>
      <w:bCs/>
      <w:kern w:val="2"/>
      <w:sz w:val="24"/>
      <w:szCs w:val="24"/>
    </w:rPr>
  </w:style>
  <w:style w:type="character" w:customStyle="1" w:styleId="92">
    <w:name w:val="文档结构图 字符1"/>
    <w:link w:val="14"/>
    <w:qFormat/>
    <w:uiPriority w:val="0"/>
    <w:rPr>
      <w:rFonts w:ascii="宋体"/>
      <w:kern w:val="2"/>
      <w:sz w:val="18"/>
      <w:szCs w:val="18"/>
    </w:rPr>
  </w:style>
  <w:style w:type="character" w:customStyle="1" w:styleId="93">
    <w:name w:val="font31"/>
    <w:qFormat/>
    <w:uiPriority w:val="0"/>
    <w:rPr>
      <w:rFonts w:hint="eastAsia" w:ascii="宋体" w:hAnsi="宋体" w:eastAsia="宋体" w:cs="宋体"/>
      <w:color w:val="000000"/>
      <w:sz w:val="21"/>
      <w:szCs w:val="21"/>
      <w:u w:val="none"/>
    </w:rPr>
  </w:style>
  <w:style w:type="character" w:customStyle="1" w:styleId="94">
    <w:name w:val="标准正文 Char"/>
    <w:link w:val="95"/>
    <w:qFormat/>
    <w:uiPriority w:val="0"/>
    <w:rPr>
      <w:rFonts w:ascii="Arial" w:hAnsi="Arial"/>
      <w:kern w:val="2"/>
      <w:sz w:val="24"/>
    </w:rPr>
  </w:style>
  <w:style w:type="paragraph" w:customStyle="1" w:styleId="95">
    <w:name w:val="标准正文"/>
    <w:basedOn w:val="17"/>
    <w:link w:val="94"/>
    <w:qFormat/>
    <w:uiPriority w:val="0"/>
    <w:pPr>
      <w:spacing w:before="60" w:after="60"/>
      <w:ind w:firstLine="482" w:firstLineChars="0"/>
    </w:pPr>
    <w:rPr>
      <w:rFonts w:ascii="Arial" w:hAnsi="Arial"/>
      <w:sz w:val="24"/>
    </w:rPr>
  </w:style>
  <w:style w:type="character" w:customStyle="1" w:styleId="96">
    <w:name w:val="标题 字符1"/>
    <w:link w:val="33"/>
    <w:qFormat/>
    <w:uiPriority w:val="0"/>
    <w:rPr>
      <w:rFonts w:ascii="Cambria" w:hAnsi="Cambria" w:eastAsia="黑体"/>
      <w:b/>
      <w:bCs/>
      <w:kern w:val="2"/>
      <w:sz w:val="52"/>
      <w:szCs w:val="32"/>
    </w:rPr>
  </w:style>
  <w:style w:type="character" w:customStyle="1" w:styleId="97">
    <w:name w:val="批注框文本 字符1"/>
    <w:link w:val="23"/>
    <w:qFormat/>
    <w:uiPriority w:val="0"/>
    <w:rPr>
      <w:kern w:val="2"/>
      <w:sz w:val="18"/>
      <w:szCs w:val="18"/>
    </w:rPr>
  </w:style>
  <w:style w:type="character" w:customStyle="1" w:styleId="98">
    <w:name w:val="页眉 字符1"/>
    <w:link w:val="25"/>
    <w:qFormat/>
    <w:uiPriority w:val="99"/>
    <w:rPr>
      <w:kern w:val="2"/>
      <w:sz w:val="18"/>
      <w:szCs w:val="18"/>
    </w:rPr>
  </w:style>
  <w:style w:type="character" w:customStyle="1" w:styleId="99">
    <w:name w:val="标题 8 字符"/>
    <w:link w:val="9"/>
    <w:qFormat/>
    <w:uiPriority w:val="9"/>
    <w:rPr>
      <w:rFonts w:ascii="Cambria" w:hAnsi="Cambria"/>
      <w:kern w:val="2"/>
      <w:sz w:val="21"/>
      <w:szCs w:val="24"/>
    </w:rPr>
  </w:style>
  <w:style w:type="character" w:customStyle="1" w:styleId="100">
    <w:name w:val="标题 6 字符1"/>
    <w:link w:val="7"/>
    <w:qFormat/>
    <w:uiPriority w:val="0"/>
    <w:rPr>
      <w:rFonts w:ascii="Cambria" w:hAnsi="Cambria"/>
      <w:b/>
      <w:bCs/>
      <w:kern w:val="2"/>
      <w:sz w:val="24"/>
      <w:szCs w:val="24"/>
    </w:rPr>
  </w:style>
  <w:style w:type="character" w:customStyle="1" w:styleId="101">
    <w:name w:val="标题 字符"/>
    <w:qFormat/>
    <w:uiPriority w:val="10"/>
    <w:rPr>
      <w:rFonts w:ascii="等线 Light" w:hAnsi="等线 Light" w:eastAsia="等线 Light" w:cs="Times New Roman"/>
      <w:b/>
      <w:bCs/>
      <w:kern w:val="2"/>
      <w:sz w:val="32"/>
      <w:szCs w:val="32"/>
    </w:rPr>
  </w:style>
  <w:style w:type="character" w:customStyle="1" w:styleId="102">
    <w:name w:val="副标题 字符"/>
    <w:qFormat/>
    <w:uiPriority w:val="11"/>
    <w:rPr>
      <w:rFonts w:ascii="等线" w:hAnsi="等线" w:eastAsia="等线" w:cs="Times New Roman"/>
      <w:b/>
      <w:bCs/>
      <w:kern w:val="28"/>
      <w:sz w:val="32"/>
      <w:szCs w:val="32"/>
    </w:rPr>
  </w:style>
  <w:style w:type="paragraph" w:customStyle="1" w:styleId="103">
    <w:name w:val="xl72"/>
    <w:basedOn w:val="1"/>
    <w:qFormat/>
    <w:uiPriority w:val="0"/>
    <w:pPr>
      <w:widowControl/>
      <w:spacing w:before="100" w:beforeAutospacing="1" w:after="100" w:afterAutospacing="1" w:line="240" w:lineRule="auto"/>
      <w:ind w:firstLine="0" w:firstLineChars="0"/>
      <w:jc w:val="center"/>
    </w:pPr>
    <w:rPr>
      <w:rFonts w:cs="宋体"/>
      <w:kern w:val="0"/>
    </w:rPr>
  </w:style>
  <w:style w:type="paragraph" w:customStyle="1" w:styleId="104">
    <w:name w:val="正文（深信服）"/>
    <w:qFormat/>
    <w:uiPriority w:val="0"/>
    <w:pPr>
      <w:spacing w:line="360" w:lineRule="auto"/>
      <w:ind w:firstLine="420"/>
    </w:pPr>
    <w:rPr>
      <w:rFonts w:ascii="Arial" w:hAnsi="Arial" w:eastAsia="宋体" w:cs="Times New Roman"/>
      <w:sz w:val="24"/>
      <w:szCs w:val="21"/>
      <w:shd w:val="clear" w:color="auto" w:fill="FFFFFF"/>
      <w:lang w:val="en-US" w:eastAsia="zh-CN" w:bidi="ar-SA"/>
    </w:rPr>
  </w:style>
  <w:style w:type="paragraph" w:customStyle="1" w:styleId="105">
    <w:name w:val="xl7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06">
    <w:name w:val="_Style 2"/>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paragraph" w:customStyle="1" w:styleId="107">
    <w:name w:val="正文缩进1"/>
    <w:basedOn w:val="1"/>
    <w:qFormat/>
    <w:uiPriority w:val="0"/>
    <w:pPr>
      <w:spacing w:line="240" w:lineRule="auto"/>
      <w:ind w:firstLine="420"/>
    </w:pPr>
    <w:rPr>
      <w:rFonts w:ascii="Times New Roman" w:hAnsi="Times New Roman"/>
      <w:sz w:val="21"/>
      <w:szCs w:val="20"/>
    </w:rPr>
  </w:style>
  <w:style w:type="paragraph" w:customStyle="1" w:styleId="108">
    <w:name w:val="xl68"/>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09">
    <w:name w:val="前言、引言标题"/>
    <w:next w:val="1"/>
    <w:qFormat/>
    <w:uiPriority w:val="99"/>
    <w:pPr>
      <w:shd w:val="clear" w:color="FFFFFF" w:fill="FFFFFF"/>
      <w:tabs>
        <w:tab w:val="left" w:pos="425"/>
      </w:tabs>
      <w:spacing w:before="640" w:after="560"/>
      <w:jc w:val="center"/>
      <w:outlineLvl w:val="0"/>
    </w:pPr>
    <w:rPr>
      <w:rFonts w:ascii="黑体" w:hAnsi="Times New Roman" w:eastAsia="黑体" w:cs="Times New Roman"/>
      <w:sz w:val="32"/>
      <w:lang w:val="en-US" w:eastAsia="zh-CN" w:bidi="ar-SA"/>
    </w:rPr>
  </w:style>
  <w:style w:type="paragraph" w:customStyle="1" w:styleId="110">
    <w:name w:val="Indent Normal"/>
    <w:basedOn w:val="1"/>
    <w:qFormat/>
    <w:uiPriority w:val="0"/>
    <w:pPr>
      <w:ind w:firstLine="150" w:firstLineChars="150"/>
    </w:pPr>
  </w:style>
  <w:style w:type="paragraph" w:customStyle="1" w:styleId="111">
    <w:name w:val="msonormal"/>
    <w:basedOn w:val="1"/>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112">
    <w:name w:val="正文 缩进2字符"/>
    <w:basedOn w:val="1"/>
    <w:qFormat/>
    <w:uiPriority w:val="0"/>
    <w:pPr>
      <w:spacing w:afterLines="50" w:line="240" w:lineRule="auto"/>
      <w:ind w:firstLine="0" w:firstLineChars="0"/>
    </w:pPr>
    <w:rPr>
      <w:rFonts w:ascii="Times New Roman" w:hAnsi="Times New Roman" w:cs="宋体"/>
      <w:sz w:val="21"/>
      <w:szCs w:val="20"/>
    </w:rPr>
  </w:style>
  <w:style w:type="paragraph" w:customStyle="1" w:styleId="113">
    <w:name w:val="列项●（二级）"/>
    <w:qFormat/>
    <w:uiPriority w:val="0"/>
    <w:pPr>
      <w:numPr>
        <w:ilvl w:val="0"/>
        <w:numId w:val="2"/>
      </w:numPr>
      <w:tabs>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114">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115">
    <w:name w:val="xl6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16">
    <w:name w:val="段"/>
    <w:qFormat/>
    <w:uiPriority w:val="0"/>
    <w:pPr>
      <w:autoSpaceDE w:val="0"/>
      <w:autoSpaceDN w:val="0"/>
      <w:ind w:firstLine="200" w:firstLineChars="200"/>
      <w:jc w:val="both"/>
    </w:pPr>
    <w:rPr>
      <w:rFonts w:ascii="宋体" w:hAnsi="Times New Roman" w:eastAsia="宋体" w:cs="Calibri"/>
      <w:sz w:val="21"/>
      <w:lang w:val="en-US" w:eastAsia="zh-CN" w:bidi="ar-SA"/>
    </w:rPr>
  </w:style>
  <w:style w:type="paragraph" w:customStyle="1" w:styleId="117">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kern w:val="0"/>
    </w:rPr>
  </w:style>
  <w:style w:type="paragraph" w:customStyle="1" w:styleId="118">
    <w:name w:val="Char Char Char Char Char Char1 Char"/>
    <w:basedOn w:val="1"/>
    <w:qFormat/>
    <w:uiPriority w:val="0"/>
    <w:pPr>
      <w:widowControl/>
      <w:spacing w:after="160" w:line="240" w:lineRule="exact"/>
      <w:jc w:val="left"/>
    </w:pPr>
  </w:style>
  <w:style w:type="paragraph" w:customStyle="1" w:styleId="119">
    <w:name w:val="PM_Body"/>
    <w:basedOn w:val="1"/>
    <w:qFormat/>
    <w:locked/>
    <w:uiPriority w:val="0"/>
    <w:rPr>
      <w:szCs w:val="21"/>
    </w:rPr>
  </w:style>
  <w:style w:type="paragraph" w:customStyle="1" w:styleId="120">
    <w:name w:val="Char Char1"/>
    <w:basedOn w:val="1"/>
    <w:qFormat/>
    <w:uiPriority w:val="0"/>
    <w:pPr>
      <w:widowControl/>
      <w:spacing w:before="120" w:after="120"/>
    </w:pPr>
    <w:rPr>
      <w:rFonts w:ascii="Times New Roman" w:hAnsi="Times New Roman" w:cs="宋体"/>
    </w:rPr>
  </w:style>
  <w:style w:type="paragraph" w:customStyle="1" w:styleId="121">
    <w:name w:val="xl71"/>
    <w:basedOn w:val="1"/>
    <w:qFormat/>
    <w:uiPriority w:val="0"/>
    <w:pPr>
      <w:widowControl/>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22">
    <w:name w:val="修订1"/>
    <w:unhideWhenUsed/>
    <w:qFormat/>
    <w:uiPriority w:val="99"/>
    <w:rPr>
      <w:rFonts w:ascii="宋体" w:hAnsi="宋体" w:eastAsia="宋体" w:cs="Times New Roman"/>
      <w:kern w:val="2"/>
      <w:sz w:val="24"/>
      <w:szCs w:val="24"/>
      <w:lang w:val="en-US" w:eastAsia="zh-CN" w:bidi="ar-SA"/>
    </w:rPr>
  </w:style>
  <w:style w:type="paragraph" w:customStyle="1" w:styleId="123">
    <w:name w:val="列出段落2"/>
    <w:basedOn w:val="1"/>
    <w:qFormat/>
    <w:uiPriority w:val="0"/>
    <w:pPr>
      <w:spacing w:line="240" w:lineRule="auto"/>
      <w:ind w:firstLine="420"/>
    </w:pPr>
    <w:rPr>
      <w:rFonts w:ascii="等线" w:hAnsi="等线" w:eastAsia="等线" w:cs="等线"/>
      <w:sz w:val="21"/>
      <w:szCs w:val="21"/>
    </w:rPr>
  </w:style>
  <w:style w:type="paragraph" w:customStyle="1" w:styleId="124">
    <w:name w:val="xl69"/>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kern w:val="0"/>
      <w:sz w:val="18"/>
      <w:szCs w:val="18"/>
    </w:rPr>
  </w:style>
  <w:style w:type="paragraph" w:customStyle="1" w:styleId="12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26">
    <w:name w:val="文档正文文本（中安网脉）"/>
    <w:basedOn w:val="1"/>
    <w:qFormat/>
    <w:uiPriority w:val="0"/>
    <w:pPr>
      <w:ind w:firstLine="200"/>
    </w:pPr>
    <w:rPr>
      <w:rFonts w:ascii="Times New Roman" w:hAnsi="Times New Roman" w:eastAsia="仿宋_GB2312"/>
      <w:color w:val="000000"/>
      <w:szCs w:val="28"/>
    </w:rPr>
  </w:style>
  <w:style w:type="paragraph" w:customStyle="1" w:styleId="127">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28">
    <w:name w:val="正文样式"/>
    <w:unhideWhenUsed/>
    <w:qFormat/>
    <w:uiPriority w:val="0"/>
    <w:pPr>
      <w:widowControl w:val="0"/>
      <w:adjustRightInd w:val="0"/>
      <w:snapToGrid w:val="0"/>
      <w:spacing w:line="360" w:lineRule="auto"/>
      <w:ind w:firstLine="200" w:firstLineChars="200"/>
      <w:jc w:val="both"/>
    </w:pPr>
    <w:rPr>
      <w:rFonts w:ascii="Times New Roman" w:hAnsi="Times New Roman" w:eastAsia="宋体" w:cs="Times New Roman"/>
      <w:bCs/>
      <w:snapToGrid w:val="0"/>
      <w:sz w:val="24"/>
      <w:szCs w:val="44"/>
      <w:lang w:val="en-US" w:eastAsia="zh-CN" w:bidi="ar-SA"/>
    </w:rPr>
  </w:style>
  <w:style w:type="paragraph" w:customStyle="1" w:styleId="129">
    <w:name w:val="样式 行距: 1.5 倍行距 首行缩进:  2 字符"/>
    <w:basedOn w:val="1"/>
    <w:qFormat/>
    <w:uiPriority w:val="0"/>
    <w:pPr>
      <w:ind w:firstLine="560"/>
      <w:jc w:val="left"/>
    </w:pPr>
    <w:rPr>
      <w:rFonts w:ascii="仿宋" w:hAnsi="仿宋" w:eastAsia="仿宋" w:cs="宋体"/>
      <w:sz w:val="28"/>
      <w:szCs w:val="20"/>
    </w:rPr>
  </w:style>
  <w:style w:type="paragraph" w:customStyle="1" w:styleId="130">
    <w:name w:val="TOC 标题1"/>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table" w:customStyle="1" w:styleId="131">
    <w:name w:val="!我的表格1"/>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
    <w:name w:val="网格型1"/>
    <w:basedOn w:val="35"/>
    <w:unhideWhenUsed/>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3">
    <w:name w:val="标题 1 Char"/>
    <w:qFormat/>
    <w:uiPriority w:val="0"/>
    <w:rPr>
      <w:rFonts w:ascii="宋体" w:hAnsi="宋体" w:eastAsia="黑体"/>
      <w:b/>
      <w:bCs/>
      <w:kern w:val="44"/>
      <w:sz w:val="32"/>
      <w:szCs w:val="28"/>
    </w:rPr>
  </w:style>
  <w:style w:type="character" w:customStyle="1" w:styleId="134">
    <w:name w:val="纯文本 Char2"/>
    <w:qFormat/>
    <w:uiPriority w:val="0"/>
    <w:rPr>
      <w:rFonts w:ascii="宋体" w:hAnsi="宋体" w:eastAsia="宋体" w:cs="Times New Roman"/>
      <w:color w:val="000000"/>
      <w:kern w:val="0"/>
      <w:sz w:val="24"/>
      <w:szCs w:val="24"/>
    </w:rPr>
  </w:style>
  <w:style w:type="paragraph" w:customStyle="1" w:styleId="135">
    <w:name w:val="列出段落1"/>
    <w:basedOn w:val="1"/>
    <w:autoRedefine/>
    <w:qFormat/>
    <w:uiPriority w:val="34"/>
    <w:pPr>
      <w:spacing w:line="240" w:lineRule="auto"/>
      <w:ind w:firstLine="420"/>
    </w:pPr>
    <w:rPr>
      <w:rFonts w:ascii="Calibri" w:hAnsi="Calibri"/>
      <w:sz w:val="21"/>
      <w:szCs w:val="22"/>
    </w:rPr>
  </w:style>
  <w:style w:type="paragraph" w:customStyle="1" w:styleId="136">
    <w:name w:val="样式2"/>
    <w:basedOn w:val="1"/>
    <w:qFormat/>
    <w:uiPriority w:val="0"/>
    <w:pPr>
      <w:widowControl/>
      <w:adjustRightInd w:val="0"/>
    </w:pPr>
    <w:rPr>
      <w:kern w:val="0"/>
      <w:lang w:eastAsia="en-US"/>
    </w:rPr>
  </w:style>
  <w:style w:type="paragraph" w:customStyle="1" w:styleId="137">
    <w:name w:val="B-表正文"/>
    <w:qFormat/>
    <w:uiPriority w:val="0"/>
    <w:rPr>
      <w:rFonts w:ascii="Times New Roman" w:hAnsi="Times New Roman" w:eastAsia="仿宋" w:cstheme="minorBidi"/>
      <w:kern w:val="2"/>
      <w:sz w:val="21"/>
      <w:szCs w:val="24"/>
      <w:lang w:val="en-US" w:eastAsia="zh-CN" w:bidi="ar-SA"/>
    </w:rPr>
  </w:style>
  <w:style w:type="paragraph" w:customStyle="1" w:styleId="138">
    <w:name w:val="修订2"/>
    <w:hidden/>
    <w:unhideWhenUsed/>
    <w:qFormat/>
    <w:uiPriority w:val="99"/>
    <w:rPr>
      <w:rFonts w:ascii="宋体" w:hAnsi="宋体" w:eastAsia="宋体" w:cs="Times New Roman"/>
      <w:kern w:val="2"/>
      <w:sz w:val="24"/>
      <w:szCs w:val="24"/>
      <w:lang w:val="en-US" w:eastAsia="zh-CN" w:bidi="ar-SA"/>
    </w:rPr>
  </w:style>
  <w:style w:type="paragraph" w:customStyle="1" w:styleId="139">
    <w:name w:val="Revision"/>
    <w:hidden/>
    <w:unhideWhenUsed/>
    <w:qFormat/>
    <w:uiPriority w:val="99"/>
    <w:rPr>
      <w:rFonts w:ascii="宋体" w:hAnsi="宋体"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32</Pages>
  <Words>11932</Words>
  <Characters>12172</Characters>
  <Lines>1106</Lines>
  <Paragraphs>777</Paragraphs>
  <TotalTime>26</TotalTime>
  <ScaleCrop>false</ScaleCrop>
  <LinksUpToDate>false</LinksUpToDate>
  <CharactersWithSpaces>23327</CharactersWithSpaces>
  <Application>WPS Office_12.8.2.1119_F1E327BC-269C-435d-A152-05C5408002CA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2026-03-10T15:35:00Z</dcterms:created>
  <dc:creator>gtig_tzb</dc:creator>
  <cp:lastModifiedBy>郭田恬</cp:lastModifiedBy>
  <cp:lastPrinted>2020-08-08T12:08:00Z</cp:lastPrinted>
  <dcterms:modified xsi:type="dcterms:W3CDTF">2026-03-12T09:51:29Z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2052-12.8.2.1119</vt:lpwstr>
  </property>
  <property fmtid="{D5CDD505-2E9C-101B-9397-08002B2CF9AE}" pid="3" name="ICV">
    <vt:lpwstr>FD7929909045406E8E394BAFED45AE21_13</vt:lpwstr>
  </property>
  <property fmtid="{D5CDD505-2E9C-101B-9397-08002B2CF9AE}" pid="4" name="KSOTemplateDocerSaveRecord">
    <vt:lpwstr>eyJoZGlkIjoiYjA4MzQ3YzE1MjZjMjIxYzgyOTZhNGU4NGNiZGFkYWYiLCJ1c2VySWQiOiIyNjI0OTMwODYifQ==</vt:lpwstr>
  </property>
</Properties>
</file>