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ageBreakBefore w:val="0"/>
        <w:kinsoku/>
        <w:wordWrap/>
        <w:topLinePunct w:val="0"/>
        <w:bidi w:val="0"/>
        <w:spacing w:after="120" w:line="500" w:lineRule="exact"/>
        <w:rPr>
          <w:rFonts w:hint="eastAsia" w:ascii="宋体" w:hAnsi="宋体" w:eastAsia="宋体" w:cs="宋体"/>
          <w:b w:val="0"/>
          <w:bCs/>
          <w:sz w:val="28"/>
          <w:szCs w:val="24"/>
          <w:lang w:val="en-US" w:eastAsia="zh-CN"/>
        </w:rPr>
      </w:pPr>
      <w:r>
        <w:rPr>
          <w:rFonts w:hint="eastAsia" w:ascii="宋体" w:hAnsi="宋体" w:eastAsia="宋体" w:cs="宋体"/>
          <w:b w:val="0"/>
          <w:bCs/>
          <w:sz w:val="28"/>
          <w:szCs w:val="24"/>
          <w:lang w:val="en-US" w:eastAsia="zh-CN"/>
        </w:rPr>
        <w:t>附件一：</w:t>
      </w:r>
    </w:p>
    <w:p>
      <w:pPr>
        <w:pStyle w:val="14"/>
        <w:pageBreakBefore w:val="0"/>
        <w:numPr>
          <w:ilvl w:val="0"/>
          <w:numId w:val="0"/>
        </w:numPr>
        <w:kinsoku/>
        <w:wordWrap/>
        <w:topLinePunct w:val="0"/>
        <w:bidi w:val="0"/>
        <w:spacing w:before="0" w:after="120" w:line="500" w:lineRule="exact"/>
        <w:jc w:val="both"/>
        <w:rPr>
          <w:rFonts w:hint="eastAsia" w:ascii="宋体" w:hAnsi="宋体" w:eastAsia="宋体" w:cs="宋体"/>
          <w:b w:val="0"/>
          <w:bCs/>
          <w:highlight w:val="none"/>
        </w:rPr>
      </w:pPr>
    </w:p>
    <w:p>
      <w:pPr>
        <w:pStyle w:val="14"/>
        <w:pageBreakBefore w:val="0"/>
        <w:numPr>
          <w:ilvl w:val="-1"/>
          <w:numId w:val="0"/>
        </w:numPr>
        <w:kinsoku/>
        <w:wordWrap/>
        <w:topLinePunct w:val="0"/>
        <w:bidi w:val="0"/>
        <w:spacing w:before="0" w:after="120" w:line="500" w:lineRule="exact"/>
        <w:ind w:left="0" w:firstLine="0"/>
        <w:rPr>
          <w:rFonts w:hint="eastAsia" w:ascii="宋体" w:hAnsi="宋体" w:eastAsia="宋体" w:cs="宋体"/>
          <w:b w:val="0"/>
          <w:bCs/>
          <w:highlight w:val="none"/>
          <w:lang w:val="en-US" w:eastAsia="zh-CN"/>
        </w:rPr>
      </w:pPr>
      <w:bookmarkStart w:id="0" w:name="_Toc17883042"/>
      <w:r>
        <w:rPr>
          <w:rFonts w:hint="eastAsia" w:ascii="宋体" w:hAnsi="宋体" w:eastAsia="宋体" w:cs="宋体"/>
          <w:b w:val="0"/>
          <w:bCs/>
          <w:highlight w:val="none"/>
        </w:rPr>
        <w:t>工作</w:t>
      </w:r>
      <w:bookmarkEnd w:id="0"/>
      <w:r>
        <w:rPr>
          <w:rFonts w:hint="eastAsia" w:ascii="宋体" w:hAnsi="宋体" w:eastAsia="宋体" w:cs="宋体"/>
          <w:b w:val="0"/>
          <w:bCs/>
          <w:highlight w:val="none"/>
          <w:lang w:val="en-US" w:eastAsia="zh-CN"/>
        </w:rPr>
        <w:t>范围和技术要求</w:t>
      </w:r>
    </w:p>
    <w:p>
      <w:pPr>
        <w:pageBreakBefore w:val="0"/>
        <w:numPr>
          <w:ilvl w:val="0"/>
          <w:numId w:val="0"/>
        </w:numPr>
        <w:kinsoku/>
        <w:wordWrap/>
        <w:topLinePunct w:val="0"/>
        <w:bidi w:val="0"/>
        <w:snapToGrid w:val="0"/>
        <w:spacing w:after="120" w:line="500" w:lineRule="exact"/>
        <w:ind w:leftChars="0"/>
        <w:outlineLvl w:val="1"/>
        <w:rPr>
          <w:rFonts w:hint="eastAsia" w:ascii="宋体" w:hAnsi="宋体" w:eastAsia="宋体" w:cs="宋体"/>
          <w:b w:val="0"/>
          <w:bCs/>
          <w:sz w:val="24"/>
        </w:rPr>
      </w:pPr>
      <w:r>
        <w:rPr>
          <w:rFonts w:hint="eastAsia" w:ascii="宋体" w:hAnsi="宋体" w:eastAsia="宋体" w:cs="宋体"/>
          <w:b w:val="0"/>
          <w:bCs/>
          <w:sz w:val="24"/>
          <w:lang w:val="en-US" w:eastAsia="zh-CN"/>
        </w:rPr>
        <w:t>1.</w:t>
      </w:r>
      <w:r>
        <w:rPr>
          <w:rFonts w:hint="eastAsia" w:ascii="宋体" w:hAnsi="宋体" w:eastAsia="宋体" w:cs="宋体"/>
          <w:b w:val="0"/>
          <w:bCs/>
          <w:sz w:val="24"/>
        </w:rPr>
        <w:t>项目简介</w:t>
      </w:r>
    </w:p>
    <w:p>
      <w:pPr>
        <w:pageBreakBefore w:val="0"/>
        <w:numPr>
          <w:ilvl w:val="0"/>
          <w:numId w:val="0"/>
        </w:numPr>
        <w:kinsoku/>
        <w:wordWrap/>
        <w:topLinePunct w:val="0"/>
        <w:bidi w:val="0"/>
        <w:snapToGrid w:val="0"/>
        <w:spacing w:after="120" w:line="500" w:lineRule="exact"/>
        <w:ind w:leftChars="0" w:firstLine="420" w:firstLineChars="0"/>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为中海油（北京）能源技术有限公司（以下简称北京能源）所属加气站开展站点垃圾清运服务，用以保障站内生产安全与卫生情况。</w:t>
      </w:r>
    </w:p>
    <w:p>
      <w:pPr>
        <w:pageBreakBefore w:val="0"/>
        <w:numPr>
          <w:ilvl w:val="0"/>
          <w:numId w:val="0"/>
        </w:numPr>
        <w:kinsoku/>
        <w:wordWrap/>
        <w:topLinePunct w:val="0"/>
        <w:bidi w:val="0"/>
        <w:snapToGrid w:val="0"/>
        <w:spacing w:after="120" w:line="500" w:lineRule="exact"/>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2.功能描述</w:t>
      </w:r>
    </w:p>
    <w:p>
      <w:pPr>
        <w:pageBreakBefore w:val="0"/>
        <w:numPr>
          <w:ilvl w:val="0"/>
          <w:numId w:val="0"/>
        </w:numPr>
        <w:kinsoku/>
        <w:wordWrap/>
        <w:topLinePunct w:val="0"/>
        <w:bidi w:val="0"/>
        <w:snapToGrid w:val="0"/>
        <w:spacing w:after="120" w:line="500" w:lineRule="exact"/>
        <w:ind w:firstLine="420" w:firstLineChars="0"/>
        <w:rPr>
          <w:rFonts w:hint="eastAsia" w:ascii="宋体" w:hAnsi="宋体" w:eastAsia="宋体" w:cs="宋体"/>
          <w:b w:val="0"/>
          <w:bCs/>
          <w:sz w:val="24"/>
          <w:lang w:eastAsia="zh-CN"/>
        </w:rPr>
      </w:pPr>
      <w:r>
        <w:rPr>
          <w:rFonts w:hint="eastAsia" w:ascii="宋体" w:hAnsi="宋体" w:eastAsia="宋体" w:cs="宋体"/>
          <w:b w:val="0"/>
          <w:bCs/>
          <w:sz w:val="24"/>
          <w:szCs w:val="24"/>
          <w:lang w:val="en-US" w:eastAsia="zh-CN"/>
        </w:rPr>
        <w:t>为保障北京能源</w:t>
      </w:r>
      <w:r>
        <w:rPr>
          <w:rFonts w:hint="eastAsia" w:ascii="宋体" w:hAnsi="宋体" w:eastAsia="宋体" w:cs="宋体"/>
          <w:b w:val="0"/>
          <w:bCs/>
          <w:sz w:val="24"/>
          <w:lang w:val="en-US" w:eastAsia="zh-CN"/>
        </w:rPr>
        <w:t>所属加气站</w:t>
      </w:r>
      <w:r>
        <w:rPr>
          <w:rFonts w:hint="eastAsia" w:ascii="宋体" w:hAnsi="宋体" w:eastAsia="宋体" w:cs="宋体"/>
          <w:b w:val="0"/>
          <w:bCs/>
          <w:sz w:val="24"/>
          <w:szCs w:val="24"/>
          <w:lang w:val="en-US" w:eastAsia="zh-CN"/>
        </w:rPr>
        <w:t>站点生产安全、维护站点卫生，需每日对站内垃圾进行清运。</w:t>
      </w:r>
      <w:r>
        <w:rPr>
          <w:rFonts w:hint="eastAsia" w:ascii="宋体" w:hAnsi="宋体" w:eastAsia="宋体" w:cs="宋体"/>
          <w:b w:val="0"/>
          <w:bCs/>
          <w:sz w:val="24"/>
          <w:lang w:eastAsia="zh-CN"/>
        </w:rPr>
        <w:t>应答人需完全按照</w:t>
      </w:r>
      <w:r>
        <w:rPr>
          <w:rFonts w:hint="eastAsia" w:ascii="宋体" w:hAnsi="宋体" w:eastAsia="宋体" w:cs="宋体"/>
          <w:b w:val="0"/>
          <w:bCs/>
          <w:sz w:val="24"/>
          <w:lang w:val="en-US" w:eastAsia="zh-CN"/>
        </w:rPr>
        <w:t>采购人</w:t>
      </w:r>
      <w:r>
        <w:rPr>
          <w:rFonts w:hint="eastAsia" w:ascii="宋体" w:hAnsi="宋体" w:eastAsia="宋体" w:cs="宋体"/>
          <w:b w:val="0"/>
          <w:bCs/>
          <w:sz w:val="24"/>
          <w:lang w:eastAsia="zh-CN"/>
        </w:rPr>
        <w:t>要求，对</w:t>
      </w:r>
      <w:r>
        <w:rPr>
          <w:rFonts w:hint="eastAsia" w:ascii="宋体" w:hAnsi="宋体" w:eastAsia="宋体" w:cs="宋体"/>
          <w:b w:val="0"/>
          <w:bCs/>
          <w:sz w:val="24"/>
          <w:lang w:val="en-US" w:eastAsia="zh-CN"/>
        </w:rPr>
        <w:t>北京能源所属加气站开展</w:t>
      </w:r>
      <w:r>
        <w:rPr>
          <w:rFonts w:hint="eastAsia" w:ascii="宋体" w:hAnsi="宋体" w:eastAsia="宋体" w:cs="宋体"/>
          <w:b w:val="0"/>
          <w:bCs/>
          <w:sz w:val="24"/>
          <w:szCs w:val="24"/>
          <w:lang w:val="en-US" w:eastAsia="zh-CN"/>
        </w:rPr>
        <w:t>垃圾清运、化粪池清理服务</w:t>
      </w:r>
      <w:r>
        <w:rPr>
          <w:rFonts w:hint="eastAsia" w:ascii="宋体" w:hAnsi="宋体" w:eastAsia="宋体" w:cs="宋体"/>
          <w:b w:val="0"/>
          <w:bCs/>
          <w:sz w:val="24"/>
          <w:lang w:eastAsia="zh-CN"/>
        </w:rPr>
        <w:t>。</w:t>
      </w:r>
    </w:p>
    <w:p>
      <w:pPr>
        <w:pageBreakBefore w:val="0"/>
        <w:numPr>
          <w:ilvl w:val="0"/>
          <w:numId w:val="0"/>
        </w:numPr>
        <w:kinsoku/>
        <w:wordWrap/>
        <w:topLinePunct w:val="0"/>
        <w:bidi w:val="0"/>
        <w:snapToGrid w:val="0"/>
        <w:spacing w:after="120" w:line="500" w:lineRule="exact"/>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3.工作标准</w:t>
      </w:r>
    </w:p>
    <w:p>
      <w:pPr>
        <w:pageBreakBefore w:val="0"/>
        <w:numPr>
          <w:ilvl w:val="0"/>
          <w:numId w:val="0"/>
        </w:numPr>
        <w:kinsoku/>
        <w:wordWrap/>
        <w:topLinePunct w:val="0"/>
        <w:bidi w:val="0"/>
        <w:snapToGrid w:val="0"/>
        <w:spacing w:after="120" w:line="500" w:lineRule="exact"/>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iCs/>
          <w:kern w:val="0"/>
          <w:sz w:val="24"/>
          <w:lang w:val="en-US" w:eastAsia="zh-CN"/>
        </w:rPr>
        <w:t>垃圾清运：每日上午11点前，</w:t>
      </w:r>
      <w:r>
        <w:rPr>
          <w:rFonts w:hint="eastAsia" w:ascii="宋体" w:hAnsi="宋体" w:eastAsia="宋体" w:cs="宋体"/>
          <w:b w:val="0"/>
          <w:bCs/>
          <w:sz w:val="24"/>
          <w:szCs w:val="24"/>
          <w:lang w:val="en-US" w:eastAsia="zh-CN"/>
        </w:rPr>
        <w:t>由</w:t>
      </w:r>
      <w:r>
        <w:rPr>
          <w:rFonts w:hint="eastAsia" w:ascii="宋体" w:hAnsi="宋体" w:eastAsia="宋体" w:cs="宋体"/>
          <w:b w:val="0"/>
          <w:bCs/>
          <w:sz w:val="24"/>
          <w:szCs w:val="24"/>
        </w:rPr>
        <w:t>专业垃圾清运车进站对场站内产生的垃圾进行清理</w:t>
      </w:r>
      <w:r>
        <w:rPr>
          <w:rFonts w:hint="eastAsia" w:ascii="宋体" w:hAnsi="宋体" w:eastAsia="宋体" w:cs="宋体"/>
          <w:b w:val="0"/>
          <w:bCs/>
          <w:sz w:val="24"/>
          <w:szCs w:val="24"/>
          <w:lang w:eastAsia="zh-CN"/>
        </w:rPr>
        <w:t>（</w:t>
      </w:r>
      <w:r>
        <w:rPr>
          <w:rFonts w:hint="eastAsia" w:ascii="宋体" w:hAnsi="宋体" w:eastAsia="宋体" w:cs="宋体"/>
          <w:b w:val="0"/>
          <w:bCs/>
          <w:sz w:val="24"/>
          <w:vertAlign w:val="baseline"/>
          <w:lang w:val="en-US" w:eastAsia="zh-CN"/>
        </w:rPr>
        <w:t>每日产生垃圾约20公斤，具体以站点实际产生数量为准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按照场站实际情况保障垃圾桶及周边垃圾均被清走</w:t>
      </w:r>
      <w:r>
        <w:rPr>
          <w:rFonts w:hint="eastAsia" w:ascii="宋体" w:hAnsi="宋体" w:eastAsia="宋体" w:cs="宋体"/>
          <w:b w:val="0"/>
          <w:bCs/>
          <w:sz w:val="24"/>
          <w:szCs w:val="24"/>
          <w:lang w:eastAsia="zh-CN"/>
        </w:rPr>
        <w:t>。</w:t>
      </w:r>
    </w:p>
    <w:p>
      <w:pPr>
        <w:pageBreakBefore w:val="0"/>
        <w:numPr>
          <w:ilvl w:val="0"/>
          <w:numId w:val="0"/>
        </w:numPr>
        <w:kinsoku/>
        <w:wordWrap/>
        <w:topLinePunct w:val="0"/>
        <w:bidi w:val="0"/>
        <w:snapToGrid w:val="0"/>
        <w:spacing w:after="120" w:line="500" w:lineRule="exact"/>
        <w:ind w:firstLine="480" w:firstLineChars="200"/>
        <w:rPr>
          <w:rFonts w:hint="eastAsia" w:ascii="宋体" w:hAnsi="宋体" w:eastAsia="宋体" w:cs="宋体"/>
          <w:b w:val="0"/>
          <w:bCs/>
          <w:iCs/>
          <w:kern w:val="0"/>
          <w:sz w:val="24"/>
          <w:lang w:val="en-US" w:eastAsia="zh-CN"/>
        </w:rPr>
      </w:pPr>
      <w:r>
        <w:rPr>
          <w:rFonts w:hint="eastAsia" w:ascii="宋体" w:hAnsi="宋体" w:eastAsia="宋体" w:cs="宋体"/>
          <w:b w:val="0"/>
          <w:bCs/>
          <w:iCs/>
          <w:kern w:val="0"/>
          <w:sz w:val="24"/>
          <w:lang w:val="en-US" w:eastAsia="zh-CN"/>
        </w:rPr>
        <w:t>化粪池清理：按照场站需求对场站化粪池进行清理。</w:t>
      </w:r>
    </w:p>
    <w:p>
      <w:pPr>
        <w:pageBreakBefore w:val="0"/>
        <w:kinsoku/>
        <w:wordWrap/>
        <w:topLinePunct w:val="0"/>
        <w:bidi w:val="0"/>
        <w:snapToGrid w:val="0"/>
        <w:spacing w:after="120" w:line="500" w:lineRule="exact"/>
        <w:rPr>
          <w:rFonts w:hint="eastAsia" w:ascii="宋体" w:hAnsi="宋体" w:eastAsia="宋体" w:cs="宋体"/>
          <w:b w:val="0"/>
          <w:bCs/>
          <w:sz w:val="24"/>
        </w:rPr>
      </w:pPr>
      <w:r>
        <w:rPr>
          <w:rFonts w:hint="eastAsia" w:ascii="宋体" w:hAnsi="宋体" w:eastAsia="宋体" w:cs="宋体"/>
          <w:b w:val="0"/>
          <w:bCs/>
          <w:sz w:val="24"/>
        </w:rPr>
        <w:t>4.工作范围</w:t>
      </w:r>
    </w:p>
    <w:p>
      <w:pPr>
        <w:pageBreakBefore w:val="0"/>
        <w:numPr>
          <w:ilvl w:val="0"/>
          <w:numId w:val="0"/>
        </w:numPr>
        <w:kinsoku/>
        <w:wordWrap/>
        <w:topLinePunct w:val="0"/>
        <w:bidi w:val="0"/>
        <w:snapToGrid w:val="0"/>
        <w:spacing w:after="120" w:line="500" w:lineRule="exact"/>
        <w:ind w:firstLine="480" w:firstLineChars="200"/>
        <w:rPr>
          <w:rFonts w:hint="eastAsia" w:ascii="宋体" w:hAnsi="宋体" w:eastAsia="宋体" w:cs="宋体"/>
          <w:b w:val="0"/>
          <w:bCs/>
          <w:iCs/>
          <w:kern w:val="0"/>
          <w:sz w:val="24"/>
          <w:lang w:val="en-US" w:eastAsia="zh-CN"/>
        </w:rPr>
      </w:pPr>
      <w:r>
        <w:rPr>
          <w:rFonts w:hint="eastAsia" w:ascii="宋体" w:hAnsi="宋体" w:eastAsia="宋体" w:cs="宋体"/>
          <w:b w:val="0"/>
          <w:bCs/>
          <w:iCs/>
          <w:kern w:val="0"/>
          <w:sz w:val="24"/>
          <w:lang w:val="en-US" w:eastAsia="zh-CN"/>
        </w:rPr>
        <w:t>1) 我方与服务商的工作界面划分</w:t>
      </w:r>
    </w:p>
    <w:p>
      <w:pPr>
        <w:pageBreakBefore w:val="0"/>
        <w:numPr>
          <w:ilvl w:val="0"/>
          <w:numId w:val="0"/>
        </w:numPr>
        <w:kinsoku/>
        <w:wordWrap/>
        <w:topLinePunct w:val="0"/>
        <w:bidi w:val="0"/>
        <w:snapToGrid w:val="0"/>
        <w:spacing w:after="120" w:line="500" w:lineRule="exact"/>
        <w:ind w:firstLine="480" w:firstLineChars="200"/>
        <w:rPr>
          <w:rFonts w:hint="eastAsia" w:ascii="宋体" w:hAnsi="宋体" w:eastAsia="宋体" w:cs="宋体"/>
          <w:b w:val="0"/>
          <w:bCs/>
          <w:iCs/>
          <w:kern w:val="0"/>
          <w:sz w:val="24"/>
          <w:lang w:val="en-US" w:eastAsia="zh-CN"/>
        </w:rPr>
      </w:pPr>
      <w:r>
        <w:rPr>
          <w:rFonts w:hint="eastAsia" w:ascii="宋体" w:hAnsi="宋体" w:eastAsia="宋体" w:cs="宋体"/>
          <w:b w:val="0"/>
          <w:bCs/>
          <w:iCs/>
          <w:kern w:val="0"/>
          <w:sz w:val="24"/>
          <w:lang w:val="en-US" w:eastAsia="zh-CN"/>
        </w:rPr>
        <w:t>服务商工作界面：为北京能源所属站点垃圾清运和化粪池清理服务</w:t>
      </w:r>
      <w:r>
        <w:rPr>
          <w:rFonts w:hint="eastAsia" w:ascii="宋体" w:hAnsi="宋体" w:eastAsia="宋体" w:cs="宋体"/>
          <w:b w:val="0"/>
          <w:bCs/>
          <w:iCs/>
          <w:kern w:val="0"/>
          <w:sz w:val="24"/>
          <w:lang w:val="zh-CN" w:eastAsia="zh-CN"/>
        </w:rPr>
        <w:t>。</w:t>
      </w:r>
    </w:p>
    <w:p>
      <w:pPr>
        <w:pageBreakBefore w:val="0"/>
        <w:numPr>
          <w:ilvl w:val="0"/>
          <w:numId w:val="0"/>
        </w:numPr>
        <w:kinsoku/>
        <w:wordWrap/>
        <w:topLinePunct w:val="0"/>
        <w:bidi w:val="0"/>
        <w:snapToGrid w:val="0"/>
        <w:spacing w:after="120" w:line="500" w:lineRule="exact"/>
        <w:ind w:firstLine="480" w:firstLineChars="200"/>
        <w:rPr>
          <w:rFonts w:hint="eastAsia" w:ascii="宋体" w:hAnsi="宋体" w:eastAsia="宋体" w:cs="宋体"/>
          <w:b w:val="0"/>
          <w:bCs/>
          <w:iCs/>
          <w:kern w:val="0"/>
          <w:sz w:val="24"/>
          <w:lang w:val="en-US" w:eastAsia="zh-CN"/>
        </w:rPr>
      </w:pPr>
      <w:r>
        <w:rPr>
          <w:rFonts w:hint="eastAsia" w:ascii="宋体" w:hAnsi="宋体" w:eastAsia="宋体" w:cs="宋体"/>
          <w:b w:val="0"/>
          <w:bCs/>
          <w:iCs/>
          <w:kern w:val="0"/>
          <w:sz w:val="24"/>
          <w:lang w:val="en-US" w:eastAsia="zh-CN"/>
        </w:rPr>
        <w:t>2) 与其它各服务商的接口界面</w:t>
      </w:r>
    </w:p>
    <w:p>
      <w:pPr>
        <w:pageBreakBefore w:val="0"/>
        <w:numPr>
          <w:ilvl w:val="0"/>
          <w:numId w:val="0"/>
        </w:numPr>
        <w:kinsoku/>
        <w:wordWrap/>
        <w:topLinePunct w:val="0"/>
        <w:bidi w:val="0"/>
        <w:snapToGrid w:val="0"/>
        <w:spacing w:after="120" w:line="500" w:lineRule="exact"/>
        <w:ind w:firstLine="480" w:firstLineChars="200"/>
        <w:rPr>
          <w:rFonts w:hint="eastAsia" w:ascii="宋体" w:hAnsi="宋体" w:eastAsia="宋体" w:cs="宋体"/>
          <w:b w:val="0"/>
          <w:bCs/>
          <w:iCs/>
          <w:kern w:val="0"/>
          <w:sz w:val="24"/>
          <w:lang w:val="en-US" w:eastAsia="zh-CN"/>
        </w:rPr>
      </w:pPr>
      <w:r>
        <w:rPr>
          <w:rFonts w:hint="eastAsia" w:ascii="宋体" w:hAnsi="宋体" w:eastAsia="宋体" w:cs="宋体"/>
          <w:b w:val="0"/>
          <w:bCs/>
          <w:iCs/>
          <w:kern w:val="0"/>
          <w:sz w:val="24"/>
          <w:lang w:val="en-US" w:eastAsia="zh-CN"/>
        </w:rPr>
        <w:t>无。</w:t>
      </w:r>
    </w:p>
    <w:p>
      <w:pPr>
        <w:pageBreakBefore w:val="0"/>
        <w:numPr>
          <w:ilvl w:val="0"/>
          <w:numId w:val="0"/>
        </w:numPr>
        <w:kinsoku/>
        <w:wordWrap/>
        <w:topLinePunct w:val="0"/>
        <w:bidi w:val="0"/>
        <w:snapToGrid w:val="0"/>
        <w:spacing w:after="120" w:line="500" w:lineRule="exact"/>
        <w:ind w:firstLine="480" w:firstLineChars="200"/>
        <w:rPr>
          <w:rFonts w:hint="eastAsia" w:ascii="宋体" w:hAnsi="宋体" w:eastAsia="宋体" w:cs="宋体"/>
          <w:b w:val="0"/>
          <w:bCs/>
          <w:iCs/>
          <w:kern w:val="0"/>
          <w:sz w:val="24"/>
          <w:lang w:val="en-US" w:eastAsia="zh-CN"/>
        </w:rPr>
      </w:pPr>
      <w:r>
        <w:rPr>
          <w:rFonts w:hint="eastAsia" w:ascii="宋体" w:hAnsi="宋体" w:eastAsia="宋体" w:cs="宋体"/>
          <w:b w:val="0"/>
          <w:bCs/>
          <w:iCs/>
          <w:kern w:val="0"/>
          <w:sz w:val="24"/>
          <w:lang w:val="en-US" w:eastAsia="zh-CN"/>
        </w:rPr>
        <w:t>3）我方提供的技术资料清单</w:t>
      </w:r>
    </w:p>
    <w:p>
      <w:pPr>
        <w:pageBreakBefore w:val="0"/>
        <w:numPr>
          <w:ilvl w:val="0"/>
          <w:numId w:val="0"/>
        </w:numPr>
        <w:kinsoku/>
        <w:wordWrap/>
        <w:topLinePunct w:val="0"/>
        <w:bidi w:val="0"/>
        <w:snapToGrid w:val="0"/>
        <w:spacing w:after="120" w:line="500" w:lineRule="exact"/>
        <w:ind w:firstLine="480" w:firstLineChars="200"/>
        <w:rPr>
          <w:rFonts w:hint="eastAsia" w:ascii="宋体" w:hAnsi="宋体" w:eastAsia="宋体" w:cs="宋体"/>
          <w:b w:val="0"/>
          <w:bCs/>
          <w:iCs/>
          <w:kern w:val="0"/>
          <w:sz w:val="24"/>
          <w:lang w:val="en-US" w:eastAsia="zh-CN"/>
        </w:rPr>
      </w:pPr>
      <w:r>
        <w:rPr>
          <w:rFonts w:hint="eastAsia" w:ascii="宋体" w:hAnsi="宋体" w:eastAsia="宋体" w:cs="宋体"/>
          <w:b w:val="0"/>
          <w:bCs/>
          <w:iCs/>
          <w:kern w:val="0"/>
          <w:sz w:val="24"/>
          <w:lang w:val="en-US" w:eastAsia="zh-CN"/>
        </w:rPr>
        <w:t>无</w:t>
      </w:r>
    </w:p>
    <w:p>
      <w:pPr>
        <w:pageBreakBefore w:val="0"/>
        <w:numPr>
          <w:ilvl w:val="0"/>
          <w:numId w:val="0"/>
        </w:numPr>
        <w:kinsoku/>
        <w:wordWrap/>
        <w:topLinePunct w:val="0"/>
        <w:bidi w:val="0"/>
        <w:snapToGrid w:val="0"/>
        <w:spacing w:after="120" w:line="500" w:lineRule="exact"/>
        <w:ind w:firstLine="480" w:firstLineChars="200"/>
        <w:rPr>
          <w:rFonts w:hint="eastAsia" w:ascii="宋体" w:hAnsi="宋体" w:eastAsia="宋体" w:cs="宋体"/>
          <w:b w:val="0"/>
          <w:bCs/>
          <w:iCs/>
          <w:kern w:val="0"/>
          <w:sz w:val="24"/>
          <w:lang w:val="en-US" w:eastAsia="zh-CN"/>
        </w:rPr>
      </w:pPr>
      <w:r>
        <w:rPr>
          <w:rFonts w:hint="eastAsia" w:ascii="宋体" w:hAnsi="宋体" w:eastAsia="宋体" w:cs="宋体"/>
          <w:b w:val="0"/>
          <w:bCs/>
          <w:iCs/>
          <w:kern w:val="0"/>
          <w:sz w:val="24"/>
          <w:lang w:val="en-US" w:eastAsia="zh-CN"/>
        </w:rPr>
        <w:t>4）服务商最终交付的成果清单</w:t>
      </w:r>
    </w:p>
    <w:p>
      <w:pPr>
        <w:pageBreakBefore w:val="0"/>
        <w:numPr>
          <w:ilvl w:val="0"/>
          <w:numId w:val="0"/>
        </w:numPr>
        <w:kinsoku/>
        <w:wordWrap/>
        <w:topLinePunct w:val="0"/>
        <w:bidi w:val="0"/>
        <w:snapToGrid w:val="0"/>
        <w:spacing w:after="120" w:line="500" w:lineRule="exact"/>
        <w:ind w:firstLine="480" w:firstLineChars="200"/>
        <w:rPr>
          <w:rFonts w:hint="eastAsia" w:ascii="宋体" w:hAnsi="宋体" w:eastAsia="宋体" w:cs="宋体"/>
          <w:b w:val="0"/>
          <w:bCs/>
          <w:lang w:val="en-US" w:eastAsia="zh-CN"/>
        </w:rPr>
      </w:pPr>
      <w:r>
        <w:rPr>
          <w:rFonts w:hint="eastAsia" w:ascii="宋体" w:hAnsi="宋体" w:eastAsia="宋体" w:cs="宋体"/>
          <w:b w:val="0"/>
          <w:bCs/>
          <w:iCs/>
          <w:kern w:val="0"/>
          <w:sz w:val="24"/>
          <w:lang w:val="en-US" w:eastAsia="zh-CN"/>
        </w:rPr>
        <w:t>干净清洁、满足场站工作及生活需求的卫生状况。</w:t>
      </w:r>
    </w:p>
    <w:p>
      <w:pPr>
        <w:pageBreakBefore w:val="0"/>
        <w:numPr>
          <w:ilvl w:val="0"/>
          <w:numId w:val="0"/>
        </w:numPr>
        <w:kinsoku/>
        <w:wordWrap/>
        <w:topLinePunct w:val="0"/>
        <w:bidi w:val="0"/>
        <w:snapToGrid w:val="0"/>
        <w:spacing w:after="120" w:line="500" w:lineRule="exact"/>
        <w:outlineLvl w:val="1"/>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5.工作量清单</w:t>
      </w:r>
    </w:p>
    <w:tbl>
      <w:tblPr>
        <w:tblStyle w:val="12"/>
        <w:tblW w:w="7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277"/>
        <w:gridCol w:w="3476"/>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序号</w:t>
            </w:r>
          </w:p>
        </w:tc>
        <w:tc>
          <w:tcPr>
            <w:tcW w:w="1277"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服务项目</w:t>
            </w:r>
          </w:p>
        </w:tc>
        <w:tc>
          <w:tcPr>
            <w:tcW w:w="3476"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服务内容</w:t>
            </w:r>
          </w:p>
        </w:tc>
        <w:tc>
          <w:tcPr>
            <w:tcW w:w="2260"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服务频率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1</w:t>
            </w:r>
          </w:p>
        </w:tc>
        <w:tc>
          <w:tcPr>
            <w:tcW w:w="1277"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垃圾清运</w:t>
            </w:r>
          </w:p>
        </w:tc>
        <w:tc>
          <w:tcPr>
            <w:tcW w:w="3476"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对站点垃圾进行清理，每日产生垃圾约20公斤，具体以站点实际产生数量为准</w:t>
            </w:r>
          </w:p>
        </w:tc>
        <w:tc>
          <w:tcPr>
            <w:tcW w:w="2260"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每日清理一次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2</w:t>
            </w:r>
          </w:p>
        </w:tc>
        <w:tc>
          <w:tcPr>
            <w:tcW w:w="1277"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化粪池清理</w:t>
            </w:r>
          </w:p>
        </w:tc>
        <w:tc>
          <w:tcPr>
            <w:tcW w:w="3476"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r>
              <w:rPr>
                <w:rFonts w:hint="eastAsia" w:ascii="宋体" w:hAnsi="宋体" w:eastAsia="宋体" w:cs="宋体"/>
                <w:b w:val="0"/>
                <w:bCs/>
                <w:kern w:val="0"/>
                <w:sz w:val="24"/>
                <w:szCs w:val="24"/>
                <w:lang w:val="en-US" w:eastAsia="zh-CN"/>
              </w:rPr>
              <w:t>按照场站需求对场站化粪池进行清理，</w:t>
            </w:r>
            <w:r>
              <w:rPr>
                <w:rFonts w:hint="eastAsia" w:ascii="宋体" w:hAnsi="宋体" w:eastAsia="宋体" w:cs="宋体"/>
                <w:b w:val="0"/>
                <w:bCs/>
                <w:sz w:val="24"/>
                <w:vertAlign w:val="baseline"/>
                <w:lang w:val="en-US" w:eastAsia="zh-CN"/>
              </w:rPr>
              <w:t>具体以站点实际需求为准</w:t>
            </w:r>
          </w:p>
        </w:tc>
        <w:tc>
          <w:tcPr>
            <w:tcW w:w="2260" w:type="dxa"/>
            <w:noWrap w:val="0"/>
            <w:vAlign w:val="center"/>
          </w:tcPr>
          <w:p>
            <w:pPr>
              <w:pageBreakBefore w:val="0"/>
              <w:numPr>
                <w:ilvl w:val="0"/>
                <w:numId w:val="0"/>
              </w:numPr>
              <w:kinsoku/>
              <w:wordWrap/>
              <w:topLinePunct w:val="0"/>
              <w:bidi w:val="0"/>
              <w:snapToGrid w:val="0"/>
              <w:spacing w:after="120" w:line="500" w:lineRule="exact"/>
              <w:jc w:val="center"/>
              <w:outlineLvl w:val="1"/>
              <w:rPr>
                <w:rFonts w:hint="eastAsia" w:ascii="宋体" w:hAnsi="宋体" w:eastAsia="宋体" w:cs="宋体"/>
                <w:b w:val="0"/>
                <w:bCs/>
                <w:sz w:val="24"/>
                <w:vertAlign w:val="baseline"/>
                <w:lang w:val="en-US" w:eastAsia="zh-CN"/>
              </w:rPr>
            </w:pPr>
          </w:p>
        </w:tc>
      </w:tr>
    </w:tbl>
    <w:p>
      <w:pPr>
        <w:pStyle w:val="6"/>
        <w:pageBreakBefore w:val="0"/>
        <w:kinsoku/>
        <w:wordWrap/>
        <w:topLinePunct w:val="0"/>
        <w:bidi w:val="0"/>
        <w:spacing w:after="120" w:line="500" w:lineRule="exact"/>
        <w:rPr>
          <w:rFonts w:hint="eastAsia" w:ascii="宋体" w:hAnsi="宋体" w:eastAsia="宋体" w:cs="宋体"/>
          <w:b w:val="0"/>
          <w:bCs/>
          <w:lang w:val="en-US" w:eastAsia="zh-CN"/>
        </w:rPr>
      </w:pPr>
    </w:p>
    <w:p>
      <w:pPr>
        <w:pageBreakBefore w:val="0"/>
        <w:numPr>
          <w:ilvl w:val="0"/>
          <w:numId w:val="0"/>
        </w:numPr>
        <w:kinsoku/>
        <w:wordWrap/>
        <w:topLinePunct w:val="0"/>
        <w:bidi w:val="0"/>
        <w:snapToGrid w:val="0"/>
        <w:spacing w:after="120" w:line="500" w:lineRule="exact"/>
        <w:ind w:leftChars="0"/>
        <w:outlineLvl w:val="1"/>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6.里程碑计划</w:t>
      </w:r>
    </w:p>
    <w:p>
      <w:pPr>
        <w:pageBreakBefore w:val="0"/>
        <w:numPr>
          <w:ilvl w:val="0"/>
          <w:numId w:val="0"/>
        </w:numPr>
        <w:kinsoku/>
        <w:wordWrap/>
        <w:topLinePunct w:val="0"/>
        <w:bidi w:val="0"/>
        <w:snapToGrid w:val="0"/>
        <w:spacing w:after="120" w:line="500" w:lineRule="exact"/>
        <w:ind w:firstLine="480" w:firstLineChars="0"/>
        <w:outlineLvl w:val="1"/>
        <w:rPr>
          <w:rFonts w:hint="eastAsia" w:ascii="宋体" w:hAnsi="宋体" w:eastAsia="宋体" w:cs="宋体"/>
          <w:b w:val="0"/>
          <w:bCs/>
          <w:iCs/>
          <w:kern w:val="0"/>
          <w:sz w:val="24"/>
          <w:szCs w:val="20"/>
          <w:lang w:val="en-US" w:eastAsia="zh-CN"/>
        </w:rPr>
      </w:pPr>
      <w:r>
        <w:rPr>
          <w:rFonts w:hint="eastAsia" w:ascii="宋体" w:hAnsi="宋体" w:eastAsia="宋体" w:cs="宋体"/>
          <w:b w:val="0"/>
          <w:bCs/>
          <w:sz w:val="24"/>
          <w:lang w:val="en-US" w:eastAsia="zh-CN"/>
        </w:rPr>
        <w:t>本项目服务期为3年</w:t>
      </w:r>
      <w:r>
        <w:rPr>
          <w:rFonts w:hint="eastAsia" w:ascii="宋体" w:hAnsi="宋体" w:eastAsia="宋体" w:cs="宋体"/>
          <w:b w:val="0"/>
          <w:bCs/>
          <w:iCs/>
          <w:kern w:val="0"/>
          <w:sz w:val="24"/>
          <w:szCs w:val="20"/>
          <w:lang w:val="en-US" w:eastAsia="zh-CN"/>
        </w:rPr>
        <w:t>，采用1+1+1年模式签订服务合同，即在每一年度合同期到期前，采购人对应答人进行履约评价，若评价合格，采购人有权根据实际需求决定继续履行或终止本合同，并书面通知应答人，每年度以此类推。如评价不合格，采购人有权终止合同。</w:t>
      </w:r>
    </w:p>
    <w:p>
      <w:pPr>
        <w:pStyle w:val="6"/>
        <w:pageBreakBefore w:val="0"/>
        <w:kinsoku/>
        <w:wordWrap/>
        <w:topLinePunct w:val="0"/>
        <w:bidi w:val="0"/>
        <w:spacing w:after="120" w:line="500" w:lineRule="exact"/>
        <w:rPr>
          <w:rFonts w:hint="eastAsia" w:ascii="宋体" w:hAnsi="宋体" w:eastAsia="宋体" w:cs="宋体"/>
          <w:b w:val="0"/>
          <w:bCs/>
          <w:kern w:val="0"/>
          <w:sz w:val="24"/>
          <w:szCs w:val="20"/>
          <w:lang w:val="en-US" w:eastAsia="zh-CN"/>
        </w:rPr>
      </w:pPr>
      <w:r>
        <w:rPr>
          <w:rFonts w:hint="eastAsia" w:ascii="宋体" w:hAnsi="宋体" w:eastAsia="宋体" w:cs="宋体"/>
          <w:b w:val="0"/>
          <w:bCs/>
          <w:kern w:val="0"/>
          <w:sz w:val="24"/>
          <w:szCs w:val="20"/>
          <w:lang w:val="en-US" w:eastAsia="zh-CN"/>
        </w:rPr>
        <w:t xml:space="preserve"> </w:t>
      </w:r>
      <w:r>
        <w:rPr>
          <w:rFonts w:hint="eastAsia" w:ascii="宋体" w:hAnsi="宋体" w:eastAsia="宋体" w:cs="宋体"/>
          <w:b w:val="0"/>
          <w:bCs/>
          <w:i w:val="0"/>
          <w:iCs w:val="0"/>
          <w:kern w:val="0"/>
          <w:sz w:val="24"/>
          <w:szCs w:val="20"/>
          <w:lang w:val="en-US" w:eastAsia="zh-CN"/>
        </w:rPr>
        <w:t xml:space="preserve"> 服务期内，应答人应按照采购人要求完成场站的垃圾清运和化粪池清理工作。</w:t>
      </w:r>
    </w:p>
    <w:p>
      <w:pPr>
        <w:pageBreakBefore w:val="0"/>
        <w:numPr>
          <w:ilvl w:val="0"/>
          <w:numId w:val="0"/>
        </w:numPr>
        <w:kinsoku/>
        <w:wordWrap/>
        <w:topLinePunct w:val="0"/>
        <w:bidi w:val="0"/>
        <w:snapToGrid w:val="0"/>
        <w:spacing w:after="120" w:line="500" w:lineRule="exact"/>
        <w:ind w:leftChars="0"/>
        <w:outlineLvl w:val="1"/>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7.交付形式</w:t>
      </w:r>
    </w:p>
    <w:p>
      <w:pPr>
        <w:pageBreakBefore w:val="0"/>
        <w:numPr>
          <w:ilvl w:val="0"/>
          <w:numId w:val="0"/>
        </w:numPr>
        <w:kinsoku/>
        <w:wordWrap/>
        <w:topLinePunct w:val="0"/>
        <w:bidi w:val="0"/>
        <w:snapToGrid w:val="0"/>
        <w:spacing w:after="120" w:line="500" w:lineRule="exact"/>
        <w:ind w:firstLine="480" w:firstLineChars="200"/>
        <w:outlineLvl w:val="1"/>
        <w:rPr>
          <w:rFonts w:hint="eastAsia" w:ascii="宋体" w:hAnsi="宋体" w:eastAsia="宋体" w:cs="宋体"/>
          <w:b w:val="0"/>
          <w:bCs/>
          <w:i w:val="0"/>
          <w:iCs w:val="0"/>
          <w:kern w:val="0"/>
          <w:sz w:val="24"/>
          <w:szCs w:val="20"/>
          <w:lang w:val="en-US" w:eastAsia="zh-CN" w:bidi="ar-SA"/>
        </w:rPr>
      </w:pPr>
      <w:r>
        <w:rPr>
          <w:rFonts w:hint="eastAsia" w:ascii="宋体" w:hAnsi="宋体" w:eastAsia="宋体" w:cs="宋体"/>
          <w:b w:val="0"/>
          <w:bCs/>
          <w:i w:val="0"/>
          <w:iCs w:val="0"/>
          <w:kern w:val="0"/>
          <w:sz w:val="24"/>
          <w:szCs w:val="20"/>
          <w:lang w:val="en-US" w:eastAsia="zh-CN" w:bidi="ar-SA"/>
        </w:rPr>
        <w:t>应答人应携带相关设备，自行前往站点按照采购人要求完成完成场站的垃圾清运和化粪池清理工作，服务过程中所涉及的运输费、人工费、设备费、安装费、保险费、各类税费等所有可能发生的费用均由应答人自行承担。</w:t>
      </w:r>
    </w:p>
    <w:p>
      <w:pPr>
        <w:pageBreakBefore w:val="0"/>
        <w:numPr>
          <w:ilvl w:val="0"/>
          <w:numId w:val="0"/>
        </w:numPr>
        <w:kinsoku/>
        <w:wordWrap/>
        <w:topLinePunct w:val="0"/>
        <w:bidi w:val="0"/>
        <w:snapToGrid w:val="0"/>
        <w:spacing w:after="120" w:line="500" w:lineRule="exact"/>
        <w:ind w:firstLine="480" w:firstLineChars="200"/>
        <w:outlineLvl w:val="1"/>
        <w:rPr>
          <w:rFonts w:hint="eastAsia" w:ascii="宋体" w:hAnsi="宋体" w:eastAsia="宋体" w:cs="宋体"/>
          <w:b w:val="0"/>
          <w:bCs/>
          <w:i w:val="0"/>
          <w:iCs w:val="0"/>
          <w:kern w:val="0"/>
          <w:sz w:val="24"/>
          <w:szCs w:val="20"/>
          <w:lang w:val="en-US" w:eastAsia="zh-CN" w:bidi="ar-SA"/>
        </w:rPr>
      </w:pPr>
      <w:r>
        <w:rPr>
          <w:rFonts w:hint="eastAsia" w:ascii="宋体" w:hAnsi="宋体" w:eastAsia="宋体" w:cs="宋体"/>
          <w:b w:val="0"/>
          <w:bCs/>
          <w:i w:val="0"/>
          <w:iCs w:val="0"/>
          <w:kern w:val="0"/>
          <w:sz w:val="24"/>
          <w:szCs w:val="20"/>
          <w:lang w:val="en-US" w:eastAsia="zh-CN" w:bidi="ar-SA"/>
        </w:rPr>
        <w:t>服务地点：</w:t>
      </w:r>
    </w:p>
    <w:p>
      <w:pPr>
        <w:pageBreakBefore w:val="0"/>
        <w:numPr>
          <w:ilvl w:val="0"/>
          <w:numId w:val="0"/>
        </w:numPr>
        <w:kinsoku/>
        <w:wordWrap/>
        <w:topLinePunct w:val="0"/>
        <w:bidi w:val="0"/>
        <w:snapToGrid w:val="0"/>
        <w:spacing w:after="120" w:line="500" w:lineRule="exact"/>
        <w:ind w:left="1557" w:leftChars="170" w:hanging="1200" w:hangingChars="500"/>
        <w:outlineLvl w:val="1"/>
        <w:rPr>
          <w:rFonts w:hint="eastAsia" w:ascii="宋体" w:hAnsi="宋体" w:eastAsia="宋体" w:cs="宋体"/>
          <w:b w:val="0"/>
          <w:bCs/>
          <w:i w:val="0"/>
          <w:iCs w:val="0"/>
          <w:kern w:val="0"/>
          <w:sz w:val="24"/>
          <w:szCs w:val="20"/>
          <w:lang w:val="en-US" w:eastAsia="zh-CN" w:bidi="ar-SA"/>
        </w:rPr>
      </w:pPr>
      <w:r>
        <w:rPr>
          <w:rFonts w:hint="eastAsia" w:ascii="宋体" w:hAnsi="宋体" w:eastAsia="宋体" w:cs="宋体"/>
          <w:b w:val="0"/>
          <w:bCs/>
          <w:i w:val="0"/>
          <w:iCs w:val="0"/>
          <w:kern w:val="0"/>
          <w:sz w:val="24"/>
          <w:szCs w:val="20"/>
          <w:lang w:val="en-US" w:eastAsia="zh-CN" w:bidi="ar-SA"/>
        </w:rPr>
        <w:t>西韩站：河北省石家庄市高邑县万城镇东西韩村村东中国海油。</w:t>
      </w:r>
    </w:p>
    <w:p>
      <w:pPr>
        <w:pageBreakBefore w:val="0"/>
        <w:numPr>
          <w:ilvl w:val="0"/>
          <w:numId w:val="0"/>
        </w:numPr>
        <w:kinsoku/>
        <w:wordWrap/>
        <w:topLinePunct w:val="0"/>
        <w:bidi w:val="0"/>
        <w:snapToGrid w:val="0"/>
        <w:spacing w:after="120" w:line="500" w:lineRule="exact"/>
        <w:ind w:left="1557" w:leftChars="170" w:hanging="1200" w:hangingChars="500"/>
        <w:outlineLvl w:val="1"/>
        <w:rPr>
          <w:rFonts w:hint="eastAsia" w:ascii="宋体" w:hAnsi="宋体" w:eastAsia="宋体" w:cs="宋体"/>
          <w:b w:val="0"/>
          <w:bCs/>
          <w:i w:val="0"/>
          <w:iCs w:val="0"/>
          <w:kern w:val="0"/>
          <w:sz w:val="24"/>
          <w:szCs w:val="20"/>
          <w:lang w:val="en-US" w:eastAsia="zh-CN" w:bidi="ar-SA"/>
        </w:rPr>
      </w:pPr>
      <w:r>
        <w:rPr>
          <w:rFonts w:hint="eastAsia" w:ascii="宋体" w:hAnsi="宋体" w:eastAsia="宋体" w:cs="宋体"/>
          <w:b w:val="0"/>
          <w:bCs/>
          <w:i w:val="0"/>
          <w:iCs w:val="0"/>
          <w:kern w:val="0"/>
          <w:sz w:val="24"/>
          <w:szCs w:val="20"/>
          <w:lang w:val="en-US" w:eastAsia="zh-CN" w:bidi="ar-SA"/>
        </w:rPr>
        <w:t>官庄站：河北省衡水市武邑县106国道东侧、中海油加油站北邻官庄加气站。</w:t>
      </w:r>
    </w:p>
    <w:p>
      <w:pPr>
        <w:keepNext w:val="0"/>
        <w:keepLines w:val="0"/>
        <w:pageBreakBefore w:val="0"/>
        <w:widowControl w:val="0"/>
        <w:numPr>
          <w:ilvl w:val="0"/>
          <w:numId w:val="0"/>
        </w:numPr>
        <w:kinsoku/>
        <w:wordWrap/>
        <w:overflowPunct/>
        <w:topLinePunct w:val="0"/>
        <w:autoSpaceDE/>
        <w:autoSpaceDN/>
        <w:bidi w:val="0"/>
        <w:adjustRightInd/>
        <w:snapToGrid w:val="0"/>
        <w:spacing w:after="120" w:line="500" w:lineRule="exact"/>
        <w:ind w:left="1557" w:leftChars="170" w:hanging="1200" w:hangingChars="500"/>
        <w:textAlignment w:val="auto"/>
        <w:outlineLvl w:val="1"/>
        <w:rPr>
          <w:rFonts w:hint="eastAsia" w:ascii="宋体" w:hAnsi="宋体" w:eastAsia="宋体" w:cs="宋体"/>
          <w:b w:val="0"/>
          <w:bCs/>
          <w:i w:val="0"/>
          <w:iCs w:val="0"/>
          <w:kern w:val="0"/>
          <w:sz w:val="24"/>
          <w:szCs w:val="20"/>
          <w:lang w:val="en-US" w:eastAsia="zh-CN" w:bidi="ar-SA"/>
        </w:rPr>
      </w:pPr>
      <w:r>
        <w:rPr>
          <w:rFonts w:hint="eastAsia" w:ascii="宋体" w:hAnsi="宋体" w:eastAsia="宋体" w:cs="宋体"/>
          <w:b w:val="0"/>
          <w:bCs/>
          <w:i w:val="0"/>
          <w:iCs w:val="0"/>
          <w:kern w:val="0"/>
          <w:sz w:val="24"/>
          <w:szCs w:val="20"/>
          <w:lang w:val="en-US" w:eastAsia="zh-CN" w:bidi="ar-SA"/>
        </w:rPr>
        <w:t>高寺台站：河北省承德市承德县高寺台中海油加气站。</w:t>
      </w:r>
    </w:p>
    <w:p>
      <w:pPr>
        <w:pageBreakBefore w:val="0"/>
        <w:numPr>
          <w:ilvl w:val="0"/>
          <w:numId w:val="0"/>
        </w:numPr>
        <w:kinsoku/>
        <w:wordWrap/>
        <w:topLinePunct w:val="0"/>
        <w:bidi w:val="0"/>
        <w:snapToGrid w:val="0"/>
        <w:spacing w:after="120" w:line="500" w:lineRule="exact"/>
        <w:ind w:leftChars="0"/>
        <w:outlineLvl w:val="1"/>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8.验收方式</w:t>
      </w:r>
    </w:p>
    <w:p>
      <w:pPr>
        <w:pageBreakBefore w:val="0"/>
        <w:kinsoku/>
        <w:wordWrap/>
        <w:topLinePunct w:val="0"/>
        <w:bidi w:val="0"/>
        <w:spacing w:after="120" w:line="500" w:lineRule="exact"/>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采购人每个季度对应答人的工作进行验收，验收合格后签署验收。</w:t>
      </w:r>
    </w:p>
    <w:p>
      <w:pPr>
        <w:pageBreakBefore w:val="0"/>
        <w:numPr>
          <w:ilvl w:val="0"/>
          <w:numId w:val="0"/>
        </w:numPr>
        <w:kinsoku/>
        <w:wordWrap/>
        <w:topLinePunct w:val="0"/>
        <w:bidi w:val="0"/>
        <w:snapToGrid w:val="0"/>
        <w:spacing w:after="120" w:line="500" w:lineRule="exact"/>
        <w:ind w:leftChars="0"/>
        <w:outlineLvl w:val="1"/>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9.支付里程碑点建议</w:t>
      </w:r>
    </w:p>
    <w:p>
      <w:pPr>
        <w:pStyle w:val="4"/>
        <w:pageBreakBefore w:val="0"/>
        <w:kinsoku/>
        <w:wordWrap/>
        <w:topLinePunct w:val="0"/>
        <w:bidi w:val="0"/>
        <w:spacing w:after="120" w:line="500" w:lineRule="exact"/>
        <w:rPr>
          <w:rFonts w:hint="eastAsia" w:ascii="宋体" w:hAnsi="宋体" w:eastAsia="宋体" w:cs="宋体"/>
          <w:b w:val="0"/>
          <w:bCs/>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750"/>
        <w:gridCol w:w="3833"/>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pageBreakBefore w:val="0"/>
              <w:kinsoku/>
              <w:wordWrap/>
              <w:topLinePunct w:val="0"/>
              <w:bidi w:val="0"/>
              <w:snapToGrid w:val="0"/>
              <w:spacing w:after="120" w:line="500" w:lineRule="exact"/>
              <w:jc w:val="center"/>
              <w:rPr>
                <w:rFonts w:hint="eastAsia" w:ascii="宋体" w:hAnsi="宋体" w:eastAsia="宋体" w:cs="宋体"/>
                <w:b w:val="0"/>
                <w:bCs/>
                <w:kern w:val="0"/>
                <w:sz w:val="24"/>
              </w:rPr>
            </w:pPr>
            <w:r>
              <w:rPr>
                <w:rFonts w:hint="eastAsia" w:ascii="宋体" w:hAnsi="宋体" w:eastAsia="宋体" w:cs="宋体"/>
                <w:b w:val="0"/>
                <w:bCs/>
                <w:kern w:val="0"/>
                <w:sz w:val="24"/>
              </w:rPr>
              <w:t>序号</w:t>
            </w:r>
          </w:p>
        </w:tc>
        <w:tc>
          <w:tcPr>
            <w:tcW w:w="1750" w:type="dxa"/>
          </w:tcPr>
          <w:p>
            <w:pPr>
              <w:pageBreakBefore w:val="0"/>
              <w:kinsoku/>
              <w:wordWrap/>
              <w:topLinePunct w:val="0"/>
              <w:bidi w:val="0"/>
              <w:snapToGrid w:val="0"/>
              <w:spacing w:after="120" w:line="500" w:lineRule="exact"/>
              <w:jc w:val="center"/>
              <w:rPr>
                <w:rFonts w:hint="eastAsia" w:ascii="宋体" w:hAnsi="宋体" w:eastAsia="宋体" w:cs="宋体"/>
                <w:b w:val="0"/>
                <w:bCs/>
                <w:kern w:val="0"/>
                <w:sz w:val="24"/>
              </w:rPr>
            </w:pPr>
            <w:r>
              <w:rPr>
                <w:rFonts w:hint="eastAsia" w:ascii="宋体" w:hAnsi="宋体" w:eastAsia="宋体" w:cs="宋体"/>
                <w:b w:val="0"/>
                <w:bCs/>
                <w:kern w:val="0"/>
                <w:sz w:val="24"/>
              </w:rPr>
              <w:t>款项名称</w:t>
            </w:r>
          </w:p>
        </w:tc>
        <w:tc>
          <w:tcPr>
            <w:tcW w:w="3833" w:type="dxa"/>
          </w:tcPr>
          <w:p>
            <w:pPr>
              <w:pageBreakBefore w:val="0"/>
              <w:kinsoku/>
              <w:wordWrap/>
              <w:topLinePunct w:val="0"/>
              <w:bidi w:val="0"/>
              <w:snapToGrid w:val="0"/>
              <w:spacing w:after="120" w:line="500" w:lineRule="exact"/>
              <w:jc w:val="center"/>
              <w:rPr>
                <w:rFonts w:hint="eastAsia" w:ascii="宋体" w:hAnsi="宋体" w:eastAsia="宋体" w:cs="宋体"/>
                <w:b w:val="0"/>
                <w:bCs/>
                <w:kern w:val="0"/>
                <w:sz w:val="24"/>
              </w:rPr>
            </w:pPr>
            <w:r>
              <w:rPr>
                <w:rFonts w:hint="eastAsia" w:ascii="宋体" w:hAnsi="宋体" w:eastAsia="宋体" w:cs="宋体"/>
                <w:b w:val="0"/>
                <w:bCs/>
                <w:kern w:val="0"/>
                <w:sz w:val="24"/>
              </w:rPr>
              <w:t>里程碑条件</w:t>
            </w:r>
          </w:p>
        </w:tc>
        <w:tc>
          <w:tcPr>
            <w:tcW w:w="2120" w:type="dxa"/>
          </w:tcPr>
          <w:p>
            <w:pPr>
              <w:pageBreakBefore w:val="0"/>
              <w:kinsoku/>
              <w:wordWrap/>
              <w:topLinePunct w:val="0"/>
              <w:bidi w:val="0"/>
              <w:snapToGrid w:val="0"/>
              <w:spacing w:after="120" w:line="500" w:lineRule="exact"/>
              <w:jc w:val="center"/>
              <w:rPr>
                <w:rFonts w:hint="eastAsia" w:ascii="宋体" w:hAnsi="宋体" w:eastAsia="宋体" w:cs="宋体"/>
                <w:b w:val="0"/>
                <w:bCs/>
                <w:kern w:val="0"/>
                <w:sz w:val="24"/>
              </w:rPr>
            </w:pPr>
            <w:r>
              <w:rPr>
                <w:rFonts w:hint="eastAsia" w:ascii="宋体" w:hAnsi="宋体" w:eastAsia="宋体" w:cs="宋体"/>
                <w:b w:val="0"/>
                <w:bCs/>
                <w:kern w:val="0"/>
                <w:sz w:val="24"/>
              </w:rPr>
              <w:t>付款百分比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pageBreakBefore w:val="0"/>
              <w:kinsoku/>
              <w:wordWrap/>
              <w:topLinePunct w:val="0"/>
              <w:bidi w:val="0"/>
              <w:snapToGrid w:val="0"/>
              <w:spacing w:after="120" w:line="500" w:lineRule="exact"/>
              <w:jc w:val="center"/>
              <w:rPr>
                <w:rFonts w:hint="eastAsia" w:ascii="宋体" w:hAnsi="宋体" w:eastAsia="宋体" w:cs="宋体"/>
                <w:b w:val="0"/>
                <w:bCs/>
                <w:kern w:val="0"/>
                <w:sz w:val="24"/>
              </w:rPr>
            </w:pPr>
            <w:r>
              <w:rPr>
                <w:rFonts w:hint="eastAsia" w:ascii="宋体" w:hAnsi="宋体" w:eastAsia="宋体" w:cs="宋体"/>
                <w:b w:val="0"/>
                <w:bCs/>
                <w:kern w:val="0"/>
                <w:sz w:val="24"/>
              </w:rPr>
              <w:t>1</w:t>
            </w:r>
          </w:p>
        </w:tc>
        <w:tc>
          <w:tcPr>
            <w:tcW w:w="1750" w:type="dxa"/>
          </w:tcPr>
          <w:p>
            <w:pPr>
              <w:pageBreakBefore w:val="0"/>
              <w:kinsoku/>
              <w:wordWrap/>
              <w:topLinePunct w:val="0"/>
              <w:bidi w:val="0"/>
              <w:snapToGrid w:val="0"/>
              <w:spacing w:after="120" w:line="500" w:lineRule="exact"/>
              <w:rPr>
                <w:rFonts w:hint="eastAsia" w:ascii="宋体" w:hAnsi="宋体" w:eastAsia="宋体" w:cs="宋体"/>
                <w:b w:val="0"/>
                <w:bCs/>
                <w:kern w:val="0"/>
                <w:sz w:val="24"/>
              </w:rPr>
            </w:pPr>
            <w:r>
              <w:rPr>
                <w:rFonts w:hint="eastAsia" w:ascii="宋体" w:hAnsi="宋体" w:eastAsia="宋体" w:cs="宋体"/>
                <w:b w:val="0"/>
                <w:bCs/>
                <w:kern w:val="0"/>
                <w:sz w:val="24"/>
              </w:rPr>
              <w:t>首付款</w:t>
            </w:r>
          </w:p>
        </w:tc>
        <w:tc>
          <w:tcPr>
            <w:tcW w:w="3833" w:type="dxa"/>
          </w:tcPr>
          <w:p>
            <w:pPr>
              <w:pageBreakBefore w:val="0"/>
              <w:kinsoku/>
              <w:wordWrap/>
              <w:topLinePunct w:val="0"/>
              <w:bidi w:val="0"/>
              <w:snapToGrid w:val="0"/>
              <w:spacing w:after="120" w:line="500" w:lineRule="exact"/>
              <w:rPr>
                <w:rFonts w:hint="eastAsia" w:ascii="宋体" w:hAnsi="宋体" w:eastAsia="宋体" w:cs="宋体"/>
                <w:b w:val="0"/>
                <w:bCs/>
                <w:kern w:val="0"/>
                <w:sz w:val="24"/>
              </w:rPr>
            </w:pPr>
            <w:r>
              <w:rPr>
                <w:rFonts w:hint="eastAsia" w:ascii="宋体" w:hAnsi="宋体" w:eastAsia="宋体" w:cs="宋体"/>
                <w:b w:val="0"/>
                <w:bCs/>
                <w:kern w:val="0"/>
                <w:sz w:val="24"/>
              </w:rPr>
              <w:t>合同签订，服务商提交履约保函</w:t>
            </w:r>
          </w:p>
        </w:tc>
        <w:tc>
          <w:tcPr>
            <w:tcW w:w="2120" w:type="dxa"/>
          </w:tcPr>
          <w:p>
            <w:pPr>
              <w:pageBreakBefore w:val="0"/>
              <w:kinsoku/>
              <w:wordWrap/>
              <w:topLinePunct w:val="0"/>
              <w:bidi w:val="0"/>
              <w:snapToGrid w:val="0"/>
              <w:spacing w:after="120" w:line="500" w:lineRule="exact"/>
              <w:jc w:val="center"/>
              <w:rPr>
                <w:rFonts w:hint="eastAsia"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pageBreakBefore w:val="0"/>
              <w:kinsoku/>
              <w:wordWrap/>
              <w:topLinePunct w:val="0"/>
              <w:bidi w:val="0"/>
              <w:snapToGrid w:val="0"/>
              <w:spacing w:after="120" w:line="500" w:lineRule="exact"/>
              <w:jc w:val="center"/>
              <w:rPr>
                <w:rFonts w:hint="eastAsia" w:ascii="宋体" w:hAnsi="宋体" w:eastAsia="宋体" w:cs="宋体"/>
                <w:b w:val="0"/>
                <w:bCs/>
                <w:kern w:val="0"/>
                <w:sz w:val="24"/>
              </w:rPr>
            </w:pPr>
            <w:r>
              <w:rPr>
                <w:rFonts w:hint="eastAsia" w:ascii="宋体" w:hAnsi="宋体" w:eastAsia="宋体" w:cs="宋体"/>
                <w:b w:val="0"/>
                <w:bCs/>
                <w:kern w:val="0"/>
                <w:sz w:val="24"/>
              </w:rPr>
              <w:t>2</w:t>
            </w:r>
          </w:p>
        </w:tc>
        <w:tc>
          <w:tcPr>
            <w:tcW w:w="1750" w:type="dxa"/>
          </w:tcPr>
          <w:p>
            <w:pPr>
              <w:pageBreakBefore w:val="0"/>
              <w:kinsoku/>
              <w:wordWrap/>
              <w:topLinePunct w:val="0"/>
              <w:bidi w:val="0"/>
              <w:snapToGrid w:val="0"/>
              <w:spacing w:after="120" w:line="500" w:lineRule="exact"/>
              <w:rPr>
                <w:rFonts w:hint="eastAsia" w:ascii="宋体" w:hAnsi="宋体" w:eastAsia="宋体" w:cs="宋体"/>
                <w:b w:val="0"/>
                <w:bCs/>
                <w:kern w:val="0"/>
                <w:sz w:val="24"/>
                <w:lang w:eastAsia="zh-CN"/>
              </w:rPr>
            </w:pPr>
            <w:r>
              <w:rPr>
                <w:rFonts w:hint="eastAsia" w:ascii="宋体" w:hAnsi="宋体" w:eastAsia="宋体" w:cs="宋体"/>
                <w:b w:val="0"/>
                <w:bCs/>
                <w:kern w:val="0"/>
                <w:sz w:val="24"/>
                <w:lang w:val="en-US" w:eastAsia="zh-CN"/>
              </w:rPr>
              <w:t>服务费</w:t>
            </w:r>
          </w:p>
        </w:tc>
        <w:tc>
          <w:tcPr>
            <w:tcW w:w="3833" w:type="dxa"/>
          </w:tcPr>
          <w:p>
            <w:pPr>
              <w:pageBreakBefore w:val="0"/>
              <w:kinsoku/>
              <w:wordWrap/>
              <w:topLinePunct w:val="0"/>
              <w:bidi w:val="0"/>
              <w:snapToGrid w:val="0"/>
              <w:spacing w:after="120" w:line="500" w:lineRule="exact"/>
              <w:rPr>
                <w:rFonts w:hint="eastAsia" w:ascii="宋体" w:hAnsi="宋体" w:eastAsia="宋体" w:cs="宋体"/>
                <w:b w:val="0"/>
                <w:bCs/>
                <w:kern w:val="0"/>
                <w:sz w:val="24"/>
              </w:rPr>
            </w:pPr>
            <w:r>
              <w:rPr>
                <w:rFonts w:hint="eastAsia" w:ascii="宋体" w:hAnsi="宋体" w:eastAsia="宋体" w:cs="宋体"/>
                <w:b w:val="0"/>
                <w:bCs/>
                <w:kern w:val="0"/>
                <w:sz w:val="24"/>
                <w:lang w:val="en-US" w:eastAsia="zh-CN"/>
              </w:rPr>
              <w:t>季度</w:t>
            </w:r>
            <w:r>
              <w:rPr>
                <w:rFonts w:hint="eastAsia" w:ascii="宋体" w:hAnsi="宋体" w:eastAsia="宋体" w:cs="宋体"/>
                <w:b w:val="0"/>
                <w:bCs/>
                <w:kern w:val="0"/>
                <w:sz w:val="24"/>
              </w:rPr>
              <w:t>验收合格</w:t>
            </w:r>
          </w:p>
        </w:tc>
        <w:tc>
          <w:tcPr>
            <w:tcW w:w="2120" w:type="dxa"/>
          </w:tcPr>
          <w:p>
            <w:pPr>
              <w:pageBreakBefore w:val="0"/>
              <w:kinsoku/>
              <w:wordWrap/>
              <w:topLinePunct w:val="0"/>
              <w:bidi w:val="0"/>
              <w:snapToGrid w:val="0"/>
              <w:spacing w:after="120" w:line="500" w:lineRule="exact"/>
              <w:jc w:val="center"/>
              <w:rPr>
                <w:rFonts w:hint="eastAsia" w:ascii="宋体" w:hAnsi="宋体" w:eastAsia="宋体" w:cs="宋体"/>
                <w:b w:val="0"/>
                <w:bCs/>
                <w:kern w:val="0"/>
                <w:sz w:val="24"/>
              </w:rPr>
            </w:pPr>
            <w:r>
              <w:rPr>
                <w:rFonts w:hint="eastAsia" w:ascii="宋体" w:hAnsi="宋体" w:eastAsia="宋体" w:cs="宋体"/>
                <w:b w:val="0"/>
                <w:bCs/>
                <w:kern w:val="0"/>
                <w:sz w:val="24"/>
                <w:lang w:val="en-US" w:eastAsia="zh-CN"/>
              </w:rPr>
              <w:t>7</w:t>
            </w:r>
            <w:r>
              <w:rPr>
                <w:rFonts w:hint="eastAsia" w:ascii="宋体" w:hAnsi="宋体" w:eastAsia="宋体" w:cs="宋体"/>
                <w:b w:val="0"/>
                <w:bCs/>
                <w:kern w:val="0"/>
                <w:sz w:val="24"/>
              </w:rPr>
              <w:t>0%</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FA4B93"/>
    <w:multiLevelType w:val="multilevel"/>
    <w:tmpl w:val="62FA4B93"/>
    <w:lvl w:ilvl="0" w:tentative="0">
      <w:start w:val="1"/>
      <w:numFmt w:val="chineseCountingThousand"/>
      <w:pStyle w:val="14"/>
      <w:suff w:val="space"/>
      <w:lvlText w:val="第%1章"/>
      <w:lvlJc w:val="left"/>
      <w:pPr>
        <w:ind w:left="3261" w:hanging="425"/>
      </w:pPr>
      <w:rPr>
        <w:rFonts w:hint="eastAsia"/>
        <w:sz w:val="30"/>
        <w:szCs w:val="30"/>
      </w:rPr>
    </w:lvl>
    <w:lvl w:ilvl="1" w:tentative="0">
      <w:start w:val="1"/>
      <w:numFmt w:val="decimal"/>
      <w:isLgl/>
      <w:suff w:val="space"/>
      <w:lvlText w:val="%1.%2"/>
      <w:lvlJc w:val="left"/>
      <w:pPr>
        <w:ind w:left="567" w:hanging="567"/>
      </w:pPr>
      <w:rPr>
        <w:rFonts w:hint="eastAsia"/>
      </w:rPr>
    </w:lvl>
    <w:lvl w:ilvl="2" w:tentative="0">
      <w:start w:val="1"/>
      <w:numFmt w:val="decimal"/>
      <w:isLgl/>
      <w:suff w:val="space"/>
      <w:lvlText w:val="%1.%2.%3"/>
      <w:lvlJc w:val="left"/>
      <w:pPr>
        <w:ind w:left="70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6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Chars="0" w:firstLine="210"/>
    </w:pPr>
    <w:rPr>
      <w:sz w:val="21"/>
    </w:rPr>
  </w:style>
  <w:style w:type="paragraph" w:styleId="3">
    <w:name w:val="Body Text Indent"/>
    <w:basedOn w:val="1"/>
    <w:qFormat/>
    <w:uiPriority w:val="0"/>
    <w:pPr>
      <w:spacing w:after="120" w:afterLines="0"/>
      <w:ind w:left="420" w:leftChars="200"/>
    </w:pPr>
    <w:rPr>
      <w:sz w:val="24"/>
    </w:rPr>
  </w:style>
  <w:style w:type="paragraph" w:customStyle="1" w:styleId="4">
    <w:name w:val="Body Text1"/>
    <w:basedOn w:val="5"/>
    <w:next w:val="6"/>
    <w:qFormat/>
    <w:uiPriority w:val="0"/>
    <w:pPr>
      <w:widowControl/>
      <w:overflowPunct w:val="0"/>
      <w:autoSpaceDE w:val="0"/>
      <w:autoSpaceDN w:val="0"/>
      <w:adjustRightInd w:val="0"/>
      <w:jc w:val="left"/>
      <w:textAlignment w:val="baseline"/>
    </w:pPr>
    <w:rPr>
      <w:rFonts w:ascii="楷体" w:hAnsi="Times New Roman" w:eastAsia="楷体" w:cs="Times New Roman"/>
      <w:i/>
      <w:iCs/>
      <w:kern w:val="0"/>
      <w:sz w:val="20"/>
      <w:szCs w:val="20"/>
    </w:rPr>
  </w:style>
  <w:style w:type="paragraph" w:customStyle="1" w:styleId="5">
    <w:name w:val="Normal_0"/>
    <w:next w:val="2"/>
    <w:qFormat/>
    <w:uiPriority w:val="0"/>
    <w:pPr>
      <w:widowControl w:val="0"/>
      <w:jc w:val="both"/>
    </w:pPr>
    <w:rPr>
      <w:rFonts w:ascii="Calibri" w:hAnsi="Calibri" w:eastAsia="宋体" w:cs="宋体"/>
      <w:kern w:val="2"/>
      <w:sz w:val="21"/>
      <w:szCs w:val="22"/>
      <w:lang w:val="en-US" w:eastAsia="zh-CN" w:bidi="ar-SA"/>
    </w:rPr>
  </w:style>
  <w:style w:type="paragraph" w:styleId="6">
    <w:name w:val="Body Text First Indent"/>
    <w:basedOn w:val="7"/>
    <w:next w:val="8"/>
    <w:qFormat/>
    <w:uiPriority w:val="0"/>
    <w:pPr>
      <w:widowControl w:val="0"/>
      <w:overflowPunct/>
      <w:autoSpaceDE/>
      <w:autoSpaceDN/>
      <w:adjustRightInd/>
      <w:spacing w:after="120"/>
      <w:ind w:firstLine="420" w:firstLineChars="100"/>
      <w:jc w:val="both"/>
      <w:textAlignment w:val="auto"/>
    </w:pPr>
    <w:rPr>
      <w:rFonts w:ascii="Calibri" w:hAnsi="Calibri" w:eastAsia="宋体" w:cs="宋体"/>
      <w:kern w:val="2"/>
      <w:sz w:val="21"/>
      <w:szCs w:val="22"/>
    </w:rPr>
  </w:style>
  <w:style w:type="paragraph" w:styleId="7">
    <w:name w:val="Body Text"/>
    <w:basedOn w:val="1"/>
    <w:next w:val="1"/>
    <w:qFormat/>
    <w:uiPriority w:val="0"/>
    <w:pPr>
      <w:widowControl/>
      <w:overflowPunct w:val="0"/>
      <w:autoSpaceDE w:val="0"/>
      <w:autoSpaceDN w:val="0"/>
      <w:adjustRightInd w:val="0"/>
      <w:jc w:val="left"/>
      <w:textAlignment w:val="baseline"/>
    </w:pPr>
    <w:rPr>
      <w:rFonts w:ascii="楷体" w:eastAsia="楷体"/>
      <w:i/>
      <w:iCs/>
      <w:kern w:val="0"/>
      <w:sz w:val="20"/>
      <w:szCs w:val="20"/>
    </w:rPr>
  </w:style>
  <w:style w:type="paragraph" w:customStyle="1" w:styleId="8">
    <w:name w:val="TOC 6"/>
    <w:basedOn w:val="5"/>
    <w:next w:val="5"/>
    <w:qFormat/>
    <w:uiPriority w:val="0"/>
    <w:pPr>
      <w:widowControl/>
      <w:overflowPunct w:val="0"/>
      <w:autoSpaceDE w:val="0"/>
      <w:autoSpaceDN w:val="0"/>
      <w:adjustRightInd w:val="0"/>
      <w:ind w:left="1000"/>
      <w:jc w:val="left"/>
      <w:textAlignment w:val="baseline"/>
    </w:pPr>
    <w:rPr>
      <w:rFonts w:ascii="Times New Roman" w:hAnsi="Times New Roman" w:cs="Times New Roman"/>
      <w:kern w:val="0"/>
      <w:sz w:val="18"/>
      <w:szCs w:val="20"/>
      <w:lang w:eastAsia="en-US"/>
    </w:rPr>
  </w:style>
  <w:style w:type="paragraph" w:styleId="10">
    <w:name w:val="Body Text 2"/>
    <w:basedOn w:val="1"/>
    <w:qFormat/>
    <w:uiPriority w:val="0"/>
    <w:pPr>
      <w:spacing w:after="120" w:line="480" w:lineRule="auto"/>
    </w:pPr>
    <w:rPr>
      <w:szCs w:val="20"/>
    </w:rPr>
  </w:style>
  <w:style w:type="table" w:styleId="12">
    <w:name w:val="Table Grid"/>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第1级别"/>
    <w:basedOn w:val="9"/>
    <w:qFormat/>
    <w:uiPriority w:val="0"/>
    <w:pPr>
      <w:numPr>
        <w:ilvl w:val="0"/>
        <w:numId w:val="1"/>
      </w:numPr>
      <w:tabs>
        <w:tab w:val="left" w:pos="360"/>
      </w:tabs>
      <w:adjustRightInd w:val="0"/>
      <w:snapToGrid w:val="0"/>
      <w:spacing w:before="0" w:after="0" w:line="360" w:lineRule="auto"/>
      <w:ind w:left="425" w:firstLine="0"/>
      <w:jc w:val="center"/>
    </w:pPr>
    <w:rPr>
      <w:rFonts w:ascii="Times New Roman" w:hAnsi="Times New Roman" w:eastAsia="黑体" w:cs="Times New Roman"/>
      <w:snapToGrid w:val="0"/>
      <w:kern w:val="0"/>
      <w:sz w:val="3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2025-12-22T06:47:54Z</dcterms:created>
  <dc:creator>user</dc:creator>
  <cp:lastModifiedBy>戚海燕</cp:lastModifiedBy>
  <dcterms:modified xsi:type="dcterms:W3CDTF">2025-12-22T06:48:03Z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F9A48D249A134C268233E78EAD1920E5</vt:lpwstr>
  </property>
</Properties>
</file>