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合同包（1）</w:t>
      </w:r>
    </w:p>
    <w:p>
      <w:pPr>
        <w:pStyle w:val="7"/>
        <w:keepNext w:val="0"/>
        <w:keepLines w:val="0"/>
        <w:pageBreakBefore w:val="0"/>
        <w:kinsoku/>
        <w:wordWrap/>
        <w:overflowPunct/>
        <w:topLinePunct w:val="0"/>
        <w:bidi w:val="0"/>
        <w:adjustRightInd/>
        <w:snapToGrid/>
        <w:spacing w:before="0" w:beforeAutospacing="0" w:after="0" w:afterAutospacing="0" w:line="560" w:lineRule="exact"/>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一、项目概况</w:t>
      </w:r>
      <w:r>
        <w:rPr>
          <w:rFonts w:hint="eastAsia" w:ascii="仿宋" w:hAnsi="仿宋" w:eastAsia="仿宋" w:cs="仿宋"/>
          <w:b/>
          <w:bCs/>
          <w:color w:val="auto"/>
          <w:sz w:val="30"/>
          <w:szCs w:val="30"/>
          <w:lang w:eastAsia="zh-CN"/>
        </w:rPr>
        <w:t>：</w:t>
      </w:r>
    </w:p>
    <w:p>
      <w:pPr>
        <w:pStyle w:val="7"/>
        <w:keepNext w:val="0"/>
        <w:keepLines w:val="0"/>
        <w:pageBreakBefore w:val="0"/>
        <w:kinsoku/>
        <w:wordWrap/>
        <w:overflowPunct/>
        <w:topLinePunct w:val="0"/>
        <w:bidi w:val="0"/>
        <w:adjustRightInd/>
        <w:snapToGrid/>
        <w:spacing w:before="0" w:beforeAutospacing="0" w:after="0" w:afterAutospacing="0" w:line="560" w:lineRule="exact"/>
        <w:ind w:firstLine="480" w:firstLineChars="200"/>
        <w:textAlignment w:val="auto"/>
        <w:rPr>
          <w:rFonts w:hint="eastAsia" w:ascii="仿宋" w:hAnsi="仿宋" w:eastAsia="仿宋" w:cs="仿宋"/>
          <w:color w:val="auto"/>
          <w:szCs w:val="22"/>
          <w:lang w:eastAsia="zh-CN"/>
        </w:rPr>
      </w:pPr>
      <w:r>
        <w:rPr>
          <w:rFonts w:hint="eastAsia" w:ascii="仿宋" w:hAnsi="仿宋" w:eastAsia="仿宋" w:cs="仿宋"/>
          <w:color w:val="auto"/>
          <w:szCs w:val="22"/>
        </w:rPr>
        <w:t xml:space="preserve"> </w:t>
      </w:r>
      <w:r>
        <w:rPr>
          <w:rFonts w:hint="eastAsia" w:ascii="仿宋" w:hAnsi="仿宋" w:eastAsia="仿宋" w:cs="仿宋"/>
          <w:color w:val="auto"/>
          <w:szCs w:val="22"/>
          <w:lang w:val="en-US" w:eastAsia="zh-CN"/>
        </w:rPr>
        <w:t>按照</w:t>
      </w:r>
      <w:r>
        <w:rPr>
          <w:rFonts w:hint="eastAsia" w:ascii="仿宋" w:hAnsi="仿宋" w:eastAsia="仿宋" w:cs="仿宋"/>
          <w:color w:val="auto"/>
          <w:szCs w:val="22"/>
          <w:lang w:eastAsia="zh-CN"/>
        </w:rPr>
        <w:t>《</w:t>
      </w:r>
      <w:r>
        <w:rPr>
          <w:rFonts w:hint="eastAsia" w:ascii="仿宋" w:hAnsi="仿宋" w:eastAsia="仿宋" w:cs="仿宋"/>
          <w:color w:val="auto"/>
          <w:szCs w:val="22"/>
        </w:rPr>
        <w:t>自然资源部办公厅关于开展2022年度全国国土变更调查工作的通知</w:t>
      </w:r>
      <w:r>
        <w:rPr>
          <w:rFonts w:hint="eastAsia" w:ascii="仿宋" w:hAnsi="仿宋" w:eastAsia="仿宋" w:cs="仿宋"/>
          <w:color w:val="auto"/>
          <w:szCs w:val="22"/>
          <w:lang w:eastAsia="zh-CN"/>
        </w:rPr>
        <w:t>》</w:t>
      </w:r>
      <w:r>
        <w:rPr>
          <w:rFonts w:hint="eastAsia" w:ascii="仿宋" w:hAnsi="仿宋" w:eastAsia="仿宋" w:cs="仿宋"/>
          <w:color w:val="auto"/>
          <w:szCs w:val="22"/>
        </w:rPr>
        <w:t>自然资办发〔2022〕49号</w:t>
      </w:r>
      <w:r>
        <w:rPr>
          <w:rFonts w:hint="eastAsia" w:ascii="仿宋" w:hAnsi="仿宋" w:eastAsia="仿宋" w:cs="仿宋"/>
          <w:color w:val="auto"/>
          <w:szCs w:val="22"/>
          <w:lang w:eastAsia="zh-CN"/>
        </w:rPr>
        <w:t>，省自然资源厅《关于做好2022年度变更调查的通知》（陕自然资办发[2023]2号）文件要求，在汉阴县202</w:t>
      </w:r>
      <w:r>
        <w:rPr>
          <w:rFonts w:hint="eastAsia" w:ascii="仿宋" w:hAnsi="仿宋" w:eastAsia="仿宋" w:cs="仿宋"/>
          <w:color w:val="auto"/>
          <w:szCs w:val="22"/>
          <w:lang w:val="en-US" w:eastAsia="zh-CN"/>
        </w:rPr>
        <w:t>1</w:t>
      </w:r>
      <w:r>
        <w:rPr>
          <w:rFonts w:hint="eastAsia" w:ascii="仿宋" w:hAnsi="仿宋" w:eastAsia="仿宋" w:cs="仿宋"/>
          <w:color w:val="auto"/>
          <w:szCs w:val="22"/>
          <w:lang w:eastAsia="zh-CN"/>
        </w:rPr>
        <w:t>年度国土变更调查结果基础上，开展实地调查举证，全面掌握202</w:t>
      </w:r>
      <w:r>
        <w:rPr>
          <w:rFonts w:hint="eastAsia" w:ascii="仿宋" w:hAnsi="仿宋" w:eastAsia="仿宋" w:cs="仿宋"/>
          <w:color w:val="auto"/>
          <w:szCs w:val="22"/>
          <w:lang w:val="en-US" w:eastAsia="zh-CN"/>
        </w:rPr>
        <w:t>2</w:t>
      </w:r>
      <w:r>
        <w:rPr>
          <w:rFonts w:hint="eastAsia" w:ascii="仿宋" w:hAnsi="仿宋" w:eastAsia="仿宋" w:cs="仿宋"/>
          <w:color w:val="auto"/>
          <w:szCs w:val="22"/>
          <w:lang w:eastAsia="zh-CN"/>
        </w:rPr>
        <w:t>年度的地类、面积、属性及相关图层属性信息的变化情况，更新形成20</w:t>
      </w:r>
      <w:r>
        <w:rPr>
          <w:rFonts w:hint="eastAsia" w:ascii="仿宋" w:hAnsi="仿宋" w:eastAsia="仿宋" w:cs="仿宋"/>
          <w:color w:val="auto"/>
          <w:szCs w:val="22"/>
          <w:lang w:val="en-US" w:eastAsia="zh-CN"/>
        </w:rPr>
        <w:t>22</w:t>
      </w:r>
      <w:r>
        <w:rPr>
          <w:rFonts w:hint="eastAsia" w:ascii="仿宋" w:hAnsi="仿宋" w:eastAsia="仿宋" w:cs="仿宋"/>
          <w:color w:val="auto"/>
          <w:szCs w:val="22"/>
          <w:lang w:eastAsia="zh-CN"/>
        </w:rPr>
        <w:t>年度国家级国土调查数据库。</w:t>
      </w:r>
    </w:p>
    <w:p>
      <w:pPr>
        <w:pStyle w:val="6"/>
        <w:numPr>
          <w:ilvl w:val="0"/>
          <w:numId w:val="0"/>
        </w:numPr>
        <w:rPr>
          <w:rFonts w:hint="eastAsia" w:ascii="仿宋" w:hAnsi="仿宋" w:eastAsia="仿宋" w:cs="仿宋"/>
          <w:b/>
          <w:bCs/>
          <w:color w:val="auto"/>
          <w:kern w:val="0"/>
          <w:sz w:val="30"/>
          <w:szCs w:val="30"/>
          <w:lang w:val="en-US" w:eastAsia="zh-CN" w:bidi="ar-SA"/>
        </w:rPr>
      </w:pPr>
      <w:r>
        <w:rPr>
          <w:rFonts w:hint="eastAsia" w:ascii="仿宋" w:hAnsi="仿宋" w:eastAsia="仿宋" w:cs="仿宋"/>
          <w:b/>
          <w:bCs/>
          <w:color w:val="auto"/>
          <w:kern w:val="0"/>
          <w:sz w:val="30"/>
          <w:szCs w:val="30"/>
          <w:lang w:val="en-US" w:eastAsia="zh-CN" w:bidi="ar-SA"/>
        </w:rPr>
        <w:t>二、采购内容与要求</w:t>
      </w:r>
    </w:p>
    <w:p>
      <w:pPr>
        <w:rPr>
          <w:rFonts w:hint="default"/>
          <w:lang w:val="en-US" w:eastAsia="zh-CN"/>
        </w:rPr>
      </w:pPr>
      <w:r>
        <w:rPr>
          <w:rFonts w:hint="eastAsia" w:ascii="仿宋" w:hAnsi="仿宋" w:eastAsia="仿宋" w:cs="仿宋"/>
          <w:b/>
          <w:bCs/>
          <w:color w:val="auto"/>
          <w:kern w:val="0"/>
          <w:sz w:val="24"/>
          <w:szCs w:val="22"/>
          <w:lang w:val="en-US" w:eastAsia="zh-CN" w:bidi="ar-SA"/>
        </w:rPr>
        <w:t>1、工作内容：</w:t>
      </w:r>
    </w:p>
    <w:p>
      <w:pPr>
        <w:numPr>
          <w:ilvl w:val="0"/>
          <w:numId w:val="0"/>
        </w:numPr>
        <w:rPr>
          <w:rFonts w:hint="default"/>
          <w:lang w:val="en-US" w:eastAsia="zh-CN"/>
        </w:rPr>
      </w:pPr>
    </w:p>
    <w:tbl>
      <w:tblPr>
        <w:tblStyle w:val="8"/>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3439"/>
        <w:gridCol w:w="4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工作阶段</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工作内容</w:t>
            </w:r>
          </w:p>
        </w:tc>
        <w:tc>
          <w:tcPr>
            <w:tcW w:w="2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1"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外业调查</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实地调查举证：</w:t>
            </w:r>
            <w:r>
              <w:rPr>
                <w:rFonts w:hint="eastAsia" w:ascii="仿宋" w:hAnsi="仿宋" w:eastAsia="仿宋" w:cs="仿宋"/>
                <w:i w:val="0"/>
                <w:iCs w:val="0"/>
                <w:color w:val="000000"/>
                <w:kern w:val="0"/>
                <w:sz w:val="24"/>
                <w:szCs w:val="24"/>
                <w:u w:val="none"/>
                <w:lang w:val="en-US" w:eastAsia="zh-CN" w:bidi="ar"/>
              </w:rPr>
              <w:t xml:space="preserve">采用“国土调查云”App举证软件，对汉阴国土变更调查下发图斑实地逐图斑逐地块举证，查清土地利用现状，拍摄上传带有定位信息和方位信息的实地照片，确保图、实地一致。                                                                </w:t>
            </w:r>
          </w:p>
        </w:tc>
        <w:tc>
          <w:tcPr>
            <w:tcW w:w="2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依据《国土调查类项目预算标准》（征求意见稿），2022年度共需要举证的7977个图斑，其中国、省下发日常变更监测图斑2664个、年度变更监测图斑2360个；提取增减挂钩829个，土地综合整治186个，跟踪图斑26个，耕地保护督察图斑359个，国、省核查图斑举证1553个。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13"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内业编辑</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内业资料处理：</w:t>
            </w:r>
            <w:r>
              <w:rPr>
                <w:rFonts w:hint="eastAsia" w:ascii="仿宋" w:hAnsi="仿宋" w:eastAsia="仿宋" w:cs="仿宋"/>
                <w:i w:val="0"/>
                <w:iCs w:val="0"/>
                <w:color w:val="000000"/>
                <w:kern w:val="0"/>
                <w:sz w:val="24"/>
                <w:szCs w:val="24"/>
                <w:u w:val="none"/>
                <w:lang w:val="en-US" w:eastAsia="zh-CN" w:bidi="ar"/>
              </w:rPr>
              <w:t>依据图斑外业调查调查成果，按照统一的国土变更调查数据更新技术要求、数据库变更方法、标准及相关质量要求，开展图斑边界矢量化，录入相关属性信息等，并采用增量更新的方式，更新数据库中图斑地类、权属及其他相关图层等。建立县级国土变更调查数据库。</w:t>
            </w:r>
          </w:p>
        </w:tc>
        <w:tc>
          <w:tcPr>
            <w:tcW w:w="25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tc>
      </w:tr>
    </w:tbl>
    <w:p>
      <w:pPr>
        <w:pStyle w:val="7"/>
        <w:keepNext w:val="0"/>
        <w:keepLines w:val="0"/>
        <w:pageBreakBefore w:val="0"/>
        <w:numPr>
          <w:ilvl w:val="0"/>
          <w:numId w:val="0"/>
        </w:numPr>
        <w:kinsoku/>
        <w:wordWrap/>
        <w:overflowPunct/>
        <w:topLinePunct w:val="0"/>
        <w:bidi w:val="0"/>
        <w:adjustRightInd/>
        <w:snapToGrid/>
        <w:spacing w:before="0" w:beforeAutospacing="0" w:after="0" w:afterAutospacing="0" w:line="560" w:lineRule="exact"/>
        <w:textAlignment w:val="auto"/>
        <w:rPr>
          <w:rFonts w:hint="eastAsia" w:ascii="仿宋" w:hAnsi="仿宋" w:eastAsia="仿宋" w:cs="仿宋"/>
          <w:b/>
          <w:bCs/>
          <w:color w:val="auto"/>
          <w:szCs w:val="22"/>
          <w:lang w:val="en-US" w:eastAsia="zh-CN"/>
        </w:rPr>
      </w:pPr>
      <w:r>
        <w:rPr>
          <w:rFonts w:hint="eastAsia" w:ascii="仿宋" w:hAnsi="仿宋" w:eastAsia="仿宋" w:cs="仿宋"/>
          <w:b/>
          <w:bCs/>
          <w:color w:val="auto"/>
          <w:szCs w:val="22"/>
          <w:lang w:val="en-US" w:eastAsia="zh-CN"/>
        </w:rPr>
        <w:t>2、成果要求：</w:t>
      </w:r>
    </w:p>
    <w:p>
      <w:pPr>
        <w:pStyle w:val="7"/>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360" w:lineRule="auto"/>
        <w:ind w:firstLine="480" w:firstLineChars="200"/>
        <w:rPr>
          <w:rFonts w:hint="eastAsia" w:ascii="仿宋" w:hAnsi="仿宋" w:eastAsia="仿宋" w:cs="仿宋"/>
          <w:b w:val="0"/>
          <w:bCs/>
          <w:color w:val="auto"/>
          <w:kern w:val="2"/>
          <w:highlight w:val="none"/>
          <w:lang w:val="en-US" w:eastAsia="zh-CN" w:bidi="ar"/>
        </w:rPr>
      </w:pPr>
      <w:r>
        <w:rPr>
          <w:rFonts w:hint="eastAsia" w:ascii="仿宋" w:hAnsi="仿宋" w:eastAsia="仿宋" w:cs="仿宋"/>
          <w:b w:val="0"/>
          <w:bCs/>
          <w:color w:val="auto"/>
          <w:kern w:val="2"/>
          <w:highlight w:val="none"/>
          <w:lang w:val="en-US" w:eastAsia="zh-CN" w:bidi="ar"/>
        </w:rPr>
        <w:t>（1）项目完成后需向采购人提交文字及图件成果汇编，纸质版和电子版各三套。同时提交项目实施过程中数据收集、整理、分析的相关资料。</w:t>
      </w:r>
    </w:p>
    <w:p>
      <w:pPr>
        <w:pStyle w:val="7"/>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360" w:lineRule="auto"/>
        <w:ind w:firstLine="480" w:firstLineChars="200"/>
        <w:rPr>
          <w:rFonts w:hint="eastAsia" w:ascii="仿宋" w:hAnsi="仿宋" w:eastAsia="仿宋" w:cs="仿宋"/>
          <w:b/>
          <w:color w:val="auto"/>
          <w:kern w:val="2"/>
          <w:highlight w:val="none"/>
          <w:lang w:val="en-US" w:eastAsia="zh-CN" w:bidi="ar"/>
        </w:rPr>
      </w:pPr>
      <w:r>
        <w:rPr>
          <w:rFonts w:hint="eastAsia" w:ascii="仿宋" w:hAnsi="仿宋" w:eastAsia="仿宋" w:cs="仿宋"/>
          <w:b w:val="0"/>
          <w:bCs/>
          <w:color w:val="auto"/>
          <w:kern w:val="2"/>
          <w:highlight w:val="none"/>
          <w:lang w:val="en-US" w:eastAsia="zh-CN" w:bidi="ar"/>
        </w:rPr>
        <w:t>（2）在合同履行过程中，必要时，采购人可以对最终成果的构成进行调整。采购人如需成交供应商增加交付成果的数量，应由双方协商解决。</w:t>
      </w:r>
    </w:p>
    <w:p>
      <w:pPr>
        <w:pStyle w:val="7"/>
        <w:keepNext w:val="0"/>
        <w:keepLines w:val="0"/>
        <w:pageBreakBefore w:val="0"/>
        <w:numPr>
          <w:ilvl w:val="0"/>
          <w:numId w:val="0"/>
        </w:numPr>
        <w:kinsoku/>
        <w:wordWrap/>
        <w:overflowPunct/>
        <w:topLinePunct w:val="0"/>
        <w:bidi w:val="0"/>
        <w:adjustRightInd/>
        <w:snapToGrid/>
        <w:spacing w:before="0" w:beforeAutospacing="0" w:after="0" w:afterAutospacing="0" w:line="560" w:lineRule="exact"/>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、其他要求：</w:t>
      </w:r>
    </w:p>
    <w:p>
      <w:pPr>
        <w:pStyle w:val="7"/>
        <w:keepNext w:val="0"/>
        <w:keepLines w:val="0"/>
        <w:pageBreakBefore w:val="0"/>
        <w:kinsoku/>
        <w:wordWrap/>
        <w:overflowPunct/>
        <w:topLinePunct w:val="0"/>
        <w:bidi w:val="0"/>
        <w:adjustRightInd/>
        <w:snapToGrid/>
        <w:spacing w:before="0" w:beforeAutospacing="0" w:after="0" w:afterAutospacing="0" w:line="560" w:lineRule="exact"/>
        <w:ind w:firstLine="480" w:firstLineChars="200"/>
        <w:textAlignment w:val="auto"/>
        <w:rPr>
          <w:rFonts w:hint="eastAsia" w:ascii="仿宋" w:hAnsi="仿宋" w:eastAsia="仿宋" w:cs="仿宋"/>
          <w:color w:val="auto"/>
          <w:szCs w:val="22"/>
        </w:rPr>
      </w:pPr>
      <w:r>
        <w:rPr>
          <w:rFonts w:hint="eastAsia" w:ascii="仿宋" w:hAnsi="仿宋" w:eastAsia="仿宋" w:cs="仿宋"/>
          <w:color w:val="auto"/>
          <w:szCs w:val="22"/>
        </w:rPr>
        <w:t>1、磋商供应商应仔细查阅磋商文件及采购内容等相关资料，因自身原因未查阅竞争性磋商文件，从而导致磋商响应文件表达不清楚或计算有误差，由磋商供应商自行承担不利后果</w:t>
      </w:r>
      <w:bookmarkStart w:id="0" w:name="_GoBack"/>
      <w:bookmarkEnd w:id="0"/>
      <w:r>
        <w:rPr>
          <w:rFonts w:hint="eastAsia" w:ascii="仿宋" w:hAnsi="仿宋" w:eastAsia="仿宋" w:cs="仿宋"/>
          <w:color w:val="auto"/>
          <w:szCs w:val="22"/>
        </w:rPr>
        <w:t>。</w:t>
      </w:r>
    </w:p>
    <w:p>
      <w:pPr>
        <w:pStyle w:val="7"/>
        <w:keepNext w:val="0"/>
        <w:keepLines w:val="0"/>
        <w:pageBreakBefore w:val="0"/>
        <w:kinsoku/>
        <w:wordWrap/>
        <w:overflowPunct/>
        <w:topLinePunct w:val="0"/>
        <w:bidi w:val="0"/>
        <w:adjustRightInd/>
        <w:snapToGrid/>
        <w:spacing w:before="0" w:beforeAutospacing="0" w:after="0" w:afterAutospacing="0" w:line="560" w:lineRule="exact"/>
        <w:ind w:firstLine="480" w:firstLineChars="200"/>
        <w:textAlignment w:val="auto"/>
        <w:rPr>
          <w:rFonts w:hint="eastAsia" w:ascii="仿宋" w:hAnsi="仿宋" w:eastAsia="仿宋" w:cs="仿宋"/>
          <w:color w:val="auto"/>
          <w:szCs w:val="22"/>
        </w:rPr>
      </w:pPr>
      <w:r>
        <w:rPr>
          <w:rFonts w:hint="eastAsia" w:ascii="仿宋" w:hAnsi="仿宋" w:eastAsia="仿宋" w:cs="仿宋"/>
          <w:color w:val="auto"/>
          <w:szCs w:val="22"/>
        </w:rPr>
        <w:t>2、磋商供应商应自行现场踏勘，因现场实际情况造成实施方案发生改变而增加的费用由磋商供应商在报价时自行考虑，结算时不予调整。成交后严格按照磋商方案响应说明开展工作，自愿承担实施方案的的风险责任，对遗漏部份不另行支付。</w:t>
      </w:r>
    </w:p>
    <w:p>
      <w:pPr>
        <w:rPr>
          <w:rFonts w:hint="eastAsia"/>
          <w:lang w:val="en-US" w:eastAsia="zh-CN"/>
        </w:rPr>
      </w:pPr>
    </w:p>
    <w:p>
      <w:pP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合同包（2）</w:t>
      </w:r>
    </w:p>
    <w:p>
      <w:pPr>
        <w:pStyle w:val="7"/>
        <w:spacing w:before="0" w:beforeAutospacing="0" w:after="0" w:afterAutospacing="0" w:line="560" w:lineRule="exact"/>
        <w:rPr>
          <w:rFonts w:ascii="仿宋" w:hAnsi="仿宋" w:eastAsia="仿宋" w:cs="仿宋"/>
          <w:b/>
          <w:bCs/>
          <w:sz w:val="30"/>
          <w:szCs w:val="30"/>
        </w:rPr>
      </w:pPr>
      <w:r>
        <w:rPr>
          <w:rFonts w:hint="eastAsia" w:ascii="仿宋" w:hAnsi="仿宋" w:eastAsia="仿宋" w:cs="仿宋"/>
          <w:b/>
          <w:bCs/>
          <w:sz w:val="30"/>
          <w:szCs w:val="30"/>
        </w:rPr>
        <w:t>一、项目概况：</w:t>
      </w:r>
    </w:p>
    <w:p>
      <w:pPr>
        <w:pStyle w:val="6"/>
        <w:spacing w:line="560" w:lineRule="exact"/>
        <w:ind w:firstLine="480" w:firstLineChars="200"/>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按照《自然资源部办公厅关于开展2022年度全国国土变更调查工作的通知》自然资办发〔2022〕49号，省自然资源厅《关于做好2022年度变更调查的通知》（陕自然资办发[2023]2号）文件要求，为更好地适应生态文明建设需要，满足自然资源管理新要求，落实耕地数量、质量、生态“三位一体”保护，自然资源部改进原耕地分等调查评价方法，形成了新的耕地资源质量分类体系。耕地资源最重要的基本特征为目标，充分利用自然资源部和相关部门已有的基础数据，采取分类分级的思路，开展耕地资源质量分类工作。</w:t>
      </w:r>
    </w:p>
    <w:p>
      <w:pPr>
        <w:spacing w:line="560" w:lineRule="exact"/>
        <w:ind w:firstLine="480" w:firstLineChars="200"/>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结合2022年度内所有土地整治、高标准农田建设等项目竣工验收资料，形成质量建设图层，开展2022年度耕地资源质量分类年度更新工作，生成2022年度耕地资源质量分类更新数据包。同时更新耕地资源质量分类数据库，汇总相关数据表格，编制2022年度耕地资源质量分类更新分析报告。以及完成监测样点布设，对监测样点包括土壤条件等10项耕地资源质量分类指标进行监测，获取分类指标监测数据，建立耕地资源质量分类监测数据库，编写耕地资源质量分类年度监测分析报告。 </w:t>
      </w:r>
    </w:p>
    <w:p/>
    <w:p>
      <w:pPr>
        <w:pStyle w:val="6"/>
        <w:rPr>
          <w:rFonts w:ascii="仿宋" w:hAnsi="仿宋" w:eastAsia="仿宋" w:cs="仿宋"/>
          <w:b/>
          <w:bCs/>
          <w:kern w:val="0"/>
          <w:sz w:val="30"/>
          <w:szCs w:val="30"/>
        </w:rPr>
      </w:pPr>
      <w:r>
        <w:rPr>
          <w:rFonts w:hint="eastAsia" w:ascii="仿宋" w:hAnsi="仿宋" w:eastAsia="仿宋" w:cs="仿宋"/>
          <w:b/>
          <w:bCs/>
          <w:kern w:val="0"/>
          <w:sz w:val="30"/>
          <w:szCs w:val="30"/>
        </w:rPr>
        <w:t>二、采购内容与要求</w:t>
      </w:r>
    </w:p>
    <w:p>
      <w:pPr>
        <w:rPr>
          <w:sz w:val="24"/>
        </w:rPr>
      </w:pPr>
      <w:r>
        <w:rPr>
          <w:rFonts w:hint="eastAsia" w:ascii="仿宋" w:hAnsi="仿宋" w:eastAsia="仿宋" w:cs="仿宋"/>
          <w:b/>
          <w:bCs/>
          <w:kern w:val="0"/>
          <w:sz w:val="24"/>
        </w:rPr>
        <w:t>1、工作内容：</w:t>
      </w:r>
    </w:p>
    <w:p/>
    <w:tbl>
      <w:tblPr>
        <w:tblStyle w:val="8"/>
        <w:tblW w:w="5055" w:type="pct"/>
        <w:tblInd w:w="0" w:type="dxa"/>
        <w:tblLayout w:type="autofit"/>
        <w:tblCellMar>
          <w:top w:w="0" w:type="dxa"/>
          <w:left w:w="108" w:type="dxa"/>
          <w:bottom w:w="0" w:type="dxa"/>
          <w:right w:w="108" w:type="dxa"/>
        </w:tblCellMar>
      </w:tblPr>
      <w:tblGrid>
        <w:gridCol w:w="1635"/>
        <w:gridCol w:w="1777"/>
        <w:gridCol w:w="5204"/>
      </w:tblGrid>
      <w:tr>
        <w:tblPrEx>
          <w:tblCellMar>
            <w:top w:w="0" w:type="dxa"/>
            <w:left w:w="108" w:type="dxa"/>
            <w:bottom w:w="0" w:type="dxa"/>
            <w:right w:w="108" w:type="dxa"/>
          </w:tblCellMar>
        </w:tblPrEx>
        <w:trPr>
          <w:trHeight w:val="660" w:hRule="atLeast"/>
        </w:trPr>
        <w:tc>
          <w:tcPr>
            <w:tcW w:w="94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工作阶段</w:t>
            </w:r>
          </w:p>
        </w:tc>
        <w:tc>
          <w:tcPr>
            <w:tcW w:w="103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工作内容</w:t>
            </w:r>
          </w:p>
        </w:tc>
        <w:tc>
          <w:tcPr>
            <w:tcW w:w="301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说明</w:t>
            </w:r>
          </w:p>
        </w:tc>
      </w:tr>
      <w:tr>
        <w:tblPrEx>
          <w:tblCellMar>
            <w:top w:w="0" w:type="dxa"/>
            <w:left w:w="108" w:type="dxa"/>
            <w:bottom w:w="0" w:type="dxa"/>
            <w:right w:w="108" w:type="dxa"/>
          </w:tblCellMar>
        </w:tblPrEx>
        <w:trPr>
          <w:trHeight w:val="1855" w:hRule="atLeast"/>
        </w:trPr>
        <w:tc>
          <w:tcPr>
            <w:tcW w:w="94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样点调查及检验</w:t>
            </w:r>
          </w:p>
        </w:tc>
        <w:tc>
          <w:tcPr>
            <w:tcW w:w="1031"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1、样点提取；</w:t>
            </w:r>
          </w:p>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2、样点外业调查；</w:t>
            </w:r>
          </w:p>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3、样点送检；</w:t>
            </w:r>
          </w:p>
        </w:tc>
        <w:tc>
          <w:tcPr>
            <w:tcW w:w="3019"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1、依据耕地资源质量分类及监测技术要求，提取样点，对样点进行外业调查；</w:t>
            </w:r>
          </w:p>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2、确定土层厚度、采取土壤样品，并拍摄景观照片，土壤样品用于分析化验土壤质地、土壤有机质含量、pH 值。</w:t>
            </w:r>
          </w:p>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3、将外业调查获取的土壤样品送到实验室进行检测，主要检测土壤质地、土壤有机质含量和pH值三个土壤条件指标，根据情况适时检测生物多样性指标。</w:t>
            </w:r>
          </w:p>
        </w:tc>
      </w:tr>
      <w:tr>
        <w:tblPrEx>
          <w:tblCellMar>
            <w:top w:w="0" w:type="dxa"/>
            <w:left w:w="108" w:type="dxa"/>
            <w:bottom w:w="0" w:type="dxa"/>
            <w:right w:w="108" w:type="dxa"/>
          </w:tblCellMar>
        </w:tblPrEx>
        <w:trPr>
          <w:trHeight w:val="2286" w:hRule="atLeast"/>
        </w:trPr>
        <w:tc>
          <w:tcPr>
            <w:tcW w:w="94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rPr>
              <w:t>内业处理</w:t>
            </w:r>
          </w:p>
        </w:tc>
        <w:tc>
          <w:tcPr>
            <w:tcW w:w="1031"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1、数据内业处理；</w:t>
            </w:r>
          </w:p>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2、数据内业分析；</w:t>
            </w:r>
          </w:p>
        </w:tc>
        <w:tc>
          <w:tcPr>
            <w:tcW w:w="3019"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1、内业处理包括图斑赋值、生成数据库和成果质量检查。结合上一年度质量分类和调查数据，给各图斑质量分类数据赋值。按照数据库建设技术要求，形成质量分类数据库。</w:t>
            </w:r>
          </w:p>
          <w:p>
            <w:pPr>
              <w:spacing w:line="56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r>
              <w:rPr>
                <w:rFonts w:ascii="仿宋" w:hAnsi="仿宋" w:eastAsia="仿宋" w:cs="仿宋"/>
                <w:color w:val="000000"/>
                <w:kern w:val="0"/>
                <w:sz w:val="24"/>
                <w:lang w:bidi="ar"/>
              </w:rPr>
              <w:t>利用数据库成果汇总数据并形成</w:t>
            </w:r>
            <w:r>
              <w:rPr>
                <w:rFonts w:hint="eastAsia" w:ascii="仿宋" w:hAnsi="仿宋" w:eastAsia="仿宋" w:cs="仿宋"/>
                <w:color w:val="000000"/>
                <w:kern w:val="0"/>
                <w:sz w:val="24"/>
                <w:lang w:bidi="ar"/>
              </w:rPr>
              <w:t>各类</w:t>
            </w:r>
            <w:r>
              <w:rPr>
                <w:rFonts w:ascii="仿宋" w:hAnsi="仿宋" w:eastAsia="仿宋" w:cs="仿宋"/>
                <w:color w:val="000000"/>
                <w:kern w:val="0"/>
                <w:sz w:val="24"/>
                <w:lang w:bidi="ar"/>
              </w:rPr>
              <w:t>汇总报表，对年度质量分类和变化状况进行分析，形成分析报告。</w:t>
            </w:r>
          </w:p>
        </w:tc>
      </w:tr>
    </w:tbl>
    <w:p>
      <w:pPr>
        <w:bidi w:val="0"/>
        <w:jc w:val="left"/>
        <w:rPr>
          <w:rFonts w:hint="default" w:asciiTheme="minorHAnsi" w:hAnsiTheme="minorHAnsi" w:eastAsiaTheme="minorEastAsia" w:cstheme="minorBidi"/>
          <w:kern w:val="2"/>
          <w:sz w:val="21"/>
          <w:szCs w:val="24"/>
          <w:lang w:val="en-US" w:eastAsia="zh-CN" w:bidi="ar-SA"/>
        </w:rPr>
      </w:pPr>
    </w:p>
    <w:p>
      <w:pPr>
        <w:pStyle w:val="7"/>
        <w:numPr>
          <w:ilvl w:val="0"/>
          <w:numId w:val="1"/>
        </w:numPr>
        <w:spacing w:before="0" w:beforeAutospacing="0" w:after="0" w:afterAutospacing="0" w:line="560" w:lineRule="exact"/>
        <w:rPr>
          <w:rFonts w:ascii="仿宋" w:hAnsi="仿宋" w:eastAsia="仿宋" w:cs="仿宋"/>
          <w:b/>
          <w:bCs/>
          <w:szCs w:val="22"/>
        </w:rPr>
      </w:pPr>
      <w:r>
        <w:rPr>
          <w:rFonts w:hint="eastAsia" w:ascii="仿宋" w:hAnsi="仿宋" w:eastAsia="仿宋" w:cs="仿宋"/>
          <w:b/>
          <w:bCs/>
          <w:szCs w:val="22"/>
        </w:rPr>
        <w:t>成果要求：</w:t>
      </w:r>
    </w:p>
    <w:p>
      <w:pPr>
        <w:pStyle w:val="7"/>
        <w:widowControl w:val="0"/>
        <w:autoSpaceDE w:val="0"/>
        <w:adjustRightInd w:val="0"/>
        <w:snapToGrid w:val="0"/>
        <w:spacing w:before="0" w:beforeAutospacing="0" w:after="0" w:afterAutospacing="0" w:line="360" w:lineRule="auto"/>
        <w:ind w:firstLine="480" w:firstLineChars="200"/>
        <w:rPr>
          <w:rFonts w:ascii="仿宋" w:hAnsi="仿宋" w:eastAsia="仿宋" w:cs="仿宋"/>
          <w:bCs/>
          <w:kern w:val="2"/>
          <w:lang w:bidi="ar"/>
        </w:rPr>
      </w:pPr>
      <w:r>
        <w:rPr>
          <w:rFonts w:hint="eastAsia" w:ascii="仿宋" w:hAnsi="仿宋" w:eastAsia="仿宋" w:cs="仿宋"/>
          <w:bCs/>
          <w:kern w:val="2"/>
          <w:lang w:bidi="ar"/>
        </w:rPr>
        <w:t>（1）项目完成后需向采购人提交文字及图件成果汇编，纸质版和电子版各三套。同时提交项目实施过程中数据收集、整理、分析的相关资料。</w:t>
      </w:r>
    </w:p>
    <w:p>
      <w:pPr>
        <w:pStyle w:val="7"/>
        <w:widowControl w:val="0"/>
        <w:autoSpaceDE w:val="0"/>
        <w:adjustRightInd w:val="0"/>
        <w:snapToGrid w:val="0"/>
        <w:spacing w:before="0" w:beforeAutospacing="0" w:after="0" w:afterAutospacing="0" w:line="360" w:lineRule="auto"/>
        <w:ind w:firstLine="480" w:firstLineChars="200"/>
        <w:rPr>
          <w:rFonts w:ascii="仿宋" w:hAnsi="仿宋" w:eastAsia="仿宋" w:cs="仿宋"/>
          <w:b/>
          <w:kern w:val="2"/>
          <w:lang w:bidi="ar"/>
        </w:rPr>
      </w:pPr>
      <w:r>
        <w:rPr>
          <w:rFonts w:hint="eastAsia" w:ascii="仿宋" w:hAnsi="仿宋" w:eastAsia="仿宋" w:cs="仿宋"/>
          <w:bCs/>
          <w:kern w:val="2"/>
          <w:lang w:bidi="ar"/>
        </w:rPr>
        <w:t>（2）在合同履行过程中，必要时，采购人可以对最终成果的构成进行调整。采购人如需成交供应商增加交付成果的数量，应由双方协商解决。</w:t>
      </w:r>
    </w:p>
    <w:p>
      <w:pPr>
        <w:pStyle w:val="7"/>
        <w:spacing w:before="0" w:beforeAutospacing="0" w:after="0" w:afterAutospacing="0" w:line="560" w:lineRule="exact"/>
        <w:rPr>
          <w:rFonts w:ascii="仿宋" w:hAnsi="仿宋" w:eastAsia="仿宋" w:cs="仿宋"/>
          <w:b/>
          <w:bCs/>
          <w:szCs w:val="22"/>
        </w:rPr>
      </w:pPr>
      <w:r>
        <w:rPr>
          <w:rFonts w:hint="eastAsia" w:ascii="仿宋" w:hAnsi="仿宋" w:eastAsia="仿宋" w:cs="仿宋"/>
          <w:b/>
          <w:bCs/>
          <w:szCs w:val="22"/>
        </w:rPr>
        <w:t>三、其他要求：</w:t>
      </w:r>
    </w:p>
    <w:p>
      <w:pPr>
        <w:pStyle w:val="7"/>
        <w:spacing w:before="0" w:beforeAutospacing="0" w:after="0" w:afterAutospacing="0" w:line="560" w:lineRule="exact"/>
        <w:ind w:firstLine="480" w:firstLineChars="200"/>
        <w:rPr>
          <w:rFonts w:ascii="仿宋" w:hAnsi="仿宋" w:eastAsia="仿宋" w:cs="仿宋"/>
          <w:szCs w:val="22"/>
        </w:rPr>
      </w:pPr>
      <w:r>
        <w:rPr>
          <w:rFonts w:hint="eastAsia" w:ascii="仿宋" w:hAnsi="仿宋" w:eastAsia="仿宋" w:cs="仿宋"/>
          <w:szCs w:val="22"/>
        </w:rPr>
        <w:t>1、磋商供应商应仔细查阅磋商文件及采购内容等相关资料，因自身原因未查阅竞争性磋商文件，从而导致磋商响应文件表达不清楚或计算有误差，由磋商供应商自行承担不利后果。</w:t>
      </w:r>
    </w:p>
    <w:p>
      <w:pPr>
        <w:pStyle w:val="7"/>
        <w:spacing w:before="0" w:beforeAutospacing="0" w:after="0" w:afterAutospacing="0" w:line="560" w:lineRule="exact"/>
        <w:ind w:firstLine="480" w:firstLineChars="200"/>
        <w:rPr>
          <w:rFonts w:ascii="仿宋" w:hAnsi="仿宋" w:eastAsia="仿宋" w:cs="仿宋"/>
          <w:szCs w:val="22"/>
        </w:rPr>
      </w:pPr>
      <w:r>
        <w:rPr>
          <w:rFonts w:hint="eastAsia" w:ascii="仿宋" w:hAnsi="仿宋" w:eastAsia="仿宋" w:cs="仿宋"/>
          <w:szCs w:val="22"/>
        </w:rPr>
        <w:t>2、磋商供应商应自行现场踏勘，因现场实际情况造成实施方案发生改变而增加的费用由磋商供应商在报价时自行考虑，结算时不予调整。成交后严格按照磋商方案响应说明开展工作，自愿承担实施方案的的风险责任，对遗漏部份不另行支付。</w:t>
      </w:r>
    </w:p>
    <w:p>
      <w:pPr>
        <w:pStyle w:val="3"/>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D16DB"/>
    <w:multiLevelType w:val="singleLevel"/>
    <w:tmpl w:val="A0FD16D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jkzMDAwMzU4ZTRjZDA1OWMxNGNmNjc1ZGFhOGEifQ=="/>
  </w:docVars>
  <w:rsids>
    <w:rsidRoot w:val="00000000"/>
    <w:rsid w:val="1BD7563C"/>
    <w:rsid w:val="31B42A81"/>
    <w:rsid w:val="4CC36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4"/>
    <w:qFormat/>
    <w:uiPriority w:val="99"/>
    <w:pPr>
      <w:ind w:firstLine="420" w:firstLineChars="100"/>
    </w:pPr>
  </w:style>
  <w:style w:type="paragraph" w:styleId="4">
    <w:name w:val="Body Text First Indent 2"/>
    <w:basedOn w:val="5"/>
    <w:unhideWhenUsed/>
    <w:qFormat/>
    <w:uiPriority w:val="99"/>
    <w:pPr>
      <w:tabs>
        <w:tab w:val="left" w:pos="1050"/>
      </w:tabs>
      <w:ind w:firstLine="420" w:firstLineChars="200"/>
    </w:pPr>
  </w:style>
  <w:style w:type="paragraph" w:styleId="5">
    <w:name w:val="Body Text Indent"/>
    <w:basedOn w:val="1"/>
    <w:next w:val="1"/>
    <w:qFormat/>
    <w:uiPriority w:val="99"/>
    <w:pPr>
      <w:spacing w:after="120"/>
      <w:ind w:left="420" w:leftChars="200"/>
    </w:pPr>
  </w:style>
  <w:style w:type="paragraph" w:styleId="6">
    <w:name w:val="toc 1"/>
    <w:basedOn w:val="1"/>
    <w:next w:val="1"/>
    <w:semiHidden/>
    <w:qFormat/>
    <w:uiPriority w:val="99"/>
  </w:style>
  <w:style w:type="paragraph" w:styleId="7">
    <w:name w:val="Normal (Web)"/>
    <w:basedOn w:val="1"/>
    <w:next w:val="6"/>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2023-07-28T06:55:14Z</dcterms:created>
  <dc:creator>Administrator</dc:creator>
  <cp:lastModifiedBy>忙着优秀@</cp:lastModifiedBy>
  <dcterms:modified xsi:type="dcterms:W3CDTF">2023-07-28T06:59:33Z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85B4E0C5357549EEBDE4D4DFA53C00C3_12</vt:lpwstr>
  </property>
</Properties>
</file>