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EED7981">
      <w:pPr>
        <w:jc w:val="center"/>
        <w:rPr>
          <w:rFonts w:hint="eastAsia" w:ascii="宋体" w:hAnsi="宋体" w:eastAsia="宋体" w:cs="宋体"/>
          <w:b/>
          <w:bCs/>
          <w:spacing w:val="100"/>
          <w:sz w:val="72"/>
          <w:szCs w:val="72"/>
        </w:rPr>
      </w:pPr>
    </w:p>
    <w:p w14:paraId="4A9517A5">
      <w:pPr>
        <w:ind w:firstLine="0" w:firstLineChars="0"/>
        <w:jc w:val="center"/>
        <w:rPr>
          <w:rFonts w:hint="eastAsia" w:ascii="宋体" w:hAnsi="宋体" w:eastAsia="宋体" w:cs="宋体"/>
          <w:b/>
          <w:bCs/>
          <w:spacing w:val="100"/>
          <w:sz w:val="72"/>
          <w:szCs w:val="72"/>
        </w:rPr>
      </w:pPr>
      <w:r>
        <w:rPr>
          <w:rFonts w:hint="eastAsia" w:ascii="宋体" w:hAnsi="宋体" w:eastAsia="宋体" w:cs="宋体"/>
          <w:b/>
          <w:bCs/>
          <w:spacing w:val="100"/>
          <w:sz w:val="72"/>
          <w:szCs w:val="72"/>
        </w:rPr>
        <w:t>温州市政府分散采购</w:t>
      </w:r>
    </w:p>
    <w:p w14:paraId="7EDA131B">
      <w:pPr>
        <w:ind w:firstLine="1148"/>
        <w:jc w:val="center"/>
        <w:rPr>
          <w:rFonts w:hint="eastAsia" w:ascii="宋体" w:hAnsi="宋体" w:eastAsia="宋体" w:cs="宋体"/>
          <w:b/>
          <w:bCs/>
          <w:spacing w:val="26"/>
          <w:sz w:val="52"/>
        </w:rPr>
      </w:pPr>
      <w:r>
        <w:rPr>
          <w:rFonts w:hint="eastAsia" w:ascii="宋体" w:hAnsi="宋体" w:eastAsia="宋体" w:cs="宋体"/>
          <w:b/>
          <w:bCs/>
          <w:spacing w:val="26"/>
          <w:sz w:val="52"/>
        </w:rPr>
        <w:t>（线上电子招标）</w:t>
      </w:r>
    </w:p>
    <w:p w14:paraId="6CA2903F">
      <w:pPr>
        <w:ind w:firstLine="2006"/>
        <w:jc w:val="center"/>
        <w:rPr>
          <w:rFonts w:hint="eastAsia" w:ascii="宋体" w:hAnsi="宋体" w:eastAsia="宋体" w:cs="宋体"/>
          <w:b/>
          <w:bCs/>
          <w:spacing w:val="140"/>
          <w:sz w:val="72"/>
        </w:rPr>
      </w:pPr>
    </w:p>
    <w:p w14:paraId="16D21424">
      <w:pPr>
        <w:spacing w:line="900" w:lineRule="exact"/>
        <w:ind w:firstLine="2247"/>
        <w:jc w:val="center"/>
        <w:rPr>
          <w:rFonts w:hint="eastAsia" w:ascii="宋体" w:hAnsi="宋体" w:eastAsia="宋体" w:cs="宋体"/>
          <w:b/>
          <w:bCs/>
          <w:spacing w:val="140"/>
          <w:sz w:val="84"/>
          <w:szCs w:val="84"/>
        </w:rPr>
      </w:pPr>
    </w:p>
    <w:p w14:paraId="31D85491">
      <w:pPr>
        <w:spacing w:line="240" w:lineRule="auto"/>
        <w:ind w:firstLine="0" w:firstLineChars="0"/>
        <w:jc w:val="center"/>
        <w:rPr>
          <w:rFonts w:hint="eastAsia" w:ascii="宋体" w:hAnsi="宋体" w:eastAsia="宋体" w:cs="宋体"/>
          <w:b/>
          <w:bCs/>
          <w:spacing w:val="140"/>
          <w:sz w:val="44"/>
          <w:szCs w:val="44"/>
        </w:rPr>
      </w:pPr>
      <w:r>
        <w:rPr>
          <w:rFonts w:hint="eastAsia" w:ascii="宋体" w:hAnsi="宋体" w:eastAsia="宋体" w:cs="宋体"/>
          <w:b/>
          <w:bCs/>
          <w:spacing w:val="140"/>
          <w:sz w:val="44"/>
          <w:szCs w:val="44"/>
          <w:lang w:val="en-US" w:eastAsia="zh-CN"/>
        </w:rPr>
        <w:t>采购</w:t>
      </w:r>
      <w:r>
        <w:rPr>
          <w:rFonts w:hint="eastAsia" w:ascii="宋体" w:hAnsi="宋体" w:eastAsia="宋体" w:cs="宋体"/>
          <w:b/>
          <w:bCs/>
          <w:spacing w:val="140"/>
          <w:sz w:val="44"/>
          <w:szCs w:val="44"/>
        </w:rPr>
        <w:t>文件</w:t>
      </w:r>
    </w:p>
    <w:p w14:paraId="2A195EDC">
      <w:pPr>
        <w:spacing w:line="600" w:lineRule="exact"/>
        <w:ind w:firstLine="2247"/>
        <w:jc w:val="center"/>
        <w:rPr>
          <w:rFonts w:hint="eastAsia" w:ascii="宋体" w:hAnsi="宋体" w:eastAsia="宋体" w:cs="宋体"/>
          <w:b/>
          <w:bCs/>
          <w:spacing w:val="140"/>
          <w:sz w:val="84"/>
          <w:szCs w:val="84"/>
        </w:rPr>
      </w:pPr>
    </w:p>
    <w:p w14:paraId="25CE3720">
      <w:pPr>
        <w:spacing w:line="400" w:lineRule="exact"/>
        <w:ind w:firstLine="643"/>
        <w:jc w:val="center"/>
        <w:rPr>
          <w:rFonts w:hint="eastAsia" w:ascii="宋体" w:hAnsi="宋体" w:eastAsia="宋体" w:cs="宋体"/>
          <w:b/>
          <w:bCs/>
          <w:sz w:val="32"/>
          <w:szCs w:val="32"/>
        </w:rPr>
      </w:pPr>
    </w:p>
    <w:p w14:paraId="74DB019C">
      <w:pPr>
        <w:ind w:firstLine="760"/>
        <w:jc w:val="center"/>
        <w:rPr>
          <w:rFonts w:hint="eastAsia" w:ascii="宋体" w:hAnsi="宋体" w:eastAsia="宋体" w:cs="宋体"/>
          <w:spacing w:val="40"/>
          <w:sz w:val="30"/>
          <w:szCs w:val="30"/>
        </w:rPr>
      </w:pPr>
    </w:p>
    <w:p w14:paraId="77D0DD23">
      <w:pPr>
        <w:ind w:firstLine="760"/>
        <w:jc w:val="center"/>
        <w:rPr>
          <w:rFonts w:hint="eastAsia" w:ascii="宋体" w:hAnsi="宋体" w:eastAsia="宋体" w:cs="宋体"/>
          <w:spacing w:val="40"/>
          <w:sz w:val="30"/>
          <w:szCs w:val="30"/>
        </w:rPr>
      </w:pPr>
    </w:p>
    <w:p w14:paraId="1E25D743">
      <w:pPr>
        <w:spacing w:line="600" w:lineRule="exact"/>
        <w:ind w:firstLine="1444" w:firstLineChars="400"/>
        <w:rPr>
          <w:rFonts w:hint="eastAsia" w:ascii="宋体" w:hAnsi="宋体" w:eastAsia="宋体" w:cs="宋体"/>
          <w:b/>
          <w:spacing w:val="-20"/>
          <w:sz w:val="28"/>
          <w:szCs w:val="28"/>
          <w:lang w:eastAsia="zh-CN"/>
        </w:rPr>
      </w:pPr>
      <w:r>
        <w:rPr>
          <w:rFonts w:hint="eastAsia" w:ascii="宋体" w:hAnsi="宋体" w:eastAsia="宋体" w:cs="宋体"/>
          <w:b/>
          <w:spacing w:val="40"/>
          <w:sz w:val="28"/>
          <w:szCs w:val="28"/>
        </w:rPr>
        <w:t>采购编号</w:t>
      </w:r>
      <w:r>
        <w:rPr>
          <w:rFonts w:hint="eastAsia" w:ascii="宋体" w:hAnsi="宋体" w:eastAsia="宋体" w:cs="宋体"/>
          <w:b/>
          <w:spacing w:val="-20"/>
          <w:sz w:val="28"/>
          <w:szCs w:val="28"/>
        </w:rPr>
        <w:t>：</w:t>
      </w:r>
      <w:r>
        <w:rPr>
          <w:rFonts w:hint="eastAsia" w:ascii="宋体" w:hAnsi="宋体" w:eastAsia="宋体" w:cs="宋体"/>
          <w:b/>
          <w:spacing w:val="-20"/>
          <w:sz w:val="28"/>
          <w:szCs w:val="28"/>
          <w:lang w:eastAsia="zh-CN"/>
        </w:rPr>
        <w:t>WZD</w:t>
      </w:r>
      <w:bookmarkStart w:id="260" w:name="_GoBack"/>
      <w:bookmarkEnd w:id="260"/>
      <w:r>
        <w:rPr>
          <w:rFonts w:hint="eastAsia" w:ascii="宋体" w:hAnsi="宋体" w:eastAsia="宋体" w:cs="宋体"/>
          <w:b/>
          <w:spacing w:val="-20"/>
          <w:sz w:val="28"/>
          <w:szCs w:val="28"/>
          <w:lang w:eastAsia="zh-CN"/>
        </w:rPr>
        <w:t>H-H20250926CWZ</w:t>
      </w:r>
    </w:p>
    <w:p w14:paraId="4F7B2EDE">
      <w:pPr>
        <w:tabs>
          <w:tab w:val="left" w:pos="4860"/>
        </w:tabs>
        <w:spacing w:line="600" w:lineRule="exact"/>
        <w:ind w:right="1143" w:firstLine="1444" w:firstLineChars="400"/>
        <w:jc w:val="left"/>
        <w:rPr>
          <w:rFonts w:hint="eastAsia" w:ascii="宋体" w:hAnsi="宋体" w:eastAsia="宋体" w:cs="宋体"/>
          <w:b/>
          <w:spacing w:val="40"/>
          <w:sz w:val="28"/>
          <w:szCs w:val="28"/>
          <w:highlight w:val="none"/>
          <w:lang w:eastAsia="zh-CN"/>
        </w:rPr>
      </w:pPr>
      <w:r>
        <w:rPr>
          <w:rFonts w:hint="eastAsia" w:ascii="宋体" w:hAnsi="宋体" w:eastAsia="宋体" w:cs="宋体"/>
          <w:b/>
          <w:spacing w:val="40"/>
          <w:sz w:val="28"/>
          <w:szCs w:val="28"/>
        </w:rPr>
        <w:t>采购名称</w:t>
      </w:r>
      <w:r>
        <w:rPr>
          <w:rFonts w:hint="eastAsia" w:ascii="宋体" w:hAnsi="宋体" w:eastAsia="宋体" w:cs="宋体"/>
          <w:b/>
          <w:sz w:val="28"/>
          <w:szCs w:val="28"/>
          <w:highlight w:val="none"/>
        </w:rPr>
        <w:t>：</w:t>
      </w:r>
      <w:bookmarkStart w:id="0" w:name="OLE_LINK2"/>
      <w:r>
        <w:rPr>
          <w:rFonts w:hint="eastAsia" w:ascii="宋体" w:hAnsi="宋体" w:eastAsia="宋体" w:cs="宋体"/>
          <w:b/>
          <w:spacing w:val="-20"/>
          <w:sz w:val="28"/>
          <w:szCs w:val="28"/>
          <w:highlight w:val="none"/>
          <w:lang w:eastAsia="zh-CN"/>
        </w:rPr>
        <w:t>机电学部实训装备项目</w:t>
      </w:r>
    </w:p>
    <w:bookmarkEnd w:id="0"/>
    <w:p w14:paraId="3666CBB1">
      <w:pPr>
        <w:tabs>
          <w:tab w:val="left" w:pos="4860"/>
        </w:tabs>
        <w:spacing w:line="600" w:lineRule="exact"/>
        <w:ind w:right="1143" w:firstLine="1444" w:firstLineChars="400"/>
        <w:jc w:val="left"/>
        <w:rPr>
          <w:rFonts w:hint="eastAsia" w:ascii="宋体" w:hAnsi="宋体" w:eastAsia="宋体" w:cs="宋体"/>
          <w:b/>
          <w:spacing w:val="40"/>
          <w:sz w:val="28"/>
          <w:szCs w:val="28"/>
          <w:lang w:eastAsia="zh-CN"/>
        </w:rPr>
      </w:pPr>
      <w:r>
        <w:rPr>
          <w:rFonts w:hint="eastAsia" w:ascii="宋体" w:hAnsi="宋体" w:eastAsia="宋体" w:cs="宋体"/>
          <w:b/>
          <w:spacing w:val="40"/>
          <w:sz w:val="28"/>
          <w:szCs w:val="28"/>
        </w:rPr>
        <w:t>采购方式</w:t>
      </w:r>
      <w:r>
        <w:rPr>
          <w:rFonts w:hint="eastAsia" w:ascii="宋体" w:hAnsi="宋体" w:eastAsia="宋体" w:cs="宋体"/>
          <w:b/>
          <w:sz w:val="28"/>
          <w:szCs w:val="28"/>
        </w:rPr>
        <w:t>：</w:t>
      </w:r>
      <w:r>
        <w:rPr>
          <w:rFonts w:hint="eastAsia" w:ascii="宋体" w:hAnsi="宋体" w:eastAsia="宋体" w:cs="宋体"/>
          <w:b/>
          <w:spacing w:val="-20"/>
          <w:sz w:val="28"/>
          <w:szCs w:val="28"/>
          <w:lang w:val="en-US" w:eastAsia="zh-CN"/>
        </w:rPr>
        <w:t>公开招标</w:t>
      </w:r>
    </w:p>
    <w:p w14:paraId="744B9F4B">
      <w:pPr>
        <w:spacing w:line="600" w:lineRule="exact"/>
        <w:ind w:firstLine="1405" w:firstLineChars="500"/>
        <w:rPr>
          <w:rFonts w:hint="eastAsia" w:ascii="宋体" w:hAnsi="宋体" w:eastAsia="宋体" w:cs="宋体"/>
          <w:b/>
          <w:spacing w:val="-20"/>
          <w:sz w:val="28"/>
          <w:szCs w:val="28"/>
          <w:lang w:eastAsia="zh-CN"/>
        </w:rPr>
      </w:pPr>
      <w:r>
        <w:rPr>
          <w:rFonts w:hint="eastAsia" w:ascii="宋体" w:hAnsi="宋体" w:eastAsia="宋体" w:cs="宋体"/>
          <w:b/>
          <w:sz w:val="28"/>
          <w:szCs w:val="28"/>
        </w:rPr>
        <w:t>采  购  人:</w:t>
      </w:r>
      <w:r>
        <w:rPr>
          <w:rFonts w:hint="eastAsia" w:ascii="宋体" w:hAnsi="宋体" w:eastAsia="宋体" w:cs="宋体"/>
          <w:b/>
          <w:spacing w:val="-20"/>
          <w:sz w:val="28"/>
          <w:szCs w:val="28"/>
        </w:rPr>
        <w:t xml:space="preserve"> </w:t>
      </w:r>
      <w:r>
        <w:rPr>
          <w:rFonts w:hint="eastAsia" w:ascii="宋体" w:hAnsi="宋体" w:eastAsia="宋体" w:cs="宋体"/>
          <w:b/>
          <w:spacing w:val="-20"/>
          <w:sz w:val="28"/>
          <w:szCs w:val="28"/>
          <w:lang w:eastAsia="zh-CN"/>
        </w:rPr>
        <w:t>温州市职业中等专业学校</w:t>
      </w:r>
    </w:p>
    <w:p w14:paraId="111A2388">
      <w:pPr>
        <w:spacing w:line="600" w:lineRule="exact"/>
        <w:ind w:firstLine="1444" w:firstLineChars="400"/>
        <w:rPr>
          <w:rFonts w:hint="eastAsia" w:ascii="宋体" w:hAnsi="宋体" w:eastAsia="宋体" w:cs="宋体"/>
          <w:b/>
          <w:spacing w:val="-20"/>
          <w:sz w:val="28"/>
          <w:szCs w:val="28"/>
          <w:lang w:eastAsia="zh-CN"/>
        </w:rPr>
      </w:pPr>
      <w:r>
        <w:rPr>
          <w:rFonts w:hint="eastAsia" w:ascii="宋体" w:hAnsi="宋体" w:eastAsia="宋体" w:cs="宋体"/>
          <w:b/>
          <w:spacing w:val="40"/>
          <w:sz w:val="28"/>
          <w:szCs w:val="28"/>
        </w:rPr>
        <w:t>招标代理</w:t>
      </w:r>
      <w:r>
        <w:rPr>
          <w:rFonts w:hint="eastAsia" w:ascii="宋体" w:hAnsi="宋体" w:eastAsia="宋体" w:cs="宋体"/>
          <w:b/>
          <w:spacing w:val="-20"/>
          <w:sz w:val="28"/>
          <w:szCs w:val="28"/>
        </w:rPr>
        <w:t>：</w:t>
      </w:r>
      <w:r>
        <w:rPr>
          <w:rFonts w:hint="eastAsia" w:ascii="宋体" w:hAnsi="宋体" w:eastAsia="宋体" w:cs="宋体"/>
          <w:b/>
          <w:spacing w:val="-20"/>
          <w:sz w:val="28"/>
          <w:szCs w:val="28"/>
          <w:lang w:eastAsia="zh-CN"/>
        </w:rPr>
        <w:t>温州得恒项目管理咨询有限公司</w:t>
      </w:r>
    </w:p>
    <w:p w14:paraId="3D20A8FB">
      <w:pPr>
        <w:spacing w:line="600" w:lineRule="exact"/>
        <w:ind w:firstLine="522"/>
        <w:jc w:val="center"/>
        <w:rPr>
          <w:rFonts w:hint="eastAsia" w:ascii="宋体" w:hAnsi="宋体" w:eastAsia="宋体" w:cs="宋体"/>
          <w:b/>
          <w:spacing w:val="-20"/>
          <w:sz w:val="30"/>
          <w:szCs w:val="30"/>
        </w:rPr>
      </w:pPr>
    </w:p>
    <w:p w14:paraId="10FB097A">
      <w:pPr>
        <w:spacing w:line="600" w:lineRule="exact"/>
        <w:ind w:firstLine="883"/>
        <w:jc w:val="center"/>
        <w:rPr>
          <w:rFonts w:hint="eastAsia" w:ascii="宋体" w:hAnsi="宋体" w:eastAsia="宋体" w:cs="宋体"/>
          <w:b/>
          <w:spacing w:val="4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851" w:footer="992" w:gutter="0"/>
          <w:pgNumType w:start="1"/>
          <w:cols w:space="720" w:num="1"/>
          <w:titlePg/>
          <w:docGrid w:linePitch="312" w:charSpace="0"/>
        </w:sectPr>
      </w:pPr>
      <w:r>
        <w:rPr>
          <w:rFonts w:hint="eastAsia" w:ascii="宋体" w:hAnsi="宋体" w:eastAsia="宋体" w:cs="宋体"/>
          <w:b/>
          <w:spacing w:val="40"/>
          <w:sz w:val="36"/>
          <w:szCs w:val="36"/>
        </w:rPr>
        <w:t>二零二</w:t>
      </w:r>
      <w:r>
        <w:rPr>
          <w:rFonts w:hint="eastAsia" w:ascii="宋体" w:hAnsi="宋体" w:eastAsia="宋体" w:cs="宋体"/>
          <w:b/>
          <w:spacing w:val="40"/>
          <w:sz w:val="36"/>
          <w:szCs w:val="36"/>
          <w:lang w:val="en-US" w:eastAsia="zh-CN"/>
        </w:rPr>
        <w:t>五</w:t>
      </w:r>
      <w:r>
        <w:rPr>
          <w:rFonts w:hint="eastAsia" w:ascii="宋体" w:hAnsi="宋体" w:eastAsia="宋体" w:cs="宋体"/>
          <w:b/>
          <w:spacing w:val="40"/>
          <w:sz w:val="36"/>
          <w:szCs w:val="36"/>
        </w:rPr>
        <w:t>年</w:t>
      </w:r>
      <w:r>
        <w:rPr>
          <w:rFonts w:hint="eastAsia" w:ascii="宋体" w:hAnsi="宋体" w:eastAsia="宋体" w:cs="宋体"/>
          <w:b/>
          <w:spacing w:val="40"/>
          <w:sz w:val="36"/>
          <w:szCs w:val="36"/>
          <w:lang w:val="en-US" w:eastAsia="zh-CN"/>
        </w:rPr>
        <w:t>九</w:t>
      </w:r>
      <w:r>
        <w:rPr>
          <w:rFonts w:hint="eastAsia" w:ascii="宋体" w:hAnsi="宋体" w:eastAsia="宋体" w:cs="宋体"/>
          <w:b/>
          <w:spacing w:val="40"/>
          <w:sz w:val="36"/>
          <w:szCs w:val="36"/>
        </w:rPr>
        <w:t>月</w:t>
      </w:r>
    </w:p>
    <w:p w14:paraId="39FB7EBF">
      <w:pPr>
        <w:ind w:firstLine="723"/>
        <w:jc w:val="center"/>
        <w:rPr>
          <w:rFonts w:hint="eastAsia" w:ascii="宋体" w:hAnsi="宋体" w:eastAsia="宋体" w:cs="宋体"/>
          <w:b/>
          <w:bCs/>
          <w:sz w:val="36"/>
          <w:szCs w:val="36"/>
        </w:rPr>
      </w:pPr>
      <w:r>
        <w:rPr>
          <w:rFonts w:hint="eastAsia" w:ascii="宋体" w:hAnsi="宋体" w:eastAsia="宋体" w:cs="宋体"/>
          <w:b/>
          <w:bCs/>
          <w:sz w:val="36"/>
          <w:szCs w:val="36"/>
        </w:rPr>
        <w:t>目    录</w:t>
      </w:r>
    </w:p>
    <w:p w14:paraId="1AA0395E">
      <w:pPr>
        <w:ind w:firstLine="422"/>
        <w:jc w:val="center"/>
        <w:rPr>
          <w:rFonts w:hint="eastAsia" w:ascii="宋体" w:hAnsi="宋体" w:eastAsia="宋体" w:cs="宋体"/>
          <w:b/>
          <w:bCs/>
          <w:szCs w:val="21"/>
        </w:rPr>
      </w:pPr>
    </w:p>
    <w:p w14:paraId="401DF6FE">
      <w:pPr>
        <w:pStyle w:val="18"/>
        <w:tabs>
          <w:tab w:val="right" w:leader="dot" w:pos="9638"/>
        </w:tabs>
      </w:pPr>
      <w:r>
        <w:rPr>
          <w:rFonts w:hint="eastAsia" w:ascii="宋体" w:hAnsi="宋体" w:eastAsia="宋体" w:cs="宋体"/>
          <w:sz w:val="24"/>
        </w:rPr>
        <w:fldChar w:fldCharType="begin"/>
      </w:r>
      <w:r>
        <w:rPr>
          <w:rFonts w:hint="eastAsia" w:ascii="宋体" w:hAnsi="宋体" w:eastAsia="宋体" w:cs="宋体"/>
          <w:sz w:val="24"/>
        </w:rPr>
        <w:instrText xml:space="preserve">TOC \o "1-2" \h \u </w:instrText>
      </w:r>
      <w:r>
        <w:rPr>
          <w:rFonts w:hint="eastAsia" w:ascii="宋体" w:hAnsi="宋体" w:eastAsia="宋体" w:cs="宋体"/>
          <w:sz w:val="24"/>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_Toc6936 </w:instrText>
      </w:r>
      <w:r>
        <w:rPr>
          <w:rFonts w:hint="eastAsia" w:ascii="宋体" w:hAnsi="宋体" w:eastAsia="宋体" w:cs="宋体"/>
        </w:rPr>
        <w:fldChar w:fldCharType="separate"/>
      </w:r>
      <w:r>
        <w:rPr>
          <w:rFonts w:hint="eastAsia" w:ascii="宋体" w:hAnsi="宋体" w:eastAsia="宋体" w:cs="宋体"/>
          <w:lang w:eastAsia="zh-CN"/>
        </w:rPr>
        <w:t>温州得恒项目管理咨询有限公司</w:t>
      </w:r>
      <w:r>
        <w:rPr>
          <w:rFonts w:hint="eastAsia" w:ascii="宋体" w:hAnsi="宋体" w:eastAsia="宋体" w:cs="宋体"/>
        </w:rPr>
        <w:t>关于</w:t>
      </w:r>
      <w:r>
        <w:rPr>
          <w:rFonts w:hint="eastAsia" w:ascii="宋体" w:hAnsi="宋体" w:eastAsia="宋体" w:cs="宋体"/>
          <w:lang w:eastAsia="zh-CN"/>
        </w:rPr>
        <w:t>机电学部实训装备项目</w:t>
      </w:r>
      <w:r>
        <w:rPr>
          <w:rFonts w:hint="eastAsia" w:ascii="宋体" w:hAnsi="宋体" w:eastAsia="宋体" w:cs="宋体"/>
        </w:rPr>
        <w:t>的</w:t>
      </w:r>
      <w:r>
        <w:rPr>
          <w:rFonts w:hint="eastAsia" w:ascii="宋体" w:hAnsi="宋体" w:eastAsia="宋体" w:cs="宋体"/>
          <w:lang w:val="en-US" w:eastAsia="zh-CN"/>
        </w:rPr>
        <w:t>采购</w:t>
      </w:r>
      <w:r>
        <w:rPr>
          <w:rFonts w:hint="eastAsia" w:ascii="宋体" w:hAnsi="宋体" w:eastAsia="宋体" w:cs="宋体"/>
        </w:rPr>
        <w:t>公告</w:t>
      </w:r>
      <w:r>
        <w:tab/>
      </w:r>
      <w:r>
        <w:fldChar w:fldCharType="begin"/>
      </w:r>
      <w:r>
        <w:instrText xml:space="preserve"> PAGEREF _Toc6936 \h </w:instrText>
      </w:r>
      <w:r>
        <w:fldChar w:fldCharType="separate"/>
      </w:r>
      <w:r>
        <w:t>2</w:t>
      </w:r>
      <w:r>
        <w:fldChar w:fldCharType="end"/>
      </w:r>
      <w:r>
        <w:rPr>
          <w:rFonts w:hint="eastAsia" w:ascii="宋体" w:hAnsi="宋体" w:eastAsia="宋体" w:cs="宋体"/>
        </w:rPr>
        <w:fldChar w:fldCharType="end"/>
      </w:r>
    </w:p>
    <w:p w14:paraId="3F038C83">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_Toc28118 </w:instrText>
      </w:r>
      <w:r>
        <w:rPr>
          <w:rFonts w:hint="eastAsia" w:ascii="宋体" w:hAnsi="宋体" w:eastAsia="宋体" w:cs="宋体"/>
        </w:rPr>
        <w:fldChar w:fldCharType="separate"/>
      </w:r>
      <w:r>
        <w:rPr>
          <w:rFonts w:hint="eastAsia" w:ascii="宋体" w:hAnsi="宋体" w:eastAsia="宋体" w:cs="宋体"/>
        </w:rPr>
        <w:t>第一部分 供应商须知</w:t>
      </w:r>
      <w:r>
        <w:tab/>
      </w:r>
      <w:r>
        <w:fldChar w:fldCharType="begin"/>
      </w:r>
      <w:r>
        <w:instrText xml:space="preserve"> PAGEREF _Toc28118 \h </w:instrText>
      </w:r>
      <w:r>
        <w:fldChar w:fldCharType="separate"/>
      </w:r>
      <w:r>
        <w:t>6</w:t>
      </w:r>
      <w:r>
        <w:fldChar w:fldCharType="end"/>
      </w:r>
      <w:r>
        <w:rPr>
          <w:rFonts w:hint="eastAsia" w:ascii="宋体" w:hAnsi="宋体" w:eastAsia="宋体" w:cs="宋体"/>
        </w:rPr>
        <w:fldChar w:fldCharType="end"/>
      </w:r>
    </w:p>
    <w:p w14:paraId="3840528E">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_Toc6336 </w:instrText>
      </w:r>
      <w:r>
        <w:rPr>
          <w:rFonts w:hint="eastAsia" w:ascii="宋体" w:hAnsi="宋体" w:eastAsia="宋体" w:cs="宋体"/>
        </w:rPr>
        <w:fldChar w:fldCharType="separate"/>
      </w:r>
      <w:r>
        <w:rPr>
          <w:rFonts w:hint="eastAsia" w:ascii="宋体" w:hAnsi="宋体" w:eastAsia="宋体" w:cs="宋体"/>
        </w:rPr>
        <w:t>第二部分  合同主要条款（标项1、标项2、标项3</w:t>
      </w:r>
      <w:r>
        <w:rPr>
          <w:rFonts w:hint="eastAsia" w:ascii="宋体" w:hAnsi="宋体" w:eastAsia="宋体" w:cs="宋体"/>
          <w:lang w:eastAsia="zh-CN"/>
        </w:rPr>
        <w:t>、</w:t>
      </w:r>
      <w:r>
        <w:rPr>
          <w:rFonts w:hint="eastAsia" w:ascii="宋体" w:hAnsi="宋体" w:eastAsia="宋体" w:cs="宋体"/>
          <w:lang w:val="en-US" w:eastAsia="zh-CN"/>
        </w:rPr>
        <w:t>标项4</w:t>
      </w:r>
      <w:r>
        <w:rPr>
          <w:rFonts w:hint="eastAsia" w:ascii="宋体" w:hAnsi="宋体" w:eastAsia="宋体" w:cs="宋体"/>
        </w:rPr>
        <w:t>通用）</w:t>
      </w:r>
      <w:r>
        <w:tab/>
      </w:r>
      <w:r>
        <w:fldChar w:fldCharType="begin"/>
      </w:r>
      <w:r>
        <w:instrText xml:space="preserve"> PAGEREF _Toc6336 \h </w:instrText>
      </w:r>
      <w:r>
        <w:fldChar w:fldCharType="separate"/>
      </w:r>
      <w:r>
        <w:t>24</w:t>
      </w:r>
      <w:r>
        <w:fldChar w:fldCharType="end"/>
      </w:r>
      <w:r>
        <w:rPr>
          <w:rFonts w:hint="eastAsia" w:ascii="宋体" w:hAnsi="宋体" w:eastAsia="宋体" w:cs="宋体"/>
        </w:rPr>
        <w:fldChar w:fldCharType="end"/>
      </w:r>
    </w:p>
    <w:p w14:paraId="5F4E6944">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_Toc19986 </w:instrText>
      </w:r>
      <w:r>
        <w:rPr>
          <w:rFonts w:hint="eastAsia" w:ascii="宋体" w:hAnsi="宋体" w:eastAsia="宋体" w:cs="宋体"/>
        </w:rPr>
        <w:fldChar w:fldCharType="separate"/>
      </w:r>
      <w:r>
        <w:rPr>
          <w:rFonts w:hint="eastAsia" w:ascii="宋体" w:hAnsi="宋体" w:eastAsia="宋体" w:cs="宋体"/>
          <w:szCs w:val="21"/>
          <w:highlight w:val="none"/>
        </w:rPr>
        <w:t>第一部分 合同书</w:t>
      </w:r>
      <w:r>
        <w:tab/>
      </w:r>
      <w:r>
        <w:fldChar w:fldCharType="begin"/>
      </w:r>
      <w:r>
        <w:instrText xml:space="preserve"> PAGEREF _Toc19986 \h </w:instrText>
      </w:r>
      <w:r>
        <w:fldChar w:fldCharType="separate"/>
      </w:r>
      <w:r>
        <w:t>24</w:t>
      </w:r>
      <w:r>
        <w:fldChar w:fldCharType="end"/>
      </w:r>
      <w:r>
        <w:rPr>
          <w:rFonts w:hint="eastAsia" w:ascii="宋体" w:hAnsi="宋体" w:eastAsia="宋体" w:cs="宋体"/>
        </w:rPr>
        <w:fldChar w:fldCharType="end"/>
      </w:r>
    </w:p>
    <w:p w14:paraId="5BD75BBB">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_Toc9311 </w:instrText>
      </w:r>
      <w:r>
        <w:rPr>
          <w:rFonts w:hint="eastAsia" w:ascii="宋体" w:hAnsi="宋体" w:eastAsia="宋体" w:cs="宋体"/>
        </w:rPr>
        <w:fldChar w:fldCharType="separate"/>
      </w:r>
      <w:r>
        <w:rPr>
          <w:rFonts w:hint="eastAsia" w:ascii="宋体" w:hAnsi="宋体" w:eastAsia="宋体" w:cs="宋体"/>
          <w:szCs w:val="21"/>
          <w:highlight w:val="none"/>
        </w:rPr>
        <w:t>第二部分 合同一般条款</w:t>
      </w:r>
      <w:r>
        <w:tab/>
      </w:r>
      <w:r>
        <w:fldChar w:fldCharType="begin"/>
      </w:r>
      <w:r>
        <w:instrText xml:space="preserve"> PAGEREF _Toc9311 \h </w:instrText>
      </w:r>
      <w:r>
        <w:fldChar w:fldCharType="separate"/>
      </w:r>
      <w:r>
        <w:t>28</w:t>
      </w:r>
      <w:r>
        <w:fldChar w:fldCharType="end"/>
      </w:r>
      <w:r>
        <w:rPr>
          <w:rFonts w:hint="eastAsia" w:ascii="宋体" w:hAnsi="宋体" w:eastAsia="宋体" w:cs="宋体"/>
        </w:rPr>
        <w:fldChar w:fldCharType="end"/>
      </w:r>
    </w:p>
    <w:p w14:paraId="1F7A5F39">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_Toc1189 </w:instrText>
      </w:r>
      <w:r>
        <w:rPr>
          <w:rFonts w:hint="eastAsia" w:ascii="宋体" w:hAnsi="宋体" w:eastAsia="宋体" w:cs="宋体"/>
        </w:rPr>
        <w:fldChar w:fldCharType="separate"/>
      </w:r>
      <w:r>
        <w:rPr>
          <w:rFonts w:hint="eastAsia" w:ascii="宋体" w:hAnsi="宋体" w:eastAsia="宋体" w:cs="宋体"/>
          <w:szCs w:val="21"/>
          <w:highlight w:val="none"/>
        </w:rPr>
        <w:t>第三部分  合同专用条款</w:t>
      </w:r>
      <w:r>
        <w:tab/>
      </w:r>
      <w:r>
        <w:fldChar w:fldCharType="begin"/>
      </w:r>
      <w:r>
        <w:instrText xml:space="preserve"> PAGEREF _Toc1189 \h </w:instrText>
      </w:r>
      <w:r>
        <w:fldChar w:fldCharType="separate"/>
      </w:r>
      <w:r>
        <w:t>31</w:t>
      </w:r>
      <w:r>
        <w:fldChar w:fldCharType="end"/>
      </w:r>
      <w:r>
        <w:rPr>
          <w:rFonts w:hint="eastAsia" w:ascii="宋体" w:hAnsi="宋体" w:eastAsia="宋体" w:cs="宋体"/>
        </w:rPr>
        <w:fldChar w:fldCharType="end"/>
      </w:r>
    </w:p>
    <w:p w14:paraId="66F1ECC0">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_Toc12583 </w:instrText>
      </w:r>
      <w:r>
        <w:rPr>
          <w:rFonts w:hint="eastAsia" w:ascii="宋体" w:hAnsi="宋体" w:eastAsia="宋体" w:cs="宋体"/>
        </w:rPr>
        <w:fldChar w:fldCharType="separate"/>
      </w:r>
      <w:r>
        <w:rPr>
          <w:rFonts w:hint="eastAsia" w:ascii="宋体" w:hAnsi="宋体" w:eastAsia="宋体" w:cs="宋体"/>
        </w:rPr>
        <w:t>第三部分    附件（标项1、标项2、标项3</w:t>
      </w:r>
      <w:r>
        <w:rPr>
          <w:rFonts w:hint="eastAsia" w:ascii="宋体" w:hAnsi="宋体" w:eastAsia="宋体" w:cs="宋体"/>
          <w:lang w:eastAsia="zh-CN"/>
        </w:rPr>
        <w:t>、</w:t>
      </w:r>
      <w:r>
        <w:rPr>
          <w:rFonts w:hint="eastAsia" w:ascii="宋体" w:hAnsi="宋体" w:eastAsia="宋体" w:cs="宋体"/>
          <w:lang w:val="en-US" w:eastAsia="zh-CN"/>
        </w:rPr>
        <w:t>标项4</w:t>
      </w:r>
      <w:r>
        <w:rPr>
          <w:rFonts w:hint="eastAsia" w:ascii="宋体" w:hAnsi="宋体" w:eastAsia="宋体" w:cs="宋体"/>
        </w:rPr>
        <w:t>通用）</w:t>
      </w:r>
      <w:r>
        <w:tab/>
      </w:r>
      <w:r>
        <w:fldChar w:fldCharType="begin"/>
      </w:r>
      <w:r>
        <w:instrText xml:space="preserve"> PAGEREF _Toc12583 \h </w:instrText>
      </w:r>
      <w:r>
        <w:fldChar w:fldCharType="separate"/>
      </w:r>
      <w:r>
        <w:t>33</w:t>
      </w:r>
      <w:r>
        <w:fldChar w:fldCharType="end"/>
      </w:r>
      <w:r>
        <w:rPr>
          <w:rFonts w:hint="eastAsia" w:ascii="宋体" w:hAnsi="宋体" w:eastAsia="宋体" w:cs="宋体"/>
        </w:rPr>
        <w:fldChar w:fldCharType="end"/>
      </w:r>
    </w:p>
    <w:p w14:paraId="748C52D0">
      <w:pPr>
        <w:pStyle w:val="21"/>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_Toc23754 </w:instrText>
      </w:r>
      <w:r>
        <w:rPr>
          <w:rFonts w:hint="eastAsia" w:ascii="宋体" w:hAnsi="宋体" w:eastAsia="宋体" w:cs="宋体"/>
        </w:rPr>
        <w:fldChar w:fldCharType="separate"/>
      </w:r>
      <w:r>
        <w:rPr>
          <w:rFonts w:hint="eastAsia"/>
        </w:rPr>
        <w:t xml:space="preserve">一、 </w:t>
      </w:r>
      <w:r>
        <w:rPr>
          <w:rFonts w:hint="eastAsia"/>
          <w:lang w:eastAsia="zh-CN"/>
        </w:rPr>
        <w:t>资格文件</w:t>
      </w:r>
      <w:r>
        <w:tab/>
      </w:r>
      <w:r>
        <w:fldChar w:fldCharType="begin"/>
      </w:r>
      <w:r>
        <w:instrText xml:space="preserve"> PAGEREF _Toc23754 \h </w:instrText>
      </w:r>
      <w:r>
        <w:fldChar w:fldCharType="separate"/>
      </w:r>
      <w:r>
        <w:t>33</w:t>
      </w:r>
      <w:r>
        <w:fldChar w:fldCharType="end"/>
      </w:r>
      <w:r>
        <w:rPr>
          <w:rFonts w:hint="eastAsia" w:ascii="宋体" w:hAnsi="宋体" w:eastAsia="宋体" w:cs="宋体"/>
        </w:rPr>
        <w:fldChar w:fldCharType="end"/>
      </w:r>
    </w:p>
    <w:p w14:paraId="5C8DECE7">
      <w:pPr>
        <w:pStyle w:val="21"/>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_Toc32134 </w:instrText>
      </w:r>
      <w:r>
        <w:rPr>
          <w:rFonts w:hint="eastAsia" w:ascii="宋体" w:hAnsi="宋体" w:eastAsia="宋体" w:cs="宋体"/>
        </w:rPr>
        <w:fldChar w:fldCharType="separate"/>
      </w:r>
      <w:r>
        <w:rPr>
          <w:rFonts w:hint="eastAsia"/>
        </w:rPr>
        <w:t xml:space="preserve">二、 </w:t>
      </w:r>
      <w:r>
        <w:rPr>
          <w:rFonts w:hint="eastAsia"/>
          <w:lang w:eastAsia="zh-CN"/>
        </w:rPr>
        <w:t>商务技术文件</w:t>
      </w:r>
      <w:r>
        <w:tab/>
      </w:r>
      <w:r>
        <w:fldChar w:fldCharType="begin"/>
      </w:r>
      <w:r>
        <w:instrText xml:space="preserve"> PAGEREF _Toc32134 \h </w:instrText>
      </w:r>
      <w:r>
        <w:fldChar w:fldCharType="separate"/>
      </w:r>
      <w:r>
        <w:t>40</w:t>
      </w:r>
      <w:r>
        <w:fldChar w:fldCharType="end"/>
      </w:r>
      <w:r>
        <w:rPr>
          <w:rFonts w:hint="eastAsia" w:ascii="宋体" w:hAnsi="宋体" w:eastAsia="宋体" w:cs="宋体"/>
        </w:rPr>
        <w:fldChar w:fldCharType="end"/>
      </w:r>
    </w:p>
    <w:p w14:paraId="1D2939A1">
      <w:pPr>
        <w:pStyle w:val="21"/>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_Toc4246 </w:instrText>
      </w:r>
      <w:r>
        <w:rPr>
          <w:rFonts w:hint="eastAsia" w:ascii="宋体" w:hAnsi="宋体" w:eastAsia="宋体" w:cs="宋体"/>
        </w:rPr>
        <w:fldChar w:fldCharType="separate"/>
      </w:r>
      <w:r>
        <w:rPr>
          <w:rFonts w:hint="eastAsia"/>
        </w:rPr>
        <w:t xml:space="preserve">三、 </w:t>
      </w:r>
      <w:r>
        <w:rPr>
          <w:rFonts w:hint="eastAsia"/>
          <w:lang w:eastAsia="zh-CN"/>
        </w:rPr>
        <w:t>报价文件</w:t>
      </w:r>
      <w:r>
        <w:tab/>
      </w:r>
      <w:r>
        <w:fldChar w:fldCharType="begin"/>
      </w:r>
      <w:r>
        <w:instrText xml:space="preserve"> PAGEREF _Toc4246 \h </w:instrText>
      </w:r>
      <w:r>
        <w:fldChar w:fldCharType="separate"/>
      </w:r>
      <w:r>
        <w:t>52</w:t>
      </w:r>
      <w:r>
        <w:fldChar w:fldCharType="end"/>
      </w:r>
      <w:r>
        <w:rPr>
          <w:rFonts w:hint="eastAsia" w:ascii="宋体" w:hAnsi="宋体" w:eastAsia="宋体" w:cs="宋体"/>
        </w:rPr>
        <w:fldChar w:fldCharType="end"/>
      </w:r>
    </w:p>
    <w:p w14:paraId="6A4455B0">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_Toc27009 </w:instrText>
      </w:r>
      <w:r>
        <w:rPr>
          <w:rFonts w:hint="eastAsia" w:ascii="宋体" w:hAnsi="宋体" w:eastAsia="宋体" w:cs="宋体"/>
        </w:rPr>
        <w:fldChar w:fldCharType="separate"/>
      </w:r>
      <w:r>
        <w:rPr>
          <w:rFonts w:hint="eastAsia" w:ascii="宋体" w:hAnsi="宋体" w:eastAsia="宋体" w:cs="宋体"/>
          <w:highlight w:val="none"/>
        </w:rPr>
        <w:t>第四部分   采购内容及要求</w:t>
      </w:r>
      <w:r>
        <w:tab/>
      </w:r>
      <w:r>
        <w:fldChar w:fldCharType="begin"/>
      </w:r>
      <w:r>
        <w:instrText xml:space="preserve"> PAGEREF _Toc27009 \h </w:instrText>
      </w:r>
      <w:r>
        <w:fldChar w:fldCharType="separate"/>
      </w:r>
      <w:r>
        <w:t>58</w:t>
      </w:r>
      <w:r>
        <w:fldChar w:fldCharType="end"/>
      </w:r>
      <w:r>
        <w:rPr>
          <w:rFonts w:hint="eastAsia" w:ascii="宋体" w:hAnsi="宋体" w:eastAsia="宋体" w:cs="宋体"/>
        </w:rPr>
        <w:fldChar w:fldCharType="end"/>
      </w:r>
    </w:p>
    <w:p w14:paraId="6AC3772B">
      <w:pPr>
        <w:pStyle w:val="18"/>
        <w:tabs>
          <w:tab w:val="right" w:leader="dot" w:pos="9638"/>
        </w:tabs>
      </w:pPr>
      <w:r>
        <w:rPr>
          <w:rFonts w:hint="eastAsia" w:ascii="宋体" w:hAnsi="宋体" w:eastAsia="宋体" w:cs="宋体"/>
        </w:rPr>
        <w:fldChar w:fldCharType="begin"/>
      </w:r>
      <w:r>
        <w:rPr>
          <w:rFonts w:hint="eastAsia" w:ascii="宋体" w:hAnsi="宋体" w:eastAsia="宋体" w:cs="宋体"/>
        </w:rPr>
        <w:instrText xml:space="preserve"> HYPERLINK \l _Toc16660 </w:instrText>
      </w:r>
      <w:r>
        <w:rPr>
          <w:rFonts w:hint="eastAsia" w:ascii="宋体" w:hAnsi="宋体" w:eastAsia="宋体" w:cs="宋体"/>
        </w:rPr>
        <w:fldChar w:fldCharType="separate"/>
      </w:r>
      <w:r>
        <w:rPr>
          <w:rFonts w:hint="eastAsia" w:ascii="宋体" w:hAnsi="宋体" w:eastAsia="宋体" w:cs="宋体"/>
        </w:rPr>
        <w:t xml:space="preserve">第五部分 </w:t>
      </w:r>
      <w:r>
        <w:rPr>
          <w:rFonts w:hint="eastAsia" w:ascii="宋体" w:hAnsi="宋体" w:eastAsia="宋体" w:cs="宋体"/>
          <w:lang w:val="en-US" w:eastAsia="zh-CN"/>
        </w:rPr>
        <w:t>评标</w:t>
      </w:r>
      <w:r>
        <w:rPr>
          <w:rFonts w:hint="eastAsia" w:ascii="宋体" w:hAnsi="宋体" w:eastAsia="宋体" w:cs="宋体"/>
        </w:rPr>
        <w:t>原则及方法</w:t>
      </w:r>
      <w:r>
        <w:tab/>
      </w:r>
      <w:r>
        <w:fldChar w:fldCharType="begin"/>
      </w:r>
      <w:r>
        <w:instrText xml:space="preserve"> PAGEREF _Toc16660 \h </w:instrText>
      </w:r>
      <w:r>
        <w:fldChar w:fldCharType="separate"/>
      </w:r>
      <w:r>
        <w:t>120</w:t>
      </w:r>
      <w:r>
        <w:fldChar w:fldCharType="end"/>
      </w:r>
      <w:r>
        <w:rPr>
          <w:rFonts w:hint="eastAsia" w:ascii="宋体" w:hAnsi="宋体" w:eastAsia="宋体" w:cs="宋体"/>
        </w:rPr>
        <w:fldChar w:fldCharType="end"/>
      </w:r>
    </w:p>
    <w:p w14:paraId="704149F2">
      <w:pPr>
        <w:ind w:firstLine="840" w:firstLineChars="400"/>
        <w:rPr>
          <w:rFonts w:hint="eastAsia" w:ascii="宋体" w:hAnsi="宋体" w:eastAsia="宋体" w:cs="宋体"/>
          <w:bCs/>
        </w:rPr>
      </w:pPr>
      <w:r>
        <w:rPr>
          <w:rFonts w:hint="eastAsia" w:ascii="宋体" w:hAnsi="宋体" w:eastAsia="宋体" w:cs="宋体"/>
        </w:rPr>
        <w:fldChar w:fldCharType="end"/>
      </w:r>
    </w:p>
    <w:p w14:paraId="7092CE93">
      <w:pPr>
        <w:ind w:firstLine="482"/>
        <w:rPr>
          <w:rFonts w:hint="eastAsia" w:ascii="宋体" w:hAnsi="宋体" w:eastAsia="宋体" w:cs="宋体"/>
          <w:b/>
          <w:bCs/>
          <w:sz w:val="24"/>
          <w:u w:val="single"/>
        </w:rPr>
      </w:pPr>
      <w:r>
        <w:rPr>
          <w:rFonts w:hint="eastAsia" w:ascii="宋体" w:hAnsi="宋体" w:eastAsia="宋体" w:cs="宋体"/>
          <w:b/>
          <w:bCs/>
          <w:sz w:val="24"/>
        </w:rPr>
        <w:t>注：1、</w:t>
      </w:r>
      <w:r>
        <w:rPr>
          <w:rFonts w:hint="eastAsia" w:ascii="宋体" w:hAnsi="宋体" w:eastAsia="宋体" w:cs="宋体"/>
          <w:b/>
          <w:bCs/>
          <w:sz w:val="24"/>
          <w:u w:val="single"/>
        </w:rPr>
        <w:t>本</w:t>
      </w:r>
      <w:r>
        <w:rPr>
          <w:rFonts w:hint="eastAsia" w:ascii="宋体" w:hAnsi="宋体" w:eastAsia="宋体" w:cs="宋体"/>
          <w:b/>
          <w:bCs/>
          <w:sz w:val="24"/>
          <w:u w:val="single"/>
          <w:lang w:eastAsia="zh-CN"/>
        </w:rPr>
        <w:t>采购文件</w:t>
      </w:r>
      <w:r>
        <w:rPr>
          <w:rFonts w:hint="eastAsia" w:ascii="宋体" w:hAnsi="宋体" w:eastAsia="宋体" w:cs="宋体"/>
          <w:b/>
          <w:bCs/>
          <w:sz w:val="24"/>
          <w:u w:val="single"/>
        </w:rPr>
        <w:t>中部分标“▲”且加下划线，为采购的实质性要求和条件，着重提醒各投标供应商必须响应。各投标供应商必须认真阅读和理解</w:t>
      </w:r>
      <w:r>
        <w:rPr>
          <w:rFonts w:hint="eastAsia" w:ascii="宋体" w:hAnsi="宋体" w:eastAsia="宋体" w:cs="宋体"/>
          <w:b/>
          <w:bCs/>
          <w:sz w:val="24"/>
          <w:u w:val="single"/>
          <w:lang w:eastAsia="zh-CN"/>
        </w:rPr>
        <w:t>采购文件</w:t>
      </w:r>
      <w:r>
        <w:rPr>
          <w:rFonts w:hint="eastAsia" w:ascii="宋体" w:hAnsi="宋体" w:eastAsia="宋体" w:cs="宋体"/>
          <w:b/>
          <w:bCs/>
          <w:sz w:val="24"/>
          <w:u w:val="single"/>
        </w:rPr>
        <w:t>中的每一个条款及要求，因误读</w:t>
      </w:r>
      <w:r>
        <w:rPr>
          <w:rFonts w:hint="eastAsia" w:ascii="宋体" w:hAnsi="宋体" w:eastAsia="宋体" w:cs="宋体"/>
          <w:b/>
          <w:bCs/>
          <w:sz w:val="24"/>
          <w:u w:val="single"/>
          <w:lang w:eastAsia="zh-CN"/>
        </w:rPr>
        <w:t>采购文件</w:t>
      </w:r>
      <w:r>
        <w:rPr>
          <w:rFonts w:hint="eastAsia" w:ascii="宋体" w:hAnsi="宋体" w:eastAsia="宋体" w:cs="宋体"/>
          <w:b/>
          <w:bCs/>
          <w:sz w:val="24"/>
          <w:u w:val="single"/>
        </w:rPr>
        <w:t>而造成的后果，采购人概不责任。</w:t>
      </w:r>
    </w:p>
    <w:p w14:paraId="47F5B0D5">
      <w:pPr>
        <w:pStyle w:val="31"/>
        <w:ind w:firstLine="420"/>
        <w:rPr>
          <w:rFonts w:hint="eastAsia" w:ascii="宋体" w:hAnsi="宋体" w:eastAsia="宋体" w:cs="宋体"/>
        </w:rPr>
        <w:sectPr>
          <w:headerReference r:id="rId11" w:type="default"/>
          <w:footerReference r:id="rId12" w:type="default"/>
          <w:pgSz w:w="11906" w:h="16838"/>
          <w:pgMar w:top="1134" w:right="1134" w:bottom="1134" w:left="1134" w:header="851" w:footer="992" w:gutter="0"/>
          <w:pgNumType w:fmt="decimal" w:start="1"/>
          <w:cols w:space="720" w:num="1"/>
          <w:docGrid w:linePitch="312" w:charSpace="0"/>
        </w:sectPr>
      </w:pPr>
    </w:p>
    <w:p w14:paraId="3F1EB121">
      <w:pPr>
        <w:pStyle w:val="2"/>
        <w:spacing w:line="240" w:lineRule="auto"/>
        <w:ind w:firstLine="0" w:firstLineChars="0"/>
        <w:rPr>
          <w:rFonts w:hint="eastAsia" w:ascii="宋体" w:hAnsi="宋体" w:eastAsia="宋体" w:cs="宋体"/>
        </w:rPr>
      </w:pPr>
      <w:bookmarkStart w:id="1" w:name="_Toc6936"/>
      <w:r>
        <w:rPr>
          <w:rFonts w:hint="eastAsia" w:ascii="宋体" w:hAnsi="宋体" w:eastAsia="宋体" w:cs="宋体"/>
          <w:lang w:eastAsia="zh-CN"/>
        </w:rPr>
        <w:t>温州得恒项目管理咨询有限公司</w:t>
      </w:r>
      <w:r>
        <w:rPr>
          <w:rFonts w:hint="eastAsia" w:ascii="宋体" w:hAnsi="宋体" w:eastAsia="宋体" w:cs="宋体"/>
        </w:rPr>
        <w:t>关于</w:t>
      </w:r>
      <w:r>
        <w:rPr>
          <w:rFonts w:hint="eastAsia" w:ascii="宋体" w:hAnsi="宋体" w:eastAsia="宋体" w:cs="宋体"/>
          <w:lang w:eastAsia="zh-CN"/>
        </w:rPr>
        <w:t>机电学部实训装备项目</w:t>
      </w:r>
      <w:r>
        <w:rPr>
          <w:rFonts w:hint="eastAsia" w:ascii="宋体" w:hAnsi="宋体" w:eastAsia="宋体" w:cs="宋体"/>
        </w:rPr>
        <w:t>的</w:t>
      </w:r>
      <w:r>
        <w:rPr>
          <w:rFonts w:hint="eastAsia" w:ascii="宋体" w:hAnsi="宋体" w:eastAsia="宋体" w:cs="宋体"/>
          <w:lang w:val="en-US" w:eastAsia="zh-CN"/>
        </w:rPr>
        <w:t>采购</w:t>
      </w:r>
      <w:r>
        <w:rPr>
          <w:rFonts w:hint="eastAsia" w:ascii="宋体" w:hAnsi="宋体" w:eastAsia="宋体" w:cs="宋体"/>
        </w:rPr>
        <w:t>公告</w:t>
      </w:r>
      <w:bookmarkEnd w:id="1"/>
    </w:p>
    <w:p w14:paraId="48DC3BFD">
      <w:pPr>
        <w:widowControl/>
        <w:spacing w:before="100" w:beforeAutospacing="1" w:after="100" w:afterAutospacing="1"/>
        <w:ind w:firstLine="0"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项目概况</w:t>
      </w:r>
    </w:p>
    <w:p w14:paraId="340AB9AA">
      <w:pPr>
        <w:widowControl/>
        <w:spacing w:before="100" w:beforeAutospacing="1" w:after="100" w:afterAutospacing="1"/>
        <w:ind w:firstLine="420"/>
        <w:jc w:val="left"/>
        <w:rPr>
          <w:rFonts w:hint="eastAsia" w:ascii="宋体" w:hAnsi="宋体" w:eastAsia="宋体" w:cs="宋体"/>
          <w:sz w:val="21"/>
          <w:szCs w:val="21"/>
        </w:rPr>
      </w:pPr>
      <w:r>
        <w:rPr>
          <w:rFonts w:hint="eastAsia" w:ascii="宋体" w:hAnsi="宋体" w:eastAsia="宋体" w:cs="宋体"/>
          <w:color w:val="000000"/>
          <w:kern w:val="0"/>
          <w:sz w:val="21"/>
          <w:szCs w:val="21"/>
          <w:u w:val="single"/>
          <w:lang w:eastAsia="zh-CN" w:bidi="ar"/>
        </w:rPr>
        <w:t>机电学部实训装备项目</w:t>
      </w:r>
      <w:r>
        <w:rPr>
          <w:rFonts w:hint="eastAsia" w:ascii="宋体" w:hAnsi="宋体" w:eastAsia="宋体" w:cs="宋体"/>
          <w:color w:val="000000"/>
          <w:kern w:val="0"/>
          <w:sz w:val="21"/>
          <w:szCs w:val="21"/>
          <w:lang w:bidi="ar"/>
        </w:rPr>
        <w:t>的潜在供应商应在政采云平台获取采购文件，并于</w:t>
      </w:r>
      <w:r>
        <w:rPr>
          <w:rFonts w:hint="eastAsia" w:ascii="宋体" w:hAnsi="宋体" w:eastAsia="宋体" w:cs="宋体"/>
          <w:color w:val="000000"/>
          <w:kern w:val="0"/>
          <w:sz w:val="21"/>
          <w:szCs w:val="21"/>
          <w:u w:val="single"/>
          <w:lang w:eastAsia="zh-CN" w:bidi="ar"/>
        </w:rPr>
        <w:t>2025</w:t>
      </w:r>
      <w:r>
        <w:rPr>
          <w:rFonts w:hint="eastAsia" w:ascii="宋体" w:hAnsi="宋体" w:eastAsia="宋体" w:cs="宋体"/>
          <w:color w:val="000000"/>
          <w:kern w:val="0"/>
          <w:sz w:val="21"/>
          <w:szCs w:val="21"/>
          <w:u w:val="single"/>
          <w:lang w:bidi="ar"/>
        </w:rPr>
        <w:t>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single"/>
          <w:lang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single"/>
          <w:lang w:bidi="ar"/>
        </w:rPr>
        <w:t>日</w:t>
      </w:r>
      <w:r>
        <w:rPr>
          <w:rFonts w:hint="eastAsia" w:ascii="宋体" w:hAnsi="宋体" w:eastAsia="宋体" w:cs="宋体"/>
          <w:color w:val="000000"/>
          <w:kern w:val="0"/>
          <w:sz w:val="21"/>
          <w:szCs w:val="21"/>
          <w:u w:val="single"/>
          <w:lang w:val="en-US" w:eastAsia="zh-CN" w:bidi="ar"/>
        </w:rPr>
        <w:t>09</w:t>
      </w:r>
      <w:r>
        <w:rPr>
          <w:rFonts w:hint="eastAsia" w:ascii="宋体" w:hAnsi="宋体" w:eastAsia="宋体" w:cs="宋体"/>
          <w:color w:val="000000"/>
          <w:kern w:val="0"/>
          <w:sz w:val="21"/>
          <w:szCs w:val="21"/>
          <w:u w:val="single"/>
          <w:lang w:bidi="ar"/>
        </w:rPr>
        <w:t>点30分（北京时间）</w:t>
      </w:r>
      <w:r>
        <w:rPr>
          <w:rFonts w:hint="eastAsia" w:ascii="宋体" w:hAnsi="宋体" w:eastAsia="宋体" w:cs="宋体"/>
          <w:color w:val="000000"/>
          <w:kern w:val="0"/>
          <w:sz w:val="21"/>
          <w:szCs w:val="21"/>
          <w:lang w:bidi="ar"/>
        </w:rPr>
        <w:t>前提交响应文件。</w:t>
      </w:r>
    </w:p>
    <w:p w14:paraId="16B13424">
      <w:pPr>
        <w:numPr>
          <w:ilvl w:val="0"/>
          <w:numId w:val="1"/>
        </w:numPr>
        <w:ind w:firstLine="0" w:firstLineChars="0"/>
        <w:rPr>
          <w:rFonts w:hint="eastAsia" w:ascii="宋体" w:hAnsi="宋体" w:eastAsia="宋体" w:cs="宋体"/>
          <w:sz w:val="21"/>
          <w:szCs w:val="21"/>
        </w:rPr>
      </w:pPr>
      <w:r>
        <w:rPr>
          <w:rFonts w:hint="eastAsia" w:ascii="宋体" w:hAnsi="宋体" w:eastAsia="宋体" w:cs="宋体"/>
          <w:sz w:val="21"/>
          <w:szCs w:val="21"/>
        </w:rPr>
        <w:t>项目概况</w:t>
      </w:r>
    </w:p>
    <w:p w14:paraId="4CD3373C">
      <w:pPr>
        <w:pStyle w:val="3"/>
        <w:spacing w:before="0" w:after="0" w:line="240" w:lineRule="auto"/>
        <w:ind w:firstLine="422"/>
        <w:jc w:val="both"/>
        <w:rPr>
          <w:rFonts w:hint="eastAsia" w:ascii="宋体" w:hAnsi="宋体" w:eastAsia="宋体" w:cs="宋体"/>
          <w:sz w:val="21"/>
          <w:szCs w:val="21"/>
          <w:highlight w:val="none"/>
          <w:lang w:eastAsia="zh-CN"/>
        </w:rPr>
      </w:pPr>
      <w:bookmarkStart w:id="2" w:name="_Toc24550"/>
      <w:bookmarkStart w:id="3" w:name="_Toc4142"/>
      <w:r>
        <w:rPr>
          <w:rFonts w:hint="eastAsia" w:ascii="宋体" w:hAnsi="宋体" w:eastAsia="宋体" w:cs="宋体"/>
          <w:sz w:val="21"/>
          <w:szCs w:val="21"/>
          <w:highlight w:val="none"/>
        </w:rPr>
        <w:t>项目编号：</w:t>
      </w:r>
      <w:bookmarkEnd w:id="2"/>
      <w:bookmarkEnd w:id="3"/>
      <w:r>
        <w:rPr>
          <w:rFonts w:hint="eastAsia" w:ascii="宋体" w:hAnsi="宋体" w:eastAsia="宋体" w:cs="宋体"/>
          <w:sz w:val="21"/>
          <w:szCs w:val="21"/>
          <w:highlight w:val="none"/>
          <w:lang w:eastAsia="zh-CN"/>
        </w:rPr>
        <w:t>WZDH-H20250926CWZ</w:t>
      </w:r>
    </w:p>
    <w:p w14:paraId="1D91B76C">
      <w:pPr>
        <w:spacing w:line="240" w:lineRule="auto"/>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机电学部实训装备项目</w:t>
      </w:r>
    </w:p>
    <w:p w14:paraId="740ED413">
      <w:pPr>
        <w:pStyle w:val="3"/>
        <w:spacing w:before="0" w:after="0" w:line="240" w:lineRule="auto"/>
        <w:ind w:firstLine="422"/>
        <w:jc w:val="both"/>
        <w:rPr>
          <w:rFonts w:hint="eastAsia" w:ascii="宋体" w:hAnsi="宋体" w:eastAsia="宋体" w:cs="宋体"/>
          <w:color w:val="auto"/>
          <w:sz w:val="21"/>
          <w:szCs w:val="21"/>
          <w:highlight w:val="none"/>
        </w:rPr>
      </w:pPr>
      <w:bookmarkStart w:id="4" w:name="_Toc26462"/>
      <w:bookmarkStart w:id="5" w:name="_Toc13965"/>
      <w:r>
        <w:rPr>
          <w:rFonts w:hint="eastAsia" w:ascii="宋体" w:hAnsi="宋体" w:eastAsia="宋体" w:cs="宋体"/>
          <w:color w:val="auto"/>
          <w:sz w:val="21"/>
          <w:szCs w:val="21"/>
          <w:highlight w:val="none"/>
        </w:rPr>
        <w:t>预算金额（元）：</w:t>
      </w:r>
      <w:bookmarkEnd w:id="4"/>
      <w:r>
        <w:rPr>
          <w:rFonts w:hint="eastAsia" w:ascii="宋体" w:hAnsi="宋体" w:eastAsia="宋体" w:cs="宋体"/>
          <w:color w:val="auto"/>
          <w:sz w:val="21"/>
          <w:szCs w:val="21"/>
          <w:highlight w:val="none"/>
          <w:lang w:val="en-US" w:eastAsia="zh-CN"/>
        </w:rPr>
        <w:t>4954000元</w:t>
      </w:r>
      <w:bookmarkEnd w:id="5"/>
    </w:p>
    <w:p w14:paraId="2A3C18DE">
      <w:pPr>
        <w:spacing w:line="240" w:lineRule="auto"/>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最高限价（元）：</w:t>
      </w:r>
      <w:r>
        <w:rPr>
          <w:rFonts w:hint="eastAsia" w:ascii="宋体" w:hAnsi="宋体" w:eastAsia="宋体" w:cs="宋体"/>
          <w:color w:val="auto"/>
          <w:sz w:val="21"/>
          <w:szCs w:val="21"/>
          <w:highlight w:val="none"/>
          <w:lang w:val="en-US" w:eastAsia="zh-CN"/>
        </w:rPr>
        <w:t>4954000元</w:t>
      </w:r>
    </w:p>
    <w:p w14:paraId="7A43F4F0">
      <w:pPr>
        <w:pStyle w:val="3"/>
        <w:spacing w:before="0" w:after="0" w:line="240" w:lineRule="auto"/>
        <w:ind w:firstLine="422"/>
        <w:jc w:val="both"/>
        <w:rPr>
          <w:rFonts w:hint="eastAsia" w:ascii="宋体" w:hAnsi="宋体" w:eastAsia="宋体" w:cs="宋体"/>
          <w:sz w:val="21"/>
          <w:szCs w:val="21"/>
        </w:rPr>
      </w:pPr>
      <w:bookmarkStart w:id="6" w:name="_Toc31023"/>
      <w:bookmarkStart w:id="7" w:name="_Toc11000"/>
      <w:r>
        <w:rPr>
          <w:rFonts w:hint="eastAsia" w:ascii="宋体" w:hAnsi="宋体" w:eastAsia="宋体" w:cs="宋体"/>
          <w:sz w:val="21"/>
          <w:szCs w:val="21"/>
        </w:rPr>
        <w:t>采购需求：/</w:t>
      </w:r>
      <w:bookmarkEnd w:id="6"/>
      <w:bookmarkEnd w:id="7"/>
    </w:p>
    <w:p w14:paraId="0461D479">
      <w:pPr>
        <w:spacing w:line="240" w:lineRule="auto"/>
        <w:ind w:firstLine="420"/>
        <w:rPr>
          <w:rFonts w:hint="eastAsia" w:ascii="宋体" w:hAnsi="宋体" w:eastAsia="宋体" w:cs="宋体"/>
          <w:sz w:val="21"/>
          <w:szCs w:val="21"/>
        </w:rPr>
      </w:pPr>
    </w:p>
    <w:p w14:paraId="20F31242">
      <w:pPr>
        <w:spacing w:line="240" w:lineRule="auto"/>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标项名称</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智能数控加工实训中心和教具库建设</w:t>
      </w:r>
      <w:r>
        <w:rPr>
          <w:rFonts w:hint="eastAsia" w:ascii="宋体" w:hAnsi="宋体" w:eastAsia="宋体" w:cs="宋体"/>
          <w:color w:val="auto"/>
          <w:sz w:val="21"/>
          <w:szCs w:val="21"/>
          <w:highlight w:val="none"/>
        </w:rPr>
        <w:t>务</w:t>
      </w:r>
    </w:p>
    <w:p w14:paraId="25BAF75E">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数量: 1  </w:t>
      </w:r>
    </w:p>
    <w:p w14:paraId="5AD01AB2">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预算金额（元）:</w:t>
      </w:r>
      <w:r>
        <w:rPr>
          <w:rFonts w:hint="eastAsia" w:ascii="宋体" w:hAnsi="宋体" w:eastAsia="宋体" w:cs="宋体"/>
          <w:color w:val="auto"/>
          <w:sz w:val="21"/>
          <w:szCs w:val="21"/>
          <w:highlight w:val="none"/>
          <w:lang w:val="en-US" w:eastAsia="zh-CN"/>
        </w:rPr>
        <w:t xml:space="preserve"> 1960000元</w:t>
      </w:r>
      <w:r>
        <w:rPr>
          <w:rFonts w:hint="eastAsia" w:ascii="宋体" w:hAnsi="宋体" w:eastAsia="宋体" w:cs="宋体"/>
          <w:color w:val="auto"/>
          <w:sz w:val="21"/>
          <w:szCs w:val="21"/>
          <w:highlight w:val="none"/>
        </w:rPr>
        <w:t xml:space="preserve"> </w:t>
      </w:r>
    </w:p>
    <w:p w14:paraId="78EDDAA2">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简要规格描述或项目基本概况介绍、用途：详见</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 xml:space="preserve">第四部分 </w:t>
      </w:r>
    </w:p>
    <w:p w14:paraId="3C1061E7">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备注： </w:t>
      </w:r>
    </w:p>
    <w:p w14:paraId="2B654730">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合同履约期限：详见采购文件</w:t>
      </w:r>
    </w:p>
    <w:p w14:paraId="3DCEAE0F">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是</w:t>
      </w:r>
      <w:r>
        <w:rPr>
          <w:rFonts w:hint="eastAsia" w:ascii="宋体" w:hAnsi="宋体" w:eastAsia="宋体" w:cs="宋体"/>
          <w:color w:val="auto"/>
          <w:sz w:val="21"/>
          <w:szCs w:val="21"/>
          <w:highlight w:val="none"/>
        </w:rPr>
        <w:t>）接受联合体投标。</w:t>
      </w:r>
    </w:p>
    <w:p w14:paraId="3AE49DC5">
      <w:pPr>
        <w:spacing w:line="240" w:lineRule="auto"/>
        <w:ind w:firstLine="420"/>
        <w:rPr>
          <w:rFonts w:hint="eastAsia" w:ascii="宋体" w:hAnsi="宋体" w:eastAsia="宋体" w:cs="宋体"/>
          <w:color w:val="auto"/>
          <w:sz w:val="21"/>
          <w:szCs w:val="21"/>
          <w:highlight w:val="none"/>
        </w:rPr>
      </w:pPr>
    </w:p>
    <w:p w14:paraId="62C12267">
      <w:pPr>
        <w:spacing w:line="240" w:lineRule="auto"/>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标项名称</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工业机器人实训室建设</w:t>
      </w:r>
    </w:p>
    <w:p w14:paraId="75EC3325">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数量: 1  </w:t>
      </w:r>
    </w:p>
    <w:p w14:paraId="23576708">
      <w:pPr>
        <w:spacing w:line="240" w:lineRule="auto"/>
        <w:ind w:firstLine="0" w:firstLineChars="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 xml:space="preserve">    预算金额（元）:</w:t>
      </w:r>
      <w:r>
        <w:rPr>
          <w:rFonts w:hint="eastAsia" w:ascii="宋体" w:hAnsi="宋体" w:eastAsia="宋体" w:cs="宋体"/>
          <w:color w:val="auto"/>
          <w:sz w:val="21"/>
          <w:szCs w:val="21"/>
          <w:highlight w:val="none"/>
          <w:lang w:val="en-US" w:eastAsia="zh-CN"/>
        </w:rPr>
        <w:t>1680000元</w:t>
      </w:r>
    </w:p>
    <w:p w14:paraId="198F41B3">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简要规格描述或项目基本概况介绍、用途：详见</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 xml:space="preserve">第四部分 </w:t>
      </w:r>
    </w:p>
    <w:p w14:paraId="692C4975">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备注： </w:t>
      </w:r>
    </w:p>
    <w:p w14:paraId="73D968B8">
      <w:pPr>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合同履约期限：</w:t>
      </w:r>
      <w:r>
        <w:rPr>
          <w:rFonts w:hint="eastAsia" w:ascii="宋体" w:hAnsi="宋体" w:eastAsia="宋体" w:cs="宋体"/>
          <w:color w:val="auto"/>
          <w:sz w:val="21"/>
          <w:szCs w:val="21"/>
          <w:highlight w:val="none"/>
        </w:rPr>
        <w:t>详见采购文件</w:t>
      </w:r>
    </w:p>
    <w:p w14:paraId="26D89401">
      <w:pPr>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本项目（是）接受联合体投标。</w:t>
      </w:r>
    </w:p>
    <w:p w14:paraId="10AC3C63">
      <w:pPr>
        <w:spacing w:line="240" w:lineRule="auto"/>
        <w:ind w:firstLine="420"/>
        <w:rPr>
          <w:rFonts w:hint="eastAsia" w:ascii="宋体" w:hAnsi="宋体" w:eastAsia="宋体" w:cs="宋体"/>
          <w:color w:val="auto"/>
          <w:sz w:val="21"/>
          <w:szCs w:val="21"/>
          <w:highlight w:val="none"/>
        </w:rPr>
      </w:pPr>
    </w:p>
    <w:p w14:paraId="6A8E9E80">
      <w:pPr>
        <w:spacing w:line="240" w:lineRule="auto"/>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标项名称</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 电子电工技能实训建设</w:t>
      </w:r>
    </w:p>
    <w:p w14:paraId="14AB5081">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数量: 1  </w:t>
      </w:r>
    </w:p>
    <w:p w14:paraId="62565EA7">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预算金额（元）:</w:t>
      </w:r>
      <w:r>
        <w:rPr>
          <w:rFonts w:hint="eastAsia" w:ascii="宋体" w:hAnsi="宋体" w:eastAsia="宋体" w:cs="宋体"/>
          <w:color w:val="auto"/>
          <w:sz w:val="21"/>
          <w:szCs w:val="21"/>
          <w:highlight w:val="none"/>
          <w:lang w:val="en-US" w:eastAsia="zh-CN"/>
        </w:rPr>
        <w:t>546000元</w:t>
      </w:r>
      <w:r>
        <w:rPr>
          <w:rFonts w:hint="eastAsia" w:ascii="宋体" w:hAnsi="宋体" w:eastAsia="宋体" w:cs="宋体"/>
          <w:color w:val="auto"/>
          <w:sz w:val="21"/>
          <w:szCs w:val="21"/>
          <w:highlight w:val="none"/>
        </w:rPr>
        <w:t xml:space="preserve"> </w:t>
      </w:r>
    </w:p>
    <w:p w14:paraId="25B7882A">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简要规格描述或项目基本概况介绍、用途：详见</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 xml:space="preserve">第四部分 </w:t>
      </w:r>
    </w:p>
    <w:p w14:paraId="2BB25EF0">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备注： </w:t>
      </w:r>
    </w:p>
    <w:p w14:paraId="7B584669">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合同履约期限：详见采购文件</w:t>
      </w:r>
    </w:p>
    <w:p w14:paraId="4AAE73DC">
      <w:pPr>
        <w:spacing w:line="240" w:lineRule="auto"/>
        <w:ind w:firstLine="42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是</w:t>
      </w:r>
      <w:r>
        <w:rPr>
          <w:rFonts w:hint="eastAsia" w:ascii="宋体" w:hAnsi="宋体" w:eastAsia="宋体" w:cs="宋体"/>
          <w:color w:val="auto"/>
          <w:sz w:val="21"/>
          <w:szCs w:val="21"/>
          <w:highlight w:val="none"/>
        </w:rPr>
        <w:t>）接受联合体投标。</w:t>
      </w:r>
    </w:p>
    <w:p w14:paraId="325737CB">
      <w:pPr>
        <w:spacing w:line="240" w:lineRule="auto"/>
        <w:ind w:firstLine="420"/>
        <w:rPr>
          <w:rFonts w:hint="eastAsia" w:ascii="宋体" w:hAnsi="宋体" w:eastAsia="宋体" w:cs="宋体"/>
          <w:color w:val="auto"/>
          <w:sz w:val="21"/>
          <w:szCs w:val="21"/>
          <w:highlight w:val="none"/>
        </w:rPr>
      </w:pPr>
    </w:p>
    <w:p w14:paraId="23C00B91">
      <w:pPr>
        <w:spacing w:line="240" w:lineRule="auto"/>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标项名称</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 可编程控制器数字孪生实训装置添置</w:t>
      </w:r>
    </w:p>
    <w:p w14:paraId="40305881">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数量: 1  </w:t>
      </w:r>
    </w:p>
    <w:p w14:paraId="04DDC533">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预算金额（元）:</w:t>
      </w:r>
      <w:r>
        <w:rPr>
          <w:rFonts w:hint="eastAsia" w:ascii="宋体" w:hAnsi="宋体" w:eastAsia="宋体" w:cs="宋体"/>
          <w:color w:val="auto"/>
          <w:sz w:val="21"/>
          <w:szCs w:val="21"/>
          <w:highlight w:val="none"/>
          <w:lang w:val="en-US" w:eastAsia="zh-CN"/>
        </w:rPr>
        <w:t>768000元</w:t>
      </w:r>
      <w:r>
        <w:rPr>
          <w:rFonts w:hint="eastAsia" w:ascii="宋体" w:hAnsi="宋体" w:eastAsia="宋体" w:cs="宋体"/>
          <w:color w:val="auto"/>
          <w:sz w:val="21"/>
          <w:szCs w:val="21"/>
          <w:highlight w:val="none"/>
        </w:rPr>
        <w:t xml:space="preserve"> </w:t>
      </w:r>
    </w:p>
    <w:p w14:paraId="5FA74377">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简要规格描述或项目基本概况介绍、用途：详见</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 xml:space="preserve">第四部分 </w:t>
      </w:r>
    </w:p>
    <w:p w14:paraId="4B6F9EA2">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备注： </w:t>
      </w:r>
    </w:p>
    <w:p w14:paraId="1FD655DA">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合同履约期限：详见采购文件</w:t>
      </w:r>
    </w:p>
    <w:p w14:paraId="38AB9392">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本项目（</w:t>
      </w:r>
      <w:r>
        <w:rPr>
          <w:rFonts w:hint="eastAsia" w:ascii="宋体" w:hAnsi="宋体" w:eastAsia="宋体" w:cs="宋体"/>
          <w:color w:val="auto"/>
          <w:sz w:val="21"/>
          <w:szCs w:val="21"/>
          <w:highlight w:val="none"/>
          <w:lang w:val="en-US" w:eastAsia="zh-CN"/>
        </w:rPr>
        <w:t>是</w:t>
      </w:r>
      <w:r>
        <w:rPr>
          <w:rFonts w:hint="eastAsia" w:ascii="宋体" w:hAnsi="宋体" w:eastAsia="宋体" w:cs="宋体"/>
          <w:color w:val="auto"/>
          <w:sz w:val="21"/>
          <w:szCs w:val="21"/>
          <w:highlight w:val="none"/>
        </w:rPr>
        <w:t>）接受联合体投标。</w:t>
      </w:r>
    </w:p>
    <w:p w14:paraId="397FDCAA">
      <w:pPr>
        <w:ind w:firstLine="0" w:firstLineChars="0"/>
        <w:rPr>
          <w:rFonts w:hint="eastAsia" w:ascii="宋体" w:hAnsi="宋体" w:eastAsia="宋体" w:cs="宋体"/>
          <w:sz w:val="21"/>
          <w:szCs w:val="21"/>
        </w:rPr>
      </w:pPr>
    </w:p>
    <w:p w14:paraId="680DF399">
      <w:pPr>
        <w:ind w:firstLine="0" w:firstLineChars="0"/>
        <w:rPr>
          <w:rFonts w:hint="eastAsia" w:ascii="宋体" w:hAnsi="宋体" w:eastAsia="宋体" w:cs="宋体"/>
          <w:sz w:val="21"/>
          <w:szCs w:val="21"/>
        </w:rPr>
      </w:pPr>
      <w:r>
        <w:rPr>
          <w:rFonts w:hint="eastAsia" w:ascii="宋体" w:hAnsi="宋体" w:eastAsia="宋体" w:cs="宋体"/>
          <w:sz w:val="21"/>
          <w:szCs w:val="21"/>
        </w:rPr>
        <w:t>二、</w:t>
      </w:r>
      <w:r>
        <w:rPr>
          <w:rFonts w:hint="eastAsia" w:ascii="宋体" w:hAnsi="宋体" w:eastAsia="宋体" w:cs="宋体"/>
          <w:b/>
          <w:bCs/>
          <w:sz w:val="21"/>
          <w:szCs w:val="21"/>
          <w:u w:val="single"/>
        </w:rPr>
        <w:t>▲申请人的资格要求</w:t>
      </w:r>
      <w:r>
        <w:rPr>
          <w:rFonts w:hint="eastAsia" w:ascii="宋体" w:hAnsi="宋体" w:eastAsia="宋体" w:cs="宋体"/>
          <w:b/>
          <w:bCs/>
          <w:sz w:val="21"/>
          <w:szCs w:val="21"/>
          <w:u w:val="single"/>
          <w:lang w:eastAsia="zh-CN"/>
        </w:rPr>
        <w:t>（</w:t>
      </w:r>
      <w:r>
        <w:rPr>
          <w:rFonts w:hint="eastAsia" w:ascii="宋体" w:hAnsi="宋体" w:eastAsia="宋体" w:cs="宋体"/>
          <w:b/>
          <w:bCs/>
          <w:sz w:val="21"/>
          <w:szCs w:val="21"/>
          <w:u w:val="single"/>
          <w:lang w:val="en-US" w:eastAsia="zh-CN"/>
        </w:rPr>
        <w:t>标项1、标项2、标项3、标项4通用</w:t>
      </w:r>
      <w:r>
        <w:rPr>
          <w:rFonts w:hint="eastAsia" w:ascii="宋体" w:hAnsi="宋体" w:eastAsia="宋体" w:cs="宋体"/>
          <w:b/>
          <w:bCs/>
          <w:sz w:val="21"/>
          <w:szCs w:val="21"/>
          <w:u w:val="single"/>
          <w:lang w:eastAsia="zh-CN"/>
        </w:rPr>
        <w:t>）</w:t>
      </w:r>
      <w:r>
        <w:rPr>
          <w:rFonts w:hint="eastAsia" w:ascii="宋体" w:hAnsi="宋体" w:eastAsia="宋体" w:cs="宋体"/>
          <w:sz w:val="21"/>
          <w:szCs w:val="21"/>
        </w:rPr>
        <w:t>:</w:t>
      </w:r>
    </w:p>
    <w:p w14:paraId="6DD63E8D">
      <w:pPr>
        <w:spacing w:line="360" w:lineRule="auto"/>
        <w:ind w:firstLine="0" w:firstLineChars="0"/>
        <w:rPr>
          <w:rFonts w:hint="eastAsia" w:ascii="宋体" w:hAnsi="宋体" w:eastAsia="宋体" w:cs="宋体"/>
          <w:sz w:val="21"/>
          <w:szCs w:val="21"/>
          <w:lang w:val="en-US" w:eastAsia="zh-CN"/>
        </w:rPr>
      </w:pPr>
      <w:bookmarkStart w:id="8" w:name="_Toc3298_WPSOffice_Level1"/>
      <w:r>
        <w:rPr>
          <w:rFonts w:hint="eastAsia" w:ascii="宋体" w:hAnsi="宋体" w:eastAsia="宋体" w:cs="宋体"/>
          <w:sz w:val="21"/>
          <w:szCs w:val="21"/>
          <w:lang w:val="en-US" w:eastAsia="zh-CN"/>
        </w:rPr>
        <w:t>1、一般资格条件：必须符合《中华人民共和国政府采购法》第二十二条规定：</w:t>
      </w:r>
    </w:p>
    <w:p w14:paraId="52C8B54B">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（1）具有独立承担民事责任的能力；</w:t>
      </w:r>
    </w:p>
    <w:p w14:paraId="1D33BCC9">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（2）具有良好的商业信誉和健全的财务会计制度；</w:t>
      </w:r>
    </w:p>
    <w:p w14:paraId="2067A981">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（3）具有履行合同所必需的设备和专业技术能力；</w:t>
      </w:r>
    </w:p>
    <w:p w14:paraId="6CA866DD">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（4）有依法缴纳税收和社会保障资金的良好记录；</w:t>
      </w:r>
    </w:p>
    <w:p w14:paraId="11A3B240">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（5）参加政府采购活动前三年内，在经营活动中没有重大违法记录；</w:t>
      </w:r>
    </w:p>
    <w:p w14:paraId="52171791">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（6）法律、行政法规规定的其他条件。</w:t>
      </w:r>
    </w:p>
    <w:p w14:paraId="7BE35FB3">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2、落实政府采购政策需满足的资格要求：无 </w:t>
      </w:r>
    </w:p>
    <w:p w14:paraId="1112FD9C">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3.本项目的特定资格要求：</w:t>
      </w:r>
    </w:p>
    <w:p w14:paraId="211D192C">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（1）单位负责人为同一人或者存在直接控股、管理关系的不同供应商，不得参加同一合同项下的政府采购活动；                                                                                                                                                                                                                                                                                                                                                                                                                                                                                                                                                                                                                                                                                                                                                                                                                                                                                                                                                                                                                                                                                                                                                                                                                                                                                                                                                                                                                                                                                                                                                                                                                                                                                                                                                                                                                                                                     </w:t>
      </w:r>
    </w:p>
    <w:p w14:paraId="694ACE20">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应商未被列入“信用中国”网(www.creditchina.gov.cn)和“中国政府采购网”（www.ccgp.gov.cn）失信被执行人、重大税收违法案件当事人名单、政府采购严重违法失信行为记录名单且尚处于禁止参加政府采购活动期内。</w:t>
      </w:r>
    </w:p>
    <w:p w14:paraId="7A403A3E">
      <w:pPr>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（3）本项目接受联合体</w:t>
      </w:r>
      <w:r>
        <w:rPr>
          <w:rFonts w:hint="eastAsia" w:ascii="宋体" w:hAnsi="宋体" w:eastAsia="宋体" w:cs="宋体"/>
          <w:sz w:val="21"/>
          <w:szCs w:val="21"/>
        </w:rPr>
        <w:t> </w:t>
      </w:r>
    </w:p>
    <w:p w14:paraId="2ED54B97">
      <w:pPr>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三、获取</w:t>
      </w:r>
      <w:r>
        <w:rPr>
          <w:rFonts w:hint="eastAsia" w:ascii="宋体" w:hAnsi="宋体" w:eastAsia="宋体" w:cs="宋体"/>
          <w:sz w:val="21"/>
          <w:szCs w:val="21"/>
          <w:lang w:eastAsia="zh-CN"/>
        </w:rPr>
        <w:t>采购文件</w:t>
      </w:r>
      <w:r>
        <w:rPr>
          <w:rFonts w:hint="eastAsia" w:ascii="宋体" w:hAnsi="宋体" w:eastAsia="宋体" w:cs="宋体"/>
          <w:b/>
          <w:bCs/>
          <w:sz w:val="21"/>
          <w:szCs w:val="21"/>
          <w:u w:val="single"/>
          <w:lang w:eastAsia="zh-CN"/>
        </w:rPr>
        <w:t>（</w:t>
      </w:r>
      <w:r>
        <w:rPr>
          <w:rFonts w:hint="eastAsia" w:ascii="宋体" w:hAnsi="宋体" w:eastAsia="宋体" w:cs="宋体"/>
          <w:b/>
          <w:bCs/>
          <w:sz w:val="21"/>
          <w:szCs w:val="21"/>
          <w:u w:val="single"/>
          <w:lang w:val="en-US" w:eastAsia="zh-CN"/>
        </w:rPr>
        <w:t>标项1、标项2、标项3、标项4通用</w:t>
      </w:r>
      <w:r>
        <w:rPr>
          <w:rFonts w:hint="eastAsia" w:ascii="宋体" w:hAnsi="宋体" w:eastAsia="宋体" w:cs="宋体"/>
          <w:b/>
          <w:bCs/>
          <w:sz w:val="21"/>
          <w:szCs w:val="21"/>
          <w:u w:val="single"/>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14:paraId="5BD9B4C9">
      <w:pPr>
        <w:pStyle w:val="9"/>
        <w:spacing w:line="360" w:lineRule="auto"/>
        <w:ind w:firstLine="420"/>
        <w:rPr>
          <w:rFonts w:hint="eastAsia" w:ascii="宋体" w:hAnsi="宋体" w:eastAsia="宋体" w:cs="宋体"/>
          <w:sz w:val="21"/>
          <w:szCs w:val="21"/>
        </w:rPr>
      </w:pPr>
      <w:r>
        <w:rPr>
          <w:rFonts w:hint="eastAsia" w:ascii="宋体" w:hAnsi="宋体" w:eastAsia="宋体" w:cs="宋体"/>
          <w:sz w:val="21"/>
          <w:szCs w:val="21"/>
        </w:rPr>
        <w:t xml:space="preserve"> 时间：采购公告发布之日至投标截止时间为止，每天上午00:00至12:00，下午12:00至23:59（北京时间，线上获取法定节假日均可，线下获取文件法定节假日除外）。</w:t>
      </w:r>
    </w:p>
    <w:p w14:paraId="48F22DA8">
      <w:pPr>
        <w:pStyle w:val="9"/>
        <w:spacing w:line="360" w:lineRule="auto"/>
        <w:ind w:firstLine="420"/>
        <w:rPr>
          <w:rFonts w:hint="eastAsia" w:ascii="宋体" w:hAnsi="宋体" w:eastAsia="宋体" w:cs="宋体"/>
          <w:sz w:val="21"/>
          <w:szCs w:val="21"/>
        </w:rPr>
      </w:pPr>
      <w:r>
        <w:rPr>
          <w:rFonts w:hint="eastAsia" w:ascii="宋体" w:hAnsi="宋体" w:eastAsia="宋体" w:cs="宋体"/>
          <w:sz w:val="21"/>
          <w:szCs w:val="21"/>
        </w:rPr>
        <w:t>获取地点（网址）：浙江政府采购网（http://zfcg.czt.zj.gov.cn） </w:t>
      </w:r>
    </w:p>
    <w:p w14:paraId="53890858">
      <w:pPr>
        <w:pStyle w:val="9"/>
        <w:spacing w:line="360" w:lineRule="auto"/>
        <w:ind w:firstLine="420"/>
        <w:rPr>
          <w:rFonts w:hint="eastAsia" w:ascii="宋体" w:hAnsi="宋体" w:eastAsia="宋体" w:cs="宋体"/>
          <w:sz w:val="21"/>
          <w:szCs w:val="21"/>
        </w:rPr>
      </w:pPr>
      <w:r>
        <w:rPr>
          <w:rFonts w:hint="eastAsia" w:ascii="宋体" w:hAnsi="宋体" w:eastAsia="宋体" w:cs="宋体"/>
          <w:sz w:val="21"/>
          <w:szCs w:val="21"/>
        </w:rPr>
        <w:t>获取方式：“浙江政府采购网”在线获取 本项目不提供纸制版</w:t>
      </w:r>
      <w:r>
        <w:rPr>
          <w:rFonts w:hint="eastAsia" w:cs="宋体"/>
          <w:sz w:val="21"/>
          <w:szCs w:val="21"/>
          <w:lang w:eastAsia="zh-CN"/>
        </w:rPr>
        <w:t>采购文件</w:t>
      </w:r>
      <w:r>
        <w:rPr>
          <w:rFonts w:hint="eastAsia" w:ascii="宋体" w:hAnsi="宋体" w:eastAsia="宋体" w:cs="宋体"/>
          <w:sz w:val="21"/>
          <w:szCs w:val="21"/>
        </w:rPr>
        <w:t>，供应商通过“浙江政府采购网”本项目公告下方选取“潜在供应商”处“获取</w:t>
      </w:r>
      <w:r>
        <w:rPr>
          <w:rFonts w:hint="eastAsia" w:cs="宋体"/>
          <w:sz w:val="21"/>
          <w:szCs w:val="21"/>
          <w:lang w:eastAsia="zh-CN"/>
        </w:rPr>
        <w:t>采购文件</w:t>
      </w:r>
      <w:r>
        <w:rPr>
          <w:rFonts w:hint="eastAsia" w:ascii="宋体" w:hAnsi="宋体" w:eastAsia="宋体" w:cs="宋体"/>
          <w:sz w:val="21"/>
          <w:szCs w:val="21"/>
        </w:rPr>
        <w:t>”；供应商只有在“浙江政府采购网”完成获取</w:t>
      </w:r>
      <w:r>
        <w:rPr>
          <w:rFonts w:hint="eastAsia" w:cs="宋体"/>
          <w:sz w:val="21"/>
          <w:szCs w:val="21"/>
          <w:lang w:eastAsia="zh-CN"/>
        </w:rPr>
        <w:t>采购文件</w:t>
      </w:r>
      <w:r>
        <w:rPr>
          <w:rFonts w:hint="eastAsia" w:ascii="宋体" w:hAnsi="宋体" w:eastAsia="宋体" w:cs="宋体"/>
          <w:sz w:val="21"/>
          <w:szCs w:val="21"/>
        </w:rPr>
        <w:t>申请并下载了</w:t>
      </w:r>
      <w:r>
        <w:rPr>
          <w:rFonts w:hint="eastAsia" w:cs="宋体"/>
          <w:sz w:val="21"/>
          <w:szCs w:val="21"/>
          <w:lang w:eastAsia="zh-CN"/>
        </w:rPr>
        <w:t>采购文件</w:t>
      </w:r>
      <w:r>
        <w:rPr>
          <w:rFonts w:hint="eastAsia" w:ascii="宋体" w:hAnsi="宋体" w:eastAsia="宋体" w:cs="宋体"/>
          <w:sz w:val="21"/>
          <w:szCs w:val="21"/>
        </w:rPr>
        <w:t>后才视作依法获取</w:t>
      </w:r>
      <w:r>
        <w:rPr>
          <w:rFonts w:hint="eastAsia" w:cs="宋体"/>
          <w:sz w:val="21"/>
          <w:szCs w:val="21"/>
          <w:lang w:eastAsia="zh-CN"/>
        </w:rPr>
        <w:t>采购文件</w:t>
      </w:r>
      <w:r>
        <w:rPr>
          <w:rFonts w:hint="eastAsia" w:ascii="宋体" w:hAnsi="宋体" w:eastAsia="宋体" w:cs="宋体"/>
          <w:sz w:val="21"/>
          <w:szCs w:val="21"/>
        </w:rPr>
        <w:t>，否则投标将被拒绝。 供应商通过“浙江政府采购网”本公告下方“游客，浏览投标文件”下载的</w:t>
      </w:r>
      <w:r>
        <w:rPr>
          <w:rFonts w:hint="eastAsia" w:cs="宋体"/>
          <w:sz w:val="21"/>
          <w:szCs w:val="21"/>
          <w:lang w:eastAsia="zh-CN"/>
        </w:rPr>
        <w:t>采购文件</w:t>
      </w:r>
      <w:r>
        <w:rPr>
          <w:rFonts w:hint="eastAsia" w:ascii="宋体" w:hAnsi="宋体" w:eastAsia="宋体" w:cs="宋体"/>
          <w:sz w:val="21"/>
          <w:szCs w:val="21"/>
        </w:rPr>
        <w:t>仅供浏览，不视作依法获取</w:t>
      </w:r>
      <w:r>
        <w:rPr>
          <w:rFonts w:hint="eastAsia" w:cs="宋体"/>
          <w:sz w:val="21"/>
          <w:szCs w:val="21"/>
          <w:lang w:eastAsia="zh-CN"/>
        </w:rPr>
        <w:t>采购文件</w:t>
      </w:r>
      <w:r>
        <w:rPr>
          <w:rFonts w:hint="eastAsia" w:ascii="宋体" w:hAnsi="宋体" w:eastAsia="宋体" w:cs="宋体"/>
          <w:sz w:val="21"/>
          <w:szCs w:val="21"/>
        </w:rPr>
        <w:t>，投标将被拒绝。</w:t>
      </w:r>
    </w:p>
    <w:p w14:paraId="45807012">
      <w:pPr>
        <w:pStyle w:val="9"/>
        <w:spacing w:line="360" w:lineRule="auto"/>
        <w:ind w:firstLine="420"/>
        <w:rPr>
          <w:rFonts w:hint="eastAsia" w:ascii="宋体" w:hAnsi="宋体" w:eastAsia="宋体" w:cs="宋体"/>
          <w:sz w:val="21"/>
          <w:szCs w:val="21"/>
        </w:rPr>
      </w:pPr>
      <w:r>
        <w:rPr>
          <w:rFonts w:hint="eastAsia" w:cs="宋体"/>
          <w:sz w:val="21"/>
          <w:szCs w:val="21"/>
          <w:lang w:eastAsia="zh-CN"/>
        </w:rPr>
        <w:t>采购文件</w:t>
      </w:r>
      <w:r>
        <w:rPr>
          <w:rFonts w:hint="eastAsia" w:ascii="宋体" w:hAnsi="宋体" w:eastAsia="宋体" w:cs="宋体"/>
          <w:sz w:val="21"/>
          <w:szCs w:val="21"/>
        </w:rPr>
        <w:t>售价（元）：0元。</w:t>
      </w:r>
    </w:p>
    <w:bookmarkEnd w:id="8"/>
    <w:p w14:paraId="26E877D7">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四、</w:t>
      </w:r>
      <w:bookmarkStart w:id="9" w:name="_Toc1067_WPSOffice_Level1"/>
      <w:r>
        <w:rPr>
          <w:rFonts w:hint="eastAsia" w:ascii="宋体" w:hAnsi="宋体" w:eastAsia="宋体" w:cs="宋体"/>
          <w:sz w:val="21"/>
          <w:szCs w:val="21"/>
          <w:lang w:val="en-US" w:eastAsia="zh-CN"/>
        </w:rPr>
        <w:t>投标</w:t>
      </w:r>
      <w:r>
        <w:rPr>
          <w:rFonts w:hint="eastAsia" w:ascii="宋体" w:hAnsi="宋体" w:eastAsia="宋体" w:cs="宋体"/>
          <w:sz w:val="21"/>
          <w:szCs w:val="21"/>
        </w:rPr>
        <w:t>截止时间</w:t>
      </w:r>
      <w:bookmarkEnd w:id="9"/>
      <w:r>
        <w:rPr>
          <w:rFonts w:hint="eastAsia" w:ascii="宋体" w:hAnsi="宋体" w:eastAsia="宋体" w:cs="宋体"/>
          <w:sz w:val="21"/>
          <w:szCs w:val="21"/>
        </w:rPr>
        <w:t>及地点</w:t>
      </w:r>
      <w:r>
        <w:rPr>
          <w:rFonts w:hint="eastAsia" w:ascii="宋体" w:hAnsi="宋体" w:eastAsia="宋体" w:cs="宋体"/>
          <w:b/>
          <w:bCs/>
          <w:sz w:val="21"/>
          <w:szCs w:val="21"/>
          <w:u w:val="single"/>
          <w:lang w:eastAsia="zh-CN"/>
        </w:rPr>
        <w:t>（</w:t>
      </w:r>
      <w:r>
        <w:rPr>
          <w:rFonts w:hint="eastAsia" w:ascii="宋体" w:hAnsi="宋体" w:eastAsia="宋体" w:cs="宋体"/>
          <w:b/>
          <w:bCs/>
          <w:sz w:val="21"/>
          <w:szCs w:val="21"/>
          <w:u w:val="single"/>
          <w:lang w:val="en-US" w:eastAsia="zh-CN"/>
        </w:rPr>
        <w:t>标项1、标项2、标项3、标项4通用</w:t>
      </w:r>
      <w:r>
        <w:rPr>
          <w:rFonts w:hint="eastAsia" w:ascii="宋体" w:hAnsi="宋体" w:eastAsia="宋体" w:cs="宋体"/>
          <w:b/>
          <w:bCs/>
          <w:sz w:val="21"/>
          <w:szCs w:val="21"/>
          <w:u w:val="single"/>
          <w:lang w:eastAsia="zh-CN"/>
        </w:rPr>
        <w:t>）</w:t>
      </w:r>
      <w:r>
        <w:rPr>
          <w:rFonts w:hint="eastAsia" w:ascii="宋体" w:hAnsi="宋体" w:eastAsia="宋体" w:cs="宋体"/>
          <w:b/>
          <w:bCs/>
          <w:sz w:val="21"/>
          <w:szCs w:val="21"/>
          <w:lang w:val="en-US" w:eastAsia="zh-CN"/>
        </w:rPr>
        <w:t xml:space="preserve"> </w:t>
      </w:r>
    </w:p>
    <w:p w14:paraId="7B69FD72">
      <w:pPr>
        <w:pStyle w:val="22"/>
        <w:spacing w:before="0" w:beforeAutospacing="0" w:after="0" w:afterAutospacing="0" w:line="360" w:lineRule="auto"/>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rPr>
        <w:t>提交</w:t>
      </w:r>
      <w:r>
        <w:rPr>
          <w:rFonts w:hint="eastAsia" w:ascii="宋体" w:hAnsi="宋体" w:eastAsia="宋体" w:cs="宋体"/>
          <w:kern w:val="2"/>
          <w:sz w:val="21"/>
          <w:szCs w:val="21"/>
          <w:lang w:eastAsia="zh-CN"/>
        </w:rPr>
        <w:t>投标文件</w:t>
      </w:r>
      <w:r>
        <w:rPr>
          <w:rFonts w:hint="eastAsia" w:ascii="宋体" w:hAnsi="宋体" w:eastAsia="宋体" w:cs="宋体"/>
          <w:kern w:val="2"/>
          <w:sz w:val="21"/>
          <w:szCs w:val="21"/>
        </w:rPr>
        <w:t>截止时间：</w:t>
      </w:r>
      <w:r>
        <w:rPr>
          <w:rFonts w:hint="eastAsia" w:eastAsia="宋体" w:cs="宋体"/>
          <w:kern w:val="2"/>
          <w:sz w:val="21"/>
          <w:szCs w:val="21"/>
          <w:lang w:eastAsia="zh-CN"/>
        </w:rPr>
        <w:t>2025</w:t>
      </w:r>
      <w:r>
        <w:rPr>
          <w:rFonts w:hint="eastAsia" w:ascii="宋体" w:hAnsi="宋体" w:eastAsia="宋体" w:cs="宋体"/>
          <w:kern w:val="2"/>
          <w:sz w:val="21"/>
          <w:szCs w:val="21"/>
        </w:rPr>
        <w:t>年</w:t>
      </w:r>
      <w:r>
        <w:rPr>
          <w:rFonts w:hint="eastAsia" w:eastAsia="宋体" w:cs="宋体"/>
          <w:kern w:val="2"/>
          <w:sz w:val="21"/>
          <w:szCs w:val="21"/>
          <w:lang w:val="en-US" w:eastAsia="zh-CN"/>
        </w:rPr>
        <w:t xml:space="preserve"> </w:t>
      </w:r>
      <w:r>
        <w:rPr>
          <w:rFonts w:hint="eastAsia" w:ascii="宋体" w:hAnsi="宋体" w:eastAsia="宋体" w:cs="宋体"/>
          <w:kern w:val="2"/>
          <w:sz w:val="21"/>
          <w:szCs w:val="21"/>
        </w:rPr>
        <w:t>月</w:t>
      </w:r>
      <w:r>
        <w:rPr>
          <w:rFonts w:hint="eastAsia" w:eastAsia="宋体" w:cs="宋体"/>
          <w:kern w:val="2"/>
          <w:sz w:val="21"/>
          <w:szCs w:val="21"/>
          <w:lang w:val="en-US" w:eastAsia="zh-CN"/>
        </w:rPr>
        <w:t xml:space="preserve"> </w:t>
      </w:r>
      <w:r>
        <w:rPr>
          <w:rFonts w:hint="eastAsia" w:ascii="宋体" w:hAnsi="宋体" w:eastAsia="宋体" w:cs="宋体"/>
          <w:kern w:val="2"/>
          <w:sz w:val="21"/>
          <w:szCs w:val="21"/>
        </w:rPr>
        <w:t>日</w:t>
      </w:r>
      <w:r>
        <w:rPr>
          <w:rFonts w:hint="eastAsia" w:eastAsia="宋体" w:cs="宋体"/>
          <w:kern w:val="2"/>
          <w:sz w:val="21"/>
          <w:szCs w:val="21"/>
          <w:lang w:val="en-US" w:eastAsia="zh-CN"/>
        </w:rPr>
        <w:t>09</w:t>
      </w:r>
      <w:r>
        <w:rPr>
          <w:rFonts w:hint="eastAsia" w:ascii="宋体" w:hAnsi="宋体" w:eastAsia="宋体" w:cs="宋体"/>
          <w:kern w:val="2"/>
          <w:sz w:val="21"/>
          <w:szCs w:val="21"/>
        </w:rPr>
        <w:t>:30（北京时间）</w:t>
      </w:r>
    </w:p>
    <w:p w14:paraId="332B38B7">
      <w:pPr>
        <w:pStyle w:val="22"/>
        <w:spacing w:before="0" w:beforeAutospacing="0" w:after="0" w:afterAutospacing="0" w:line="360" w:lineRule="auto"/>
        <w:ind w:firstLine="0" w:firstLineChars="0"/>
        <w:rPr>
          <w:rFonts w:hint="eastAsia" w:ascii="宋体" w:hAnsi="宋体" w:eastAsia="宋体" w:cs="宋体"/>
          <w:kern w:val="2"/>
          <w:sz w:val="21"/>
          <w:szCs w:val="21"/>
        </w:rPr>
      </w:pPr>
      <w:r>
        <w:rPr>
          <w:rFonts w:hint="eastAsia" w:ascii="宋体" w:hAnsi="宋体" w:eastAsia="宋体" w:cs="宋体"/>
          <w:kern w:val="2"/>
          <w:sz w:val="21"/>
          <w:szCs w:val="21"/>
        </w:rPr>
        <w:t>    投标地点（网址）：政采云系统上递交 </w:t>
      </w:r>
    </w:p>
    <w:p w14:paraId="3348A30A">
      <w:pPr>
        <w:pStyle w:val="22"/>
        <w:spacing w:before="0" w:beforeAutospacing="0" w:after="0" w:afterAutospacing="0" w:line="360" w:lineRule="auto"/>
        <w:ind w:firstLine="0" w:firstLineChars="0"/>
        <w:rPr>
          <w:rFonts w:hint="eastAsia" w:ascii="宋体" w:hAnsi="宋体" w:eastAsia="宋体" w:cs="宋体"/>
          <w:kern w:val="2"/>
          <w:sz w:val="21"/>
          <w:szCs w:val="21"/>
        </w:rPr>
      </w:pPr>
      <w:r>
        <w:rPr>
          <w:rFonts w:hint="eastAsia" w:ascii="宋体" w:hAnsi="宋体" w:eastAsia="宋体" w:cs="宋体"/>
          <w:kern w:val="2"/>
          <w:sz w:val="21"/>
          <w:szCs w:val="21"/>
        </w:rPr>
        <w:t>    开标时间：</w:t>
      </w:r>
      <w:r>
        <w:rPr>
          <w:rFonts w:hint="eastAsia" w:eastAsia="宋体" w:cs="宋体"/>
          <w:kern w:val="2"/>
          <w:sz w:val="21"/>
          <w:szCs w:val="21"/>
          <w:lang w:eastAsia="zh-CN"/>
        </w:rPr>
        <w:t>2025</w:t>
      </w:r>
      <w:r>
        <w:rPr>
          <w:rFonts w:hint="eastAsia" w:ascii="宋体" w:hAnsi="宋体" w:eastAsia="宋体" w:cs="宋体"/>
          <w:kern w:val="2"/>
          <w:sz w:val="21"/>
          <w:szCs w:val="21"/>
        </w:rPr>
        <w:t>年</w:t>
      </w:r>
      <w:r>
        <w:rPr>
          <w:rFonts w:hint="eastAsia" w:eastAsia="宋体" w:cs="宋体"/>
          <w:kern w:val="2"/>
          <w:sz w:val="21"/>
          <w:szCs w:val="21"/>
          <w:lang w:val="en-US" w:eastAsia="zh-CN"/>
        </w:rPr>
        <w:t xml:space="preserve">  </w:t>
      </w:r>
      <w:r>
        <w:rPr>
          <w:rFonts w:hint="eastAsia" w:ascii="宋体" w:hAnsi="宋体" w:eastAsia="宋体" w:cs="宋体"/>
          <w:kern w:val="2"/>
          <w:sz w:val="21"/>
          <w:szCs w:val="21"/>
        </w:rPr>
        <w:t>月</w:t>
      </w:r>
      <w:r>
        <w:rPr>
          <w:rFonts w:hint="eastAsia" w:eastAsia="宋体" w:cs="宋体"/>
          <w:kern w:val="2"/>
          <w:sz w:val="21"/>
          <w:szCs w:val="21"/>
          <w:lang w:val="en-US" w:eastAsia="zh-CN"/>
        </w:rPr>
        <w:t xml:space="preserve"> </w:t>
      </w:r>
      <w:r>
        <w:rPr>
          <w:rFonts w:hint="eastAsia" w:ascii="宋体" w:hAnsi="宋体" w:eastAsia="宋体" w:cs="宋体"/>
          <w:kern w:val="2"/>
          <w:sz w:val="21"/>
          <w:szCs w:val="21"/>
        </w:rPr>
        <w:t>日</w:t>
      </w:r>
      <w:r>
        <w:rPr>
          <w:rFonts w:hint="eastAsia" w:eastAsia="宋体" w:cs="宋体"/>
          <w:kern w:val="2"/>
          <w:sz w:val="21"/>
          <w:szCs w:val="21"/>
          <w:lang w:val="en-US" w:eastAsia="zh-CN"/>
        </w:rPr>
        <w:t>09</w:t>
      </w:r>
      <w:r>
        <w:rPr>
          <w:rFonts w:hint="eastAsia" w:ascii="宋体" w:hAnsi="宋体" w:eastAsia="宋体" w:cs="宋体"/>
          <w:kern w:val="2"/>
          <w:sz w:val="21"/>
          <w:szCs w:val="21"/>
        </w:rPr>
        <w:t>:30 </w:t>
      </w:r>
    </w:p>
    <w:p w14:paraId="36DF55B3">
      <w:pPr>
        <w:pStyle w:val="22"/>
        <w:spacing w:before="0" w:beforeAutospacing="0" w:after="0" w:afterAutospacing="0" w:line="360" w:lineRule="auto"/>
        <w:ind w:firstLine="0" w:firstLineChars="0"/>
        <w:rPr>
          <w:rFonts w:hint="eastAsia" w:ascii="宋体" w:hAnsi="宋体" w:eastAsia="宋体" w:cs="宋体"/>
          <w:kern w:val="2"/>
          <w:sz w:val="21"/>
          <w:szCs w:val="21"/>
        </w:rPr>
      </w:pPr>
      <w:r>
        <w:rPr>
          <w:rFonts w:hint="eastAsia" w:ascii="宋体" w:hAnsi="宋体" w:eastAsia="宋体" w:cs="宋体"/>
          <w:kern w:val="2"/>
          <w:sz w:val="21"/>
          <w:szCs w:val="21"/>
        </w:rPr>
        <w:t>    开标地点（网址）：政采云系统上进行 </w:t>
      </w:r>
    </w:p>
    <w:p w14:paraId="12773E7F">
      <w:pPr>
        <w:pStyle w:val="22"/>
        <w:spacing w:before="0" w:beforeAutospacing="0" w:after="0" w:afterAutospacing="0" w:line="360" w:lineRule="auto"/>
        <w:ind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五、公告期限</w:t>
      </w:r>
      <w:r>
        <w:rPr>
          <w:rFonts w:hint="eastAsia" w:ascii="宋体" w:hAnsi="宋体" w:eastAsia="宋体" w:cs="宋体"/>
          <w:b/>
          <w:bCs/>
          <w:sz w:val="21"/>
          <w:szCs w:val="21"/>
          <w:u w:val="single"/>
          <w:lang w:eastAsia="zh-CN"/>
        </w:rPr>
        <w:t>（</w:t>
      </w:r>
      <w:r>
        <w:rPr>
          <w:rFonts w:hint="eastAsia" w:ascii="宋体" w:hAnsi="宋体" w:eastAsia="宋体" w:cs="宋体"/>
          <w:b/>
          <w:bCs/>
          <w:sz w:val="21"/>
          <w:szCs w:val="21"/>
          <w:u w:val="single"/>
          <w:lang w:val="en-US" w:eastAsia="zh-CN"/>
        </w:rPr>
        <w:t>标项1、标项2、标项3、标项4通用</w:t>
      </w:r>
      <w:r>
        <w:rPr>
          <w:rFonts w:hint="eastAsia" w:ascii="宋体" w:hAnsi="宋体" w:eastAsia="宋体" w:cs="宋体"/>
          <w:b/>
          <w:bCs/>
          <w:sz w:val="21"/>
          <w:szCs w:val="21"/>
          <w:u w:val="single"/>
          <w:lang w:eastAsia="zh-CN"/>
        </w:rPr>
        <w:t>）</w:t>
      </w:r>
      <w:r>
        <w:rPr>
          <w:rFonts w:hint="eastAsia" w:ascii="宋体" w:hAnsi="宋体" w:eastAsia="宋体" w:cs="宋体"/>
          <w:color w:val="auto"/>
          <w:sz w:val="21"/>
          <w:szCs w:val="21"/>
          <w:lang w:val="en-US" w:eastAsia="zh-CN"/>
        </w:rPr>
        <w:t xml:space="preserve"> </w:t>
      </w:r>
    </w:p>
    <w:p w14:paraId="4BAC8513">
      <w:pPr>
        <w:pStyle w:val="22"/>
        <w:spacing w:before="0" w:beforeAutospacing="0" w:after="0" w:afterAutospacing="0" w:line="36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 xml:space="preserve">    自本公告发布之日起</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个工作日。</w:t>
      </w:r>
    </w:p>
    <w:p w14:paraId="46A6ECF8">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六、其他事项</w:t>
      </w:r>
      <w:r>
        <w:rPr>
          <w:rFonts w:hint="eastAsia" w:ascii="宋体" w:hAnsi="宋体" w:eastAsia="宋体" w:cs="宋体"/>
          <w:b/>
          <w:bCs/>
          <w:sz w:val="21"/>
          <w:szCs w:val="21"/>
          <w:u w:val="single"/>
          <w:lang w:eastAsia="zh-CN"/>
        </w:rPr>
        <w:t>（</w:t>
      </w:r>
      <w:r>
        <w:rPr>
          <w:rFonts w:hint="eastAsia" w:ascii="宋体" w:hAnsi="宋体" w:eastAsia="宋体" w:cs="宋体"/>
          <w:b/>
          <w:bCs/>
          <w:sz w:val="21"/>
          <w:szCs w:val="21"/>
          <w:u w:val="single"/>
          <w:lang w:val="en-US" w:eastAsia="zh-CN"/>
        </w:rPr>
        <w:t>标项1、标项2、标项3、标项4通用</w:t>
      </w:r>
      <w:r>
        <w:rPr>
          <w:rFonts w:hint="eastAsia" w:ascii="宋体" w:hAnsi="宋体" w:eastAsia="宋体" w:cs="宋体"/>
          <w:b/>
          <w:bCs/>
          <w:sz w:val="21"/>
          <w:szCs w:val="21"/>
          <w:u w:val="single"/>
          <w:lang w:eastAsia="zh-CN"/>
        </w:rPr>
        <w:t>）</w:t>
      </w:r>
    </w:p>
    <w:p w14:paraId="202885B4">
      <w:pPr>
        <w:adjustRightInd w:val="0"/>
        <w:snapToGrid w:val="0"/>
        <w:spacing w:line="360" w:lineRule="auto"/>
        <w:ind w:firstLine="630" w:firstLineChars="0"/>
        <w:rPr>
          <w:rFonts w:hint="eastAsia" w:ascii="宋体" w:hAnsi="宋体" w:eastAsia="宋体" w:cs="宋体"/>
          <w:sz w:val="21"/>
          <w:szCs w:val="21"/>
        </w:rPr>
      </w:pPr>
      <w:r>
        <w:rPr>
          <w:rFonts w:hint="eastAsia" w:ascii="宋体" w:hAnsi="宋体" w:eastAsia="宋体" w:cs="宋体"/>
          <w:sz w:val="21"/>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1F7E519">
      <w:pPr>
        <w:adjustRightInd w:val="0"/>
        <w:snapToGrid w:val="0"/>
        <w:spacing w:line="360" w:lineRule="auto"/>
        <w:ind w:firstLine="630" w:firstLineChars="0"/>
        <w:rPr>
          <w:rFonts w:hint="eastAsia" w:ascii="宋体" w:hAnsi="宋体" w:eastAsia="宋体" w:cs="宋体"/>
          <w:sz w:val="21"/>
          <w:szCs w:val="21"/>
        </w:rPr>
      </w:pPr>
      <w:r>
        <w:rPr>
          <w:rFonts w:hint="eastAsia" w:ascii="宋体" w:hAnsi="宋体" w:eastAsia="宋体" w:cs="宋体"/>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BBDE823">
      <w:pPr>
        <w:adjustRightInd w:val="0"/>
        <w:snapToGrid w:val="0"/>
        <w:spacing w:line="360" w:lineRule="auto"/>
        <w:ind w:firstLine="630" w:firstLineChars="0"/>
        <w:rPr>
          <w:rFonts w:hint="eastAsia" w:ascii="宋体" w:hAnsi="宋体" w:eastAsia="宋体" w:cs="宋体"/>
          <w:sz w:val="21"/>
          <w:szCs w:val="21"/>
        </w:rPr>
      </w:pPr>
      <w:r>
        <w:rPr>
          <w:rFonts w:hint="eastAsia" w:ascii="宋体" w:hAnsi="宋体" w:eastAsia="宋体" w:cs="宋体"/>
          <w:sz w:val="21"/>
          <w:szCs w:val="21"/>
        </w:rPr>
        <w:t>3.供应商认为</w:t>
      </w:r>
      <w:r>
        <w:rPr>
          <w:rFonts w:hint="eastAsia" w:ascii="宋体" w:hAnsi="宋体" w:eastAsia="宋体" w:cs="宋体"/>
          <w:sz w:val="21"/>
          <w:szCs w:val="21"/>
          <w:lang w:eastAsia="zh-CN"/>
        </w:rPr>
        <w:t>采购文件</w:t>
      </w:r>
      <w:r>
        <w:rPr>
          <w:rFonts w:hint="eastAsia" w:ascii="宋体" w:hAnsi="宋体" w:eastAsia="宋体" w:cs="宋体"/>
          <w:sz w:val="21"/>
          <w:szCs w:val="21"/>
        </w:rPr>
        <w:t>使自己的权益受到损害的，可以自获取</w:t>
      </w:r>
      <w:r>
        <w:rPr>
          <w:rFonts w:hint="eastAsia" w:ascii="宋体" w:hAnsi="宋体" w:eastAsia="宋体" w:cs="宋体"/>
          <w:sz w:val="21"/>
          <w:szCs w:val="21"/>
          <w:lang w:eastAsia="zh-CN"/>
        </w:rPr>
        <w:t>采购文件</w:t>
      </w:r>
      <w:r>
        <w:rPr>
          <w:rFonts w:hint="eastAsia" w:ascii="宋体" w:hAnsi="宋体" w:eastAsia="宋体" w:cs="宋体"/>
          <w:sz w:val="21"/>
          <w:szCs w:val="21"/>
        </w:rPr>
        <w:t>之日或者采购公告期限届满之日（公告期限届满后获取</w:t>
      </w:r>
      <w:r>
        <w:rPr>
          <w:rFonts w:hint="eastAsia" w:ascii="宋体" w:hAnsi="宋体" w:eastAsia="宋体" w:cs="宋体"/>
          <w:sz w:val="21"/>
          <w:szCs w:val="21"/>
          <w:lang w:eastAsia="zh-CN"/>
        </w:rPr>
        <w:t>采购文件</w:t>
      </w:r>
      <w:r>
        <w:rPr>
          <w:rFonts w:hint="eastAsia" w:ascii="宋体" w:hAnsi="宋体" w:eastAsia="宋体" w:cs="宋体"/>
          <w:sz w:val="21"/>
          <w:szCs w:val="21"/>
        </w:rPr>
        <w:t>的，以公告期限届满之日为准）起7个工作日内，对</w:t>
      </w:r>
      <w:r>
        <w:rPr>
          <w:rFonts w:hint="eastAsia" w:ascii="宋体" w:hAnsi="宋体" w:eastAsia="宋体" w:cs="宋体"/>
          <w:sz w:val="21"/>
          <w:szCs w:val="21"/>
          <w:lang w:eastAsia="zh-CN"/>
        </w:rPr>
        <w:t>采购文件</w:t>
      </w:r>
      <w:r>
        <w:rPr>
          <w:rFonts w:hint="eastAsia" w:ascii="宋体" w:hAnsi="宋体" w:eastAsia="宋体" w:cs="宋体"/>
          <w:sz w:val="21"/>
          <w:szCs w:val="21"/>
        </w:rPr>
        <w:t>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5706D66">
      <w:pPr>
        <w:adjustRightInd w:val="0"/>
        <w:snapToGrid w:val="0"/>
        <w:ind w:firstLine="630" w:firstLineChars="0"/>
        <w:rPr>
          <w:rFonts w:hint="eastAsia" w:ascii="宋体" w:hAnsi="宋体" w:eastAsia="宋体" w:cs="宋体"/>
          <w:sz w:val="21"/>
          <w:szCs w:val="21"/>
        </w:rPr>
      </w:pPr>
      <w:r>
        <w:rPr>
          <w:rFonts w:hint="eastAsia" w:ascii="宋体" w:hAnsi="宋体" w:eastAsia="宋体" w:cs="宋体"/>
          <w:sz w:val="21"/>
          <w:szCs w:val="21"/>
        </w:rPr>
        <w:t>4.其他事项：无</w:t>
      </w:r>
    </w:p>
    <w:p w14:paraId="4245E475">
      <w:pPr>
        <w:pStyle w:val="10"/>
        <w:rPr>
          <w:rFonts w:hint="eastAsia" w:ascii="宋体" w:hAnsi="宋体" w:eastAsia="宋体" w:cs="宋体"/>
          <w:b w:val="0"/>
          <w:snapToGrid w:val="0"/>
          <w:color w:val="000000"/>
          <w:kern w:val="0"/>
          <w:sz w:val="21"/>
          <w:szCs w:val="21"/>
          <w:lang w:val="en-US" w:eastAsia="en-US" w:bidi="ar-SA"/>
        </w:rPr>
      </w:pPr>
      <w:r>
        <w:rPr>
          <w:rFonts w:hint="eastAsia" w:ascii="宋体" w:hAnsi="宋体" w:eastAsia="宋体" w:cs="宋体"/>
          <w:sz w:val="21"/>
          <w:szCs w:val="21"/>
        </w:rPr>
        <w:t>七、</w:t>
      </w:r>
      <w:r>
        <w:rPr>
          <w:rFonts w:hint="eastAsia" w:ascii="宋体" w:hAnsi="宋体" w:eastAsia="宋体" w:cs="宋体"/>
          <w:b w:val="0"/>
          <w:snapToGrid w:val="0"/>
          <w:color w:val="000000"/>
          <w:kern w:val="0"/>
          <w:sz w:val="21"/>
          <w:szCs w:val="21"/>
          <w:lang w:val="en-US" w:eastAsia="en-US" w:bidi="ar-SA"/>
        </w:rPr>
        <w:t>对本次采购提出询问、质疑、投诉，请按以下方式联系</w:t>
      </w:r>
    </w:p>
    <w:p w14:paraId="3BF86FE1">
      <w:pPr>
        <w:adjustRightInd w:val="0"/>
        <w:snapToGrid w:val="0"/>
        <w:ind w:firstLine="0" w:firstLineChars="0"/>
        <w:rPr>
          <w:rFonts w:hint="eastAsia" w:ascii="宋体" w:hAnsi="宋体" w:eastAsia="宋体" w:cs="宋体"/>
          <w:sz w:val="21"/>
          <w:szCs w:val="21"/>
        </w:rPr>
      </w:pPr>
      <w:r>
        <w:rPr>
          <w:rFonts w:hint="eastAsia" w:ascii="宋体" w:hAnsi="宋体" w:eastAsia="宋体" w:cs="宋体"/>
          <w:sz w:val="21"/>
          <w:szCs w:val="21"/>
        </w:rPr>
        <w:t>  1.采购人信息</w:t>
      </w:r>
    </w:p>
    <w:p w14:paraId="45F3F2CE">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lang w:val="en-US" w:eastAsia="zh-CN"/>
        </w:rPr>
        <w:t>名</w:t>
      </w:r>
      <w:r>
        <w:rPr>
          <w:rFonts w:hint="eastAsia" w:ascii="宋体" w:hAnsi="宋体" w:eastAsia="宋体" w:cs="宋体"/>
          <w:sz w:val="21"/>
          <w:szCs w:val="21"/>
        </w:rPr>
        <w:t xml:space="preserve">   称：温州市职业中等专业学校</w:t>
      </w:r>
    </w:p>
    <w:p w14:paraId="010DC482">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地址：温州市龙湾区金海三道443号</w:t>
      </w:r>
    </w:p>
    <w:p w14:paraId="5FE84145">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传真：/</w:t>
      </w:r>
    </w:p>
    <w:p w14:paraId="1E014AB6">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项目联系人（询问）：梅老师</w:t>
      </w:r>
    </w:p>
    <w:p w14:paraId="5AA57957">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项目联系方式（询问）：0577-88900998</w:t>
      </w:r>
    </w:p>
    <w:p w14:paraId="794924A3">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质疑联系人：夏老师</w:t>
      </w:r>
    </w:p>
    <w:p w14:paraId="1D1DDAA7">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质疑联系方式：0577-88901161　　　　　　　</w:t>
      </w:r>
    </w:p>
    <w:p w14:paraId="39F412D5">
      <w:pPr>
        <w:adjustRightInd w:val="0"/>
        <w:snapToGrid w:val="0"/>
        <w:ind w:firstLine="0" w:firstLineChars="0"/>
        <w:rPr>
          <w:rFonts w:hint="eastAsia" w:ascii="宋体" w:hAnsi="宋体" w:eastAsia="宋体" w:cs="宋体"/>
          <w:sz w:val="21"/>
          <w:szCs w:val="21"/>
        </w:rPr>
      </w:pPr>
      <w:r>
        <w:rPr>
          <w:rFonts w:hint="eastAsia" w:ascii="宋体" w:hAnsi="宋体" w:eastAsia="宋体" w:cs="宋体"/>
          <w:sz w:val="21"/>
          <w:szCs w:val="21"/>
        </w:rPr>
        <w:t>   2.采购代理机构信息</w:t>
      </w:r>
    </w:p>
    <w:p w14:paraId="52D68F3E">
      <w:pPr>
        <w:adjustRightInd w:val="0"/>
        <w:snapToGrid w:val="0"/>
        <w:ind w:firstLine="0" w:firstLineChars="0"/>
        <w:rPr>
          <w:rFonts w:hint="eastAsia" w:ascii="宋体" w:hAnsi="宋体" w:eastAsia="宋体" w:cs="宋体"/>
          <w:sz w:val="21"/>
          <w:szCs w:val="21"/>
        </w:rPr>
      </w:pPr>
      <w:r>
        <w:rPr>
          <w:rFonts w:hint="eastAsia" w:ascii="宋体" w:hAnsi="宋体" w:eastAsia="宋体" w:cs="宋体"/>
          <w:sz w:val="21"/>
          <w:szCs w:val="21"/>
        </w:rPr>
        <w:t>    名    称：温州得恒项目管理咨询有限公司 　　　　　　　　　　　</w:t>
      </w:r>
    </w:p>
    <w:p w14:paraId="6AA2687B">
      <w:pPr>
        <w:adjustRightInd w:val="0"/>
        <w:snapToGrid w:val="0"/>
        <w:ind w:firstLine="0" w:firstLineChars="0"/>
        <w:rPr>
          <w:rFonts w:hint="eastAsia" w:ascii="宋体" w:hAnsi="宋体" w:eastAsia="宋体" w:cs="宋体"/>
          <w:sz w:val="21"/>
          <w:szCs w:val="21"/>
        </w:rPr>
      </w:pPr>
      <w:r>
        <w:rPr>
          <w:rFonts w:hint="eastAsia" w:ascii="宋体" w:hAnsi="宋体" w:eastAsia="宋体" w:cs="宋体"/>
          <w:sz w:val="21"/>
          <w:szCs w:val="21"/>
        </w:rPr>
        <w:t>    地    址：温州市鹿城区仁信大厦4楼</w:t>
      </w:r>
    </w:p>
    <w:p w14:paraId="1055DF06">
      <w:pPr>
        <w:adjustRightInd w:val="0"/>
        <w:snapToGrid w:val="0"/>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项目联系人（询问）：吴振建</w:t>
      </w:r>
    </w:p>
    <w:p w14:paraId="30672DAC">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项目联系方式（询问）：</w:t>
      </w:r>
      <w:r>
        <w:rPr>
          <w:rFonts w:hint="eastAsia" w:ascii="宋体" w:hAnsi="宋体" w:eastAsia="宋体" w:cs="宋体"/>
          <w:sz w:val="21"/>
          <w:szCs w:val="21"/>
          <w:lang w:val="en-US" w:eastAsia="zh-CN"/>
        </w:rPr>
        <w:t>18968849896</w:t>
      </w:r>
      <w:r>
        <w:rPr>
          <w:rFonts w:hint="eastAsia" w:ascii="宋体" w:hAnsi="宋体" w:eastAsia="宋体" w:cs="宋体"/>
          <w:sz w:val="21"/>
          <w:szCs w:val="21"/>
        </w:rPr>
        <w:t xml:space="preserve"> </w:t>
      </w:r>
    </w:p>
    <w:p w14:paraId="7730C298">
      <w:pPr>
        <w:adjustRightInd w:val="0"/>
        <w:snapToGrid w:val="0"/>
        <w:ind w:firstLine="0" w:firstLineChars="0"/>
        <w:rPr>
          <w:rFonts w:hint="eastAsia" w:ascii="宋体" w:hAnsi="宋体" w:eastAsia="宋体" w:cs="宋体"/>
          <w:sz w:val="21"/>
          <w:szCs w:val="21"/>
        </w:rPr>
      </w:pPr>
      <w:r>
        <w:rPr>
          <w:rFonts w:hint="eastAsia" w:ascii="宋体" w:hAnsi="宋体" w:eastAsia="宋体" w:cs="宋体"/>
          <w:sz w:val="21"/>
          <w:szCs w:val="21"/>
        </w:rPr>
        <w:t>    质疑联系人：</w:t>
      </w:r>
      <w:r>
        <w:rPr>
          <w:rFonts w:hint="eastAsia" w:ascii="宋体" w:hAnsi="宋体" w:eastAsia="宋体" w:cs="宋体"/>
          <w:sz w:val="21"/>
          <w:szCs w:val="21"/>
          <w:lang w:val="en-US" w:eastAsia="zh-CN"/>
        </w:rPr>
        <w:t>唐</w:t>
      </w:r>
      <w:r>
        <w:rPr>
          <w:rFonts w:hint="eastAsia" w:ascii="宋体" w:hAnsi="宋体" w:eastAsia="宋体" w:cs="宋体"/>
          <w:sz w:val="21"/>
          <w:szCs w:val="21"/>
        </w:rPr>
        <w:t>先生 </w:t>
      </w:r>
    </w:p>
    <w:p w14:paraId="0A0ED960">
      <w:pPr>
        <w:adjustRightInd w:val="0"/>
        <w:snapToGrid w:val="0"/>
        <w:ind w:firstLine="0" w:firstLineChars="0"/>
        <w:rPr>
          <w:rFonts w:hint="eastAsia" w:ascii="宋体" w:hAnsi="宋体" w:eastAsia="宋体" w:cs="宋体"/>
          <w:sz w:val="21"/>
          <w:szCs w:val="21"/>
        </w:rPr>
      </w:pPr>
      <w:r>
        <w:rPr>
          <w:rFonts w:hint="eastAsia" w:ascii="宋体" w:hAnsi="宋体" w:eastAsia="宋体" w:cs="宋体"/>
          <w:sz w:val="21"/>
          <w:szCs w:val="21"/>
        </w:rPr>
        <w:t>    质疑联系方式：1</w:t>
      </w:r>
      <w:r>
        <w:rPr>
          <w:rFonts w:hint="eastAsia" w:ascii="宋体" w:hAnsi="宋体" w:eastAsia="宋体" w:cs="宋体"/>
          <w:sz w:val="21"/>
          <w:szCs w:val="21"/>
          <w:lang w:val="en-US" w:eastAsia="zh-CN"/>
        </w:rPr>
        <w:t>8806519368</w:t>
      </w:r>
      <w:r>
        <w:rPr>
          <w:rFonts w:hint="eastAsia" w:ascii="宋体" w:hAnsi="宋体" w:eastAsia="宋体" w:cs="宋体"/>
          <w:sz w:val="21"/>
          <w:szCs w:val="21"/>
        </w:rPr>
        <w:t>　</w:t>
      </w:r>
    </w:p>
    <w:p w14:paraId="5A3AD23A">
      <w:pPr>
        <w:numPr>
          <w:ilvl w:val="0"/>
          <w:numId w:val="2"/>
        </w:numPr>
        <w:adjustRightInd w:val="0"/>
        <w:snapToGrid w:val="0"/>
        <w:ind w:left="42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部门集中采购管理部门</w:t>
      </w:r>
    </w:p>
    <w:p w14:paraId="13B84DDA">
      <w:pPr>
        <w:pStyle w:val="10"/>
        <w:ind w:firstLine="630" w:firstLineChars="300"/>
        <w:rPr>
          <w:rFonts w:hint="eastAsia" w:ascii="宋体" w:hAnsi="宋体" w:eastAsia="宋体" w:cs="宋体"/>
          <w:b w:val="0"/>
          <w:snapToGrid w:val="0"/>
          <w:color w:val="000000"/>
          <w:kern w:val="0"/>
          <w:sz w:val="21"/>
          <w:szCs w:val="21"/>
          <w:lang w:val="en-US" w:eastAsia="zh-CN" w:bidi="ar-SA"/>
        </w:rPr>
      </w:pPr>
      <w:r>
        <w:rPr>
          <w:rFonts w:hint="eastAsia" w:ascii="宋体" w:hAnsi="宋体" w:cs="宋体"/>
          <w:b w:val="0"/>
          <w:snapToGrid w:val="0"/>
          <w:color w:val="000000"/>
          <w:kern w:val="0"/>
          <w:sz w:val="21"/>
          <w:szCs w:val="21"/>
          <w:lang w:val="en-US" w:eastAsia="zh-CN" w:bidi="ar-SA"/>
        </w:rPr>
        <w:t>名      称</w:t>
      </w:r>
      <w:r>
        <w:rPr>
          <w:rFonts w:hint="eastAsia" w:ascii="宋体" w:hAnsi="宋体" w:eastAsia="宋体" w:cs="宋体"/>
          <w:b w:val="0"/>
          <w:snapToGrid w:val="0"/>
          <w:color w:val="000000"/>
          <w:kern w:val="0"/>
          <w:sz w:val="21"/>
          <w:szCs w:val="21"/>
          <w:lang w:val="en-US" w:eastAsia="zh-CN" w:bidi="ar-SA"/>
        </w:rPr>
        <w:t>：温州市教育系统政府采购工作委员会办公室</w:t>
      </w:r>
    </w:p>
    <w:p w14:paraId="2053F876">
      <w:pPr>
        <w:pStyle w:val="10"/>
        <w:ind w:firstLine="630" w:firstLineChars="300"/>
        <w:rPr>
          <w:rFonts w:hint="default" w:ascii="宋体" w:hAnsi="宋体" w:eastAsia="宋体" w:cs="宋体"/>
          <w:b w:val="0"/>
          <w:snapToGrid w:val="0"/>
          <w:color w:val="000000"/>
          <w:kern w:val="0"/>
          <w:sz w:val="21"/>
          <w:szCs w:val="21"/>
          <w:lang w:val="en-US" w:eastAsia="zh-CN" w:bidi="ar-SA"/>
        </w:rPr>
      </w:pPr>
      <w:r>
        <w:rPr>
          <w:rFonts w:hint="eastAsia" w:ascii="宋体" w:hAnsi="宋体" w:eastAsia="宋体" w:cs="宋体"/>
          <w:b w:val="0"/>
          <w:snapToGrid w:val="0"/>
          <w:color w:val="000000"/>
          <w:kern w:val="0"/>
          <w:sz w:val="21"/>
          <w:szCs w:val="21"/>
          <w:lang w:val="en-US" w:eastAsia="zh-CN" w:bidi="ar-SA"/>
        </w:rPr>
        <w:t>地</w:t>
      </w:r>
      <w:r>
        <w:rPr>
          <w:rFonts w:hint="eastAsia" w:ascii="宋体" w:hAnsi="宋体" w:cs="宋体"/>
          <w:b w:val="0"/>
          <w:snapToGrid w:val="0"/>
          <w:color w:val="000000"/>
          <w:kern w:val="0"/>
          <w:sz w:val="21"/>
          <w:szCs w:val="21"/>
          <w:lang w:val="en-US" w:eastAsia="zh-CN" w:bidi="ar-SA"/>
        </w:rPr>
        <w:t xml:space="preserve">      </w:t>
      </w:r>
      <w:r>
        <w:rPr>
          <w:rFonts w:hint="eastAsia" w:ascii="宋体" w:hAnsi="宋体" w:eastAsia="宋体" w:cs="宋体"/>
          <w:b w:val="0"/>
          <w:snapToGrid w:val="0"/>
          <w:color w:val="000000"/>
          <w:kern w:val="0"/>
          <w:sz w:val="21"/>
          <w:szCs w:val="21"/>
          <w:lang w:val="en-US" w:eastAsia="zh-CN" w:bidi="ar-SA"/>
        </w:rPr>
        <w:t>址：温州市市府路490号</w:t>
      </w:r>
      <w:r>
        <w:rPr>
          <w:rFonts w:hint="eastAsia" w:ascii="宋体" w:hAnsi="宋体" w:cs="宋体"/>
          <w:b w:val="0"/>
          <w:snapToGrid w:val="0"/>
          <w:color w:val="000000"/>
          <w:kern w:val="0"/>
          <w:sz w:val="21"/>
          <w:szCs w:val="21"/>
          <w:lang w:val="en-US" w:eastAsia="zh-CN" w:bidi="ar-SA"/>
        </w:rPr>
        <w:t>1205室</w:t>
      </w:r>
    </w:p>
    <w:p w14:paraId="44778355">
      <w:pPr>
        <w:pStyle w:val="10"/>
        <w:ind w:firstLine="630" w:firstLineChars="300"/>
        <w:rPr>
          <w:rFonts w:hint="eastAsia" w:ascii="宋体" w:hAnsi="宋体" w:eastAsia="宋体" w:cs="宋体"/>
          <w:b w:val="0"/>
          <w:snapToGrid w:val="0"/>
          <w:color w:val="000000"/>
          <w:kern w:val="0"/>
          <w:sz w:val="21"/>
          <w:szCs w:val="21"/>
          <w:lang w:val="en-US" w:eastAsia="zh-CN" w:bidi="ar-SA"/>
        </w:rPr>
      </w:pPr>
      <w:r>
        <w:rPr>
          <w:rFonts w:hint="eastAsia" w:ascii="宋体" w:hAnsi="宋体" w:cs="宋体"/>
          <w:b w:val="0"/>
          <w:snapToGrid w:val="0"/>
          <w:color w:val="000000"/>
          <w:kern w:val="0"/>
          <w:sz w:val="21"/>
          <w:szCs w:val="21"/>
          <w:lang w:val="en-US" w:eastAsia="zh-CN" w:bidi="ar-SA"/>
        </w:rPr>
        <w:t>项目</w:t>
      </w:r>
      <w:r>
        <w:rPr>
          <w:rFonts w:hint="eastAsia" w:ascii="宋体" w:hAnsi="宋体" w:eastAsia="宋体" w:cs="宋体"/>
          <w:b w:val="0"/>
          <w:snapToGrid w:val="0"/>
          <w:color w:val="000000"/>
          <w:kern w:val="0"/>
          <w:sz w:val="21"/>
          <w:szCs w:val="21"/>
          <w:lang w:val="en-US" w:eastAsia="zh-CN" w:bidi="ar-SA"/>
        </w:rPr>
        <w:t>联系人：</w:t>
      </w:r>
      <w:r>
        <w:rPr>
          <w:rFonts w:hint="eastAsia" w:ascii="宋体" w:hAnsi="宋体" w:cs="宋体"/>
          <w:b w:val="0"/>
          <w:snapToGrid w:val="0"/>
          <w:color w:val="000000"/>
          <w:kern w:val="0"/>
          <w:sz w:val="21"/>
          <w:szCs w:val="21"/>
          <w:lang w:val="en-US" w:eastAsia="zh-CN" w:bidi="ar-SA"/>
        </w:rPr>
        <w:t>季</w:t>
      </w:r>
      <w:r>
        <w:rPr>
          <w:rFonts w:hint="eastAsia" w:ascii="宋体" w:hAnsi="宋体" w:eastAsia="宋体" w:cs="宋体"/>
          <w:b w:val="0"/>
          <w:snapToGrid w:val="0"/>
          <w:color w:val="000000"/>
          <w:kern w:val="0"/>
          <w:sz w:val="21"/>
          <w:szCs w:val="21"/>
          <w:lang w:val="en-US" w:eastAsia="zh-CN" w:bidi="ar-SA"/>
        </w:rPr>
        <w:t>老师</w:t>
      </w:r>
    </w:p>
    <w:p w14:paraId="08734BD7">
      <w:pPr>
        <w:pStyle w:val="10"/>
        <w:ind w:firstLine="630" w:firstLineChars="300"/>
        <w:rPr>
          <w:rFonts w:hint="eastAsia" w:ascii="宋体" w:hAnsi="宋体" w:eastAsia="宋体" w:cs="宋体"/>
          <w:b w:val="0"/>
          <w:snapToGrid w:val="0"/>
          <w:color w:val="000000"/>
          <w:kern w:val="0"/>
          <w:sz w:val="21"/>
          <w:szCs w:val="21"/>
          <w:lang w:val="en-US" w:eastAsia="zh-CN" w:bidi="ar-SA"/>
        </w:rPr>
      </w:pPr>
      <w:r>
        <w:rPr>
          <w:rFonts w:hint="eastAsia" w:ascii="宋体" w:hAnsi="宋体" w:eastAsia="宋体" w:cs="宋体"/>
          <w:b w:val="0"/>
          <w:snapToGrid w:val="0"/>
          <w:color w:val="000000"/>
          <w:kern w:val="0"/>
          <w:sz w:val="21"/>
          <w:szCs w:val="21"/>
          <w:lang w:val="en-US" w:eastAsia="zh-CN" w:bidi="ar-SA"/>
        </w:rPr>
        <w:t>联系方式：0577-88288071</w:t>
      </w:r>
    </w:p>
    <w:p w14:paraId="2DE40F2E">
      <w:pPr>
        <w:ind w:firstLine="630" w:firstLineChars="300"/>
        <w:rPr>
          <w:rFonts w:hint="default" w:ascii="宋体" w:hAnsi="宋体" w:eastAsia="宋体" w:cs="宋体"/>
          <w:b w:val="0"/>
          <w:snapToGrid w:val="0"/>
          <w:color w:val="000000"/>
          <w:kern w:val="0"/>
          <w:sz w:val="21"/>
          <w:szCs w:val="21"/>
          <w:lang w:val="en-US" w:eastAsia="zh-CN" w:bidi="ar-SA"/>
        </w:rPr>
      </w:pPr>
      <w:r>
        <w:rPr>
          <w:rFonts w:hint="eastAsia" w:ascii="宋体" w:hAnsi="宋体" w:eastAsia="宋体" w:cs="宋体"/>
          <w:b w:val="0"/>
          <w:snapToGrid w:val="0"/>
          <w:color w:val="000000"/>
          <w:kern w:val="0"/>
          <w:sz w:val="21"/>
          <w:szCs w:val="21"/>
          <w:lang w:val="en-US" w:eastAsia="zh-CN" w:bidi="ar-SA"/>
        </w:rPr>
        <w:t>质疑联系人：彭老师</w:t>
      </w:r>
    </w:p>
    <w:p w14:paraId="7B00FFF9">
      <w:pPr>
        <w:pStyle w:val="10"/>
        <w:ind w:firstLine="630" w:firstLineChars="300"/>
        <w:rPr>
          <w:rFonts w:hint="default"/>
          <w:lang w:val="en-US" w:eastAsia="zh-CN"/>
        </w:rPr>
      </w:pPr>
      <w:r>
        <w:rPr>
          <w:rFonts w:hint="eastAsia" w:ascii="宋体" w:hAnsi="宋体" w:cs="宋体"/>
          <w:b w:val="0"/>
          <w:snapToGrid w:val="0"/>
          <w:color w:val="000000"/>
          <w:kern w:val="0"/>
          <w:sz w:val="21"/>
          <w:szCs w:val="21"/>
          <w:lang w:val="en-US" w:eastAsia="zh-CN" w:bidi="ar-SA"/>
        </w:rPr>
        <w:t>质疑联系方式：0577-88682625</w:t>
      </w:r>
    </w:p>
    <w:p w14:paraId="149678DB">
      <w:pPr>
        <w:numPr>
          <w:ilvl w:val="0"/>
          <w:numId w:val="2"/>
        </w:numPr>
        <w:adjustRightInd w:val="0"/>
        <w:snapToGrid w:val="0"/>
        <w:ind w:left="42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同级政府采购监督管理部门</w:t>
      </w:r>
      <w:r>
        <w:rPr>
          <w:rFonts w:hint="eastAsia" w:ascii="宋体" w:hAnsi="宋体" w:eastAsia="宋体" w:cs="宋体"/>
          <w:sz w:val="21"/>
          <w:szCs w:val="21"/>
          <w:lang w:val="en-US" w:eastAsia="zh-CN"/>
        </w:rPr>
        <w:t xml:space="preserve"> </w:t>
      </w:r>
    </w:p>
    <w:p w14:paraId="10FF4797">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名    称：温州市财政局（浙江省政府采购行政裁决服务中心（温州））</w:t>
      </w:r>
    </w:p>
    <w:p w14:paraId="6A902A8F">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地    址：温州市鹿城区滨江街道瓯江路展银大厦1606室</w:t>
      </w:r>
    </w:p>
    <w:p w14:paraId="32B65A73">
      <w:pPr>
        <w:adjustRightInd w:val="0"/>
        <w:snapToGrid w:val="0"/>
        <w:ind w:firstLine="630" w:firstLineChars="300"/>
        <w:rPr>
          <w:rFonts w:hint="eastAsia" w:ascii="宋体" w:hAnsi="宋体" w:eastAsia="宋体" w:cs="宋体"/>
          <w:sz w:val="21"/>
          <w:szCs w:val="21"/>
          <w:lang w:val="en-US" w:eastAsia="zh-CN"/>
        </w:rPr>
      </w:pPr>
      <w:r>
        <w:rPr>
          <w:rFonts w:hint="eastAsia" w:ascii="宋体" w:hAnsi="宋体" w:eastAsia="宋体" w:cs="宋体"/>
          <w:sz w:val="21"/>
          <w:szCs w:val="21"/>
        </w:rPr>
        <w:t>传    真：</w:t>
      </w:r>
      <w:r>
        <w:rPr>
          <w:rFonts w:hint="eastAsia" w:ascii="宋体" w:hAnsi="宋体" w:eastAsia="宋体" w:cs="宋体"/>
          <w:sz w:val="21"/>
          <w:szCs w:val="21"/>
          <w:lang w:val="en-US" w:eastAsia="zh-CN"/>
        </w:rPr>
        <w:t>/</w:t>
      </w:r>
    </w:p>
    <w:p w14:paraId="198EDA60">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联 系 人：李老师、王老师</w:t>
      </w:r>
    </w:p>
    <w:p w14:paraId="434FC4A6">
      <w:pPr>
        <w:adjustRightInd w:val="0"/>
        <w:snapToGrid w:val="0"/>
        <w:ind w:firstLine="630" w:firstLineChars="300"/>
        <w:rPr>
          <w:rFonts w:hint="eastAsia" w:ascii="宋体" w:hAnsi="宋体" w:eastAsia="宋体" w:cs="宋体"/>
          <w:sz w:val="21"/>
          <w:szCs w:val="21"/>
        </w:rPr>
      </w:pPr>
      <w:r>
        <w:rPr>
          <w:rFonts w:hint="eastAsia" w:ascii="宋体" w:hAnsi="宋体" w:eastAsia="宋体" w:cs="宋体"/>
          <w:sz w:val="21"/>
          <w:szCs w:val="21"/>
        </w:rPr>
        <w:t>监督投诉电话：0577-85501561，0577-85501562 </w:t>
      </w:r>
    </w:p>
    <w:p w14:paraId="66A3AEB7">
      <w:pPr>
        <w:adjustRightInd w:val="0"/>
        <w:snapToGrid w:val="0"/>
        <w:ind w:firstLine="630" w:firstLineChars="0"/>
        <w:rPr>
          <w:rFonts w:hint="eastAsia" w:ascii="宋体" w:hAnsi="宋体" w:eastAsia="宋体" w:cs="宋体"/>
          <w:sz w:val="21"/>
          <w:szCs w:val="21"/>
        </w:rPr>
      </w:pPr>
      <w:r>
        <w:rPr>
          <w:rFonts w:hint="eastAsia" w:ascii="宋体" w:hAnsi="宋体" w:eastAsia="宋体" w:cs="宋体"/>
          <w:sz w:val="21"/>
          <w:szCs w:val="21"/>
        </w:rPr>
        <w:t> </w:t>
      </w:r>
    </w:p>
    <w:p w14:paraId="62FC7DC9">
      <w:pPr>
        <w:widowControl/>
        <w:ind w:firstLine="420"/>
        <w:jc w:val="left"/>
        <w:rPr>
          <w:rFonts w:hint="eastAsia" w:ascii="宋体" w:hAnsi="宋体" w:eastAsia="宋体" w:cs="宋体"/>
          <w:color w:val="000000"/>
          <w:kern w:val="0"/>
          <w:sz w:val="21"/>
          <w:szCs w:val="21"/>
          <w:lang w:bidi="ar"/>
        </w:rPr>
      </w:pPr>
    </w:p>
    <w:p w14:paraId="5988FCFF">
      <w:pPr>
        <w:widowControl/>
        <w:spacing w:line="24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kern w:val="0"/>
          <w:sz w:val="21"/>
          <w:szCs w:val="21"/>
          <w:lang w:bidi="ar"/>
        </w:rPr>
        <w:t>若对项目采购电子交易系统操作有疑问，可登录政采云（https://www.zcygov.cn/），点击右侧咨询小采，获取采小蜜智能服务管家帮助，或拨打政采云服务热线400-881-7190获取</w:t>
      </w:r>
      <w:r>
        <w:rPr>
          <w:rFonts w:hint="eastAsia" w:ascii="宋体" w:hAnsi="宋体" w:eastAsia="宋体" w:cs="宋体"/>
          <w:color w:val="000000"/>
          <w:kern w:val="0"/>
          <w:szCs w:val="21"/>
          <w:lang w:bidi="ar"/>
        </w:rPr>
        <w:t>热线服务帮助。       </w:t>
      </w:r>
    </w:p>
    <w:p w14:paraId="5F15DB01">
      <w:pPr>
        <w:widowControl/>
        <w:spacing w:line="240" w:lineRule="auto"/>
        <w:ind w:firstLine="0" w:firstLineChars="0"/>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CA问题联系电话（人工）：汇信CA 400-888-4636；天谷CA 400-087-8198</w:t>
      </w:r>
    </w:p>
    <w:p w14:paraId="4B327D41">
      <w:pPr>
        <w:rPr>
          <w:rStyle w:val="33"/>
          <w:rFonts w:hint="default" w:ascii="宋体" w:hAnsi="宋体" w:eastAsia="宋体" w:cs="宋体"/>
          <w:highlight w:val="cyan"/>
          <w:lang w:val="en-US"/>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000000"/>
          <w:kern w:val="0"/>
          <w:szCs w:val="21"/>
          <w:lang w:bidi="ar"/>
        </w:rPr>
        <w:br w:type="page"/>
      </w:r>
    </w:p>
    <w:p w14:paraId="4F8491F1">
      <w:pPr>
        <w:pStyle w:val="2"/>
        <w:numPr>
          <w:ilvl w:val="0"/>
          <w:numId w:val="3"/>
        </w:numPr>
        <w:ind w:firstLine="643"/>
        <w:rPr>
          <w:rFonts w:hint="eastAsia" w:ascii="宋体" w:hAnsi="宋体" w:eastAsia="宋体" w:cs="宋体"/>
        </w:rPr>
      </w:pPr>
      <w:r>
        <w:rPr>
          <w:rFonts w:hint="eastAsia" w:ascii="宋体" w:hAnsi="宋体" w:eastAsia="宋体" w:cs="宋体"/>
        </w:rPr>
        <w:t xml:space="preserve">   </w:t>
      </w:r>
      <w:bookmarkStart w:id="10" w:name="_Toc28118"/>
      <w:r>
        <w:rPr>
          <w:rFonts w:hint="eastAsia" w:ascii="宋体" w:hAnsi="宋体" w:eastAsia="宋体" w:cs="宋体"/>
        </w:rPr>
        <w:t>供应商须知</w:t>
      </w:r>
      <w:bookmarkEnd w:id="10"/>
    </w:p>
    <w:p w14:paraId="0DA77221">
      <w:pPr>
        <w:pStyle w:val="3"/>
        <w:ind w:firstLine="602"/>
        <w:rPr>
          <w:rFonts w:hint="eastAsia" w:ascii="宋体" w:hAnsi="宋体" w:eastAsia="宋体" w:cs="宋体"/>
        </w:rPr>
      </w:pPr>
      <w:bookmarkStart w:id="11" w:name="_Toc208"/>
      <w:r>
        <w:rPr>
          <w:rFonts w:hint="eastAsia" w:ascii="宋体" w:hAnsi="宋体" w:eastAsia="宋体" w:cs="宋体"/>
        </w:rPr>
        <w:t>供应商须知前附表（标项1、标项2、标项3、标项4通用）</w:t>
      </w:r>
      <w:bookmarkEnd w:id="11"/>
    </w:p>
    <w:tbl>
      <w:tblPr>
        <w:tblStyle w:val="25"/>
        <w:tblW w:w="498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36"/>
        <w:gridCol w:w="1462"/>
        <w:gridCol w:w="7326"/>
      </w:tblGrid>
      <w:tr w14:paraId="4ACBF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trPr>
        <w:tc>
          <w:tcPr>
            <w:tcW w:w="527" w:type="pct"/>
            <w:shd w:val="clear" w:color="000000" w:fill="FFFFFF"/>
            <w:noWrap w:val="0"/>
            <w:vAlign w:val="center"/>
          </w:tcPr>
          <w:p w14:paraId="76DD4813">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序号</w:t>
            </w:r>
          </w:p>
        </w:tc>
        <w:tc>
          <w:tcPr>
            <w:tcW w:w="744" w:type="pct"/>
            <w:shd w:val="clear" w:color="000000" w:fill="FFFFFF"/>
            <w:noWrap w:val="0"/>
            <w:vAlign w:val="center"/>
          </w:tcPr>
          <w:p w14:paraId="23446CA4">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条款名称</w:t>
            </w:r>
          </w:p>
        </w:tc>
        <w:tc>
          <w:tcPr>
            <w:tcW w:w="3727" w:type="pct"/>
            <w:shd w:val="clear" w:color="000000" w:fill="FFFFFF"/>
            <w:noWrap w:val="0"/>
            <w:vAlign w:val="center"/>
          </w:tcPr>
          <w:p w14:paraId="1D9A4ADA">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编列内容</w:t>
            </w:r>
          </w:p>
        </w:tc>
      </w:tr>
      <w:tr w14:paraId="153AD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3" w:hRule="atLeast"/>
        </w:trPr>
        <w:tc>
          <w:tcPr>
            <w:tcW w:w="527" w:type="pct"/>
            <w:shd w:val="clear" w:color="000000" w:fill="FFFFFF"/>
            <w:noWrap w:val="0"/>
            <w:vAlign w:val="center"/>
          </w:tcPr>
          <w:p w14:paraId="2DA1A615">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w:t>
            </w:r>
          </w:p>
        </w:tc>
        <w:tc>
          <w:tcPr>
            <w:tcW w:w="744" w:type="pct"/>
            <w:shd w:val="clear" w:color="000000" w:fill="FFFFFF"/>
            <w:noWrap w:val="0"/>
            <w:vAlign w:val="center"/>
          </w:tcPr>
          <w:p w14:paraId="6BCA6D87">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采购人</w:t>
            </w:r>
          </w:p>
        </w:tc>
        <w:tc>
          <w:tcPr>
            <w:tcW w:w="3727" w:type="pct"/>
            <w:shd w:val="clear" w:color="000000" w:fill="FFFFFF"/>
            <w:noWrap w:val="0"/>
            <w:vAlign w:val="center"/>
          </w:tcPr>
          <w:p w14:paraId="2DBA5B1F">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名称：温州市职业中等专业学校</w:t>
            </w:r>
          </w:p>
          <w:p w14:paraId="33588081">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地址：温州市龙湾区金海三道443号</w:t>
            </w:r>
          </w:p>
          <w:p w14:paraId="315DA6C6">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项目联系人（询问）：梅老师</w:t>
            </w:r>
          </w:p>
          <w:p w14:paraId="34D04EC7">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项目联系方式（询问）：0577-88900998</w:t>
            </w:r>
          </w:p>
          <w:p w14:paraId="30D7FD0A">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质疑联系人：夏老师</w:t>
            </w:r>
          </w:p>
          <w:p w14:paraId="3A07DE48">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质疑联系方式：0577-88901161</w:t>
            </w:r>
          </w:p>
        </w:tc>
      </w:tr>
      <w:tr w14:paraId="082CA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0" w:hRule="atLeast"/>
        </w:trPr>
        <w:tc>
          <w:tcPr>
            <w:tcW w:w="527" w:type="pct"/>
            <w:shd w:val="clear" w:color="000000" w:fill="FFFFFF"/>
            <w:noWrap w:val="0"/>
            <w:vAlign w:val="center"/>
          </w:tcPr>
          <w:p w14:paraId="29D4C0CF">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w:t>
            </w:r>
          </w:p>
        </w:tc>
        <w:tc>
          <w:tcPr>
            <w:tcW w:w="744" w:type="pct"/>
            <w:shd w:val="clear" w:color="000000" w:fill="FFFFFF"/>
            <w:noWrap w:val="0"/>
            <w:vAlign w:val="center"/>
          </w:tcPr>
          <w:p w14:paraId="16D4AB31">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采购代理机构</w:t>
            </w:r>
          </w:p>
        </w:tc>
        <w:tc>
          <w:tcPr>
            <w:tcW w:w="3727" w:type="pct"/>
            <w:shd w:val="clear" w:color="000000" w:fill="FFFFFF"/>
            <w:noWrap w:val="0"/>
            <w:vAlign w:val="center"/>
          </w:tcPr>
          <w:p w14:paraId="1E11499E">
            <w:pPr>
              <w:keepNext w:val="0"/>
              <w:keepLines w:val="0"/>
              <w:widowControl/>
              <w:suppressLineNumbers w:val="0"/>
              <w:spacing w:before="0" w:beforeAutospacing="0" w:after="0" w:afterAutospacing="0"/>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 xml:space="preserve">招标代理公司：温州得恒项目管理咨询有限公司   </w:t>
            </w:r>
          </w:p>
          <w:p w14:paraId="28F3F8D8">
            <w:pPr>
              <w:keepNext w:val="0"/>
              <w:keepLines w:val="0"/>
              <w:widowControl/>
              <w:suppressLineNumbers w:val="0"/>
              <w:spacing w:before="0" w:beforeAutospacing="0" w:after="0" w:afterAutospacing="0"/>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地址：温州市鹿城区仁信大厦4楼</w:t>
            </w:r>
          </w:p>
          <w:p w14:paraId="60607A2A">
            <w:pPr>
              <w:keepNext w:val="0"/>
              <w:keepLines w:val="0"/>
              <w:widowControl/>
              <w:suppressLineNumbers w:val="0"/>
              <w:spacing w:before="0" w:beforeAutospacing="0" w:after="0" w:afterAutospacing="0"/>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电话： 18968849896</w:t>
            </w:r>
          </w:p>
          <w:p w14:paraId="46BB3F8F">
            <w:pPr>
              <w:keepNext w:val="0"/>
              <w:keepLines w:val="0"/>
              <w:widowControl/>
              <w:suppressLineNumbers w:val="0"/>
              <w:spacing w:before="0" w:beforeAutospacing="0" w:after="0" w:afterAutospacing="0"/>
              <w:ind w:left="0" w:right="0" w:firstLine="0" w:firstLineChars="0"/>
              <w:rPr>
                <w:rFonts w:hint="eastAsia" w:ascii="宋体" w:hAnsi="宋体" w:eastAsia="宋体" w:cs="宋体"/>
                <w:color w:val="auto"/>
                <w:kern w:val="0"/>
                <w:sz w:val="21"/>
                <w:szCs w:val="21"/>
                <w:lang w:val="zh-CN"/>
              </w:rPr>
            </w:pPr>
            <w:r>
              <w:rPr>
                <w:rFonts w:hint="eastAsia" w:ascii="宋体" w:hAnsi="宋体" w:eastAsia="宋体" w:cs="宋体"/>
                <w:color w:val="auto"/>
                <w:sz w:val="21"/>
                <w:szCs w:val="21"/>
              </w:rPr>
              <w:t>联系人：吴先生</w:t>
            </w:r>
          </w:p>
        </w:tc>
      </w:tr>
      <w:tr w14:paraId="44EB6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527" w:type="pct"/>
            <w:shd w:val="clear" w:color="000000" w:fill="FFFFFF"/>
            <w:noWrap w:val="0"/>
            <w:vAlign w:val="center"/>
          </w:tcPr>
          <w:p w14:paraId="747F34D5">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w:t>
            </w:r>
          </w:p>
        </w:tc>
        <w:tc>
          <w:tcPr>
            <w:tcW w:w="744" w:type="pct"/>
            <w:shd w:val="clear" w:color="000000" w:fill="FFFFFF"/>
            <w:noWrap w:val="0"/>
            <w:vAlign w:val="center"/>
          </w:tcPr>
          <w:p w14:paraId="53226BCA">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采购名称</w:t>
            </w:r>
          </w:p>
        </w:tc>
        <w:tc>
          <w:tcPr>
            <w:tcW w:w="3727" w:type="pct"/>
            <w:shd w:val="clear" w:color="000000" w:fill="FFFFFF"/>
            <w:noWrap w:val="0"/>
            <w:vAlign w:val="center"/>
          </w:tcPr>
          <w:p w14:paraId="1F9F9133">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机电学部实训装备项目</w:t>
            </w:r>
          </w:p>
          <w:p w14:paraId="6572674D">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项目编号：WZDH-H20250926CWZ  </w:t>
            </w:r>
          </w:p>
        </w:tc>
      </w:tr>
      <w:tr w14:paraId="2CC9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527" w:type="pct"/>
            <w:shd w:val="clear" w:color="000000" w:fill="FFFFFF"/>
            <w:noWrap w:val="0"/>
            <w:vAlign w:val="center"/>
          </w:tcPr>
          <w:p w14:paraId="612CFD91">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4</w:t>
            </w:r>
          </w:p>
        </w:tc>
        <w:tc>
          <w:tcPr>
            <w:tcW w:w="744" w:type="pct"/>
            <w:shd w:val="clear" w:color="000000" w:fill="FFFFFF"/>
            <w:noWrap w:val="0"/>
            <w:vAlign w:val="center"/>
          </w:tcPr>
          <w:p w14:paraId="181F6F1D">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招标内容</w:t>
            </w:r>
          </w:p>
        </w:tc>
        <w:tc>
          <w:tcPr>
            <w:tcW w:w="3727" w:type="pct"/>
            <w:shd w:val="clear" w:color="000000" w:fill="FFFFFF"/>
            <w:noWrap w:val="0"/>
            <w:vAlign w:val="center"/>
          </w:tcPr>
          <w:p w14:paraId="5CA38456">
            <w:pPr>
              <w:keepNext w:val="0"/>
              <w:keepLines w:val="0"/>
              <w:widowControl/>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 xml:space="preserve"> </w:t>
            </w:r>
            <w:r>
              <w:rPr>
                <w:rFonts w:hint="eastAsia" w:ascii="宋体" w:hAnsi="宋体" w:eastAsia="宋体" w:cs="宋体"/>
                <w:kern w:val="0"/>
                <w:sz w:val="21"/>
                <w:szCs w:val="21"/>
                <w:lang w:eastAsia="zh-CN"/>
              </w:rPr>
              <w:t>机电学部实训装备项目</w:t>
            </w:r>
            <w:r>
              <w:rPr>
                <w:rFonts w:hint="eastAsia" w:ascii="宋体" w:hAnsi="宋体" w:eastAsia="宋体" w:cs="宋体"/>
                <w:kern w:val="0"/>
                <w:sz w:val="21"/>
                <w:szCs w:val="21"/>
              </w:rPr>
              <w:t>，预算金额（元）:</w:t>
            </w:r>
            <w:r>
              <w:rPr>
                <w:rFonts w:hint="eastAsia" w:ascii="宋体" w:hAnsi="宋体" w:eastAsia="宋体" w:cs="宋体"/>
                <w:kern w:val="0"/>
                <w:sz w:val="21"/>
                <w:szCs w:val="21"/>
                <w:lang w:val="en-US" w:eastAsia="zh-CN"/>
              </w:rPr>
              <w:t>4954000</w:t>
            </w:r>
            <w:r>
              <w:rPr>
                <w:rFonts w:hint="eastAsia" w:ascii="宋体" w:hAnsi="宋体" w:eastAsia="宋体" w:cs="宋体"/>
                <w:kern w:val="0"/>
                <w:sz w:val="21"/>
                <w:szCs w:val="21"/>
              </w:rPr>
              <w:t>元，具体招标内容及要求详见</w:t>
            </w:r>
            <w:r>
              <w:rPr>
                <w:rFonts w:hint="eastAsia" w:ascii="宋体" w:hAnsi="宋体" w:eastAsia="宋体" w:cs="宋体"/>
                <w:kern w:val="0"/>
                <w:sz w:val="21"/>
                <w:szCs w:val="21"/>
                <w:lang w:eastAsia="zh-CN"/>
              </w:rPr>
              <w:t>采购文件</w:t>
            </w:r>
            <w:r>
              <w:rPr>
                <w:rFonts w:hint="eastAsia" w:ascii="宋体" w:hAnsi="宋体" w:eastAsia="宋体" w:cs="宋体"/>
                <w:kern w:val="0"/>
                <w:sz w:val="21"/>
                <w:szCs w:val="21"/>
              </w:rPr>
              <w:t>相关部分</w:t>
            </w:r>
          </w:p>
        </w:tc>
      </w:tr>
      <w:tr w14:paraId="404AC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527" w:type="pct"/>
            <w:shd w:val="clear" w:color="000000" w:fill="FFFFFF"/>
            <w:noWrap w:val="0"/>
            <w:vAlign w:val="center"/>
          </w:tcPr>
          <w:p w14:paraId="551505ED">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5</w:t>
            </w:r>
          </w:p>
        </w:tc>
        <w:tc>
          <w:tcPr>
            <w:tcW w:w="744" w:type="pct"/>
            <w:shd w:val="clear" w:color="000000" w:fill="FFFFFF"/>
            <w:noWrap w:val="0"/>
            <w:vAlign w:val="center"/>
          </w:tcPr>
          <w:p w14:paraId="4FC53231">
            <w:pPr>
              <w:keepNext w:val="0"/>
              <w:keepLines w:val="0"/>
              <w:widowControl/>
              <w:suppressLineNumbers w:val="0"/>
              <w:autoSpaceDE w:val="0"/>
              <w:autoSpaceDN w:val="0"/>
              <w:adjustRightInd w:val="0"/>
              <w:spacing w:before="0" w:beforeAutospacing="0" w:after="0" w:afterAutospacing="0"/>
              <w:ind w:left="0" w:right="-34" w:firstLine="0" w:firstLineChars="0"/>
              <w:rPr>
                <w:rFonts w:hint="eastAsia" w:ascii="宋体" w:hAnsi="宋体" w:eastAsia="宋体" w:cs="宋体"/>
                <w:color w:val="0000FF"/>
                <w:kern w:val="0"/>
                <w:sz w:val="21"/>
                <w:szCs w:val="21"/>
              </w:rPr>
            </w:pPr>
            <w:r>
              <w:rPr>
                <w:rFonts w:hint="eastAsia" w:ascii="宋体" w:hAnsi="宋体" w:eastAsia="宋体" w:cs="宋体"/>
                <w:b/>
                <w:bCs/>
                <w:color w:val="0000FF"/>
                <w:kern w:val="0"/>
                <w:sz w:val="21"/>
                <w:szCs w:val="21"/>
                <w:lang w:val="zh-CN"/>
              </w:rPr>
              <w:t>▲</w:t>
            </w:r>
            <w:r>
              <w:rPr>
                <w:rFonts w:hint="eastAsia" w:ascii="宋体" w:hAnsi="宋体" w:eastAsia="宋体" w:cs="宋体"/>
                <w:b/>
                <w:bCs/>
                <w:color w:val="0000FF"/>
                <w:kern w:val="0"/>
                <w:sz w:val="21"/>
                <w:szCs w:val="21"/>
                <w:u w:val="single"/>
              </w:rPr>
              <w:t>供货期</w:t>
            </w:r>
          </w:p>
        </w:tc>
        <w:tc>
          <w:tcPr>
            <w:tcW w:w="3727" w:type="pct"/>
            <w:shd w:val="clear" w:color="000000" w:fill="FFFFFF"/>
            <w:noWrap w:val="0"/>
            <w:vAlign w:val="center"/>
          </w:tcPr>
          <w:p w14:paraId="6B97D22C">
            <w:pPr>
              <w:keepNext w:val="0"/>
              <w:keepLines w:val="0"/>
              <w:widowControl/>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rPr>
              <w:t>合同签订后60日历天内</w:t>
            </w:r>
            <w:r>
              <w:rPr>
                <w:rFonts w:hint="eastAsia" w:ascii="宋体" w:hAnsi="宋体" w:eastAsia="宋体" w:cs="宋体"/>
                <w:color w:val="0000FF"/>
                <w:kern w:val="0"/>
                <w:sz w:val="21"/>
                <w:szCs w:val="21"/>
              </w:rPr>
              <w:t>完成项目所有货物的供货、安装，详见</w:t>
            </w:r>
            <w:r>
              <w:rPr>
                <w:rFonts w:hint="eastAsia" w:ascii="宋体" w:hAnsi="宋体" w:eastAsia="宋体" w:cs="宋体"/>
                <w:color w:val="0000FF"/>
                <w:kern w:val="0"/>
                <w:sz w:val="21"/>
                <w:szCs w:val="21"/>
                <w:lang w:eastAsia="zh-CN"/>
              </w:rPr>
              <w:t>采购文件</w:t>
            </w:r>
            <w:r>
              <w:rPr>
                <w:rFonts w:hint="eastAsia" w:ascii="宋体" w:hAnsi="宋体" w:eastAsia="宋体" w:cs="宋体"/>
                <w:color w:val="0000FF"/>
                <w:kern w:val="0"/>
                <w:sz w:val="21"/>
                <w:szCs w:val="21"/>
              </w:rPr>
              <w:t xml:space="preserve">。  </w:t>
            </w:r>
          </w:p>
        </w:tc>
      </w:tr>
      <w:tr w14:paraId="621A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6" w:hRule="atLeast"/>
        </w:trPr>
        <w:tc>
          <w:tcPr>
            <w:tcW w:w="527" w:type="pct"/>
            <w:shd w:val="clear" w:color="000000" w:fill="FFFFFF"/>
            <w:noWrap w:val="0"/>
            <w:vAlign w:val="center"/>
          </w:tcPr>
          <w:p w14:paraId="646120B9">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6</w:t>
            </w:r>
          </w:p>
        </w:tc>
        <w:tc>
          <w:tcPr>
            <w:tcW w:w="744" w:type="pct"/>
            <w:shd w:val="clear" w:color="000000" w:fill="FFFFFF"/>
            <w:noWrap w:val="0"/>
            <w:vAlign w:val="center"/>
          </w:tcPr>
          <w:p w14:paraId="6636E26D">
            <w:pPr>
              <w:keepNext w:val="0"/>
              <w:keepLines w:val="0"/>
              <w:widowControl/>
              <w:suppressLineNumbers w:val="0"/>
              <w:autoSpaceDE w:val="0"/>
              <w:autoSpaceDN w:val="0"/>
              <w:adjustRightInd w:val="0"/>
              <w:spacing w:before="0" w:beforeAutospacing="0" w:after="0" w:afterAutospacing="0"/>
              <w:ind w:left="0" w:right="-34" w:firstLine="0" w:firstLineChars="0"/>
              <w:rPr>
                <w:rFonts w:hint="eastAsia" w:ascii="宋体" w:hAnsi="宋体" w:eastAsia="宋体" w:cs="宋体"/>
                <w:kern w:val="0"/>
                <w:sz w:val="21"/>
                <w:szCs w:val="21"/>
                <w:lang w:val="zh-CN"/>
              </w:rPr>
            </w:pPr>
            <w:r>
              <w:rPr>
                <w:rFonts w:hint="eastAsia" w:ascii="宋体" w:hAnsi="宋体" w:eastAsia="宋体" w:cs="宋体"/>
                <w:b/>
                <w:bCs/>
                <w:kern w:val="0"/>
                <w:sz w:val="21"/>
                <w:szCs w:val="21"/>
                <w:u w:val="single"/>
                <w:lang w:val="zh-CN"/>
              </w:rPr>
              <w:t>▲投标供应</w:t>
            </w:r>
            <w:r>
              <w:rPr>
                <w:rFonts w:hint="eastAsia" w:ascii="宋体" w:hAnsi="宋体" w:eastAsia="宋体" w:cs="宋体"/>
                <w:b/>
                <w:bCs/>
                <w:kern w:val="0"/>
                <w:sz w:val="21"/>
                <w:szCs w:val="21"/>
                <w:u w:val="single"/>
              </w:rPr>
              <w:t>商（申请人）资格要求</w:t>
            </w:r>
          </w:p>
        </w:tc>
        <w:tc>
          <w:tcPr>
            <w:tcW w:w="3727" w:type="pct"/>
            <w:shd w:val="clear" w:color="000000" w:fill="FFFFFF"/>
            <w:noWrap w:val="0"/>
            <w:vAlign w:val="center"/>
          </w:tcPr>
          <w:p w14:paraId="348326B6">
            <w:pPr>
              <w:pStyle w:val="22"/>
              <w:keepNext w:val="0"/>
              <w:keepLines w:val="0"/>
              <w:suppressLineNumbers w:val="0"/>
              <w:spacing w:before="0" w:beforeAutospacing="0" w:after="0" w:afterAutospacing="0"/>
              <w:ind w:left="0" w:right="0"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14:paraId="152DA196">
            <w:pPr>
              <w:pStyle w:val="22"/>
              <w:keepNext w:val="0"/>
              <w:keepLines w:val="0"/>
              <w:suppressLineNumbers w:val="0"/>
              <w:spacing w:before="0" w:beforeAutospacing="0" w:after="0" w:afterAutospacing="0"/>
              <w:ind w:left="0" w:right="0"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2.落实政府采购政策需满足的资格要求：/ </w:t>
            </w:r>
          </w:p>
          <w:p w14:paraId="68981100">
            <w:pPr>
              <w:pStyle w:val="22"/>
              <w:keepNext w:val="0"/>
              <w:keepLines w:val="0"/>
              <w:suppressLineNumbers w:val="0"/>
              <w:spacing w:before="0" w:beforeAutospacing="0" w:after="0" w:afterAutospacing="0"/>
              <w:ind w:left="0" w:right="0"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3.本项目的特定资格要求：</w:t>
            </w:r>
          </w:p>
          <w:p w14:paraId="7DF60A2E">
            <w:pPr>
              <w:pStyle w:val="22"/>
              <w:keepNext w:val="0"/>
              <w:keepLines w:val="0"/>
              <w:suppressLineNumbers w:val="0"/>
              <w:spacing w:before="0" w:beforeAutospacing="0" w:after="0" w:afterAutospacing="0"/>
              <w:ind w:left="0" w:right="0"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（1）单位负责人为同一人或者存在直接控股、管理关系的不同供应商，不得参加同一合同项下的政府采购活动；</w:t>
            </w:r>
          </w:p>
          <w:p w14:paraId="63B5ECD4">
            <w:pPr>
              <w:pStyle w:val="22"/>
              <w:keepNext w:val="0"/>
              <w:keepLines w:val="0"/>
              <w:suppressLineNumbers w:val="0"/>
              <w:spacing w:before="0" w:beforeAutospacing="0" w:after="0" w:afterAutospacing="0"/>
              <w:ind w:left="0" w:right="0"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供应商未被列入“信用中国”网(www.creditchina.gov.cn)和“中国政府采购网”（www.ccgp.gov.cn）失信被执行人、重大税收违法案件当事人名单、政府采购严重违法失信行为记录名单且尚处于禁止参加政府采购活动期内。</w:t>
            </w:r>
          </w:p>
        </w:tc>
      </w:tr>
      <w:tr w14:paraId="143F2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35" w:hRule="atLeast"/>
        </w:trPr>
        <w:tc>
          <w:tcPr>
            <w:tcW w:w="527" w:type="pct"/>
            <w:shd w:val="clear" w:color="000000" w:fill="FFFFFF"/>
            <w:noWrap w:val="0"/>
            <w:vAlign w:val="center"/>
          </w:tcPr>
          <w:p w14:paraId="597967C5">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7</w:t>
            </w:r>
          </w:p>
        </w:tc>
        <w:tc>
          <w:tcPr>
            <w:tcW w:w="744" w:type="pct"/>
            <w:shd w:val="clear" w:color="000000" w:fill="FFFFFF"/>
            <w:noWrap w:val="0"/>
            <w:vAlign w:val="center"/>
          </w:tcPr>
          <w:p w14:paraId="6AB2F6EB">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是否接受联合体投标</w:t>
            </w:r>
          </w:p>
        </w:tc>
        <w:tc>
          <w:tcPr>
            <w:tcW w:w="3727" w:type="pct"/>
            <w:shd w:val="clear" w:color="000000" w:fill="FFFFFF"/>
            <w:noWrap w:val="0"/>
            <w:vAlign w:val="center"/>
          </w:tcPr>
          <w:p w14:paraId="49EDC549">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b/>
                <w:snapToGrid w:val="0"/>
                <w:sz w:val="21"/>
                <w:szCs w:val="21"/>
              </w:rPr>
              <w:sym w:font="Wingdings" w:char="00A8"/>
            </w:r>
            <w:r>
              <w:rPr>
                <w:rFonts w:hint="eastAsia" w:ascii="宋体" w:hAnsi="宋体" w:eastAsia="宋体" w:cs="宋体"/>
                <w:kern w:val="0"/>
                <w:sz w:val="21"/>
                <w:szCs w:val="21"/>
                <w:lang w:val="zh-CN"/>
              </w:rPr>
              <w:t>不接受</w:t>
            </w:r>
          </w:p>
          <w:p w14:paraId="6E5F27D8">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zh-CN"/>
              </w:rPr>
              <w:t>接受</w:t>
            </w:r>
          </w:p>
        </w:tc>
      </w:tr>
      <w:tr w14:paraId="4BD3E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35" w:hRule="atLeast"/>
        </w:trPr>
        <w:tc>
          <w:tcPr>
            <w:tcW w:w="527" w:type="pct"/>
            <w:shd w:val="clear" w:color="000000" w:fill="FFFFFF"/>
            <w:noWrap w:val="0"/>
            <w:vAlign w:val="center"/>
          </w:tcPr>
          <w:p w14:paraId="38D39110">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8</w:t>
            </w:r>
          </w:p>
        </w:tc>
        <w:tc>
          <w:tcPr>
            <w:tcW w:w="744" w:type="pct"/>
            <w:shd w:val="clear" w:color="000000" w:fill="FFFFFF"/>
            <w:noWrap w:val="0"/>
            <w:vAlign w:val="center"/>
          </w:tcPr>
          <w:p w14:paraId="621E7D8A">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踏勘现场</w:t>
            </w:r>
          </w:p>
        </w:tc>
        <w:tc>
          <w:tcPr>
            <w:tcW w:w="3727" w:type="pct"/>
            <w:shd w:val="clear" w:color="000000" w:fill="FFFFFF"/>
            <w:noWrap w:val="0"/>
            <w:vAlign w:val="center"/>
          </w:tcPr>
          <w:p w14:paraId="22C96B7D">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□组织</w:t>
            </w:r>
          </w:p>
          <w:p w14:paraId="1550FD00">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b/>
                <w:snapToGrid w:val="0"/>
                <w:sz w:val="21"/>
                <w:szCs w:val="21"/>
              </w:rPr>
              <w:sym w:font="Wingdings" w:char="F0FE"/>
            </w:r>
            <w:r>
              <w:rPr>
                <w:rFonts w:hint="eastAsia" w:ascii="宋体" w:hAnsi="宋体" w:eastAsia="宋体" w:cs="宋体"/>
                <w:kern w:val="0"/>
                <w:sz w:val="21"/>
                <w:szCs w:val="21"/>
                <w:lang w:val="zh-CN"/>
              </w:rPr>
              <w:t>不组织</w:t>
            </w:r>
          </w:p>
        </w:tc>
      </w:tr>
      <w:tr w14:paraId="4456C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35" w:hRule="atLeast"/>
        </w:trPr>
        <w:tc>
          <w:tcPr>
            <w:tcW w:w="527" w:type="pct"/>
            <w:shd w:val="clear" w:color="000000" w:fill="FFFFFF"/>
            <w:noWrap w:val="0"/>
            <w:vAlign w:val="center"/>
          </w:tcPr>
          <w:p w14:paraId="711B1D08">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9</w:t>
            </w:r>
          </w:p>
        </w:tc>
        <w:tc>
          <w:tcPr>
            <w:tcW w:w="744" w:type="pct"/>
            <w:shd w:val="clear" w:color="000000" w:fill="FFFFFF"/>
            <w:noWrap w:val="0"/>
            <w:vAlign w:val="center"/>
          </w:tcPr>
          <w:p w14:paraId="0164EAE2">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投标预备会</w:t>
            </w:r>
          </w:p>
        </w:tc>
        <w:tc>
          <w:tcPr>
            <w:tcW w:w="3727" w:type="pct"/>
            <w:shd w:val="clear" w:color="000000" w:fill="FFFFFF"/>
            <w:noWrap w:val="0"/>
            <w:vAlign w:val="center"/>
          </w:tcPr>
          <w:p w14:paraId="1AD23305">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□召开</w:t>
            </w:r>
          </w:p>
          <w:p w14:paraId="61CA5502">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b/>
                <w:snapToGrid w:val="0"/>
                <w:sz w:val="21"/>
                <w:szCs w:val="21"/>
              </w:rPr>
              <w:sym w:font="Wingdings" w:char="F0FE"/>
            </w:r>
            <w:r>
              <w:rPr>
                <w:rFonts w:hint="eastAsia" w:ascii="宋体" w:hAnsi="宋体" w:eastAsia="宋体" w:cs="宋体"/>
                <w:kern w:val="0"/>
                <w:sz w:val="21"/>
                <w:szCs w:val="21"/>
                <w:lang w:val="zh-CN"/>
              </w:rPr>
              <w:t>不召开</w:t>
            </w:r>
          </w:p>
        </w:tc>
      </w:tr>
      <w:tr w14:paraId="14C2B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35" w:hRule="atLeast"/>
        </w:trPr>
        <w:tc>
          <w:tcPr>
            <w:tcW w:w="527" w:type="pct"/>
            <w:shd w:val="clear" w:color="000000" w:fill="FFFFFF"/>
            <w:noWrap w:val="0"/>
            <w:vAlign w:val="center"/>
          </w:tcPr>
          <w:p w14:paraId="1243DDF4">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10</w:t>
            </w:r>
          </w:p>
        </w:tc>
        <w:tc>
          <w:tcPr>
            <w:tcW w:w="744" w:type="pct"/>
            <w:shd w:val="clear" w:color="000000" w:fill="FFFFFF"/>
            <w:noWrap w:val="0"/>
            <w:vAlign w:val="center"/>
          </w:tcPr>
          <w:p w14:paraId="1BBF432E">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rPr>
              <w:t>投标</w:t>
            </w:r>
            <w:r>
              <w:rPr>
                <w:rFonts w:hint="eastAsia" w:ascii="宋体" w:hAnsi="宋体" w:eastAsia="宋体" w:cs="宋体"/>
                <w:kern w:val="0"/>
                <w:sz w:val="21"/>
                <w:szCs w:val="21"/>
                <w:lang w:val="zh-CN"/>
              </w:rPr>
              <w:t>截止时间</w:t>
            </w:r>
          </w:p>
        </w:tc>
        <w:tc>
          <w:tcPr>
            <w:tcW w:w="3727" w:type="pct"/>
            <w:shd w:val="clear" w:color="000000" w:fill="FFFFFF"/>
            <w:noWrap w:val="0"/>
            <w:vAlign w:val="center"/>
          </w:tcPr>
          <w:p w14:paraId="39D2A372">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rPr>
            </w:pPr>
            <w:r>
              <w:rPr>
                <w:rFonts w:hint="eastAsia" w:ascii="宋体" w:hAnsi="宋体" w:eastAsia="宋体" w:cs="宋体"/>
                <w:bCs/>
                <w:kern w:val="0"/>
                <w:sz w:val="21"/>
                <w:szCs w:val="21"/>
              </w:rPr>
              <w:t>见采购公告</w:t>
            </w:r>
          </w:p>
        </w:tc>
      </w:tr>
      <w:tr w14:paraId="6CCDC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35" w:hRule="atLeast"/>
        </w:trPr>
        <w:tc>
          <w:tcPr>
            <w:tcW w:w="527" w:type="pct"/>
            <w:shd w:val="clear" w:color="000000" w:fill="FFFFFF"/>
            <w:noWrap w:val="0"/>
            <w:vAlign w:val="center"/>
          </w:tcPr>
          <w:p w14:paraId="38221FE7">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11</w:t>
            </w:r>
          </w:p>
        </w:tc>
        <w:tc>
          <w:tcPr>
            <w:tcW w:w="744" w:type="pct"/>
            <w:shd w:val="clear" w:color="000000" w:fill="FFFFFF"/>
            <w:noWrap w:val="0"/>
            <w:vAlign w:val="center"/>
          </w:tcPr>
          <w:p w14:paraId="7473A384">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分包</w:t>
            </w:r>
          </w:p>
        </w:tc>
        <w:tc>
          <w:tcPr>
            <w:tcW w:w="3727" w:type="pct"/>
            <w:shd w:val="clear" w:color="000000" w:fill="FFFFFF"/>
            <w:noWrap w:val="0"/>
            <w:vAlign w:val="center"/>
          </w:tcPr>
          <w:p w14:paraId="055D33DB">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rPr>
            </w:pPr>
            <w:r>
              <w:rPr>
                <w:rFonts w:hint="eastAsia" w:ascii="宋体" w:hAnsi="宋体" w:eastAsia="宋体" w:cs="宋体"/>
                <w:b/>
                <w:snapToGrid w:val="0"/>
                <w:sz w:val="21"/>
                <w:szCs w:val="21"/>
              </w:rPr>
              <w:sym w:font="Wingdings" w:char="00A8"/>
            </w:r>
            <w:r>
              <w:rPr>
                <w:rFonts w:hint="eastAsia" w:ascii="宋体" w:hAnsi="宋体" w:eastAsia="宋体" w:cs="宋体"/>
                <w:kern w:val="0"/>
                <w:sz w:val="21"/>
                <w:szCs w:val="21"/>
                <w:lang w:val="zh-CN"/>
              </w:rPr>
              <w:t>允许</w:t>
            </w:r>
          </w:p>
          <w:p w14:paraId="3F7B65E7">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b/>
                <w:snapToGrid w:val="0"/>
                <w:sz w:val="21"/>
                <w:szCs w:val="21"/>
              </w:rPr>
              <w:sym w:font="Wingdings" w:char="00FE"/>
            </w:r>
            <w:r>
              <w:rPr>
                <w:rFonts w:hint="eastAsia" w:ascii="宋体" w:hAnsi="宋体" w:eastAsia="宋体" w:cs="宋体"/>
                <w:kern w:val="0"/>
                <w:sz w:val="21"/>
                <w:szCs w:val="21"/>
                <w:lang w:val="zh-CN"/>
              </w:rPr>
              <w:t>不允许</w:t>
            </w:r>
          </w:p>
        </w:tc>
      </w:tr>
      <w:tr w14:paraId="5B827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80" w:hRule="atLeast"/>
        </w:trPr>
        <w:tc>
          <w:tcPr>
            <w:tcW w:w="527" w:type="pct"/>
            <w:shd w:val="clear" w:color="000000" w:fill="FFFFFF"/>
            <w:noWrap w:val="0"/>
            <w:vAlign w:val="center"/>
          </w:tcPr>
          <w:p w14:paraId="76AEB05B">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12</w:t>
            </w:r>
          </w:p>
        </w:tc>
        <w:tc>
          <w:tcPr>
            <w:tcW w:w="744" w:type="pct"/>
            <w:shd w:val="clear" w:color="000000" w:fill="FFFFFF"/>
            <w:noWrap w:val="0"/>
            <w:vAlign w:val="center"/>
          </w:tcPr>
          <w:p w14:paraId="7F37CDAB">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偏离</w:t>
            </w:r>
          </w:p>
        </w:tc>
        <w:tc>
          <w:tcPr>
            <w:tcW w:w="3727" w:type="pct"/>
            <w:shd w:val="clear" w:color="000000" w:fill="FFFFFF"/>
            <w:noWrap w:val="0"/>
            <w:vAlign w:val="center"/>
          </w:tcPr>
          <w:p w14:paraId="35692A36">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rPr>
            </w:pPr>
            <w:r>
              <w:rPr>
                <w:rFonts w:hint="eastAsia" w:ascii="宋体" w:hAnsi="宋体" w:eastAsia="宋体" w:cs="宋体"/>
                <w:b/>
                <w:snapToGrid w:val="0"/>
                <w:sz w:val="21"/>
                <w:szCs w:val="21"/>
              </w:rPr>
              <w:sym w:font="Wingdings" w:char="00FE"/>
            </w:r>
            <w:r>
              <w:rPr>
                <w:rFonts w:hint="eastAsia" w:ascii="宋体" w:hAnsi="宋体" w:eastAsia="宋体" w:cs="宋体"/>
                <w:kern w:val="0"/>
                <w:sz w:val="21"/>
                <w:szCs w:val="21"/>
                <w:lang w:val="zh-CN"/>
              </w:rPr>
              <w:t>允许</w:t>
            </w:r>
          </w:p>
          <w:p w14:paraId="75CEF086">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b/>
                <w:snapToGrid w:val="0"/>
                <w:sz w:val="21"/>
                <w:szCs w:val="21"/>
              </w:rPr>
              <w:sym w:font="Wingdings" w:char="00A8"/>
            </w:r>
            <w:r>
              <w:rPr>
                <w:rFonts w:hint="eastAsia" w:ascii="宋体" w:hAnsi="宋体" w:eastAsia="宋体" w:cs="宋体"/>
                <w:kern w:val="0"/>
                <w:sz w:val="21"/>
                <w:szCs w:val="21"/>
                <w:lang w:val="zh-CN"/>
              </w:rPr>
              <w:t>不允许</w:t>
            </w:r>
          </w:p>
        </w:tc>
      </w:tr>
      <w:tr w14:paraId="3E158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85" w:hRule="atLeast"/>
        </w:trPr>
        <w:tc>
          <w:tcPr>
            <w:tcW w:w="527" w:type="pct"/>
            <w:shd w:val="clear" w:color="000000" w:fill="FFFFFF"/>
            <w:noWrap w:val="0"/>
            <w:vAlign w:val="center"/>
          </w:tcPr>
          <w:p w14:paraId="1E456709">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13</w:t>
            </w:r>
          </w:p>
        </w:tc>
        <w:tc>
          <w:tcPr>
            <w:tcW w:w="744" w:type="pct"/>
            <w:shd w:val="clear" w:color="000000" w:fill="FFFFFF"/>
            <w:noWrap w:val="0"/>
            <w:vAlign w:val="center"/>
          </w:tcPr>
          <w:p w14:paraId="47A2E51D">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投标有效期</w:t>
            </w:r>
          </w:p>
        </w:tc>
        <w:tc>
          <w:tcPr>
            <w:tcW w:w="3727" w:type="pct"/>
            <w:shd w:val="clear" w:color="000000" w:fill="FFFFFF"/>
            <w:noWrap w:val="0"/>
            <w:vAlign w:val="center"/>
          </w:tcPr>
          <w:p w14:paraId="220EBE02">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自</w:t>
            </w:r>
            <w:r>
              <w:rPr>
                <w:rFonts w:hint="eastAsia" w:ascii="宋体" w:hAnsi="宋体" w:eastAsia="宋体" w:cs="宋体"/>
                <w:kern w:val="0"/>
                <w:sz w:val="21"/>
                <w:szCs w:val="21"/>
              </w:rPr>
              <w:t>投标</w:t>
            </w:r>
            <w:r>
              <w:rPr>
                <w:rFonts w:hint="eastAsia" w:ascii="宋体" w:hAnsi="宋体" w:eastAsia="宋体" w:cs="宋体"/>
                <w:kern w:val="0"/>
                <w:sz w:val="21"/>
                <w:szCs w:val="21"/>
                <w:lang w:val="zh-CN"/>
              </w:rPr>
              <w:t>截止时间起生效，有效期90天。</w:t>
            </w:r>
          </w:p>
        </w:tc>
      </w:tr>
      <w:tr w14:paraId="794CF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46" w:hRule="atLeast"/>
        </w:trPr>
        <w:tc>
          <w:tcPr>
            <w:tcW w:w="527" w:type="pct"/>
            <w:shd w:val="clear" w:color="000000" w:fill="FFFFFF"/>
            <w:noWrap w:val="0"/>
            <w:vAlign w:val="center"/>
          </w:tcPr>
          <w:p w14:paraId="41F034DF">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14</w:t>
            </w:r>
          </w:p>
        </w:tc>
        <w:tc>
          <w:tcPr>
            <w:tcW w:w="744" w:type="pct"/>
            <w:shd w:val="clear" w:color="000000" w:fill="FFFFFF"/>
            <w:noWrap w:val="0"/>
            <w:vAlign w:val="center"/>
          </w:tcPr>
          <w:p w14:paraId="31FED289">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投标保证金</w:t>
            </w:r>
          </w:p>
        </w:tc>
        <w:tc>
          <w:tcPr>
            <w:tcW w:w="3727" w:type="pct"/>
            <w:shd w:val="clear" w:color="000000" w:fill="FFFFFF"/>
            <w:noWrap w:val="0"/>
            <w:vAlign w:val="center"/>
          </w:tcPr>
          <w:p w14:paraId="780ADFFE">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sz w:val="21"/>
                <w:szCs w:val="21"/>
              </w:rPr>
            </w:pPr>
            <w:r>
              <w:rPr>
                <w:rFonts w:hint="eastAsia" w:ascii="宋体" w:hAnsi="宋体" w:eastAsia="宋体" w:cs="宋体"/>
                <w:sz w:val="21"/>
                <w:szCs w:val="21"/>
              </w:rPr>
              <w:t>无需提交</w:t>
            </w:r>
          </w:p>
        </w:tc>
      </w:tr>
      <w:tr w14:paraId="37FF3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40A47C7E">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15</w:t>
            </w:r>
          </w:p>
        </w:tc>
        <w:tc>
          <w:tcPr>
            <w:tcW w:w="744" w:type="pct"/>
            <w:shd w:val="clear" w:color="000000" w:fill="FFFFFF"/>
            <w:noWrap w:val="0"/>
            <w:vAlign w:val="center"/>
          </w:tcPr>
          <w:p w14:paraId="7CC4DF56">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rPr>
              <w:t>电子响应文件</w:t>
            </w:r>
            <w:r>
              <w:rPr>
                <w:rFonts w:hint="eastAsia" w:ascii="宋体" w:hAnsi="宋体" w:eastAsia="宋体" w:cs="宋体"/>
                <w:b/>
                <w:bCs/>
                <w:kern w:val="0"/>
                <w:sz w:val="21"/>
                <w:szCs w:val="21"/>
                <w:lang w:val="zh-CN"/>
              </w:rPr>
              <w:t>的组成</w:t>
            </w:r>
          </w:p>
        </w:tc>
        <w:tc>
          <w:tcPr>
            <w:tcW w:w="3727" w:type="pct"/>
            <w:shd w:val="clear" w:color="000000" w:fill="FFFFFF"/>
            <w:noWrap w:val="0"/>
            <w:vAlign w:val="center"/>
          </w:tcPr>
          <w:p w14:paraId="2F2C7C10">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rPr>
              <w:t>每个标段均</w:t>
            </w:r>
            <w:r>
              <w:rPr>
                <w:rFonts w:hint="eastAsia" w:ascii="宋体" w:hAnsi="宋体" w:eastAsia="宋体" w:cs="宋体"/>
                <w:b/>
                <w:bCs/>
                <w:kern w:val="0"/>
                <w:sz w:val="21"/>
                <w:szCs w:val="21"/>
                <w:lang w:val="zh-CN"/>
              </w:rPr>
              <w:t>由“资格文件”、“</w:t>
            </w:r>
            <w:r>
              <w:rPr>
                <w:rFonts w:hint="eastAsia" w:ascii="宋体" w:hAnsi="宋体" w:eastAsia="宋体" w:cs="宋体"/>
                <w:b/>
                <w:bCs/>
                <w:kern w:val="0"/>
                <w:sz w:val="21"/>
                <w:szCs w:val="21"/>
                <w:lang w:eastAsia="zh-CN"/>
              </w:rPr>
              <w:t>商务技术文件</w:t>
            </w:r>
            <w:r>
              <w:rPr>
                <w:rFonts w:hint="eastAsia" w:ascii="宋体" w:hAnsi="宋体" w:eastAsia="宋体" w:cs="宋体"/>
                <w:b/>
                <w:bCs/>
                <w:kern w:val="0"/>
                <w:sz w:val="21"/>
                <w:szCs w:val="21"/>
                <w:lang w:val="zh-CN"/>
              </w:rPr>
              <w:t>”和“报价文件”三个部分组成。</w:t>
            </w:r>
          </w:p>
        </w:tc>
      </w:tr>
      <w:tr w14:paraId="19ACD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3ED83AAD">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16</w:t>
            </w:r>
          </w:p>
        </w:tc>
        <w:tc>
          <w:tcPr>
            <w:tcW w:w="744" w:type="pct"/>
            <w:shd w:val="clear" w:color="000000" w:fill="FFFFFF"/>
            <w:noWrap w:val="0"/>
            <w:vAlign w:val="center"/>
          </w:tcPr>
          <w:p w14:paraId="4D6B7748">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rPr>
              <w:t>电子响应文件</w:t>
            </w:r>
            <w:r>
              <w:rPr>
                <w:rFonts w:hint="eastAsia" w:ascii="宋体" w:hAnsi="宋体" w:eastAsia="宋体" w:cs="宋体"/>
                <w:b/>
                <w:bCs/>
                <w:kern w:val="0"/>
                <w:sz w:val="21"/>
                <w:szCs w:val="21"/>
                <w:lang w:val="zh-CN"/>
              </w:rPr>
              <w:t>的编制</w:t>
            </w:r>
          </w:p>
        </w:tc>
        <w:tc>
          <w:tcPr>
            <w:tcW w:w="3727" w:type="pct"/>
            <w:shd w:val="clear" w:color="000000" w:fill="FFFFFF"/>
            <w:noWrap w:val="0"/>
            <w:vAlign w:val="center"/>
          </w:tcPr>
          <w:p w14:paraId="72224312">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供应商应先安装“政采云</w:t>
            </w:r>
            <w:r>
              <w:rPr>
                <w:rFonts w:hint="eastAsia" w:ascii="宋体" w:hAnsi="宋体" w:eastAsia="宋体" w:cs="宋体"/>
                <w:b/>
                <w:bCs/>
                <w:kern w:val="0"/>
                <w:sz w:val="21"/>
                <w:szCs w:val="21"/>
              </w:rPr>
              <w:t>投标</w:t>
            </w:r>
            <w:r>
              <w:rPr>
                <w:rFonts w:hint="eastAsia" w:ascii="宋体" w:hAnsi="宋体" w:eastAsia="宋体" w:cs="宋体"/>
                <w:b/>
                <w:bCs/>
                <w:kern w:val="0"/>
                <w:sz w:val="21"/>
                <w:szCs w:val="21"/>
                <w:lang w:val="zh-CN"/>
              </w:rPr>
              <w:t>客户端”，并按照本</w:t>
            </w:r>
            <w:r>
              <w:rPr>
                <w:rFonts w:hint="eastAsia" w:ascii="宋体" w:hAnsi="宋体" w:eastAsia="宋体" w:cs="宋体"/>
                <w:b/>
                <w:bCs/>
                <w:kern w:val="0"/>
                <w:sz w:val="21"/>
                <w:szCs w:val="21"/>
                <w:lang w:eastAsia="zh-CN"/>
              </w:rPr>
              <w:t>采购文件</w:t>
            </w:r>
            <w:r>
              <w:rPr>
                <w:rFonts w:hint="eastAsia" w:ascii="宋体" w:hAnsi="宋体" w:eastAsia="宋体" w:cs="宋体"/>
                <w:b/>
                <w:bCs/>
                <w:kern w:val="0"/>
                <w:sz w:val="21"/>
                <w:szCs w:val="21"/>
                <w:lang w:val="zh-CN"/>
              </w:rPr>
              <w:t>和“《政府采购项目电子交易管理操作指南-供应商》”的要求，编制并加密</w:t>
            </w:r>
            <w:r>
              <w:rPr>
                <w:rFonts w:hint="eastAsia" w:ascii="宋体" w:hAnsi="宋体" w:eastAsia="宋体" w:cs="宋体"/>
                <w:b/>
                <w:bCs/>
                <w:kern w:val="0"/>
                <w:sz w:val="21"/>
                <w:szCs w:val="21"/>
              </w:rPr>
              <w:t>响应</w:t>
            </w:r>
            <w:r>
              <w:rPr>
                <w:rFonts w:hint="eastAsia" w:ascii="宋体" w:hAnsi="宋体" w:eastAsia="宋体" w:cs="宋体"/>
                <w:b/>
                <w:bCs/>
                <w:kern w:val="0"/>
                <w:sz w:val="21"/>
                <w:szCs w:val="21"/>
                <w:lang w:val="zh-CN"/>
              </w:rPr>
              <w:t>文件。</w:t>
            </w:r>
          </w:p>
        </w:tc>
      </w:tr>
      <w:tr w14:paraId="53B2E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74D9FD15">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17</w:t>
            </w:r>
          </w:p>
        </w:tc>
        <w:tc>
          <w:tcPr>
            <w:tcW w:w="744" w:type="pct"/>
            <w:shd w:val="clear" w:color="000000" w:fill="FFFFFF"/>
            <w:noWrap w:val="0"/>
            <w:vAlign w:val="center"/>
          </w:tcPr>
          <w:p w14:paraId="206F0DCF">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签字或盖章要求</w:t>
            </w:r>
          </w:p>
        </w:tc>
        <w:tc>
          <w:tcPr>
            <w:tcW w:w="3727" w:type="pct"/>
            <w:shd w:val="clear" w:color="000000" w:fill="FFFFFF"/>
            <w:noWrap w:val="0"/>
            <w:vAlign w:val="center"/>
          </w:tcPr>
          <w:p w14:paraId="10968BF6">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rPr>
            </w:pPr>
            <w:r>
              <w:rPr>
                <w:rFonts w:hint="eastAsia" w:ascii="宋体" w:hAnsi="宋体" w:eastAsia="宋体" w:cs="宋体"/>
                <w:b/>
                <w:bCs/>
                <w:kern w:val="0"/>
                <w:sz w:val="21"/>
                <w:szCs w:val="21"/>
              </w:rPr>
              <w:t>1.单位公章：电子响应文件中所须加盖公章部分均采用CA电子签章，如供应商以联合体形式参与投标的，由联合体牵头人进行CA电子签章；</w:t>
            </w:r>
          </w:p>
          <w:p w14:paraId="4A1F3CCB">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rPr>
            </w:pPr>
            <w:r>
              <w:rPr>
                <w:rFonts w:hint="eastAsia" w:ascii="宋体" w:hAnsi="宋体" w:eastAsia="宋体" w:cs="宋体"/>
                <w:b/>
                <w:bCs/>
                <w:kern w:val="0"/>
                <w:sz w:val="21"/>
                <w:szCs w:val="21"/>
              </w:rPr>
              <w:t>2.法定代表人签署的规定：</w:t>
            </w:r>
          </w:p>
          <w:p w14:paraId="47D226F2">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rPr>
            </w:pPr>
            <w:r>
              <w:rPr>
                <w:rFonts w:hint="eastAsia" w:ascii="宋体" w:hAnsi="宋体" w:eastAsia="宋体" w:cs="宋体"/>
                <w:b/>
                <w:bCs/>
                <w:kern w:val="0"/>
                <w:sz w:val="21"/>
                <w:szCs w:val="21"/>
              </w:rPr>
              <w:t>如供应商已办理法人CA电子签章的，则法定代表人签署的地方可用CA电子签章进行签署；</w:t>
            </w:r>
          </w:p>
          <w:p w14:paraId="470868E0">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rPr>
            </w:pPr>
            <w:r>
              <w:rPr>
                <w:rFonts w:hint="eastAsia" w:ascii="宋体" w:hAnsi="宋体" w:eastAsia="宋体" w:cs="宋体"/>
                <w:b/>
                <w:bCs/>
                <w:kern w:val="0"/>
                <w:sz w:val="21"/>
                <w:szCs w:val="21"/>
              </w:rPr>
              <w:t>如供应商未办理法人CA电子签章的，投标文件中要求供应商法定代表人签署的地方，须供应商制作成word版本先打印出来，由法定代表人签署后再上传PDF.</w:t>
            </w:r>
          </w:p>
          <w:p w14:paraId="7B7367A3">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sz w:val="21"/>
                <w:szCs w:val="21"/>
              </w:rPr>
              <w:t>3、</w:t>
            </w:r>
            <w:r>
              <w:rPr>
                <w:rFonts w:hint="eastAsia" w:ascii="宋体" w:hAnsi="宋体" w:eastAsia="宋体" w:cs="宋体"/>
                <w:b/>
                <w:bCs/>
                <w:kern w:val="0"/>
                <w:sz w:val="21"/>
                <w:szCs w:val="21"/>
                <w:lang w:val="zh-CN"/>
              </w:rPr>
              <w:t>授权代表签署的规定：</w:t>
            </w:r>
          </w:p>
          <w:p w14:paraId="3365056F">
            <w:pPr>
              <w:keepNext w:val="0"/>
              <w:keepLines w:val="0"/>
              <w:widowControl/>
              <w:numPr>
                <w:ilvl w:val="0"/>
                <w:numId w:val="4"/>
              </w:numPr>
              <w:suppressLineNumbers w:val="0"/>
              <w:autoSpaceDE w:val="0"/>
              <w:autoSpaceDN w:val="0"/>
              <w:adjustRightInd w:val="0"/>
              <w:spacing w:before="0" w:beforeAutospacing="0" w:after="0" w:afterAutospacing="0"/>
              <w:ind w:right="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如授权代表已办理CA电子签章的，则授权代表签署的地方可用CA电子签章进行签署；</w:t>
            </w:r>
          </w:p>
          <w:p w14:paraId="155CCB6D">
            <w:pPr>
              <w:keepNext w:val="0"/>
              <w:keepLines w:val="0"/>
              <w:widowControl/>
              <w:numPr>
                <w:ilvl w:val="0"/>
                <w:numId w:val="4"/>
              </w:numPr>
              <w:suppressLineNumbers w:val="0"/>
              <w:autoSpaceDE w:val="0"/>
              <w:autoSpaceDN w:val="0"/>
              <w:adjustRightInd w:val="0"/>
              <w:spacing w:before="0" w:beforeAutospacing="0" w:after="0" w:afterAutospacing="0"/>
              <w:ind w:right="0" w:firstLineChars="0"/>
              <w:rPr>
                <w:rFonts w:hint="eastAsia" w:ascii="宋体" w:hAnsi="宋体" w:eastAsia="宋体" w:cs="宋体"/>
                <w:b/>
                <w:bCs/>
                <w:kern w:val="0"/>
                <w:sz w:val="21"/>
                <w:szCs w:val="21"/>
              </w:rPr>
            </w:pPr>
            <w:r>
              <w:rPr>
                <w:rFonts w:hint="eastAsia" w:ascii="宋体" w:hAnsi="宋体" w:eastAsia="宋体" w:cs="宋体"/>
                <w:b/>
                <w:bCs/>
                <w:kern w:val="0"/>
                <w:sz w:val="21"/>
                <w:szCs w:val="21"/>
                <w:lang w:val="zh-CN"/>
              </w:rPr>
              <w:t>如授权代表未办理CA电子签章的，投标文件中要求授权代表签署的地方，须供应商制作成word版本先打印出来，由授权代表签署后再上传PDF</w:t>
            </w:r>
            <w:r>
              <w:rPr>
                <w:rFonts w:hint="eastAsia" w:ascii="宋体" w:hAnsi="宋体" w:eastAsia="宋体" w:cs="宋体"/>
                <w:b/>
                <w:bCs/>
                <w:kern w:val="0"/>
                <w:sz w:val="21"/>
                <w:szCs w:val="21"/>
              </w:rPr>
              <w:t>.</w:t>
            </w:r>
          </w:p>
          <w:p w14:paraId="55E12136">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rPr>
            </w:pPr>
            <w:r>
              <w:rPr>
                <w:rFonts w:hint="eastAsia" w:ascii="宋体" w:hAnsi="宋体" w:eastAsia="宋体" w:cs="宋体"/>
                <w:b/>
                <w:bCs/>
                <w:kern w:val="0"/>
                <w:sz w:val="21"/>
                <w:szCs w:val="21"/>
              </w:rPr>
              <w:t>4.</w:t>
            </w:r>
            <w:r>
              <w:rPr>
                <w:rFonts w:hint="eastAsia" w:ascii="宋体" w:hAnsi="宋体" w:eastAsia="宋体" w:cs="宋体"/>
                <w:b/>
                <w:bCs/>
                <w:kern w:val="0"/>
                <w:sz w:val="21"/>
                <w:szCs w:val="21"/>
                <w:lang w:val="zh-CN"/>
              </w:rPr>
              <w:t>政采云系统平台有新的操作流程的，按其规定</w:t>
            </w:r>
            <w:r>
              <w:rPr>
                <w:rFonts w:hint="eastAsia" w:ascii="宋体" w:hAnsi="宋体" w:eastAsia="宋体" w:cs="宋体"/>
                <w:sz w:val="21"/>
                <w:szCs w:val="21"/>
                <w:lang w:val="zh-CN"/>
              </w:rPr>
              <w:t>。</w:t>
            </w:r>
          </w:p>
        </w:tc>
      </w:tr>
      <w:tr w14:paraId="5CD9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0" w:hRule="atLeast"/>
        </w:trPr>
        <w:tc>
          <w:tcPr>
            <w:tcW w:w="527" w:type="pct"/>
            <w:shd w:val="clear" w:color="000000" w:fill="FFFFFF"/>
            <w:noWrap w:val="0"/>
            <w:vAlign w:val="center"/>
          </w:tcPr>
          <w:p w14:paraId="25135B58">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18</w:t>
            </w:r>
          </w:p>
        </w:tc>
        <w:tc>
          <w:tcPr>
            <w:tcW w:w="744" w:type="pct"/>
            <w:shd w:val="clear" w:color="000000" w:fill="FFFFFF"/>
            <w:noWrap w:val="0"/>
            <w:vAlign w:val="center"/>
          </w:tcPr>
          <w:p w14:paraId="2062B9DE">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rPr>
              <w:t>电子响应文件</w:t>
            </w:r>
            <w:r>
              <w:rPr>
                <w:rFonts w:hint="eastAsia" w:ascii="宋体" w:hAnsi="宋体" w:eastAsia="宋体" w:cs="宋体"/>
                <w:b/>
                <w:bCs/>
                <w:kern w:val="0"/>
                <w:sz w:val="21"/>
                <w:szCs w:val="21"/>
                <w:lang w:val="zh-CN"/>
              </w:rPr>
              <w:t>的形式</w:t>
            </w:r>
          </w:p>
        </w:tc>
        <w:tc>
          <w:tcPr>
            <w:tcW w:w="3727" w:type="pct"/>
            <w:shd w:val="clear" w:color="000000" w:fill="FFFFFF"/>
            <w:noWrap w:val="0"/>
            <w:vAlign w:val="center"/>
          </w:tcPr>
          <w:p w14:paraId="7E5671D4">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☑电子响应文件：</w:t>
            </w:r>
          </w:p>
          <w:p w14:paraId="47F042A7">
            <w:pPr>
              <w:keepNext w:val="0"/>
              <w:keepLines w:val="0"/>
              <w:widowControl/>
              <w:numPr>
                <w:ilvl w:val="0"/>
                <w:numId w:val="5"/>
              </w:numPr>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sz w:val="21"/>
                <w:szCs w:val="21"/>
                <w:lang w:val="zh-CN"/>
              </w:rPr>
            </w:pPr>
            <w:r>
              <w:rPr>
                <w:rFonts w:hint="eastAsia" w:ascii="宋体" w:hAnsi="宋体" w:eastAsia="宋体" w:cs="宋体"/>
                <w:b/>
                <w:bCs/>
                <w:kern w:val="0"/>
                <w:sz w:val="21"/>
                <w:szCs w:val="21"/>
                <w:lang w:val="zh-CN"/>
              </w:rPr>
              <w:t>“电子响应文件”是指通过“政采云电子交易客户端”完成投标文件编制后生成并加密的数据电文形式的</w:t>
            </w:r>
            <w:r>
              <w:rPr>
                <w:rFonts w:hint="eastAsia" w:ascii="宋体" w:hAnsi="宋体" w:eastAsia="宋体" w:cs="宋体"/>
                <w:b/>
                <w:bCs/>
                <w:kern w:val="0"/>
                <w:sz w:val="21"/>
                <w:szCs w:val="21"/>
              </w:rPr>
              <w:t>加密标书,加密标书文件后缀格式为.jmbs</w:t>
            </w:r>
            <w:r>
              <w:rPr>
                <w:rFonts w:hint="eastAsia" w:ascii="宋体" w:hAnsi="宋体" w:eastAsia="宋体" w:cs="宋体"/>
                <w:b/>
                <w:bCs/>
                <w:kern w:val="0"/>
                <w:sz w:val="21"/>
                <w:szCs w:val="21"/>
                <w:lang w:val="zh-CN"/>
              </w:rPr>
              <w:t>。</w:t>
            </w:r>
          </w:p>
          <w:p w14:paraId="5DD2AA8B">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（2）“备份响应文件”是指与“</w:t>
            </w:r>
            <w:r>
              <w:rPr>
                <w:rFonts w:hint="eastAsia" w:ascii="宋体" w:hAnsi="宋体" w:eastAsia="宋体" w:cs="宋体"/>
                <w:b/>
                <w:bCs/>
                <w:kern w:val="0"/>
                <w:sz w:val="21"/>
                <w:szCs w:val="21"/>
              </w:rPr>
              <w:t>加密标书</w:t>
            </w:r>
            <w:r>
              <w:rPr>
                <w:rFonts w:hint="eastAsia" w:ascii="宋体" w:hAnsi="宋体" w:eastAsia="宋体" w:cs="宋体"/>
                <w:b/>
                <w:bCs/>
                <w:kern w:val="0"/>
                <w:sz w:val="21"/>
                <w:szCs w:val="21"/>
                <w:lang w:val="zh-CN"/>
              </w:rPr>
              <w:t>”同时生成的数据电文形式的电子文件（备份标书），备份标书文件后缀格式为.bfbs</w:t>
            </w:r>
            <w:r>
              <w:rPr>
                <w:rFonts w:hint="eastAsia" w:ascii="宋体" w:hAnsi="宋体" w:eastAsia="宋体" w:cs="宋体"/>
                <w:b/>
                <w:bCs/>
                <w:kern w:val="0"/>
                <w:sz w:val="21"/>
                <w:szCs w:val="21"/>
              </w:rPr>
              <w:t>,</w:t>
            </w:r>
            <w:r>
              <w:rPr>
                <w:rFonts w:hint="eastAsia" w:ascii="宋体" w:hAnsi="宋体" w:eastAsia="宋体" w:cs="宋体"/>
                <w:b/>
                <w:bCs/>
                <w:kern w:val="0"/>
                <w:sz w:val="21"/>
                <w:szCs w:val="21"/>
                <w:lang w:val="zh-CN"/>
              </w:rPr>
              <w:t>其他方式编制的备份响应文件视为无效备份响应文件。</w:t>
            </w:r>
          </w:p>
        </w:tc>
      </w:tr>
      <w:tr w14:paraId="6B655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51BB3C39">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19</w:t>
            </w:r>
          </w:p>
        </w:tc>
        <w:tc>
          <w:tcPr>
            <w:tcW w:w="744" w:type="pct"/>
            <w:shd w:val="clear" w:color="000000" w:fill="FFFFFF"/>
            <w:noWrap w:val="0"/>
            <w:vAlign w:val="center"/>
          </w:tcPr>
          <w:p w14:paraId="743B10B7">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电子响应文件份数</w:t>
            </w:r>
          </w:p>
        </w:tc>
        <w:tc>
          <w:tcPr>
            <w:tcW w:w="3727" w:type="pct"/>
            <w:shd w:val="clear" w:color="000000" w:fill="FFFFFF"/>
            <w:noWrap w:val="0"/>
            <w:vAlign w:val="center"/>
          </w:tcPr>
          <w:p w14:paraId="40569ABB">
            <w:pPr>
              <w:keepNext w:val="0"/>
              <w:keepLines w:val="0"/>
              <w:widowControl/>
              <w:numPr>
                <w:ilvl w:val="0"/>
                <w:numId w:val="6"/>
              </w:numPr>
              <w:suppressLineNumbers w:val="0"/>
              <w:autoSpaceDE w:val="0"/>
              <w:autoSpaceDN w:val="0"/>
              <w:adjustRightInd w:val="0"/>
              <w:spacing w:before="0" w:beforeAutospacing="0" w:after="0" w:afterAutospacing="0"/>
              <w:ind w:right="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“电子响应文件”：电子加密标书（后缀格式为.jmbs）；</w:t>
            </w:r>
          </w:p>
          <w:p w14:paraId="3002B23D">
            <w:pPr>
              <w:keepNext w:val="0"/>
              <w:keepLines w:val="0"/>
              <w:widowControl/>
              <w:numPr>
                <w:ilvl w:val="0"/>
                <w:numId w:val="6"/>
              </w:numPr>
              <w:suppressLineNumbers w:val="0"/>
              <w:autoSpaceDE w:val="0"/>
              <w:autoSpaceDN w:val="0"/>
              <w:adjustRightInd w:val="0"/>
              <w:spacing w:before="0" w:beforeAutospacing="0" w:after="0" w:afterAutospacing="0"/>
              <w:ind w:right="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“备份响应文件”：备份标书文件（后缀格式为.bfbs）；</w:t>
            </w:r>
          </w:p>
          <w:p w14:paraId="67D620A0">
            <w:pPr>
              <w:keepNext w:val="0"/>
              <w:keepLines w:val="0"/>
              <w:widowControl/>
              <w:numPr>
                <w:ilvl w:val="0"/>
                <w:numId w:val="6"/>
              </w:numPr>
              <w:suppressLineNumbers w:val="0"/>
              <w:autoSpaceDE w:val="0"/>
              <w:autoSpaceDN w:val="0"/>
              <w:adjustRightInd w:val="0"/>
              <w:spacing w:before="0" w:beforeAutospacing="0" w:after="0" w:afterAutospacing="0"/>
              <w:ind w:right="0" w:firstLineChars="0"/>
              <w:rPr>
                <w:rFonts w:hint="eastAsia" w:ascii="宋体" w:hAnsi="宋体" w:eastAsia="宋体" w:cs="宋体"/>
                <w:sz w:val="21"/>
                <w:szCs w:val="21"/>
                <w:lang w:val="zh-CN"/>
              </w:rPr>
            </w:pPr>
            <w:r>
              <w:rPr>
                <w:rFonts w:hint="eastAsia" w:ascii="宋体" w:hAnsi="宋体" w:eastAsia="宋体" w:cs="宋体"/>
                <w:b/>
                <w:bCs/>
                <w:kern w:val="0"/>
                <w:sz w:val="21"/>
                <w:szCs w:val="21"/>
              </w:rPr>
              <w:t>每份电响应文件应包括</w:t>
            </w:r>
            <w:r>
              <w:rPr>
                <w:rFonts w:hint="eastAsia" w:ascii="宋体" w:hAnsi="宋体" w:eastAsia="宋体" w:cs="宋体"/>
                <w:b/>
                <w:bCs/>
                <w:kern w:val="0"/>
                <w:sz w:val="21"/>
                <w:szCs w:val="21"/>
                <w:lang w:eastAsia="zh-CN"/>
              </w:rPr>
              <w:t>资格文件</w:t>
            </w:r>
            <w:r>
              <w:rPr>
                <w:rFonts w:hint="eastAsia" w:ascii="宋体" w:hAnsi="宋体" w:eastAsia="宋体" w:cs="宋体"/>
                <w:b/>
                <w:bCs/>
                <w:kern w:val="0"/>
                <w:sz w:val="21"/>
                <w:szCs w:val="21"/>
              </w:rPr>
              <w:t>、</w:t>
            </w:r>
            <w:r>
              <w:rPr>
                <w:rFonts w:hint="eastAsia" w:ascii="宋体" w:hAnsi="宋体" w:eastAsia="宋体" w:cs="宋体"/>
                <w:b/>
                <w:bCs/>
                <w:kern w:val="0"/>
                <w:sz w:val="21"/>
                <w:szCs w:val="21"/>
                <w:lang w:eastAsia="zh-CN"/>
              </w:rPr>
              <w:t>商务技术文件</w:t>
            </w:r>
            <w:r>
              <w:rPr>
                <w:rFonts w:hint="eastAsia" w:ascii="宋体" w:hAnsi="宋体" w:eastAsia="宋体" w:cs="宋体"/>
                <w:b/>
                <w:bCs/>
                <w:kern w:val="0"/>
                <w:sz w:val="21"/>
                <w:szCs w:val="21"/>
              </w:rPr>
              <w:t>、</w:t>
            </w:r>
            <w:r>
              <w:rPr>
                <w:rFonts w:hint="eastAsia" w:ascii="宋体" w:hAnsi="宋体" w:eastAsia="宋体" w:cs="宋体"/>
                <w:b/>
                <w:bCs/>
                <w:kern w:val="0"/>
                <w:sz w:val="21"/>
                <w:szCs w:val="21"/>
                <w:lang w:eastAsia="zh-CN"/>
              </w:rPr>
              <w:t>报价文件</w:t>
            </w:r>
            <w:r>
              <w:rPr>
                <w:rFonts w:hint="eastAsia" w:ascii="宋体" w:hAnsi="宋体" w:eastAsia="宋体" w:cs="宋体"/>
                <w:b/>
                <w:bCs/>
                <w:kern w:val="0"/>
                <w:sz w:val="21"/>
                <w:szCs w:val="21"/>
              </w:rPr>
              <w:t>三部分内容</w:t>
            </w:r>
          </w:p>
        </w:tc>
      </w:tr>
      <w:tr w14:paraId="1207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37E5006C">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20</w:t>
            </w:r>
          </w:p>
        </w:tc>
        <w:tc>
          <w:tcPr>
            <w:tcW w:w="744" w:type="pct"/>
            <w:shd w:val="clear" w:color="000000" w:fill="FFFFFF"/>
            <w:noWrap w:val="0"/>
            <w:vAlign w:val="center"/>
          </w:tcPr>
          <w:p w14:paraId="32ED7FD5">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rPr>
              <w:t>响应</w:t>
            </w:r>
            <w:r>
              <w:rPr>
                <w:rFonts w:hint="eastAsia" w:ascii="宋体" w:hAnsi="宋体" w:eastAsia="宋体" w:cs="宋体"/>
                <w:b/>
                <w:bCs/>
                <w:kern w:val="0"/>
                <w:sz w:val="21"/>
                <w:szCs w:val="21"/>
                <w:lang w:val="zh-CN"/>
              </w:rPr>
              <w:t>文件的上传和递交</w:t>
            </w:r>
          </w:p>
        </w:tc>
        <w:tc>
          <w:tcPr>
            <w:tcW w:w="3727" w:type="pct"/>
            <w:shd w:val="clear" w:color="000000" w:fill="FFFFFF"/>
            <w:noWrap w:val="0"/>
            <w:vAlign w:val="center"/>
          </w:tcPr>
          <w:p w14:paraId="02B06848">
            <w:pPr>
              <w:pStyle w:val="32"/>
              <w:keepNext w:val="0"/>
              <w:keepLines w:val="0"/>
              <w:widowControl/>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lang w:val="en-US"/>
              </w:rPr>
              <w:t>1、</w:t>
            </w:r>
            <w:r>
              <w:rPr>
                <w:rFonts w:hint="eastAsia" w:ascii="宋体" w:hAnsi="宋体" w:eastAsia="宋体" w:cs="宋体"/>
                <w:b/>
                <w:bCs/>
                <w:kern w:val="2"/>
                <w:sz w:val="21"/>
                <w:szCs w:val="21"/>
              </w:rPr>
              <w:t>“电子响应文件”的上传、递交，</w:t>
            </w:r>
            <w:r>
              <w:rPr>
                <w:rFonts w:hint="eastAsia" w:ascii="宋体" w:hAnsi="宋体" w:eastAsia="宋体" w:cs="宋体"/>
                <w:b/>
                <w:bCs/>
                <w:kern w:val="2"/>
                <w:sz w:val="21"/>
                <w:szCs w:val="21"/>
                <w:lang w:val="en-US"/>
              </w:rPr>
              <w:t>具体详见《政府采购项目电子交易管理操作指南-供应商》（供应商自行去政采云系统上进行下载）</w:t>
            </w:r>
            <w:r>
              <w:rPr>
                <w:rFonts w:hint="eastAsia" w:ascii="宋体" w:hAnsi="宋体" w:eastAsia="宋体" w:cs="宋体"/>
                <w:b/>
                <w:bCs/>
                <w:kern w:val="2"/>
                <w:sz w:val="21"/>
                <w:szCs w:val="21"/>
              </w:rPr>
              <w:t>：</w:t>
            </w:r>
          </w:p>
          <w:p w14:paraId="309EC2A3">
            <w:pPr>
              <w:pStyle w:val="32"/>
              <w:keepNext w:val="0"/>
              <w:keepLines w:val="0"/>
              <w:widowControl/>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rPr>
              <w:t>（</w:t>
            </w:r>
            <w:r>
              <w:rPr>
                <w:rFonts w:hint="eastAsia" w:ascii="宋体" w:hAnsi="宋体" w:eastAsia="宋体" w:cs="宋体"/>
                <w:b/>
                <w:bCs/>
                <w:kern w:val="2"/>
                <w:sz w:val="21"/>
                <w:szCs w:val="21"/>
                <w:lang w:val="en-US"/>
              </w:rPr>
              <w:t>1）电子响应</w:t>
            </w:r>
            <w:r>
              <w:rPr>
                <w:rFonts w:hint="eastAsia" w:ascii="宋体" w:hAnsi="宋体" w:eastAsia="宋体" w:cs="宋体"/>
                <w:b/>
                <w:bCs/>
                <w:kern w:val="2"/>
                <w:sz w:val="21"/>
                <w:szCs w:val="21"/>
              </w:rPr>
              <w:t>文件制作完成并生成加密标书，在</w:t>
            </w:r>
            <w:r>
              <w:rPr>
                <w:rFonts w:hint="eastAsia" w:ascii="宋体" w:hAnsi="宋体" w:eastAsia="宋体" w:cs="宋体"/>
                <w:b/>
                <w:bCs/>
                <w:kern w:val="2"/>
                <w:sz w:val="21"/>
                <w:szCs w:val="21"/>
                <w:lang w:val="en-US"/>
              </w:rPr>
              <w:t>投标截止时间</w:t>
            </w:r>
            <w:r>
              <w:rPr>
                <w:rFonts w:hint="eastAsia" w:ascii="宋体" w:hAnsi="宋体" w:eastAsia="宋体" w:cs="宋体"/>
                <w:b/>
                <w:bCs/>
                <w:kern w:val="2"/>
                <w:sz w:val="21"/>
                <w:szCs w:val="21"/>
              </w:rPr>
              <w:t>前，供应商需将加密的</w:t>
            </w:r>
            <w:r>
              <w:rPr>
                <w:rFonts w:hint="eastAsia" w:ascii="宋体" w:hAnsi="宋体" w:eastAsia="宋体" w:cs="宋体"/>
                <w:b/>
                <w:bCs/>
                <w:kern w:val="2"/>
                <w:sz w:val="21"/>
                <w:szCs w:val="21"/>
                <w:lang w:val="en-US"/>
              </w:rPr>
              <w:t>响应</w:t>
            </w:r>
            <w:r>
              <w:rPr>
                <w:rFonts w:hint="eastAsia" w:ascii="宋体" w:hAnsi="宋体" w:eastAsia="宋体" w:cs="宋体"/>
                <w:b/>
                <w:bCs/>
                <w:kern w:val="2"/>
                <w:sz w:val="21"/>
                <w:szCs w:val="21"/>
              </w:rPr>
              <w:t>文件上传至政采云平台，</w:t>
            </w:r>
            <w:r>
              <w:rPr>
                <w:rFonts w:hint="eastAsia" w:ascii="宋体" w:hAnsi="宋体" w:eastAsia="宋体" w:cs="宋体"/>
                <w:b/>
                <w:bCs/>
                <w:kern w:val="2"/>
                <w:sz w:val="21"/>
                <w:szCs w:val="21"/>
                <w:lang w:val="en-US"/>
              </w:rPr>
              <w:t>接到解密通知</w:t>
            </w:r>
            <w:r>
              <w:rPr>
                <w:rFonts w:hint="eastAsia" w:ascii="宋体" w:hAnsi="宋体" w:eastAsia="宋体" w:cs="宋体"/>
                <w:b/>
                <w:bCs/>
                <w:kern w:val="2"/>
                <w:sz w:val="21"/>
                <w:szCs w:val="21"/>
              </w:rPr>
              <w:t>后，解密投标文件。</w:t>
            </w:r>
          </w:p>
          <w:p w14:paraId="5CB3F718">
            <w:pPr>
              <w:pStyle w:val="32"/>
              <w:keepNext w:val="0"/>
              <w:keepLines w:val="0"/>
              <w:widowControl/>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lang w:val="en-US"/>
              </w:rPr>
              <w:t>（2</w:t>
            </w:r>
            <w:r>
              <w:rPr>
                <w:rFonts w:hint="eastAsia" w:ascii="宋体" w:hAnsi="宋体" w:eastAsia="宋体" w:cs="宋体"/>
                <w:b/>
                <w:bCs/>
                <w:kern w:val="2"/>
                <w:sz w:val="21"/>
                <w:szCs w:val="21"/>
              </w:rPr>
              <w:t>）</w:t>
            </w:r>
            <w:r>
              <w:rPr>
                <w:rFonts w:hint="eastAsia" w:ascii="宋体" w:hAnsi="宋体" w:eastAsia="宋体" w:cs="宋体"/>
                <w:b/>
                <w:bCs/>
                <w:kern w:val="2"/>
                <w:sz w:val="21"/>
                <w:szCs w:val="21"/>
                <w:lang w:val="en-US"/>
              </w:rPr>
              <w:t>电子响应</w:t>
            </w:r>
            <w:r>
              <w:rPr>
                <w:rFonts w:hint="eastAsia" w:ascii="宋体" w:hAnsi="宋体" w:eastAsia="宋体" w:cs="宋体"/>
                <w:b/>
                <w:bCs/>
                <w:kern w:val="2"/>
                <w:sz w:val="21"/>
                <w:szCs w:val="21"/>
              </w:rPr>
              <w:t>文件上传成功后，在“投标文件上传-进行中”标签页下，显示状态为“已上传”。可在此处下载打印投标回执；在</w:t>
            </w:r>
            <w:r>
              <w:rPr>
                <w:rFonts w:hint="eastAsia" w:ascii="宋体" w:hAnsi="宋体" w:eastAsia="宋体" w:cs="宋体"/>
                <w:b/>
                <w:bCs/>
                <w:kern w:val="2"/>
                <w:sz w:val="21"/>
                <w:szCs w:val="21"/>
                <w:lang w:val="en-US"/>
              </w:rPr>
              <w:t>投标</w:t>
            </w:r>
            <w:r>
              <w:rPr>
                <w:rFonts w:hint="eastAsia" w:ascii="宋体" w:hAnsi="宋体" w:eastAsia="宋体" w:cs="宋体"/>
                <w:b/>
                <w:bCs/>
                <w:kern w:val="2"/>
                <w:sz w:val="21"/>
                <w:szCs w:val="21"/>
              </w:rPr>
              <w:t>截止时间前，供应商可撤回投标文件，修改内容。</w:t>
            </w:r>
          </w:p>
          <w:p w14:paraId="0D2565E3">
            <w:pPr>
              <w:pStyle w:val="32"/>
              <w:keepNext w:val="0"/>
              <w:keepLines w:val="0"/>
              <w:widowControl/>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lang w:val="en-US"/>
              </w:rPr>
              <w:t>2、</w:t>
            </w:r>
            <w:r>
              <w:rPr>
                <w:rFonts w:hint="eastAsia" w:ascii="宋体" w:hAnsi="宋体" w:eastAsia="宋体" w:cs="宋体"/>
                <w:b/>
                <w:bCs/>
                <w:kern w:val="2"/>
                <w:sz w:val="21"/>
                <w:szCs w:val="21"/>
              </w:rPr>
              <w:t>“备份响应文件”的递交：</w:t>
            </w:r>
          </w:p>
          <w:p w14:paraId="1DD233D3">
            <w:pPr>
              <w:pStyle w:val="10"/>
              <w:keepNext w:val="0"/>
              <w:keepLines w:val="0"/>
              <w:widowControl/>
              <w:numPr>
                <w:ilvl w:val="0"/>
                <w:numId w:val="7"/>
              </w:numPr>
              <w:suppressLineNumbers w:val="0"/>
              <w:spacing w:before="0" w:beforeAutospacing="0" w:after="0" w:afterAutospacing="0"/>
              <w:ind w:right="0" w:firstLine="0" w:firstLineChars="0"/>
              <w:rPr>
                <w:rFonts w:hint="eastAsia" w:ascii="宋体" w:hAnsi="宋体" w:eastAsia="宋体" w:cs="宋体"/>
                <w:bCs/>
                <w:kern w:val="2"/>
                <w:sz w:val="21"/>
                <w:szCs w:val="21"/>
              </w:rPr>
            </w:pPr>
            <w:r>
              <w:rPr>
                <w:rFonts w:hint="eastAsia" w:ascii="宋体" w:hAnsi="宋体" w:eastAsia="宋体" w:cs="宋体"/>
                <w:bCs/>
                <w:kern w:val="2"/>
                <w:sz w:val="21"/>
                <w:szCs w:val="21"/>
              </w:rPr>
              <w:t>备份响应文件的递交：</w:t>
            </w:r>
            <w:r>
              <w:rPr>
                <w:rFonts w:hint="eastAsia" w:ascii="宋体" w:hAnsi="宋体" w:eastAsia="宋体" w:cs="宋体"/>
                <w:bCs/>
                <w:kern w:val="2"/>
                <w:sz w:val="21"/>
                <w:szCs w:val="21"/>
              </w:rPr>
              <w:fldChar w:fldCharType="begin"/>
            </w:r>
            <w:r>
              <w:rPr>
                <w:rFonts w:hint="eastAsia" w:ascii="宋体" w:hAnsi="宋体" w:eastAsia="宋体" w:cs="宋体"/>
                <w:bCs/>
                <w:kern w:val="2"/>
                <w:sz w:val="21"/>
                <w:szCs w:val="21"/>
              </w:rPr>
              <w:instrText xml:space="preserve"> HYPERLINK "mailto:供应商在制作电子标书时，标书生成后有两份，一份为加密标书（用于供应商投标上传），一份为备份标书，其中加密标书文件后缀格式为.jmbs；备份标书文件后缀格式为.bfbs；供应商在系统里上传好加密标书后，应在投标截止时间前将备份标书发送至代理机构邮箱471870577@qq.com。" </w:instrText>
            </w:r>
            <w:r>
              <w:rPr>
                <w:rFonts w:hint="eastAsia" w:ascii="宋体" w:hAnsi="宋体" w:eastAsia="宋体" w:cs="宋体"/>
                <w:bCs/>
                <w:kern w:val="2"/>
                <w:sz w:val="21"/>
                <w:szCs w:val="21"/>
              </w:rPr>
              <w:fldChar w:fldCharType="separate"/>
            </w:r>
            <w:r>
              <w:rPr>
                <w:rFonts w:hint="eastAsia" w:ascii="宋体" w:hAnsi="宋体" w:eastAsia="宋体" w:cs="宋体"/>
                <w:bCs/>
                <w:kern w:val="2"/>
                <w:sz w:val="21"/>
                <w:szCs w:val="21"/>
              </w:rPr>
              <w:t>供应商在系统里上传好加密标书后，可以（建议）在投标截止时间前将系统生成的备份标书（后缀格式为.bfbs）以电子邮件形式传送至采购代理机构邮箱471870577@qq.com，</w:t>
            </w:r>
            <w:r>
              <w:rPr>
                <w:rFonts w:hint="eastAsia" w:ascii="宋体" w:hAnsi="宋体" w:eastAsia="宋体" w:cs="宋体"/>
                <w:bCs/>
                <w:kern w:val="2"/>
                <w:sz w:val="21"/>
                <w:szCs w:val="21"/>
              </w:rPr>
              <w:fldChar w:fldCharType="end"/>
            </w:r>
            <w:r>
              <w:rPr>
                <w:rFonts w:hint="eastAsia" w:ascii="宋体" w:hAnsi="宋体" w:eastAsia="宋体" w:cs="宋体"/>
                <w:bCs/>
                <w:kern w:val="2"/>
                <w:sz w:val="21"/>
                <w:szCs w:val="21"/>
              </w:rPr>
              <w:t>传送的备份标书需打包压缩并加密，加密密码由供应商自行保管。</w:t>
            </w:r>
          </w:p>
          <w:p w14:paraId="52CDCA8E">
            <w:pPr>
              <w:pStyle w:val="10"/>
              <w:keepNext w:val="0"/>
              <w:keepLines w:val="0"/>
              <w:widowControl/>
              <w:numPr>
                <w:ilvl w:val="0"/>
                <w:numId w:val="7"/>
              </w:numPr>
              <w:suppressLineNumbers w:val="0"/>
              <w:spacing w:before="0" w:beforeAutospacing="0" w:after="0" w:afterAutospacing="0"/>
              <w:ind w:right="0" w:firstLine="0" w:firstLineChars="0"/>
              <w:rPr>
                <w:rFonts w:hint="eastAsia" w:ascii="宋体" w:hAnsi="宋体" w:eastAsia="宋体" w:cs="宋体"/>
                <w:bCs/>
                <w:kern w:val="2"/>
                <w:sz w:val="21"/>
                <w:szCs w:val="21"/>
              </w:rPr>
            </w:pPr>
            <w:r>
              <w:rPr>
                <w:rFonts w:hint="eastAsia" w:ascii="宋体" w:hAnsi="宋体" w:eastAsia="宋体" w:cs="宋体"/>
                <w:bCs/>
                <w:kern w:val="2"/>
                <w:sz w:val="21"/>
                <w:szCs w:val="21"/>
              </w:rPr>
              <w:t>通过“政府采购云平台”上传递交的“电子响应文件”无法按时解密，投标供应商递交了备份响应文件的，以备份响应文件为依据，否则视为响应文件撤回。 通过“政府采购云平台”上传递交的“电子响应文件”已按时解密的，“备份响应文件”自动失效。投标供应商仅递交备份响应文件的，投标无效；</w:t>
            </w:r>
          </w:p>
          <w:p w14:paraId="75C33F5F">
            <w:pPr>
              <w:pStyle w:val="10"/>
              <w:keepNext w:val="0"/>
              <w:keepLines w:val="0"/>
              <w:widowControl/>
              <w:numPr>
                <w:ilvl w:val="0"/>
                <w:numId w:val="7"/>
              </w:numPr>
              <w:suppressLineNumbers w:val="0"/>
              <w:spacing w:before="0" w:beforeAutospacing="0" w:after="0" w:afterAutospacing="0"/>
              <w:ind w:right="0" w:firstLine="0" w:firstLineChars="0"/>
              <w:rPr>
                <w:rFonts w:hint="eastAsia" w:ascii="宋体" w:hAnsi="宋体" w:eastAsia="宋体" w:cs="宋体"/>
                <w:bCs/>
                <w:sz w:val="21"/>
                <w:szCs w:val="21"/>
                <w:lang w:val="zh-CN"/>
              </w:rPr>
            </w:pPr>
            <w:r>
              <w:rPr>
                <w:rFonts w:hint="eastAsia" w:ascii="宋体" w:hAnsi="宋体" w:eastAsia="宋体" w:cs="宋体"/>
                <w:bCs/>
                <w:kern w:val="2"/>
                <w:sz w:val="21"/>
                <w:szCs w:val="21"/>
              </w:rPr>
              <w:t>供应商需保证上传的电子响应文件与提交的备份响应文件必须同时生成且内容完全一致；</w:t>
            </w:r>
          </w:p>
        </w:tc>
      </w:tr>
      <w:tr w14:paraId="453D5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1C964D39">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21</w:t>
            </w:r>
          </w:p>
        </w:tc>
        <w:tc>
          <w:tcPr>
            <w:tcW w:w="744" w:type="pct"/>
            <w:shd w:val="clear" w:color="000000" w:fill="FFFFFF"/>
            <w:noWrap w:val="0"/>
            <w:vAlign w:val="center"/>
          </w:tcPr>
          <w:p w14:paraId="56F6B55D">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电子响应文件的解密和异常情况处理</w:t>
            </w:r>
          </w:p>
        </w:tc>
        <w:tc>
          <w:tcPr>
            <w:tcW w:w="3727" w:type="pct"/>
            <w:shd w:val="clear" w:color="000000" w:fill="FFFFFF"/>
            <w:noWrap w:val="0"/>
            <w:vAlign w:val="center"/>
          </w:tcPr>
          <w:p w14:paraId="6B9C0A37">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（1）</w:t>
            </w:r>
            <w:r>
              <w:rPr>
                <w:rFonts w:hint="eastAsia" w:ascii="宋体" w:hAnsi="宋体" w:eastAsia="宋体" w:cs="宋体"/>
                <w:b/>
                <w:bCs/>
                <w:kern w:val="0"/>
                <w:sz w:val="21"/>
                <w:szCs w:val="21"/>
              </w:rPr>
              <w:t>投标</w:t>
            </w:r>
            <w:r>
              <w:rPr>
                <w:rFonts w:hint="eastAsia" w:ascii="宋体" w:hAnsi="宋体" w:eastAsia="宋体" w:cs="宋体"/>
                <w:b/>
                <w:bCs/>
                <w:kern w:val="0"/>
                <w:sz w:val="21"/>
                <w:szCs w:val="21"/>
                <w:lang w:val="zh-CN"/>
              </w:rPr>
              <w:t>截止时间后，采购组织机构将向各投标供应商发出解密通知，各投标供应商代表应当在接到解密通知后登录政采云平台，对电子响应文件进行在线解密（解密</w:t>
            </w:r>
            <w:r>
              <w:rPr>
                <w:rFonts w:hint="eastAsia" w:ascii="宋体" w:hAnsi="宋体" w:eastAsia="宋体" w:cs="宋体"/>
                <w:b/>
                <w:bCs/>
                <w:kern w:val="0"/>
                <w:sz w:val="21"/>
                <w:szCs w:val="21"/>
              </w:rPr>
              <w:t>电子响应</w:t>
            </w:r>
            <w:r>
              <w:rPr>
                <w:rFonts w:hint="eastAsia" w:ascii="宋体" w:hAnsi="宋体" w:eastAsia="宋体" w:cs="宋体"/>
                <w:b/>
                <w:bCs/>
                <w:kern w:val="0"/>
                <w:sz w:val="21"/>
                <w:szCs w:val="21"/>
                <w:lang w:val="zh-CN"/>
              </w:rPr>
              <w:t>文件必须插入CA），在线解密电子响应文件时间为接到解密通知后</w:t>
            </w:r>
            <w:r>
              <w:rPr>
                <w:rFonts w:hint="eastAsia" w:ascii="宋体" w:hAnsi="宋体" w:eastAsia="宋体" w:cs="宋体"/>
                <w:b/>
                <w:bCs/>
                <w:kern w:val="0"/>
                <w:sz w:val="21"/>
                <w:szCs w:val="21"/>
              </w:rPr>
              <w:t>30分钟</w:t>
            </w:r>
            <w:r>
              <w:rPr>
                <w:rFonts w:hint="eastAsia" w:ascii="宋体" w:hAnsi="宋体" w:eastAsia="宋体" w:cs="宋体"/>
                <w:b/>
                <w:bCs/>
                <w:kern w:val="0"/>
                <w:sz w:val="21"/>
                <w:szCs w:val="21"/>
                <w:lang w:val="zh-CN"/>
              </w:rPr>
              <w:t>内。</w:t>
            </w:r>
          </w:p>
          <w:p w14:paraId="5F8F90CA">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2）异常处理：如政采云上电子响应文件出现解密失败情况，供应商可根据自身意愿确认是否将备份标书压缩包的解密密码传送至采购代理机构邮箱471870577qq.com,采购代理机构收到解密密码后通过【异常处理】的端口对供应商的备份响应文件进行上传（上传成功后，“电子</w:t>
            </w:r>
            <w:r>
              <w:rPr>
                <w:rFonts w:hint="eastAsia" w:ascii="宋体" w:hAnsi="宋体" w:eastAsia="宋体" w:cs="宋体"/>
                <w:b/>
                <w:bCs/>
                <w:kern w:val="0"/>
                <w:sz w:val="21"/>
                <w:szCs w:val="21"/>
              </w:rPr>
              <w:t>响应</w:t>
            </w:r>
            <w:r>
              <w:rPr>
                <w:rFonts w:hint="eastAsia" w:ascii="宋体" w:hAnsi="宋体" w:eastAsia="宋体" w:cs="宋体"/>
                <w:b/>
                <w:bCs/>
                <w:kern w:val="0"/>
                <w:sz w:val="21"/>
                <w:szCs w:val="21"/>
                <w:lang w:val="zh-CN"/>
              </w:rPr>
              <w:t>文件”自动失效），不能成功上传的视为</w:t>
            </w:r>
            <w:r>
              <w:rPr>
                <w:rFonts w:hint="eastAsia" w:ascii="宋体" w:hAnsi="宋体" w:eastAsia="宋体" w:cs="宋体"/>
                <w:b/>
                <w:bCs/>
                <w:kern w:val="0"/>
                <w:sz w:val="21"/>
                <w:szCs w:val="21"/>
              </w:rPr>
              <w:t>响应</w:t>
            </w:r>
            <w:r>
              <w:rPr>
                <w:rFonts w:hint="eastAsia" w:ascii="宋体" w:hAnsi="宋体" w:eastAsia="宋体" w:cs="宋体"/>
                <w:b/>
                <w:bCs/>
                <w:kern w:val="0"/>
                <w:sz w:val="21"/>
                <w:szCs w:val="21"/>
                <w:lang w:val="zh-CN"/>
              </w:rPr>
              <w:t>文件撤回）。</w:t>
            </w:r>
          </w:p>
          <w:p w14:paraId="5D66E0A8">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w:t>
            </w:r>
            <w:r>
              <w:rPr>
                <w:rFonts w:hint="eastAsia" w:ascii="宋体" w:hAnsi="宋体" w:eastAsia="宋体" w:cs="宋体"/>
                <w:b/>
                <w:bCs/>
                <w:kern w:val="0"/>
                <w:sz w:val="21"/>
                <w:szCs w:val="21"/>
              </w:rPr>
              <w:t>3）响应</w:t>
            </w:r>
            <w:r>
              <w:rPr>
                <w:rFonts w:hint="eastAsia" w:ascii="宋体" w:hAnsi="宋体" w:eastAsia="宋体" w:cs="宋体"/>
                <w:b/>
                <w:bCs/>
                <w:kern w:val="0"/>
                <w:sz w:val="21"/>
                <w:szCs w:val="21"/>
                <w:lang w:val="zh-CN"/>
              </w:rPr>
              <w:t>文件的启用，按先后顺序分别为电子响应文件、以电子邮件形式的备份响应文件，在下一顺位的</w:t>
            </w:r>
            <w:r>
              <w:rPr>
                <w:rFonts w:hint="eastAsia" w:ascii="宋体" w:hAnsi="宋体" w:eastAsia="宋体" w:cs="宋体"/>
                <w:b/>
                <w:bCs/>
                <w:kern w:val="0"/>
                <w:sz w:val="21"/>
                <w:szCs w:val="21"/>
              </w:rPr>
              <w:t>响应</w:t>
            </w:r>
            <w:r>
              <w:rPr>
                <w:rFonts w:hint="eastAsia" w:ascii="宋体" w:hAnsi="宋体" w:eastAsia="宋体" w:cs="宋体"/>
                <w:b/>
                <w:bCs/>
                <w:kern w:val="0"/>
                <w:sz w:val="21"/>
                <w:szCs w:val="21"/>
                <w:lang w:val="zh-CN"/>
              </w:rPr>
              <w:t>文件启用之后，前一顺位的</w:t>
            </w:r>
            <w:r>
              <w:rPr>
                <w:rFonts w:hint="eastAsia" w:ascii="宋体" w:hAnsi="宋体" w:eastAsia="宋体" w:cs="宋体"/>
                <w:b/>
                <w:bCs/>
                <w:kern w:val="0"/>
                <w:sz w:val="21"/>
                <w:szCs w:val="21"/>
              </w:rPr>
              <w:t>响应</w:t>
            </w:r>
            <w:r>
              <w:rPr>
                <w:rFonts w:hint="eastAsia" w:ascii="宋体" w:hAnsi="宋体" w:eastAsia="宋体" w:cs="宋体"/>
                <w:b/>
                <w:bCs/>
                <w:kern w:val="0"/>
                <w:sz w:val="21"/>
                <w:szCs w:val="21"/>
                <w:lang w:val="zh-CN"/>
              </w:rPr>
              <w:t>文件自动失效。</w:t>
            </w:r>
          </w:p>
        </w:tc>
      </w:tr>
      <w:tr w14:paraId="6665C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52ADBCC1">
            <w:pPr>
              <w:keepNext w:val="0"/>
              <w:keepLines w:val="0"/>
              <w:widowControl/>
              <w:suppressLineNumbers w:val="0"/>
              <w:autoSpaceDE w:val="0"/>
              <w:autoSpaceDN w:val="0"/>
              <w:adjustRightInd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22</w:t>
            </w:r>
          </w:p>
        </w:tc>
        <w:tc>
          <w:tcPr>
            <w:tcW w:w="744" w:type="pct"/>
            <w:shd w:val="clear" w:color="000000" w:fill="FFFFFF"/>
            <w:noWrap w:val="0"/>
            <w:vAlign w:val="center"/>
          </w:tcPr>
          <w:p w14:paraId="7255AEAC">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b/>
                <w:bCs/>
                <w:kern w:val="0"/>
                <w:sz w:val="21"/>
                <w:szCs w:val="21"/>
              </w:rPr>
            </w:pPr>
            <w:r>
              <w:rPr>
                <w:rFonts w:hint="eastAsia" w:ascii="宋体" w:hAnsi="宋体" w:eastAsia="宋体" w:cs="宋体"/>
                <w:b/>
                <w:bCs/>
                <w:kern w:val="0"/>
                <w:sz w:val="21"/>
                <w:szCs w:val="21"/>
              </w:rPr>
              <w:t>政采云系统默认供应商自动放弃的情形</w:t>
            </w:r>
          </w:p>
        </w:tc>
        <w:tc>
          <w:tcPr>
            <w:tcW w:w="3727" w:type="pct"/>
            <w:shd w:val="clear" w:color="000000" w:fill="FFFFFF"/>
            <w:noWrap w:val="0"/>
            <w:vAlign w:val="center"/>
          </w:tcPr>
          <w:p w14:paraId="5D290D07">
            <w:pPr>
              <w:keepNext w:val="0"/>
              <w:keepLines w:val="0"/>
              <w:widowControl/>
              <w:numPr>
                <w:ilvl w:val="0"/>
                <w:numId w:val="8"/>
              </w:numPr>
              <w:suppressLineNumbers w:val="0"/>
              <w:autoSpaceDE w:val="0"/>
              <w:autoSpaceDN w:val="0"/>
              <w:adjustRightInd w:val="0"/>
              <w:spacing w:before="0" w:beforeAutospacing="0" w:after="0" w:afterAutospacing="0"/>
              <w:ind w:right="0" w:firstLine="0" w:firstLineChars="0"/>
              <w:rPr>
                <w:rFonts w:hint="eastAsia" w:ascii="宋体" w:hAnsi="宋体" w:eastAsia="宋体" w:cs="宋体"/>
                <w:b/>
                <w:bCs/>
                <w:sz w:val="21"/>
                <w:szCs w:val="21"/>
              </w:rPr>
            </w:pPr>
            <w:r>
              <w:rPr>
                <w:rFonts w:hint="eastAsia" w:ascii="宋体" w:hAnsi="宋体" w:eastAsia="宋体" w:cs="宋体"/>
                <w:b/>
                <w:bCs/>
                <w:sz w:val="21"/>
                <w:szCs w:val="21"/>
              </w:rPr>
              <w:t>供应商未按规定上传电子响应文件的；</w:t>
            </w:r>
          </w:p>
          <w:p w14:paraId="7B5EF9E7">
            <w:pPr>
              <w:keepNext w:val="0"/>
              <w:keepLines w:val="0"/>
              <w:widowControl/>
              <w:numPr>
                <w:ilvl w:val="0"/>
                <w:numId w:val="8"/>
              </w:numPr>
              <w:suppressLineNumbers w:val="0"/>
              <w:autoSpaceDE w:val="0"/>
              <w:autoSpaceDN w:val="0"/>
              <w:adjustRightInd w:val="0"/>
              <w:spacing w:before="0" w:beforeAutospacing="0" w:after="0" w:afterAutospacing="0"/>
              <w:ind w:right="0" w:firstLine="0"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在解密期限内供应商电子响应文件解密失败，且经异常处理后政采云电子交易系统仍未能解决的。</w:t>
            </w:r>
          </w:p>
        </w:tc>
      </w:tr>
      <w:tr w14:paraId="31D9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58BFBABC">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23</w:t>
            </w:r>
          </w:p>
        </w:tc>
        <w:tc>
          <w:tcPr>
            <w:tcW w:w="744" w:type="pct"/>
            <w:shd w:val="clear" w:color="000000" w:fill="FFFFFF"/>
            <w:noWrap w:val="0"/>
            <w:vAlign w:val="center"/>
          </w:tcPr>
          <w:p w14:paraId="36406D6B">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开标时间</w:t>
            </w:r>
          </w:p>
          <w:p w14:paraId="02B5D6DA">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和地点</w:t>
            </w:r>
          </w:p>
        </w:tc>
        <w:tc>
          <w:tcPr>
            <w:tcW w:w="3727" w:type="pct"/>
            <w:shd w:val="clear" w:color="000000" w:fill="FFFFFF"/>
            <w:noWrap w:val="0"/>
            <w:vAlign w:val="center"/>
          </w:tcPr>
          <w:p w14:paraId="21CDBAF4">
            <w:pPr>
              <w:keepNext w:val="0"/>
              <w:keepLines w:val="0"/>
              <w:widowControl/>
              <w:suppressLineNumbers w:val="0"/>
              <w:spacing w:before="0" w:beforeAutospacing="0" w:after="0" w:afterAutospacing="0"/>
              <w:ind w:left="0" w:right="0" w:firstLine="0" w:firstLineChars="0"/>
              <w:rPr>
                <w:rFonts w:hint="eastAsia" w:ascii="宋体" w:hAnsi="宋体" w:eastAsia="宋体" w:cs="宋体"/>
                <w:sz w:val="21"/>
                <w:szCs w:val="21"/>
              </w:rPr>
            </w:pPr>
            <w:r>
              <w:rPr>
                <w:rFonts w:hint="eastAsia" w:ascii="宋体" w:hAnsi="宋体" w:eastAsia="宋体" w:cs="宋体"/>
                <w:sz w:val="21"/>
                <w:szCs w:val="21"/>
              </w:rPr>
              <w:t>详见采购公告</w:t>
            </w:r>
          </w:p>
          <w:p w14:paraId="216B848A">
            <w:pPr>
              <w:pStyle w:val="9"/>
              <w:keepNext w:val="0"/>
              <w:keepLines w:val="0"/>
              <w:widowControl/>
              <w:suppressLineNumbers w:val="0"/>
              <w:spacing w:before="0" w:beforeAutospacing="0" w:after="0" w:afterAutospacing="0"/>
              <w:ind w:left="0" w:right="0" w:firstLine="420"/>
              <w:rPr>
                <w:rFonts w:hint="eastAsia" w:ascii="宋体" w:hAnsi="宋体" w:eastAsia="宋体" w:cs="宋体"/>
                <w:sz w:val="21"/>
                <w:szCs w:val="21"/>
                <w:lang w:val="zh-CN"/>
              </w:rPr>
            </w:pPr>
            <w:r>
              <w:rPr>
                <w:rFonts w:hint="eastAsia" w:ascii="宋体" w:hAnsi="宋体" w:eastAsia="宋体" w:cs="宋体"/>
                <w:sz w:val="21"/>
                <w:szCs w:val="21"/>
                <w:lang w:val="zh-CN"/>
              </w:rPr>
              <w:t>注：本项目为电子招投标，相关的招投标流程（</w:t>
            </w:r>
            <w:r>
              <w:rPr>
                <w:rFonts w:hint="eastAsia" w:ascii="宋体" w:hAnsi="宋体" w:eastAsia="宋体" w:cs="宋体"/>
                <w:sz w:val="21"/>
                <w:szCs w:val="21"/>
                <w:lang w:eastAsia="zh-CN"/>
              </w:rPr>
              <w:t>采购文件</w:t>
            </w:r>
            <w:r>
              <w:rPr>
                <w:rFonts w:hint="eastAsia" w:ascii="宋体" w:hAnsi="宋体" w:eastAsia="宋体" w:cs="宋体"/>
                <w:sz w:val="21"/>
                <w:szCs w:val="21"/>
                <w:lang w:val="zh-CN"/>
              </w:rPr>
              <w:t>下载、电子</w:t>
            </w:r>
            <w:r>
              <w:rPr>
                <w:rFonts w:hint="eastAsia" w:ascii="宋体" w:hAnsi="宋体" w:eastAsia="宋体" w:cs="宋体"/>
                <w:sz w:val="21"/>
                <w:szCs w:val="21"/>
              </w:rPr>
              <w:t>响应</w:t>
            </w:r>
            <w:r>
              <w:rPr>
                <w:rFonts w:hint="eastAsia" w:ascii="宋体" w:hAnsi="宋体" w:eastAsia="宋体" w:cs="宋体"/>
                <w:sz w:val="21"/>
                <w:szCs w:val="21"/>
                <w:lang w:val="zh-CN"/>
              </w:rPr>
              <w:t>文件上传等程序）均在浙江政府采购网“政府采购云平台”进行，</w:t>
            </w:r>
            <w:r>
              <w:rPr>
                <w:rFonts w:hint="eastAsia" w:ascii="宋体" w:hAnsi="宋体" w:eastAsia="宋体" w:cs="宋体"/>
                <w:sz w:val="21"/>
                <w:szCs w:val="21"/>
              </w:rPr>
              <w:t>供应商</w:t>
            </w:r>
            <w:r>
              <w:rPr>
                <w:rFonts w:hint="eastAsia" w:ascii="宋体" w:hAnsi="宋体" w:eastAsia="宋体" w:cs="宋体"/>
                <w:sz w:val="21"/>
                <w:szCs w:val="21"/>
                <w:lang w:val="zh-CN"/>
              </w:rPr>
              <w:t>不必前往现场进行</w:t>
            </w:r>
            <w:r>
              <w:rPr>
                <w:rFonts w:hint="eastAsia" w:ascii="宋体" w:hAnsi="宋体" w:eastAsia="宋体" w:cs="宋体"/>
                <w:sz w:val="21"/>
                <w:szCs w:val="21"/>
              </w:rPr>
              <w:t>采购</w:t>
            </w:r>
            <w:r>
              <w:rPr>
                <w:rFonts w:hint="eastAsia" w:ascii="宋体" w:hAnsi="宋体" w:eastAsia="宋体" w:cs="宋体"/>
                <w:sz w:val="21"/>
                <w:szCs w:val="21"/>
                <w:lang w:val="zh-CN"/>
              </w:rPr>
              <w:t>活动等事宜。</w:t>
            </w:r>
          </w:p>
        </w:tc>
      </w:tr>
      <w:tr w14:paraId="00886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527" w:type="pct"/>
            <w:shd w:val="clear" w:color="000000" w:fill="FFFFFF"/>
            <w:noWrap w:val="0"/>
            <w:vAlign w:val="center"/>
          </w:tcPr>
          <w:p w14:paraId="7461970C">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24</w:t>
            </w:r>
          </w:p>
        </w:tc>
        <w:tc>
          <w:tcPr>
            <w:tcW w:w="744" w:type="pct"/>
            <w:shd w:val="clear" w:color="000000" w:fill="FFFFFF"/>
            <w:noWrap w:val="0"/>
            <w:vAlign w:val="center"/>
          </w:tcPr>
          <w:p w14:paraId="2BFF0F28">
            <w:pPr>
              <w:keepNext w:val="0"/>
              <w:keepLines w:val="0"/>
              <w:widowControl/>
              <w:suppressLineNumbers w:val="0"/>
              <w:autoSpaceDE w:val="0"/>
              <w:autoSpaceDN w:val="0"/>
              <w:adjustRightInd w:val="0"/>
              <w:spacing w:before="0" w:beforeAutospacing="0" w:after="0" w:afterAutospacing="0"/>
              <w:ind w:left="0" w:right="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询标澄清</w:t>
            </w:r>
          </w:p>
        </w:tc>
        <w:tc>
          <w:tcPr>
            <w:tcW w:w="3727" w:type="pct"/>
            <w:shd w:val="clear" w:color="000000" w:fill="FFFFFF"/>
            <w:noWrap w:val="0"/>
            <w:vAlign w:val="center"/>
          </w:tcPr>
          <w:p w14:paraId="0EDF0367">
            <w:pPr>
              <w:pStyle w:val="9"/>
              <w:keepNext w:val="0"/>
              <w:keepLines w:val="0"/>
              <w:widowControl/>
              <w:numPr>
                <w:ilvl w:val="0"/>
                <w:numId w:val="9"/>
              </w:numPr>
              <w:suppressLineNumbers w:val="0"/>
              <w:spacing w:before="0" w:beforeAutospacing="0" w:after="0" w:afterAutospacing="0"/>
              <w:ind w:right="0" w:firstLineChars="0"/>
              <w:rPr>
                <w:rFonts w:hint="eastAsia" w:ascii="宋体" w:hAnsi="宋体" w:eastAsia="宋体" w:cs="宋体"/>
                <w:b/>
                <w:bCs/>
                <w:sz w:val="21"/>
                <w:szCs w:val="21"/>
                <w:lang w:val="zh-CN"/>
              </w:rPr>
            </w:pPr>
            <w:r>
              <w:rPr>
                <w:rFonts w:hint="eastAsia" w:ascii="宋体" w:hAnsi="宋体" w:eastAsia="宋体" w:cs="宋体"/>
                <w:b/>
                <w:bCs/>
                <w:sz w:val="21"/>
                <w:szCs w:val="21"/>
                <w:lang w:val="zh-CN"/>
              </w:rPr>
              <w:t>在</w:t>
            </w:r>
            <w:r>
              <w:rPr>
                <w:rFonts w:hint="eastAsia" w:ascii="宋体" w:hAnsi="宋体" w:eastAsia="宋体" w:cs="宋体"/>
                <w:b/>
                <w:bCs/>
                <w:sz w:val="21"/>
                <w:szCs w:val="21"/>
              </w:rPr>
              <w:t>评审</w:t>
            </w:r>
            <w:r>
              <w:rPr>
                <w:rFonts w:hint="eastAsia" w:ascii="宋体" w:hAnsi="宋体" w:eastAsia="宋体" w:cs="宋体"/>
                <w:b/>
                <w:bCs/>
                <w:sz w:val="21"/>
                <w:szCs w:val="21"/>
                <w:lang w:val="zh-CN"/>
              </w:rPr>
              <w:t>过程中，如评审小组对供应商递交的电子响应文件存有疑问要求供应商进行澄清或根据评审需求需要与供应商进行</w:t>
            </w:r>
            <w:r>
              <w:rPr>
                <w:rFonts w:hint="eastAsia" w:ascii="宋体" w:hAnsi="宋体" w:eastAsia="宋体" w:cs="宋体"/>
                <w:b/>
                <w:bCs/>
                <w:sz w:val="21"/>
                <w:szCs w:val="21"/>
              </w:rPr>
              <w:t>询标</w:t>
            </w:r>
            <w:r>
              <w:rPr>
                <w:rFonts w:hint="eastAsia" w:ascii="宋体" w:hAnsi="宋体" w:eastAsia="宋体" w:cs="宋体"/>
                <w:b/>
                <w:bCs/>
                <w:sz w:val="21"/>
                <w:szCs w:val="21"/>
                <w:lang w:val="zh-CN"/>
              </w:rPr>
              <w:t>的，将采用在政采云系统上向供应商发起询标函的方式进行。供应商须在“规定时间”内登录政采云系统根据标项回复询标函，具体操作流程详见《政府采购项目电子交易管理操作指南-供应商》（供应商自行去政采云系统上进行下载）.</w:t>
            </w:r>
          </w:p>
          <w:p w14:paraId="25E00832">
            <w:pPr>
              <w:pStyle w:val="9"/>
              <w:keepNext w:val="0"/>
              <w:keepLines w:val="0"/>
              <w:widowControl/>
              <w:numPr>
                <w:ilvl w:val="0"/>
                <w:numId w:val="9"/>
              </w:numPr>
              <w:suppressLineNumbers w:val="0"/>
              <w:spacing w:before="0" w:beforeAutospacing="0" w:after="0" w:afterAutospacing="0"/>
              <w:ind w:right="0" w:firstLineChars="0"/>
              <w:rPr>
                <w:rFonts w:hint="eastAsia" w:ascii="宋体" w:hAnsi="宋体" w:eastAsia="宋体" w:cs="宋体"/>
                <w:b/>
                <w:bCs/>
                <w:sz w:val="21"/>
                <w:szCs w:val="21"/>
                <w:lang w:val="zh-CN"/>
              </w:rPr>
            </w:pPr>
            <w:r>
              <w:rPr>
                <w:rFonts w:hint="eastAsia" w:ascii="宋体" w:hAnsi="宋体" w:eastAsia="宋体" w:cs="宋体"/>
                <w:b/>
                <w:bCs/>
                <w:sz w:val="21"/>
                <w:szCs w:val="21"/>
              </w:rPr>
              <w:t>评审</w:t>
            </w:r>
            <w:r>
              <w:rPr>
                <w:rFonts w:hint="eastAsia" w:ascii="宋体" w:hAnsi="宋体" w:eastAsia="宋体" w:cs="宋体"/>
                <w:b/>
                <w:bCs/>
                <w:sz w:val="21"/>
                <w:szCs w:val="21"/>
                <w:lang w:val="zh-CN"/>
              </w:rPr>
              <w:t>过程中，建议各供应商代表应在电脑前及时在线关注评审动态，若供应商在询标澄清或多轮报价环节，由于CA等原因无法进行线上操作时，应在规定时限内由授权代表将线下材料通过其在</w:t>
            </w:r>
            <w:r>
              <w:rPr>
                <w:rFonts w:hint="eastAsia" w:ascii="宋体" w:hAnsi="宋体" w:eastAsia="宋体" w:cs="宋体"/>
                <w:b/>
                <w:bCs/>
                <w:sz w:val="21"/>
                <w:szCs w:val="21"/>
              </w:rPr>
              <w:t>响应</w:t>
            </w:r>
            <w:r>
              <w:rPr>
                <w:rFonts w:hint="eastAsia" w:ascii="宋体" w:hAnsi="宋体" w:eastAsia="宋体" w:cs="宋体"/>
                <w:b/>
                <w:bCs/>
                <w:sz w:val="21"/>
                <w:szCs w:val="21"/>
                <w:lang w:val="zh-CN"/>
              </w:rPr>
              <w:t>文件中预留的邮箱传送至代理机构邮箱471870577qq.com;因供应商自身原因导致其未能在规定时间内完成询标澄清或多轮报价事宜的，由此造成的后果由供应商自行承担。</w:t>
            </w:r>
          </w:p>
          <w:p w14:paraId="450C24AC">
            <w:pPr>
              <w:pStyle w:val="9"/>
              <w:keepNext w:val="0"/>
              <w:keepLines w:val="0"/>
              <w:widowControl/>
              <w:numPr>
                <w:ilvl w:val="0"/>
                <w:numId w:val="9"/>
              </w:numPr>
              <w:suppressLineNumbers w:val="0"/>
              <w:spacing w:before="0" w:beforeAutospacing="0" w:after="0" w:afterAutospacing="0"/>
              <w:ind w:right="0" w:firstLineChars="0"/>
              <w:rPr>
                <w:rFonts w:hint="eastAsia" w:ascii="宋体" w:hAnsi="宋体" w:eastAsia="宋体" w:cs="宋体"/>
                <w:sz w:val="21"/>
                <w:szCs w:val="21"/>
                <w:lang w:val="zh-CN"/>
              </w:rPr>
            </w:pPr>
            <w:r>
              <w:rPr>
                <w:rFonts w:hint="eastAsia" w:ascii="宋体" w:hAnsi="宋体" w:eastAsia="宋体" w:cs="宋体"/>
                <w:b/>
                <w:bCs/>
                <w:sz w:val="21"/>
                <w:szCs w:val="21"/>
                <w:lang w:val="zh-CN"/>
              </w:rPr>
              <w:t>本项目采购过程中，涉及的供应商联系方式（如手机号码、</w:t>
            </w:r>
            <w:r>
              <w:rPr>
                <w:rFonts w:hint="eastAsia" w:ascii="宋体" w:hAnsi="宋体" w:eastAsia="宋体" w:cs="宋体"/>
                <w:b/>
                <w:bCs/>
                <w:sz w:val="21"/>
                <w:szCs w:val="21"/>
              </w:rPr>
              <w:t>响应</w:t>
            </w:r>
            <w:r>
              <w:rPr>
                <w:rFonts w:hint="eastAsia" w:ascii="宋体" w:hAnsi="宋体" w:eastAsia="宋体" w:cs="宋体"/>
                <w:b/>
                <w:bCs/>
                <w:sz w:val="21"/>
                <w:szCs w:val="21"/>
                <w:lang w:val="zh-CN"/>
              </w:rPr>
              <w:t>文件中预留的邮箱、供应商地址），均以供应商递交的电子</w:t>
            </w:r>
            <w:r>
              <w:rPr>
                <w:rFonts w:hint="eastAsia" w:ascii="宋体" w:hAnsi="宋体" w:eastAsia="宋体" w:cs="宋体"/>
                <w:b/>
                <w:bCs/>
                <w:sz w:val="21"/>
                <w:szCs w:val="21"/>
              </w:rPr>
              <w:t>响应</w:t>
            </w:r>
            <w:r>
              <w:rPr>
                <w:rFonts w:hint="eastAsia" w:ascii="宋体" w:hAnsi="宋体" w:eastAsia="宋体" w:cs="宋体"/>
                <w:b/>
                <w:bCs/>
                <w:sz w:val="21"/>
                <w:szCs w:val="21"/>
                <w:lang w:val="zh-CN"/>
              </w:rPr>
              <w:t>文件中《法定代表人资格声明书》或《法定代表人授权委托书》上注明的联系方式为准</w:t>
            </w:r>
            <w:r>
              <w:rPr>
                <w:rFonts w:hint="eastAsia" w:ascii="宋体" w:hAnsi="宋体" w:eastAsia="宋体" w:cs="宋体"/>
                <w:sz w:val="21"/>
                <w:szCs w:val="21"/>
                <w:lang w:val="zh-CN"/>
              </w:rPr>
              <w:t>。</w:t>
            </w:r>
          </w:p>
        </w:tc>
      </w:tr>
      <w:tr w14:paraId="4CE54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54" w:hRule="atLeast"/>
        </w:trPr>
        <w:tc>
          <w:tcPr>
            <w:tcW w:w="527" w:type="pct"/>
            <w:shd w:val="clear" w:color="000000" w:fill="FFFFFF"/>
            <w:noWrap w:val="0"/>
            <w:vAlign w:val="center"/>
          </w:tcPr>
          <w:p w14:paraId="236C74E8">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rPr>
              <w:t>25</w:t>
            </w:r>
          </w:p>
        </w:tc>
        <w:tc>
          <w:tcPr>
            <w:tcW w:w="744" w:type="pct"/>
            <w:shd w:val="clear" w:color="000000" w:fill="FFFFFF"/>
            <w:noWrap w:val="0"/>
            <w:vAlign w:val="center"/>
          </w:tcPr>
          <w:p w14:paraId="36BF541D">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评标委员会</w:t>
            </w:r>
          </w:p>
          <w:p w14:paraId="2384B5A0">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rPr>
              <w:t>的组建</w:t>
            </w:r>
          </w:p>
        </w:tc>
        <w:tc>
          <w:tcPr>
            <w:tcW w:w="3727" w:type="pct"/>
            <w:shd w:val="clear" w:color="000000" w:fill="FFFFFF"/>
            <w:noWrap w:val="0"/>
            <w:vAlign w:val="center"/>
          </w:tcPr>
          <w:p w14:paraId="4E52E54F">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kern w:val="0"/>
                <w:sz w:val="21"/>
                <w:szCs w:val="21"/>
                <w:lang w:val="zh-CN"/>
              </w:rPr>
            </w:pPr>
            <w:r>
              <w:rPr>
                <w:rFonts w:hint="eastAsia" w:ascii="宋体" w:hAnsi="宋体" w:eastAsia="宋体" w:cs="宋体"/>
                <w:bCs/>
                <w:sz w:val="21"/>
                <w:szCs w:val="21"/>
              </w:rPr>
              <w:t>采购人按照《中华人民共和国政府采购法》等有关法律、法规的规定组建评标委员会，评标委员会由采购人代表和有关技术、经济等方面的专家组成，成员人数为5人（含）以上单数，除采购人代表外的专家将在评标专家库中随机抽取产生。</w:t>
            </w:r>
          </w:p>
        </w:tc>
      </w:tr>
      <w:tr w14:paraId="47463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63" w:hRule="atLeast"/>
        </w:trPr>
        <w:tc>
          <w:tcPr>
            <w:tcW w:w="527" w:type="pct"/>
            <w:shd w:val="clear" w:color="000000" w:fill="FFFFFF"/>
            <w:noWrap w:val="0"/>
            <w:vAlign w:val="center"/>
          </w:tcPr>
          <w:p w14:paraId="1469ECFC">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26</w:t>
            </w:r>
          </w:p>
        </w:tc>
        <w:tc>
          <w:tcPr>
            <w:tcW w:w="744" w:type="pct"/>
            <w:shd w:val="clear" w:color="000000" w:fill="FFFFFF"/>
            <w:noWrap w:val="0"/>
            <w:vAlign w:val="center"/>
          </w:tcPr>
          <w:p w14:paraId="5692E8C8">
            <w:pPr>
              <w:keepNext w:val="0"/>
              <w:keepLines w:val="0"/>
              <w:widowControl/>
              <w:suppressLineNumbers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kern w:val="0"/>
                <w:sz w:val="21"/>
                <w:szCs w:val="21"/>
              </w:rPr>
              <w:t>履约担保</w:t>
            </w:r>
          </w:p>
        </w:tc>
        <w:tc>
          <w:tcPr>
            <w:tcW w:w="3727" w:type="pct"/>
            <w:shd w:val="clear" w:color="000000" w:fill="FFFFFF"/>
            <w:noWrap w:val="0"/>
            <w:vAlign w:val="center"/>
          </w:tcPr>
          <w:p w14:paraId="547BDFEE">
            <w:pPr>
              <w:keepNext w:val="0"/>
              <w:keepLines w:val="0"/>
              <w:widowControl/>
              <w:suppressLineNumbers w:val="0"/>
              <w:spacing w:before="0" w:beforeAutospacing="0" w:after="0" w:afterAutospacing="0"/>
              <w:ind w:left="0" w:right="0" w:firstLine="0" w:firstLineChars="0"/>
              <w:rPr>
                <w:rFonts w:hint="eastAsia" w:ascii="宋体" w:hAnsi="宋体" w:eastAsia="宋体" w:cs="宋体"/>
                <w:kern w:val="0"/>
                <w:sz w:val="21"/>
                <w:szCs w:val="21"/>
              </w:rPr>
            </w:pPr>
            <w:r>
              <w:rPr>
                <w:rFonts w:hint="eastAsia" w:ascii="宋体" w:hAnsi="宋体" w:eastAsia="宋体" w:cs="宋体"/>
                <w:bCs/>
                <w:kern w:val="0"/>
                <w:sz w:val="21"/>
                <w:szCs w:val="21"/>
              </w:rPr>
              <w:t xml:space="preserve">合同生效后7个工作日内，乙方以银行转账/转帐支票/银行汇票/银行、保险公司出具的保函形式向甲方提供合同金额1%的履约保证金。 </w:t>
            </w:r>
          </w:p>
        </w:tc>
      </w:tr>
      <w:tr w14:paraId="4A2B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8" w:hRule="atLeast"/>
        </w:trPr>
        <w:tc>
          <w:tcPr>
            <w:tcW w:w="527" w:type="pct"/>
            <w:shd w:val="clear" w:color="000000" w:fill="FFFFFF"/>
            <w:noWrap w:val="0"/>
            <w:vAlign w:val="center"/>
          </w:tcPr>
          <w:p w14:paraId="02D3C753">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27</w:t>
            </w:r>
          </w:p>
        </w:tc>
        <w:tc>
          <w:tcPr>
            <w:tcW w:w="744" w:type="pct"/>
            <w:shd w:val="clear" w:color="000000" w:fill="FFFFFF"/>
            <w:noWrap w:val="0"/>
            <w:vAlign w:val="center"/>
          </w:tcPr>
          <w:p w14:paraId="1CC81E76">
            <w:pPr>
              <w:keepNext w:val="0"/>
              <w:keepLines w:val="0"/>
              <w:widowControl/>
              <w:suppressLineNumbers w:val="0"/>
              <w:adjustRightInd w:val="0"/>
              <w:spacing w:before="0" w:beforeAutospacing="0" w:after="0" w:afterAutospacing="0"/>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政府采购</w:t>
            </w:r>
          </w:p>
          <w:p w14:paraId="7E3B0723">
            <w:pPr>
              <w:keepNext w:val="0"/>
              <w:keepLines w:val="0"/>
              <w:widowControl/>
              <w:suppressLineNumbers w:val="0"/>
              <w:adjustRightInd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sz w:val="21"/>
                <w:szCs w:val="21"/>
              </w:rPr>
              <w:t>扶持政策</w:t>
            </w:r>
          </w:p>
        </w:tc>
        <w:tc>
          <w:tcPr>
            <w:tcW w:w="3727" w:type="pct"/>
            <w:shd w:val="clear" w:color="000000" w:fill="FFFFFF"/>
            <w:noWrap w:val="0"/>
            <w:vAlign w:val="center"/>
          </w:tcPr>
          <w:p w14:paraId="34072772">
            <w:pPr>
              <w:keepNext w:val="0"/>
              <w:keepLines w:val="0"/>
              <w:widowControl/>
              <w:numPr>
                <w:ilvl w:val="0"/>
                <w:numId w:val="10"/>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中小微企业扶持政策</w:t>
            </w:r>
          </w:p>
          <w:p w14:paraId="2E62F345">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b/>
                <w:bCs/>
                <w:sz w:val="21"/>
                <w:szCs w:val="21"/>
                <w:lang w:val="zh-CN"/>
              </w:rPr>
            </w:pPr>
            <w:r>
              <w:rPr>
                <w:rFonts w:hint="eastAsia" w:ascii="宋体" w:hAnsi="宋体" w:eastAsia="宋体" w:cs="宋体"/>
                <w:b/>
                <w:sz w:val="21"/>
                <w:szCs w:val="21"/>
              </w:rPr>
              <w:t>本项目</w:t>
            </w:r>
            <w:r>
              <w:rPr>
                <w:rFonts w:hint="eastAsia" w:ascii="宋体" w:hAnsi="宋体" w:eastAsia="宋体" w:cs="宋体"/>
                <w:b/>
                <w:sz w:val="21"/>
                <w:szCs w:val="21"/>
                <w:u w:val="single"/>
              </w:rPr>
              <w:t>否</w:t>
            </w:r>
            <w:r>
              <w:rPr>
                <w:rFonts w:hint="eastAsia" w:ascii="宋体" w:hAnsi="宋体" w:eastAsia="宋体" w:cs="宋体"/>
                <w:b/>
                <w:sz w:val="21"/>
                <w:szCs w:val="21"/>
              </w:rPr>
              <w:t>（是/否）属于预留份额专门面向中小企业采购的项目</w:t>
            </w:r>
            <w:r>
              <w:rPr>
                <w:rFonts w:hint="eastAsia" w:ascii="宋体" w:hAnsi="宋体" w:eastAsia="宋体" w:cs="宋体"/>
                <w:b/>
                <w:bCs/>
                <w:sz w:val="21"/>
                <w:szCs w:val="21"/>
                <w:lang w:val="zh-CN"/>
              </w:rPr>
              <w:t>。</w:t>
            </w:r>
          </w:p>
          <w:p w14:paraId="101EEC32">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b/>
                <w:bCs/>
                <w:sz w:val="21"/>
                <w:szCs w:val="21"/>
                <w:lang w:val="zh-CN"/>
              </w:rPr>
            </w:pPr>
            <w:r>
              <w:rPr>
                <w:rFonts w:hint="eastAsia" w:ascii="宋体" w:hAnsi="宋体" w:eastAsia="宋体" w:cs="宋体"/>
                <w:b/>
                <w:sz w:val="21"/>
                <w:szCs w:val="21"/>
              </w:rPr>
              <w:t>本项目属性：</w:t>
            </w:r>
            <w:r>
              <w:rPr>
                <w:rFonts w:hint="eastAsia" w:ascii="宋体" w:hAnsi="宋体" w:eastAsia="宋体" w:cs="宋体"/>
                <w:b/>
                <w:sz w:val="21"/>
                <w:szCs w:val="21"/>
                <w:u w:val="single"/>
              </w:rPr>
              <w:t>①</w:t>
            </w:r>
            <w:r>
              <w:rPr>
                <w:rFonts w:hint="eastAsia" w:ascii="宋体" w:hAnsi="宋体" w:eastAsia="宋体" w:cs="宋体"/>
                <w:b/>
                <w:sz w:val="21"/>
                <w:szCs w:val="21"/>
              </w:rPr>
              <w:t>（①货物类/②服务类/③工程类）</w:t>
            </w:r>
            <w:r>
              <w:rPr>
                <w:rFonts w:hint="eastAsia" w:ascii="宋体" w:hAnsi="宋体" w:eastAsia="宋体" w:cs="宋体"/>
                <w:b/>
                <w:bCs/>
                <w:sz w:val="21"/>
                <w:szCs w:val="21"/>
                <w:lang w:val="zh-CN"/>
              </w:rPr>
              <w:t>。</w:t>
            </w:r>
          </w:p>
          <w:p w14:paraId="045B7FC6">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2A8E3CCA">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本次采购标的为</w:t>
            </w:r>
            <w:r>
              <w:rPr>
                <w:rFonts w:hint="eastAsia" w:ascii="宋体" w:hAnsi="宋体" w:eastAsia="宋体" w:cs="宋体"/>
                <w:sz w:val="21"/>
                <w:szCs w:val="21"/>
                <w:lang w:val="en-US" w:eastAsia="zh-CN"/>
              </w:rPr>
              <w:t>货物</w:t>
            </w:r>
            <w:r>
              <w:rPr>
                <w:rFonts w:hint="eastAsia" w:ascii="宋体" w:hAnsi="宋体" w:eastAsia="宋体" w:cs="宋体"/>
                <w:sz w:val="21"/>
                <w:szCs w:val="21"/>
                <w:lang w:val="zh-CN"/>
              </w:rPr>
              <w:t>，对应的中小企业划分标准所属行业是：</w:t>
            </w:r>
            <w:r>
              <w:rPr>
                <w:rFonts w:hint="eastAsia" w:ascii="宋体" w:hAnsi="宋体" w:eastAsia="宋体" w:cs="宋体"/>
                <w:sz w:val="21"/>
                <w:szCs w:val="21"/>
                <w:u w:val="single"/>
              </w:rPr>
              <w:t>工业</w:t>
            </w:r>
          </w:p>
          <w:p w14:paraId="6D1903D5">
            <w:pPr>
              <w:keepNext w:val="0"/>
              <w:keepLines w:val="0"/>
              <w:widowControl/>
              <w:numPr>
                <w:ilvl w:val="0"/>
                <w:numId w:val="0"/>
              </w:numPr>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sz w:val="21"/>
                <w:szCs w:val="21"/>
                <w:lang w:val="zh-CN"/>
              </w:rPr>
            </w:pPr>
            <w:r>
              <w:rPr>
                <w:rFonts w:hint="eastAsia" w:ascii="宋体" w:hAnsi="宋体" w:eastAsia="宋体" w:cs="宋体"/>
                <w:sz w:val="21"/>
                <w:szCs w:val="21"/>
                <w:lang w:val="zh-CN"/>
              </w:rPr>
              <w:t xml:space="preserve">（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75D017FB">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以联合体形式参加政府采购活动，联合体各方均为中小企业的，联合体视同中小企业。其中，联合体各方均为小微企业的，联合体视同小微企业。</w:t>
            </w:r>
          </w:p>
          <w:p w14:paraId="04D96858">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供应商应当出具《中小企业声明函》，否则其报价不予扣除。</w:t>
            </w:r>
          </w:p>
          <w:p w14:paraId="1F72342C">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残疾人福利性单位视同小微企业，享受小微企业同等的价格扣除。残疾人福利性单位参加政府采购活动时，应当提供《残疾人福利性单位声明函》。</w:t>
            </w:r>
          </w:p>
          <w:p w14:paraId="4E9B7F66">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监狱企业视同小微企业，享受小微企业同等的价格扣除。监狱企业参加政府采购活动时，应当提供监狱企业声明函。</w:t>
            </w:r>
          </w:p>
          <w:p w14:paraId="225DA920">
            <w:pPr>
              <w:keepNext w:val="0"/>
              <w:keepLines w:val="0"/>
              <w:widowControl/>
              <w:numPr>
                <w:ilvl w:val="0"/>
                <w:numId w:val="11"/>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b/>
                <w:bCs/>
                <w:sz w:val="21"/>
                <w:szCs w:val="21"/>
                <w:lang w:val="zh-CN"/>
              </w:rPr>
              <w:t>如为专门面向中小企业采购的项目，不再执行价格评审优惠的扶持政策</w:t>
            </w:r>
            <w:r>
              <w:rPr>
                <w:rFonts w:hint="eastAsia" w:ascii="宋体" w:hAnsi="宋体" w:eastAsia="宋体" w:cs="宋体"/>
                <w:sz w:val="21"/>
                <w:szCs w:val="21"/>
                <w:lang w:val="zh-CN"/>
              </w:rPr>
              <w:t>。</w:t>
            </w:r>
          </w:p>
          <w:p w14:paraId="366B5274">
            <w:pPr>
              <w:keepNext w:val="0"/>
              <w:keepLines w:val="0"/>
              <w:widowControl/>
              <w:numPr>
                <w:ilvl w:val="0"/>
                <w:numId w:val="10"/>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节能产品 、环境标志产品扶持政策说明</w:t>
            </w:r>
          </w:p>
          <w:p w14:paraId="22545AF6">
            <w:pPr>
              <w:keepNext w:val="0"/>
              <w:keepLines w:val="0"/>
              <w:widowControl/>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供应商所投产品属于节能产品或环境标志产品，给予适当加分。</w:t>
            </w:r>
          </w:p>
          <w:p w14:paraId="1AD8F547">
            <w:pPr>
              <w:keepNext w:val="0"/>
              <w:keepLines w:val="0"/>
              <w:widowControl/>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详见评分细则。</w:t>
            </w:r>
          </w:p>
          <w:p w14:paraId="2413FCD1">
            <w:pPr>
              <w:keepNext w:val="0"/>
              <w:keepLines w:val="0"/>
              <w:widowControl/>
              <w:numPr>
                <w:ilvl w:val="0"/>
                <w:numId w:val="10"/>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宋体" w:hAnsi="宋体" w:eastAsia="宋体" w:cs="宋体"/>
                <w:bCs/>
                <w:sz w:val="21"/>
                <w:szCs w:val="21"/>
              </w:rPr>
              <w:t>本项目支持创新发展：1.采购人优先采购被认定为首台套产品和“制造精品”的自主创新产品；2.首台套产品被纳入《首台套产品推广应用指导目录》之日起 3年内，以及产品核心技术高于国内领先水平，并具有明晰自主知识产权的“制造精品”产品，自认定之日起 3年内视同已具备相应销售业绩，参加政府采购活动时业绩分值为满分。</w:t>
            </w:r>
          </w:p>
          <w:p w14:paraId="7D0B7C2E">
            <w:pPr>
              <w:keepNext w:val="0"/>
              <w:keepLines w:val="0"/>
              <w:widowControl/>
              <w:numPr>
                <w:ilvl w:val="0"/>
                <w:numId w:val="10"/>
              </w:numPr>
              <w:suppressLineNumbers w:val="0"/>
              <w:autoSpaceDE w:val="0"/>
              <w:autoSpaceDN w:val="0"/>
              <w:adjustRightInd w:val="0"/>
              <w:spacing w:before="0" w:beforeAutospacing="0" w:after="0" w:afterAutospacing="0" w:line="240" w:lineRule="auto"/>
              <w:ind w:left="0" w:right="0" w:firstLine="0" w:firstLineChars="0"/>
              <w:rPr>
                <w:rFonts w:hint="eastAsia" w:ascii="宋体" w:hAnsi="宋体" w:eastAsia="宋体" w:cs="宋体"/>
                <w:sz w:val="21"/>
                <w:szCs w:val="21"/>
                <w:lang w:val="zh-CN"/>
              </w:rPr>
            </w:pPr>
            <w:r>
              <w:rPr>
                <w:rFonts w:hint="eastAsia" w:asciiTheme="minorEastAsia" w:hAnsiTheme="minorEastAsia" w:eastAsiaTheme="minorEastAsia" w:cstheme="minorEastAsia"/>
                <w:b/>
                <w:sz w:val="22"/>
                <w:szCs w:val="22"/>
              </w:rPr>
              <w:t>中小企业信用融资</w:t>
            </w:r>
            <w:r>
              <w:rPr>
                <w:rFonts w:hint="eastAsia" w:ascii="宋体" w:hAnsi="宋体" w:eastAsia="宋体" w:cs="宋体"/>
                <w:bCs/>
                <w:sz w:val="21"/>
                <w:szCs w:val="21"/>
                <w:lang w:val="en-US" w:eastAsia="zh-CN"/>
              </w:rPr>
              <w:t xml:space="preserve">  </w:t>
            </w:r>
          </w:p>
          <w:p w14:paraId="3D241A81">
            <w:pPr>
              <w:keepNext w:val="0"/>
              <w:keepLines w:val="0"/>
              <w:widowControl/>
              <w:numPr>
                <w:ilvl w:val="0"/>
                <w:numId w:val="0"/>
              </w:numPr>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sz w:val="21"/>
                <w:szCs w:val="21"/>
                <w:lang w:val="zh-CN"/>
              </w:rPr>
            </w:pPr>
            <w:r>
              <w:rPr>
                <w:rFonts w:hint="eastAsia" w:asciiTheme="minorEastAsia" w:hAnsiTheme="minorEastAsia" w:eastAsiaTheme="minorEastAsia" w:cstheme="minorEastAsia"/>
                <w:snapToGrid w:val="0"/>
                <w:kern w:val="28"/>
                <w:sz w:val="22"/>
                <w:szCs w:val="22"/>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98BC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3" w:hRule="atLeast"/>
        </w:trPr>
        <w:tc>
          <w:tcPr>
            <w:tcW w:w="527" w:type="pct"/>
            <w:shd w:val="clear" w:color="000000" w:fill="FFFFFF"/>
            <w:noWrap w:val="0"/>
            <w:vAlign w:val="center"/>
          </w:tcPr>
          <w:p w14:paraId="7EB6621E">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rPr>
              <w:t>28</w:t>
            </w:r>
          </w:p>
        </w:tc>
        <w:tc>
          <w:tcPr>
            <w:tcW w:w="744" w:type="pct"/>
            <w:shd w:val="clear" w:color="000000" w:fill="FFFFFF"/>
            <w:noWrap w:val="0"/>
            <w:vAlign w:val="center"/>
          </w:tcPr>
          <w:p w14:paraId="64495CCA">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投标供应商信用</w:t>
            </w:r>
          </w:p>
          <w:p w14:paraId="07B96DEB">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sz w:val="21"/>
                <w:szCs w:val="21"/>
              </w:rPr>
              <w:t>查询</w:t>
            </w:r>
          </w:p>
        </w:tc>
        <w:tc>
          <w:tcPr>
            <w:tcW w:w="3727" w:type="pct"/>
            <w:shd w:val="clear" w:color="000000" w:fill="FFFFFF"/>
            <w:noWrap w:val="0"/>
            <w:vAlign w:val="center"/>
          </w:tcPr>
          <w:p w14:paraId="76DF9EEB">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 w:val="21"/>
                <w:szCs w:val="21"/>
              </w:rPr>
            </w:pPr>
            <w:r>
              <w:rPr>
                <w:rFonts w:hint="eastAsia" w:ascii="宋体" w:hAnsi="宋体" w:eastAsia="宋体" w:cs="宋体"/>
                <w:sz w:val="21"/>
                <w:szCs w:val="21"/>
              </w:rPr>
              <w:t>（1）供应商信用信息查询的查询渠道：“信用中国”(</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"http://www.creditchina.gov.cn" </w:instrText>
            </w:r>
            <w:r>
              <w:rPr>
                <w:rFonts w:hint="eastAsia" w:ascii="宋体" w:hAnsi="宋体" w:eastAsia="宋体" w:cs="宋体"/>
                <w:sz w:val="21"/>
                <w:szCs w:val="21"/>
              </w:rPr>
              <w:fldChar w:fldCharType="separate"/>
            </w:r>
            <w:r>
              <w:rPr>
                <w:rFonts w:hint="eastAsia" w:ascii="宋体" w:hAnsi="宋体" w:eastAsia="宋体" w:cs="宋体"/>
                <w:sz w:val="21"/>
                <w:szCs w:val="21"/>
              </w:rPr>
              <w:t>www.creditchina.gov.cn</w:t>
            </w:r>
            <w:r>
              <w:rPr>
                <w:rFonts w:hint="eastAsia" w:ascii="宋体" w:hAnsi="宋体" w:eastAsia="宋体" w:cs="宋体"/>
                <w:sz w:val="21"/>
                <w:szCs w:val="21"/>
              </w:rPr>
              <w:fldChar w:fldCharType="end"/>
            </w:r>
            <w:r>
              <w:rPr>
                <w:rFonts w:hint="eastAsia" w:ascii="宋体" w:hAnsi="宋体" w:eastAsia="宋体" w:cs="宋体"/>
                <w:sz w:val="21"/>
                <w:szCs w:val="21"/>
              </w:rPr>
              <w:t>)；“中国政府采购网”（http://www.ccgp.gov.cn/）；</w:t>
            </w:r>
          </w:p>
          <w:p w14:paraId="219B5802">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 w:val="21"/>
                <w:szCs w:val="21"/>
              </w:rPr>
            </w:pPr>
            <w:r>
              <w:rPr>
                <w:rFonts w:hint="eastAsia" w:ascii="宋体" w:hAnsi="宋体" w:eastAsia="宋体" w:cs="宋体"/>
                <w:sz w:val="21"/>
                <w:szCs w:val="21"/>
              </w:rPr>
              <w:t>（2）供应商信用信息查询记录和证据留存的具体方式：网页截图打印；</w:t>
            </w:r>
          </w:p>
          <w:p w14:paraId="1B90D007">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 w:val="21"/>
                <w:szCs w:val="21"/>
              </w:rPr>
            </w:pPr>
            <w:r>
              <w:rPr>
                <w:rFonts w:hint="eastAsia" w:ascii="宋体" w:hAnsi="宋体" w:eastAsia="宋体" w:cs="宋体"/>
                <w:sz w:val="21"/>
                <w:szCs w:val="21"/>
              </w:rPr>
              <w:t>（3）信用信息的使用规则：</w:t>
            </w:r>
          </w:p>
          <w:p w14:paraId="69A44465">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 w:val="21"/>
                <w:szCs w:val="21"/>
              </w:rPr>
            </w:pPr>
            <w:r>
              <w:rPr>
                <w:rFonts w:hint="eastAsia" w:ascii="宋体" w:hAnsi="宋体" w:eastAsia="宋体" w:cs="宋体"/>
                <w:sz w:val="21"/>
                <w:szCs w:val="21"/>
              </w:rPr>
              <w:t>①在“信用中国”具有负面记录：列入失信被执行人、重大税收违法案件当事人名单、政府采购严重违法失信行为名单；</w:t>
            </w:r>
          </w:p>
          <w:p w14:paraId="4A08E8D5">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 w:val="21"/>
                <w:szCs w:val="21"/>
              </w:rPr>
            </w:pPr>
            <w:r>
              <w:rPr>
                <w:rFonts w:hint="eastAsia" w:ascii="宋体" w:hAnsi="宋体" w:eastAsia="宋体" w:cs="宋体"/>
                <w:sz w:val="21"/>
                <w:szCs w:val="21"/>
              </w:rPr>
              <w:t>②被“中国政府采购网”(www.ccgp.gov.cn)列入政府采购严重违法失信行为记录名单。</w:t>
            </w:r>
          </w:p>
          <w:p w14:paraId="7B311FB7">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kern w:val="0"/>
                <w:sz w:val="21"/>
                <w:szCs w:val="21"/>
              </w:rPr>
            </w:pPr>
            <w:r>
              <w:rPr>
                <w:rFonts w:hint="eastAsia" w:ascii="宋体" w:hAnsi="宋体" w:eastAsia="宋体" w:cs="宋体"/>
                <w:sz w:val="21"/>
                <w:szCs w:val="21"/>
              </w:rPr>
              <w:t>（4）具有以上（3）所述信息记录的供应商，其投标做无效投标处理。</w:t>
            </w:r>
          </w:p>
        </w:tc>
      </w:tr>
      <w:tr w14:paraId="7C863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3" w:hRule="atLeast"/>
        </w:trPr>
        <w:tc>
          <w:tcPr>
            <w:tcW w:w="527" w:type="pct"/>
            <w:shd w:val="clear" w:color="000000" w:fill="FFFFFF"/>
            <w:noWrap w:val="0"/>
            <w:vAlign w:val="center"/>
          </w:tcPr>
          <w:p w14:paraId="70BBF128">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kern w:val="0"/>
                <w:sz w:val="21"/>
                <w:szCs w:val="21"/>
              </w:rPr>
              <w:t>29</w:t>
            </w:r>
          </w:p>
        </w:tc>
        <w:tc>
          <w:tcPr>
            <w:tcW w:w="744" w:type="pct"/>
            <w:shd w:val="clear" w:color="000000" w:fill="FFFFFF"/>
            <w:noWrap w:val="0"/>
            <w:vAlign w:val="center"/>
          </w:tcPr>
          <w:p w14:paraId="0A91E4B0">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sz w:val="21"/>
                <w:szCs w:val="21"/>
              </w:rPr>
              <w:t>合同备案</w:t>
            </w:r>
          </w:p>
        </w:tc>
        <w:tc>
          <w:tcPr>
            <w:tcW w:w="3727" w:type="pct"/>
            <w:shd w:val="clear" w:color="000000" w:fill="FFFFFF"/>
            <w:noWrap w:val="0"/>
            <w:vAlign w:val="center"/>
          </w:tcPr>
          <w:p w14:paraId="0951C65A">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由于本项目供货时间紧张，要求</w:t>
            </w:r>
            <w:r>
              <w:rPr>
                <w:rFonts w:hint="eastAsia" w:ascii="宋体" w:hAnsi="宋体" w:eastAsia="宋体" w:cs="宋体"/>
                <w:sz w:val="21"/>
                <w:szCs w:val="21"/>
              </w:rPr>
              <w:t>中标供应商在中标通知书发出之日起</w:t>
            </w:r>
            <w:r>
              <w:rPr>
                <w:rFonts w:hint="eastAsia" w:ascii="宋体" w:hAnsi="宋体" w:eastAsia="宋体" w:cs="宋体"/>
                <w:sz w:val="21"/>
                <w:szCs w:val="21"/>
                <w:lang w:val="en-US" w:eastAsia="zh-CN"/>
              </w:rPr>
              <w:t>3</w:t>
            </w:r>
            <w:r>
              <w:rPr>
                <w:rFonts w:hint="eastAsia" w:ascii="宋体" w:hAnsi="宋体" w:eastAsia="宋体" w:cs="宋体"/>
                <w:sz w:val="21"/>
                <w:szCs w:val="21"/>
              </w:rPr>
              <w:t>日历天内与采购人签订合同。</w:t>
            </w:r>
          </w:p>
          <w:p w14:paraId="1FB28738">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kern w:val="0"/>
                <w:sz w:val="21"/>
                <w:szCs w:val="21"/>
              </w:rPr>
            </w:pPr>
            <w:r>
              <w:rPr>
                <w:rFonts w:hint="eastAsia" w:ascii="宋体" w:hAnsi="宋体" w:eastAsia="宋体" w:cs="宋体"/>
                <w:sz w:val="21"/>
                <w:szCs w:val="21"/>
              </w:rPr>
              <w:t>（2）中标供应商与采购人签订合同后，2日历天内将合同扫描件电子版发给采购代理机构：邮箱：</w:t>
            </w:r>
            <w:r>
              <w:rPr>
                <w:rFonts w:hint="eastAsia" w:ascii="宋体" w:hAnsi="宋体" w:eastAsia="宋体" w:cs="宋体"/>
                <w:b/>
                <w:sz w:val="21"/>
                <w:szCs w:val="21"/>
                <w:u w:val="single"/>
              </w:rPr>
              <w:t>471870577@qq.com</w:t>
            </w:r>
            <w:r>
              <w:rPr>
                <w:rFonts w:hint="eastAsia" w:ascii="宋体" w:hAnsi="宋体" w:eastAsia="宋体" w:cs="宋体"/>
                <w:sz w:val="21"/>
                <w:szCs w:val="21"/>
              </w:rPr>
              <w:t>。</w:t>
            </w:r>
          </w:p>
        </w:tc>
      </w:tr>
      <w:tr w14:paraId="3BF5C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3" w:hRule="atLeast"/>
        </w:trPr>
        <w:tc>
          <w:tcPr>
            <w:tcW w:w="527" w:type="pct"/>
            <w:shd w:val="clear" w:color="000000" w:fill="FFFFFF"/>
            <w:noWrap w:val="0"/>
            <w:vAlign w:val="center"/>
          </w:tcPr>
          <w:p w14:paraId="275C42E9">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744" w:type="pct"/>
            <w:shd w:val="clear" w:color="000000" w:fill="FFFFFF"/>
            <w:noWrap w:val="0"/>
            <w:vAlign w:val="center"/>
          </w:tcPr>
          <w:p w14:paraId="6122C357">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sz w:val="21"/>
                <w:szCs w:val="21"/>
              </w:rPr>
              <w:t>合同履约管理</w:t>
            </w:r>
          </w:p>
        </w:tc>
        <w:tc>
          <w:tcPr>
            <w:tcW w:w="3727" w:type="pct"/>
            <w:shd w:val="clear" w:color="000000" w:fill="FFFFFF"/>
            <w:noWrap w:val="0"/>
            <w:vAlign w:val="center"/>
          </w:tcPr>
          <w:p w14:paraId="586F63CE">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kern w:val="0"/>
                <w:sz w:val="21"/>
                <w:szCs w:val="21"/>
                <w:lang w:val="zh-CN"/>
              </w:rPr>
            </w:pPr>
            <w:r>
              <w:rPr>
                <w:rFonts w:hint="eastAsia" w:ascii="宋体" w:hAnsi="宋体" w:eastAsia="宋体" w:cs="宋体"/>
                <w:sz w:val="21"/>
                <w:szCs w:val="21"/>
              </w:rPr>
              <w:t>合同签订后，采购人依法加强对合同履约进行管理，并在中标单位服务、项目验收等重要关节，如实填写《合同验收报告》（或考核资料），并及时向同级财政部门报告验收过程中遇到的问题。</w:t>
            </w:r>
          </w:p>
        </w:tc>
      </w:tr>
      <w:tr w14:paraId="49615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93" w:hRule="atLeast"/>
        </w:trPr>
        <w:tc>
          <w:tcPr>
            <w:tcW w:w="527" w:type="pct"/>
            <w:shd w:val="clear" w:color="000000" w:fill="FFFFFF"/>
            <w:noWrap w:val="0"/>
            <w:vAlign w:val="center"/>
          </w:tcPr>
          <w:p w14:paraId="51D63CCF">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31</w:t>
            </w:r>
          </w:p>
        </w:tc>
        <w:tc>
          <w:tcPr>
            <w:tcW w:w="744" w:type="pct"/>
            <w:shd w:val="clear" w:color="000000" w:fill="FFFFFF"/>
            <w:noWrap w:val="0"/>
            <w:vAlign w:val="center"/>
          </w:tcPr>
          <w:p w14:paraId="4D83AA3C">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kern w:val="0"/>
                <w:sz w:val="21"/>
                <w:szCs w:val="21"/>
                <w:lang w:val="zh-CN"/>
              </w:rPr>
            </w:pPr>
            <w:r>
              <w:rPr>
                <w:rFonts w:hint="eastAsia" w:ascii="宋体" w:hAnsi="宋体" w:eastAsia="宋体" w:cs="宋体"/>
                <w:sz w:val="21"/>
                <w:szCs w:val="21"/>
              </w:rPr>
              <w:t>解释权</w:t>
            </w:r>
          </w:p>
        </w:tc>
        <w:tc>
          <w:tcPr>
            <w:tcW w:w="3727" w:type="pct"/>
            <w:shd w:val="clear" w:color="000000" w:fill="FFFFFF"/>
            <w:noWrap w:val="0"/>
            <w:vAlign w:val="center"/>
          </w:tcPr>
          <w:p w14:paraId="7FC32F17">
            <w:pPr>
              <w:keepNext w:val="0"/>
              <w:keepLines w:val="0"/>
              <w:widowControl/>
              <w:suppressLineNumbers w:val="0"/>
              <w:spacing w:before="0" w:beforeAutospacing="0" w:after="0" w:afterAutospacing="0"/>
              <w:ind w:left="0" w:right="0" w:firstLine="0" w:firstLineChars="0"/>
              <w:rPr>
                <w:rFonts w:hint="eastAsia" w:ascii="宋体" w:hAnsi="宋体" w:eastAsia="宋体" w:cs="宋体"/>
                <w:kern w:val="0"/>
                <w:sz w:val="21"/>
                <w:szCs w:val="21"/>
                <w:lang w:val="zh-CN"/>
              </w:rPr>
            </w:pPr>
            <w:r>
              <w:rPr>
                <w:rFonts w:hint="eastAsia" w:ascii="宋体" w:hAnsi="宋体" w:eastAsia="宋体" w:cs="宋体"/>
                <w:sz w:val="21"/>
                <w:szCs w:val="21"/>
              </w:rPr>
              <w:t>构成本</w:t>
            </w:r>
            <w:r>
              <w:rPr>
                <w:rFonts w:hint="eastAsia" w:ascii="宋体" w:hAnsi="宋体" w:eastAsia="宋体" w:cs="宋体"/>
                <w:sz w:val="21"/>
                <w:szCs w:val="21"/>
                <w:lang w:eastAsia="zh-CN"/>
              </w:rPr>
              <w:t>采购文件</w:t>
            </w:r>
            <w:r>
              <w:rPr>
                <w:rFonts w:hint="eastAsia" w:ascii="宋体" w:hAnsi="宋体" w:eastAsia="宋体" w:cs="宋体"/>
                <w:sz w:val="21"/>
                <w:szCs w:val="21"/>
              </w:rPr>
              <w:t>的各个组成文件应互为解释，互为说明；如有不明确或不一致，构成合同文件组成内容的，以合同文件约定内容为准，且以专用合同条款约定的合同文件优先顺序解释；仅适用于招标投标阶段的约定，按采购公告、供应商须知、评标办法、响应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4CD9C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93" w:hRule="atLeast"/>
        </w:trPr>
        <w:tc>
          <w:tcPr>
            <w:tcW w:w="527" w:type="pct"/>
            <w:shd w:val="clear" w:color="000000" w:fill="FFFFFF"/>
            <w:noWrap w:val="0"/>
            <w:vAlign w:val="center"/>
          </w:tcPr>
          <w:p w14:paraId="6FF49EA0">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32</w:t>
            </w:r>
          </w:p>
        </w:tc>
        <w:tc>
          <w:tcPr>
            <w:tcW w:w="744" w:type="pct"/>
            <w:shd w:val="clear" w:color="auto" w:fill="auto"/>
            <w:noWrap w:val="0"/>
            <w:vAlign w:val="center"/>
          </w:tcPr>
          <w:p w14:paraId="41810FAA">
            <w:pPr>
              <w:keepNext w:val="0"/>
              <w:keepLines w:val="0"/>
              <w:widowControl/>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snapToGrid w:val="0"/>
                <w:color w:val="000000"/>
                <w:kern w:val="0"/>
                <w:sz w:val="22"/>
                <w:szCs w:val="22"/>
                <w:lang w:val="en-US" w:eastAsia="en-US" w:bidi="ar-SA"/>
              </w:rPr>
            </w:pPr>
            <w:r>
              <w:rPr>
                <w:rFonts w:hint="eastAsia" w:asciiTheme="minorEastAsia" w:hAnsiTheme="minorEastAsia" w:eastAsiaTheme="minorEastAsia" w:cstheme="minorEastAsia"/>
                <w:b/>
                <w:sz w:val="22"/>
                <w:szCs w:val="22"/>
              </w:rPr>
              <w:t>特别提醒</w:t>
            </w:r>
          </w:p>
        </w:tc>
        <w:tc>
          <w:tcPr>
            <w:tcW w:w="3727" w:type="pct"/>
            <w:shd w:val="clear" w:color="auto" w:fill="auto"/>
            <w:noWrap w:val="0"/>
            <w:vAlign w:val="center"/>
          </w:tcPr>
          <w:p w14:paraId="5EC5BFC6">
            <w:pPr>
              <w:pStyle w:val="9"/>
              <w:keepNext w:val="0"/>
              <w:keepLines w:val="0"/>
              <w:widowControl/>
              <w:suppressLineNumbers w:val="0"/>
              <w:autoSpaceDE/>
              <w:autoSpaceDN/>
              <w:snapToGrid w:val="0"/>
              <w:spacing w:before="0" w:beforeAutospacing="0" w:after="0" w:afterAutospacing="0" w:line="400" w:lineRule="exact"/>
              <w:ind w:left="0" w:right="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lang w:val="en-US"/>
              </w:rPr>
              <w:t>1、</w:t>
            </w:r>
            <w:r>
              <w:rPr>
                <w:rFonts w:hint="eastAsia" w:asciiTheme="minorEastAsia" w:hAnsiTheme="minorEastAsia" w:eastAsiaTheme="minorEastAsia" w:cstheme="minorEastAsia"/>
                <w:b/>
                <w:bCs/>
                <w:sz w:val="22"/>
                <w:szCs w:val="22"/>
              </w:rPr>
              <w:t>参与同一个采购包（标段）的供应商存在下列情形之一的，且</w:t>
            </w:r>
            <w:r>
              <w:rPr>
                <w:rFonts w:hint="eastAsia" w:asciiTheme="minorEastAsia" w:hAnsiTheme="minorEastAsia" w:eastAsiaTheme="minorEastAsia" w:cstheme="minorEastAsia"/>
                <w:b/>
                <w:bCs/>
                <w:kern w:val="0"/>
                <w:sz w:val="22"/>
                <w:szCs w:val="22"/>
                <w:lang w:val="en-US"/>
              </w:rPr>
              <w:t>供应商无法做出合理解释的</w:t>
            </w:r>
            <w:r>
              <w:rPr>
                <w:rFonts w:hint="eastAsia" w:asciiTheme="minorEastAsia" w:hAnsiTheme="minorEastAsia" w:eastAsiaTheme="minorEastAsia" w:cstheme="minorEastAsia"/>
                <w:b/>
                <w:bCs/>
                <w:sz w:val="22"/>
                <w:szCs w:val="22"/>
              </w:rPr>
              <w:t>，其投标（响应）文件无效：</w:t>
            </w:r>
          </w:p>
          <w:p w14:paraId="4EE79FAD">
            <w:pPr>
              <w:pStyle w:val="9"/>
              <w:keepNext w:val="0"/>
              <w:keepLines w:val="0"/>
              <w:widowControl/>
              <w:suppressLineNumbers w:val="0"/>
              <w:autoSpaceDE/>
              <w:autoSpaceDN/>
              <w:snapToGrid w:val="0"/>
              <w:spacing w:before="0" w:beforeAutospacing="0" w:after="0" w:afterAutospacing="0" w:line="400" w:lineRule="exact"/>
              <w:ind w:left="0" w:right="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（1）不同供应商的电子投标（响应）文件上传计算机的IP地址、网卡MAC地址、CPU序列号和硬盘序列号等硬件信息相同的；</w:t>
            </w:r>
          </w:p>
          <w:p w14:paraId="1E3C8F70">
            <w:pPr>
              <w:pStyle w:val="9"/>
              <w:keepNext w:val="0"/>
              <w:keepLines w:val="0"/>
              <w:widowControl/>
              <w:suppressLineNumbers w:val="0"/>
              <w:autoSpaceDE/>
              <w:autoSpaceDN/>
              <w:snapToGrid w:val="0"/>
              <w:spacing w:before="0" w:beforeAutospacing="0" w:after="0" w:afterAutospacing="0" w:line="400" w:lineRule="exact"/>
              <w:ind w:left="0" w:right="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（2）上传的电子投标（响应）文件若出现使用本项目其他投标（响应）供应商的数字证书加密的，或者加盖本项目其他投标（响应）供应商的电子印章的；</w:t>
            </w:r>
          </w:p>
          <w:p w14:paraId="3E4B258E">
            <w:pPr>
              <w:pStyle w:val="9"/>
              <w:keepNext w:val="0"/>
              <w:keepLines w:val="0"/>
              <w:widowControl/>
              <w:suppressLineNumbers w:val="0"/>
              <w:autoSpaceDE/>
              <w:autoSpaceDN/>
              <w:snapToGrid w:val="0"/>
              <w:spacing w:before="0" w:beforeAutospacing="0" w:after="0" w:afterAutospacing="0" w:line="400" w:lineRule="exact"/>
              <w:ind w:left="0" w:right="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（3）不同供应商的投标（响应）文件的内容存在三处（含）以上错误一致；</w:t>
            </w:r>
          </w:p>
          <w:p w14:paraId="0F05B8BD">
            <w:pPr>
              <w:pStyle w:val="9"/>
              <w:keepNext w:val="0"/>
              <w:keepLines w:val="0"/>
              <w:widowControl/>
              <w:suppressLineNumbers w:val="0"/>
              <w:autoSpaceDE/>
              <w:autoSpaceDN/>
              <w:snapToGrid w:val="0"/>
              <w:spacing w:before="0" w:beforeAutospacing="0" w:after="0" w:afterAutospacing="0" w:line="400" w:lineRule="exact"/>
              <w:ind w:left="0" w:right="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（4）不同供应商联系人为同一人或不同联系人的联系电话一致。</w:t>
            </w:r>
          </w:p>
          <w:p w14:paraId="69B33342">
            <w:pPr>
              <w:pStyle w:val="9"/>
              <w:keepNext w:val="0"/>
              <w:keepLines w:val="0"/>
              <w:widowControl/>
              <w:suppressLineNumbers w:val="0"/>
              <w:autoSpaceDE/>
              <w:autoSpaceDN/>
              <w:snapToGrid w:val="0"/>
              <w:spacing w:before="0" w:beforeAutospacing="0" w:after="0" w:afterAutospacing="0" w:line="400" w:lineRule="exact"/>
              <w:ind w:left="0" w:right="0"/>
              <w:rPr>
                <w:rFonts w:hint="eastAsia" w:asciiTheme="minorEastAsia" w:hAnsiTheme="minorEastAsia" w:eastAsiaTheme="minorEastAsia" w:cstheme="minorEastAsia"/>
                <w:b/>
                <w:bCs/>
                <w:snapToGrid w:val="0"/>
                <w:color w:val="000000"/>
                <w:kern w:val="0"/>
                <w:sz w:val="22"/>
                <w:szCs w:val="22"/>
                <w:lang w:val="en-US" w:eastAsia="en-US" w:bidi="ar-SA"/>
              </w:rPr>
            </w:pPr>
            <w:r>
              <w:rPr>
                <w:rFonts w:hint="eastAsia" w:asciiTheme="minorEastAsia" w:hAnsiTheme="minorEastAsia" w:eastAsiaTheme="minorEastAsia" w:cstheme="minorEastAsia"/>
                <w:b/>
                <w:bCs/>
                <w:sz w:val="22"/>
                <w:szCs w:val="22"/>
                <w:lang w:val="en-US"/>
              </w:rPr>
              <w:t>2、根据《浙江省财政厅关于进一步规范政府采购秩序促进公平竞争的通知》（浙财采监〔2025〕2号文件）的要求，在评审结束后、合同签订前，采购人、采购代理机构将通过网站查询、原件核对等方式对中标（成交）供应商在投标（响应）文件中涉及客观分评审内容的业绩、检测报告、认证证书等资料的真实性进行复核，发现供应商提供虚假材料的，将书面报告本级财政部门。</w:t>
            </w:r>
          </w:p>
        </w:tc>
      </w:tr>
    </w:tbl>
    <w:p w14:paraId="5C03F4AD">
      <w:pPr>
        <w:ind w:firstLine="480"/>
        <w:rPr>
          <w:rFonts w:hint="eastAsia" w:ascii="宋体" w:hAnsi="宋体" w:eastAsia="宋体" w:cs="宋体"/>
          <w:sz w:val="24"/>
          <w:szCs w:val="20"/>
        </w:rPr>
        <w:sectPr>
          <w:pgSz w:w="11906" w:h="16838"/>
          <w:pgMar w:top="1134" w:right="1134" w:bottom="1134" w:left="1134" w:header="851" w:footer="992" w:gutter="0"/>
          <w:pgNumType w:fmt="decimal"/>
          <w:cols w:space="720" w:num="1"/>
          <w:docGrid w:linePitch="312" w:charSpace="0"/>
        </w:sectPr>
      </w:pPr>
    </w:p>
    <w:p w14:paraId="44EFEC70">
      <w:pPr>
        <w:pStyle w:val="3"/>
        <w:ind w:firstLine="602"/>
        <w:rPr>
          <w:rFonts w:hint="eastAsia" w:ascii="宋体" w:hAnsi="宋体" w:eastAsia="宋体" w:cs="宋体"/>
        </w:rPr>
      </w:pPr>
      <w:r>
        <w:rPr>
          <w:rFonts w:hint="eastAsia" w:ascii="宋体" w:hAnsi="宋体" w:eastAsia="宋体" w:cs="宋体"/>
        </w:rPr>
        <w:t xml:space="preserve">  </w:t>
      </w:r>
      <w:bookmarkStart w:id="12" w:name="_Toc16722"/>
      <w:r>
        <w:rPr>
          <w:rFonts w:hint="eastAsia" w:ascii="宋体" w:hAnsi="宋体" w:eastAsia="宋体" w:cs="宋体"/>
        </w:rPr>
        <w:t>一   说 明（标项1、标项2、标项3</w:t>
      </w:r>
      <w:r>
        <w:rPr>
          <w:rFonts w:hint="eastAsia" w:ascii="宋体" w:hAnsi="宋体" w:eastAsia="宋体" w:cs="宋体"/>
          <w:lang w:eastAsia="zh-CN"/>
        </w:rPr>
        <w:t>、</w:t>
      </w:r>
      <w:r>
        <w:rPr>
          <w:rFonts w:hint="eastAsia" w:ascii="宋体" w:hAnsi="宋体" w:eastAsia="宋体" w:cs="宋体"/>
        </w:rPr>
        <w:t>标项</w:t>
      </w:r>
      <w:r>
        <w:rPr>
          <w:rFonts w:hint="eastAsia" w:ascii="宋体" w:hAnsi="宋体" w:eastAsia="宋体" w:cs="宋体"/>
          <w:lang w:val="en-US" w:eastAsia="zh-CN"/>
        </w:rPr>
        <w:t>4</w:t>
      </w:r>
      <w:r>
        <w:rPr>
          <w:rFonts w:hint="eastAsia" w:ascii="宋体" w:hAnsi="宋体" w:eastAsia="宋体" w:cs="宋体"/>
        </w:rPr>
        <w:t>通用）</w:t>
      </w:r>
      <w:bookmarkEnd w:id="12"/>
    </w:p>
    <w:p w14:paraId="1C79404C">
      <w:pPr>
        <w:ind w:firstLine="420"/>
        <w:rPr>
          <w:rFonts w:hint="eastAsia" w:ascii="宋体" w:hAnsi="宋体" w:eastAsia="宋体" w:cs="宋体"/>
        </w:rPr>
      </w:pPr>
      <w:r>
        <w:rPr>
          <w:rFonts w:hint="eastAsia" w:ascii="宋体" w:hAnsi="宋体" w:eastAsia="宋体" w:cs="宋体"/>
          <w:szCs w:val="21"/>
        </w:rPr>
        <w:t xml:space="preserve"> </w:t>
      </w:r>
      <w:r>
        <w:rPr>
          <w:rFonts w:hint="eastAsia" w:ascii="宋体" w:hAnsi="宋体" w:eastAsia="宋体" w:cs="宋体"/>
        </w:rPr>
        <w:t>1.</w:t>
      </w:r>
      <w:r>
        <w:rPr>
          <w:rFonts w:hint="eastAsia" w:ascii="宋体" w:hAnsi="宋体" w:eastAsia="宋体" w:cs="宋体"/>
          <w:color w:val="auto"/>
          <w:highlight w:val="none"/>
        </w:rPr>
        <w:t>本次</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是按照《中华人民共和国政府采购法》、</w:t>
      </w:r>
      <w:r>
        <w:rPr>
          <w:rFonts w:hint="eastAsia" w:ascii="宋体" w:hAnsi="宋体" w:eastAsia="宋体" w:cs="宋体"/>
          <w:color w:val="auto"/>
          <w:sz w:val="21"/>
          <w:szCs w:val="21"/>
          <w:highlight w:val="none"/>
        </w:rPr>
        <w:t>《政府采购货物和服务采购投标管理办法》法律及有关法规组织和实施的</w:t>
      </w:r>
      <w:r>
        <w:rPr>
          <w:rFonts w:hint="eastAsia" w:ascii="宋体" w:hAnsi="宋体" w:eastAsia="宋体" w:cs="宋体"/>
        </w:rPr>
        <w:t>。</w:t>
      </w:r>
    </w:p>
    <w:p w14:paraId="79A7CD13">
      <w:pPr>
        <w:pStyle w:val="54"/>
        <w:spacing w:line="400" w:lineRule="exact"/>
        <w:ind w:firstLine="442"/>
        <w:rPr>
          <w:rFonts w:hint="eastAsia" w:ascii="宋体" w:hAnsi="宋体" w:cs="宋体"/>
          <w:b/>
          <w:bCs/>
          <w:sz w:val="22"/>
          <w:szCs w:val="22"/>
        </w:rPr>
      </w:pPr>
      <w:r>
        <w:rPr>
          <w:rFonts w:hint="eastAsia" w:ascii="宋体" w:hAnsi="宋体" w:cs="宋体"/>
          <w:b/>
          <w:bCs/>
          <w:sz w:val="22"/>
          <w:szCs w:val="22"/>
        </w:rPr>
        <w:t>2.定义</w:t>
      </w:r>
    </w:p>
    <w:p w14:paraId="35733C00">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2.1 “温州市职业中等专业学校”系指招标公告中载明的本项目的采购人。</w:t>
      </w:r>
    </w:p>
    <w:p w14:paraId="20D1ADA2">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2.2 “</w:t>
      </w:r>
      <w:r>
        <w:rPr>
          <w:rFonts w:hint="eastAsia" w:asciiTheme="minorEastAsia" w:hAnsiTheme="minorEastAsia" w:eastAsiaTheme="minorEastAsia" w:cstheme="minorEastAsia"/>
          <w:sz w:val="22"/>
          <w:szCs w:val="22"/>
          <w:lang w:val="en-US" w:eastAsia="zh-CN"/>
        </w:rPr>
        <w:t>温州得恒</w:t>
      </w:r>
      <w:r>
        <w:rPr>
          <w:rFonts w:hint="eastAsia" w:asciiTheme="minorEastAsia" w:hAnsiTheme="minorEastAsia" w:eastAsiaTheme="minorEastAsia" w:cstheme="minorEastAsia"/>
          <w:sz w:val="22"/>
          <w:szCs w:val="22"/>
        </w:rPr>
        <w:t>项目管理</w:t>
      </w:r>
      <w:r>
        <w:rPr>
          <w:rFonts w:hint="eastAsia" w:asciiTheme="minorEastAsia" w:hAnsiTheme="minorEastAsia" w:eastAsiaTheme="minorEastAsia" w:cstheme="minorEastAsia"/>
          <w:sz w:val="22"/>
          <w:szCs w:val="22"/>
          <w:lang w:val="en-US" w:eastAsia="zh-CN"/>
        </w:rPr>
        <w:t>咨询</w:t>
      </w:r>
      <w:r>
        <w:rPr>
          <w:rFonts w:hint="eastAsia" w:asciiTheme="minorEastAsia" w:hAnsiTheme="minorEastAsia" w:eastAsiaTheme="minorEastAsia" w:cstheme="minorEastAsia"/>
          <w:sz w:val="22"/>
          <w:szCs w:val="22"/>
        </w:rPr>
        <w:t>有限公司”系指招标公告中载明的本项目的采购代理机构。</w:t>
      </w:r>
    </w:p>
    <w:p w14:paraId="26FEED54">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2.3 “投标</w:t>
      </w:r>
      <w:r>
        <w:rPr>
          <w:rFonts w:hint="eastAsia" w:asciiTheme="minorEastAsia" w:hAnsiTheme="minorEastAsia" w:eastAsiaTheme="minorEastAsia" w:cstheme="minorEastAsia"/>
          <w:sz w:val="22"/>
          <w:szCs w:val="22"/>
          <w:lang w:val="en-US" w:eastAsia="zh-CN"/>
        </w:rPr>
        <w:t>供应商</w:t>
      </w:r>
      <w:r>
        <w:rPr>
          <w:rFonts w:hint="eastAsia" w:asciiTheme="minorEastAsia" w:hAnsiTheme="minorEastAsia" w:eastAsiaTheme="minorEastAsia" w:cstheme="minorEastAsia"/>
          <w:sz w:val="22"/>
          <w:szCs w:val="22"/>
        </w:rPr>
        <w:t>”系指响应招标、参加投标竞争的法人、其他组织或者自然人。</w:t>
      </w:r>
    </w:p>
    <w:p w14:paraId="1CE38250">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2.4 “负责人”系指法人企业的法定负责人，或其他组织为法律、行政法规规定代表单位行使职权的主要负责人，或自然人本人。</w:t>
      </w:r>
    </w:p>
    <w:p w14:paraId="5F0B05E3">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2）。</w:t>
      </w:r>
    </w:p>
    <w:p w14:paraId="44EDB29A">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2.6“电子交易平台”系指本项目政府采购活动所依托的政府采购云平台（https://www.zcygov.cn/）。</w:t>
      </w:r>
    </w:p>
    <w:p w14:paraId="6DE98F51">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2.7 ““▲”且加下划线” 系指实质性要求条款，“</w:t>
      </w:r>
      <w:sdt>
        <w:sdtPr>
          <w:rPr>
            <w:rFonts w:hint="eastAsia" w:asciiTheme="minorEastAsia" w:hAnsiTheme="minorEastAsia" w:eastAsiaTheme="minorEastAsia" w:cstheme="minorEastAsia"/>
            <w:kern w:val="0"/>
            <w:sz w:val="22"/>
            <w:szCs w:val="22"/>
          </w:rPr>
          <w:id w:val="512970236"/>
        </w:sdtPr>
        <w:sdtEndPr>
          <w:rPr>
            <w:rFonts w:hint="eastAsia" w:asciiTheme="minorEastAsia" w:hAnsiTheme="minorEastAsia" w:eastAsiaTheme="minorEastAsia" w:cstheme="minorEastAsia"/>
            <w:kern w:val="0"/>
            <w:sz w:val="22"/>
            <w:szCs w:val="22"/>
          </w:rPr>
        </w:sdtEndPr>
        <w:sdtContent>
          <w:sdt>
            <w:sdtPr>
              <w:rPr>
                <w:rFonts w:hint="eastAsia" w:asciiTheme="minorEastAsia" w:hAnsiTheme="minorEastAsia" w:eastAsiaTheme="minorEastAsia" w:cstheme="minorEastAsia"/>
                <w:kern w:val="0"/>
                <w:sz w:val="22"/>
                <w:szCs w:val="22"/>
              </w:rPr>
              <w:id w:val="147458566"/>
            </w:sdtPr>
            <w:sdtEndPr>
              <w:rPr>
                <w:rFonts w:hint="eastAsia" w:asciiTheme="minorEastAsia" w:hAnsiTheme="minorEastAsia" w:eastAsiaTheme="minorEastAsia" w:cstheme="minorEastAsia"/>
                <w:kern w:val="0"/>
                <w:sz w:val="22"/>
                <w:szCs w:val="22"/>
              </w:rPr>
            </w:sdtEndPr>
            <w:sdtContent>
              <w:r>
                <w:rPr>
                  <w:rFonts w:hint="eastAsia" w:asciiTheme="minorEastAsia" w:hAnsiTheme="minorEastAsia" w:eastAsiaTheme="minorEastAsia" w:cstheme="minorEastAsia"/>
                  <w:kern w:val="0"/>
                  <w:sz w:val="22"/>
                  <w:szCs w:val="22"/>
                </w:rPr>
                <w:sym w:font="Wingdings" w:char="00FE"/>
              </w:r>
            </w:sdtContent>
          </w:sdt>
        </w:sdtContent>
      </w:sdt>
      <w:r>
        <w:rPr>
          <w:rFonts w:hint="eastAsia" w:asciiTheme="minorEastAsia" w:hAnsiTheme="minorEastAsia" w:eastAsiaTheme="minorEastAsia" w:cstheme="minorEastAsia"/>
          <w:sz w:val="22"/>
          <w:szCs w:val="22"/>
        </w:rPr>
        <w:t>”或“</w:t>
      </w:r>
      <w:sdt>
        <w:sdtPr>
          <w:rPr>
            <w:rFonts w:hint="eastAsia" w:asciiTheme="minorEastAsia" w:hAnsiTheme="minorEastAsia" w:eastAsiaTheme="minorEastAsia" w:cstheme="minorEastAsia"/>
            <w:kern w:val="0"/>
            <w:sz w:val="22"/>
            <w:szCs w:val="22"/>
          </w:rPr>
          <w:id w:val="147467183"/>
        </w:sdtPr>
        <w:sdtEndPr>
          <w:rPr>
            <w:rFonts w:hint="eastAsia" w:asciiTheme="minorEastAsia" w:hAnsiTheme="minorEastAsia" w:eastAsiaTheme="minorEastAsia" w:cstheme="minorEastAsia"/>
            <w:kern w:val="0"/>
            <w:sz w:val="22"/>
            <w:szCs w:val="22"/>
          </w:rPr>
        </w:sdtEndPr>
        <w:sdtContent>
          <w:r>
            <w:rPr>
              <w:rFonts w:hint="eastAsia" w:ascii="仿宋" w:hAnsi="仿宋" w:eastAsia="仿宋" w:cs="仿宋"/>
              <w:sz w:val="22"/>
              <w:szCs w:val="22"/>
            </w:rPr>
            <w:t>■</w:t>
          </w:r>
        </w:sdtContent>
      </w:sdt>
      <w:r>
        <w:rPr>
          <w:rFonts w:hint="eastAsia" w:asciiTheme="minorEastAsia" w:hAnsiTheme="minorEastAsia" w:eastAsiaTheme="minorEastAsia" w:cstheme="minorEastAsia"/>
          <w:sz w:val="22"/>
          <w:szCs w:val="22"/>
        </w:rPr>
        <w:t>” 系指适用本项目的要求，“</w:t>
      </w:r>
      <w:sdt>
        <w:sdtPr>
          <w:rPr>
            <w:rFonts w:hint="eastAsia" w:asciiTheme="minorEastAsia" w:hAnsiTheme="minorEastAsia" w:eastAsiaTheme="minorEastAsia" w:cstheme="minorEastAsia"/>
            <w:kern w:val="0"/>
            <w:sz w:val="22"/>
            <w:szCs w:val="22"/>
          </w:rPr>
          <w:id w:val="404888855"/>
        </w:sdtPr>
        <w:sdtEndPr>
          <w:rPr>
            <w:rFonts w:hint="eastAsia" w:asciiTheme="minorEastAsia" w:hAnsiTheme="minorEastAsia" w:eastAsiaTheme="minorEastAsia" w:cstheme="minorEastAsia"/>
            <w:kern w:val="0"/>
            <w:sz w:val="22"/>
            <w:szCs w:val="22"/>
          </w:rPr>
        </w:sdtEndPr>
        <w:sdtContent>
          <w:r>
            <w:rPr>
              <w:rFonts w:hint="eastAsia" w:asciiTheme="minorEastAsia" w:hAnsiTheme="minorEastAsia" w:eastAsiaTheme="minorEastAsia" w:cstheme="minorEastAsia"/>
              <w:kern w:val="0"/>
              <w:sz w:val="22"/>
              <w:szCs w:val="22"/>
            </w:rPr>
            <w:t>☐</w:t>
          </w:r>
        </w:sdtContent>
      </w:sdt>
      <w:r>
        <w:rPr>
          <w:rFonts w:hint="eastAsia" w:asciiTheme="minorEastAsia" w:hAnsiTheme="minorEastAsia" w:eastAsiaTheme="minorEastAsia" w:cstheme="minorEastAsia"/>
          <w:sz w:val="22"/>
          <w:szCs w:val="22"/>
        </w:rPr>
        <w:t>” 系指不适用本项目的要求。</w:t>
      </w:r>
    </w:p>
    <w:p w14:paraId="342BFA4E">
      <w:pPr>
        <w:pStyle w:val="54"/>
        <w:spacing w:line="400" w:lineRule="exact"/>
        <w:ind w:firstLine="442"/>
        <w:rPr>
          <w:rFonts w:hint="eastAsia" w:ascii="宋体" w:hAnsi="宋体" w:cs="宋体"/>
          <w:b/>
          <w:bCs/>
          <w:sz w:val="22"/>
          <w:szCs w:val="22"/>
        </w:rPr>
      </w:pPr>
      <w:r>
        <w:rPr>
          <w:rFonts w:hint="eastAsia" w:ascii="宋体" w:hAnsi="宋体" w:cs="宋体"/>
          <w:b/>
          <w:bCs/>
          <w:sz w:val="22"/>
          <w:szCs w:val="22"/>
        </w:rPr>
        <w:t>3.采购项目需要落实的政府采购政策</w:t>
      </w:r>
    </w:p>
    <w:p w14:paraId="2913D4CB">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Theme="minorEastAsia" w:hAnsiTheme="minorEastAsia" w:eastAsiaTheme="minorEastAsia" w:cstheme="minorEastAsia"/>
          <w:kern w:val="0"/>
          <w:sz w:val="22"/>
          <w:szCs w:val="22"/>
        </w:rPr>
        <w:t>优先采购向我国企业转让技术、与我国企业签订消化吸收再创新方案的供应商的进口产品</w:t>
      </w:r>
      <w:r>
        <w:rPr>
          <w:rFonts w:hint="eastAsia" w:asciiTheme="minorEastAsia" w:hAnsiTheme="minorEastAsia" w:eastAsiaTheme="minorEastAsia" w:cstheme="minorEastAsia"/>
          <w:sz w:val="22"/>
          <w:szCs w:val="22"/>
        </w:rPr>
        <w:t>。</w:t>
      </w:r>
    </w:p>
    <w:p w14:paraId="653AE1A3">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3.2 支持绿色发展</w:t>
      </w:r>
    </w:p>
    <w:p w14:paraId="42D144AC">
      <w:pPr>
        <w:spacing w:line="400" w:lineRule="exact"/>
        <w:ind w:firstLine="440" w:firstLineChars="200"/>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sz w:val="22"/>
          <w:szCs w:val="22"/>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Theme="minorEastAsia" w:hAnsiTheme="minorEastAsia" w:eastAsiaTheme="minorEastAsia" w:cstheme="minorEastAsia"/>
          <w:b/>
          <w:sz w:val="22"/>
          <w:szCs w:val="22"/>
        </w:rPr>
        <w:t>▲采购人拟采购的产品属于政府强制采购的节能产品品目清单范围的，投标人相应的投标产品未获得国家确定的认证机构出具的、处于有效期之内的节能产品认证证书的，投标无效。</w:t>
      </w:r>
    </w:p>
    <w:p w14:paraId="6368BDE8">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3.2.2 纳入政府采购管理的修缮、装修类项目采购建材的，鼓励采购人将绿色建材性能、指标等作为实质性条件纳入采购文件和合同，具体性能指标要求参考相关绿色建材政府采购需求标准。</w:t>
      </w:r>
    </w:p>
    <w:p w14:paraId="49F1F303">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3.2.3为助力打好污染防治攻坚战，推广使用绿色包装，政府采购货物、工程和服务项目中涉及商品包装和快递包装的，供应商提供的产品及相关快递服务的具体包装要求要参考《商品包装政府采购需求标准（试行）》、《快递包装政府采购需求标准（试行）》。</w:t>
      </w:r>
      <w:bookmarkStart w:id="13" w:name="_Hlk107568539"/>
      <w:r>
        <w:rPr>
          <w:rFonts w:hint="eastAsia" w:asciiTheme="minorEastAsia" w:hAnsiTheme="minorEastAsia" w:eastAsiaTheme="minorEastAsia" w:cstheme="minorEastAsia"/>
          <w:sz w:val="22"/>
          <w:szCs w:val="22"/>
        </w:rPr>
        <w:t>鼓励采购人优先采购秸秆环保板材等资源综合利用产品。鼓励采购人优先采购绿色物流配送服务、提供新能源交通工具的租赁服务。</w:t>
      </w:r>
    </w:p>
    <w:p w14:paraId="28AD0AA8">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3.2.4 鼓励供应商在参加政府采购过程中开展绿色设计、选择绿色材料、打造绿色制造工艺、开展绿色运输、做好废弃产品回收处理，实现产品全周期的绿色环保。鼓励采购人对其提高预付款比例、免收履约保证金。</w:t>
      </w:r>
      <w:bookmarkEnd w:id="13"/>
    </w:p>
    <w:p w14:paraId="1C800B8D">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3.3支持中小企业发展</w:t>
      </w:r>
    </w:p>
    <w:p w14:paraId="538CBE68">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57B26C8">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符合中小企业划分标准的个体工商户，在政府采购活动中视同中小企业。</w:t>
      </w:r>
    </w:p>
    <w:p w14:paraId="6D166709">
      <w:pPr>
        <w:widowControl/>
        <w:spacing w:line="400" w:lineRule="exact"/>
        <w:ind w:firstLine="440" w:firstLineChars="200"/>
        <w:jc w:val="left"/>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bCs/>
          <w:sz w:val="22"/>
          <w:szCs w:val="22"/>
        </w:rPr>
        <w:t>3.3.2</w:t>
      </w:r>
      <w:r>
        <w:rPr>
          <w:rFonts w:hint="eastAsia" w:asciiTheme="minorEastAsia" w:hAnsiTheme="minorEastAsia" w:eastAsiaTheme="minorEastAsia" w:cstheme="minorEastAsia"/>
          <w:kern w:val="0"/>
          <w:sz w:val="22"/>
          <w:szCs w:val="22"/>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33B027A0">
      <w:pPr>
        <w:widowControl/>
        <w:spacing w:line="400" w:lineRule="exact"/>
        <w:ind w:firstLine="440" w:firstLineChars="200"/>
        <w:jc w:val="left"/>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以联合体形式参加政府采购活动，联合体各方均为中小企业的，联合体视同中小企业。其中，联合体各方均为小微企业的，联合体视同小微企业。</w:t>
      </w:r>
    </w:p>
    <w:p w14:paraId="33BD2CF9">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4" w:name="_Hlk101132181"/>
      <w:r>
        <w:rPr>
          <w:rFonts w:hint="eastAsia" w:asciiTheme="minorEastAsia" w:hAnsiTheme="minorEastAsia" w:eastAsiaTheme="minorEastAsia" w:cstheme="minorEastAsia"/>
          <w:sz w:val="22"/>
          <w:szCs w:val="22"/>
        </w:rPr>
        <w:t>联合协议或者分包意向协议约定小微企业的合同份额占到合同总金额30%以上的</w:t>
      </w:r>
      <w:bookmarkEnd w:id="14"/>
      <w:r>
        <w:rPr>
          <w:rFonts w:hint="eastAsia" w:asciiTheme="minorEastAsia" w:hAnsiTheme="minorEastAsia" w:eastAsiaTheme="minorEastAsia" w:cstheme="minorEastAsia"/>
          <w:sz w:val="22"/>
          <w:szCs w:val="22"/>
        </w:rPr>
        <w:t>，对联合体或者大中型企业的报价给予4%的扣除，用扣除后的价格参加评审。组成联合体或者接受分包的小微企业与联合体内其他企业、分包企业之间存在直接控股、管理关系的，不享受价格扣除优惠政策。</w:t>
      </w:r>
    </w:p>
    <w:p w14:paraId="0CA4587B">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3.3.4符合《关于促进残疾人就业政府采购政策的通知》（财库〔2017〕141号）规定的条件并提供《残疾人福利性单位声明函》（附件1）的残疾人福利性单位视同小型、微型企业。</w:t>
      </w:r>
    </w:p>
    <w:p w14:paraId="1AC35D82">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BF73A25">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30729968">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3.3.7中小企业享受扶持政策获得政府采购合同的，小微企业不得将合同分包给大中型企业，中型企业不得将合同分包给大型企业。</w:t>
      </w:r>
    </w:p>
    <w:p w14:paraId="793C6566">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3.4</w:t>
      </w:r>
      <w:r>
        <w:rPr>
          <w:rFonts w:hint="eastAsia" w:asciiTheme="minorEastAsia" w:hAnsiTheme="minorEastAsia" w:eastAsiaTheme="minorEastAsia" w:cstheme="minorEastAsia"/>
          <w:bCs/>
          <w:sz w:val="22"/>
          <w:szCs w:val="22"/>
        </w:rPr>
        <w:t>支持创新发展</w:t>
      </w:r>
    </w:p>
    <w:p w14:paraId="016C5593">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3.4.1 首台套、“制造精品”、“专精特新”等创新产品按规定享受政府采购支持政策。</w:t>
      </w:r>
    </w:p>
    <w:p w14:paraId="707DD27D">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3.4.2 采购人应当贯彻落实知识产权保护相关法律法规，应当采购使用正版软件。</w:t>
      </w:r>
    </w:p>
    <w:p w14:paraId="521D475C">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3.5平等对待内外资企业和符合条件的破产重整企业</w:t>
      </w:r>
    </w:p>
    <w:p w14:paraId="3965697B">
      <w:pPr>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zh-CN"/>
        </w:rPr>
        <w:t>平等对待内外资企业和符合条件的破产重整企业，切实保障企业公平竞争，平等维护企业的合法利益。</w:t>
      </w:r>
      <w:r>
        <w:rPr>
          <w:rFonts w:hint="eastAsia" w:asciiTheme="minorEastAsia" w:hAnsiTheme="minorEastAsia" w:eastAsiaTheme="minorEastAsia" w:cstheme="minorEastAsia"/>
          <w:sz w:val="22"/>
          <w:szCs w:val="22"/>
          <w:lang w:val="zh-CN"/>
        </w:rPr>
        <w:cr/>
      </w:r>
      <w:r>
        <w:rPr>
          <w:rFonts w:hint="eastAsia" w:asciiTheme="minorEastAsia" w:hAnsiTheme="minorEastAsia" w:eastAsiaTheme="minorEastAsia" w:cstheme="minorEastAsia"/>
          <w:sz w:val="22"/>
          <w:szCs w:val="22"/>
        </w:rPr>
        <w:t xml:space="preserve">    4. 询问、质疑、投诉、补偿救济</w:t>
      </w:r>
    </w:p>
    <w:p w14:paraId="028C7060">
      <w:pPr>
        <w:spacing w:line="400" w:lineRule="exact"/>
        <w:ind w:firstLine="440" w:firstLineChars="200"/>
        <w:rPr>
          <w:rFonts w:hint="eastAsia"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lang w:val="zh-CN"/>
        </w:rPr>
        <w:t>4.1在线询问、质疑、投诉</w:t>
      </w:r>
    </w:p>
    <w:p w14:paraId="60BFBA6F">
      <w:pPr>
        <w:spacing w:line="400" w:lineRule="exact"/>
        <w:ind w:firstLine="440" w:firstLineChars="200"/>
        <w:rPr>
          <w:rFonts w:hint="eastAsia"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6030EF">
      <w:pPr>
        <w:autoSpaceDE w:val="0"/>
        <w:autoSpaceDN w:val="0"/>
        <w:spacing w:line="400" w:lineRule="exact"/>
        <w:ind w:firstLine="440" w:firstLineChars="200"/>
        <w:jc w:val="left"/>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4.2供应商询问</w:t>
      </w:r>
    </w:p>
    <w:p w14:paraId="23420DED">
      <w:pPr>
        <w:autoSpaceDE w:val="0"/>
        <w:autoSpaceDN w:val="0"/>
        <w:spacing w:line="400" w:lineRule="exact"/>
        <w:ind w:firstLine="440" w:firstLineChars="200"/>
        <w:jc w:val="left"/>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81D136A">
      <w:pPr>
        <w:autoSpaceDE w:val="0"/>
        <w:autoSpaceDN w:val="0"/>
        <w:spacing w:line="400" w:lineRule="exact"/>
        <w:ind w:firstLine="440" w:firstLineChars="200"/>
        <w:jc w:val="left"/>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4.3供应商质疑</w:t>
      </w:r>
    </w:p>
    <w:p w14:paraId="4E7EACF0">
      <w:pPr>
        <w:pStyle w:val="13"/>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kern w:val="0"/>
          <w:sz w:val="22"/>
          <w:szCs w:val="22"/>
          <w:lang w:val="zh-CN"/>
        </w:rPr>
        <w:t>4.3</w:t>
      </w:r>
      <w:r>
        <w:rPr>
          <w:rFonts w:hint="eastAsia" w:asciiTheme="minorEastAsia" w:hAnsiTheme="minorEastAsia" w:eastAsiaTheme="minorEastAsia" w:cstheme="minorEastAsia"/>
          <w:sz w:val="22"/>
          <w:szCs w:val="22"/>
        </w:rPr>
        <w:t>.1提出质疑的供应商应当是参与所质疑项目采购活动的供应商。潜在供应商已依法获取其可质疑的招标文件的，可以对该文件提出质疑。</w:t>
      </w:r>
    </w:p>
    <w:p w14:paraId="6CBD4E73">
      <w:pPr>
        <w:pStyle w:val="13"/>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kern w:val="0"/>
          <w:sz w:val="22"/>
          <w:szCs w:val="22"/>
          <w:lang w:val="zh-CN"/>
        </w:rPr>
        <w:t>4.3</w:t>
      </w:r>
      <w:r>
        <w:rPr>
          <w:rFonts w:hint="eastAsia" w:asciiTheme="minorEastAsia" w:hAnsiTheme="minorEastAsia" w:eastAsiaTheme="minorEastAsia" w:cstheme="minorEastAsia"/>
          <w:sz w:val="22"/>
          <w:szCs w:val="22"/>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357774C2">
      <w:pPr>
        <w:pStyle w:val="5"/>
        <w:spacing w:line="400" w:lineRule="exact"/>
        <w:ind w:firstLine="440" w:firstLineChars="200"/>
        <w:rPr>
          <w:rFonts w:hint="eastAsia" w:asciiTheme="minorEastAsia" w:hAnsiTheme="minorEastAsia" w:eastAsiaTheme="minorEastAsia" w:cstheme="minorEastAsia"/>
          <w:snapToGrid/>
          <w:color w:val="auto"/>
          <w:kern w:val="2"/>
          <w:sz w:val="22"/>
          <w:szCs w:val="22"/>
        </w:rPr>
      </w:pPr>
      <w:r>
        <w:rPr>
          <w:rFonts w:hint="eastAsia" w:asciiTheme="minorEastAsia" w:hAnsiTheme="minorEastAsia" w:eastAsiaTheme="minorEastAsia" w:cstheme="minorEastAsia"/>
          <w:snapToGrid/>
          <w:color w:val="auto"/>
          <w:kern w:val="2"/>
          <w:sz w:val="22"/>
          <w:szCs w:val="22"/>
        </w:rPr>
        <w:t>4.3.2.1对招标文件提出质疑的，质疑期限为供应商获得招标文件之日或者招标文件公告期限届满之日起计算。</w:t>
      </w:r>
    </w:p>
    <w:p w14:paraId="42C70E5E">
      <w:pPr>
        <w:pStyle w:val="13"/>
        <w:spacing w:line="400" w:lineRule="exact"/>
        <w:ind w:left="479" w:leftChars="22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4.3.2.2对采购过程提出质疑的，质疑期限为各采购程序环节结束之日起计算。4.3.2.3对采购结果提出质疑的，质疑期限自采购结果公告期限届满之日起计算。</w:t>
      </w:r>
    </w:p>
    <w:p w14:paraId="697F0875">
      <w:pPr>
        <w:pStyle w:val="13"/>
        <w:spacing w:line="40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kern w:val="0"/>
          <w:sz w:val="22"/>
          <w:szCs w:val="22"/>
          <w:lang w:val="zh-CN"/>
        </w:rPr>
        <w:t>4.3.3</w:t>
      </w:r>
      <w:r>
        <w:rPr>
          <w:rFonts w:hint="eastAsia" w:asciiTheme="minorEastAsia" w:hAnsiTheme="minorEastAsia" w:eastAsiaTheme="minorEastAsia" w:cstheme="minorEastAsia"/>
          <w:sz w:val="22"/>
          <w:szCs w:val="22"/>
        </w:rPr>
        <w:t>供应商提出质疑应当提交质疑函和必要的证明材料。质疑函应当包括下列内容：</w:t>
      </w:r>
    </w:p>
    <w:p w14:paraId="49746850">
      <w:pPr>
        <w:pStyle w:val="13"/>
        <w:spacing w:line="400" w:lineRule="exact"/>
        <w:ind w:firstLine="440" w:firstLineChars="200"/>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4.3.3.1供应商的姓名或者名称、地址、邮编、联系人及联系电话；</w:t>
      </w:r>
    </w:p>
    <w:p w14:paraId="11D2AFEA">
      <w:pPr>
        <w:pStyle w:val="13"/>
        <w:spacing w:line="400" w:lineRule="exact"/>
        <w:ind w:firstLine="440" w:firstLineChars="200"/>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4.3.3.2质疑项目的名称、编号；</w:t>
      </w:r>
    </w:p>
    <w:p w14:paraId="5AB3583B">
      <w:pPr>
        <w:pStyle w:val="13"/>
        <w:spacing w:line="400" w:lineRule="exact"/>
        <w:ind w:firstLine="440" w:firstLineChars="200"/>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4.3.3.3具体、明确的质疑事项和与质疑事项相关的请求；</w:t>
      </w:r>
    </w:p>
    <w:p w14:paraId="2D4CC06D">
      <w:pPr>
        <w:pStyle w:val="13"/>
        <w:spacing w:line="400" w:lineRule="exact"/>
        <w:ind w:firstLine="440" w:firstLineChars="200"/>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4.3.3.4事实依据；</w:t>
      </w:r>
    </w:p>
    <w:p w14:paraId="747EEC23">
      <w:pPr>
        <w:pStyle w:val="13"/>
        <w:spacing w:line="400" w:lineRule="exact"/>
        <w:ind w:firstLine="440" w:firstLineChars="200"/>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4.3.3.5必要的法律依据；</w:t>
      </w:r>
    </w:p>
    <w:p w14:paraId="4435F30D">
      <w:pPr>
        <w:pStyle w:val="13"/>
        <w:spacing w:line="400" w:lineRule="exact"/>
        <w:ind w:firstLine="440" w:firstLineChars="200"/>
        <w:rPr>
          <w:rFonts w:hint="eastAsia" w:asciiTheme="minorEastAsia" w:hAnsiTheme="minorEastAsia" w:eastAsiaTheme="minorEastAsia" w:cstheme="minorEastAsia"/>
          <w:kern w:val="0"/>
          <w:sz w:val="22"/>
          <w:szCs w:val="22"/>
          <w:lang w:val="zh-CN"/>
        </w:rPr>
      </w:pPr>
      <w:r>
        <w:rPr>
          <w:rFonts w:hint="eastAsia" w:asciiTheme="minorEastAsia" w:hAnsiTheme="minorEastAsia" w:eastAsiaTheme="minorEastAsia" w:cstheme="minorEastAsia"/>
          <w:kern w:val="0"/>
          <w:sz w:val="22"/>
          <w:szCs w:val="22"/>
          <w:lang w:val="zh-CN"/>
        </w:rPr>
        <w:t>4.3.3.6提出质疑的日期。</w:t>
      </w:r>
    </w:p>
    <w:p w14:paraId="64BA08C5">
      <w:pPr>
        <w:pStyle w:val="55"/>
        <w:shd w:val="clear" w:color="auto" w:fill="FFFFFF"/>
        <w:snapToGrid w:val="0"/>
        <w:spacing w:before="0" w:beforeAutospacing="0" w:after="0" w:afterAutospacing="0" w:line="400" w:lineRule="exact"/>
        <w:ind w:firstLine="403"/>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供应商提交的质疑函需一式三份。供应商为自然人的，应当由本人签字；供应商为法人或者其他组织的，应当由法定代表人、主要负责人，或者其授权代表签字或者盖章，并加盖公章。</w:t>
      </w:r>
    </w:p>
    <w:p w14:paraId="4FEF5F9B">
      <w:pPr>
        <w:pStyle w:val="55"/>
        <w:shd w:val="clear" w:color="auto" w:fill="FFFFFF"/>
        <w:snapToGrid w:val="0"/>
        <w:spacing w:before="0" w:beforeAutospacing="0" w:after="0" w:afterAutospacing="0" w:line="400" w:lineRule="exact"/>
        <w:ind w:firstLine="4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质疑函范本请到浙江政府采购网下载专区下载。</w:t>
      </w:r>
    </w:p>
    <w:p w14:paraId="2D33A8AF">
      <w:pPr>
        <w:pStyle w:val="55"/>
        <w:shd w:val="clear" w:color="auto" w:fill="FFFFFF"/>
        <w:snapToGrid w:val="0"/>
        <w:spacing w:before="0" w:beforeAutospacing="0" w:after="0" w:afterAutospacing="0" w:line="400" w:lineRule="exact"/>
        <w:ind w:firstLine="4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4.3.4对同一采购程序环节的质疑，供应商须在法定质疑期内一次性提出。</w:t>
      </w:r>
    </w:p>
    <w:p w14:paraId="31DB0037">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zh-CN"/>
        </w:rPr>
        <w:t>4.3</w:t>
      </w:r>
      <w:r>
        <w:rPr>
          <w:rFonts w:hint="eastAsia" w:asciiTheme="minorEastAsia" w:hAnsiTheme="minorEastAsia" w:eastAsiaTheme="minorEastAsia" w:cstheme="minorEastAsia"/>
          <w:sz w:val="22"/>
          <w:szCs w:val="22"/>
        </w:rPr>
        <w:t>.5采购人或者采购代理机构应当在收到供应商的书面质疑后七个工作日内作出答复，并以书面形式通知质疑供应商和其他与质疑处理结果有利害关系的政府采购当事人，但答复的内容不得涉及商业秘密。</w:t>
      </w:r>
      <w:r>
        <w:rPr>
          <w:rFonts w:hint="eastAsia" w:asciiTheme="minorEastAsia" w:hAnsiTheme="minorEastAsia" w:eastAsiaTheme="minorEastAsia" w:cstheme="minorEastAsia"/>
          <w:sz w:val="22"/>
          <w:szCs w:val="22"/>
          <w:lang w:val="zh-CN"/>
        </w:rPr>
        <w:t>根据《浙江省财政厅关于进一步促进政府采购公平竞争打造最优营商环境的通知》（浙财采监〔2021〕22号）</w:t>
      </w:r>
      <w:r>
        <w:rPr>
          <w:rFonts w:hint="eastAsia" w:asciiTheme="minorEastAsia" w:hAnsiTheme="minorEastAsia" w:eastAsiaTheme="minorEastAsia" w:cstheme="minorEastAsia"/>
          <w:sz w:val="22"/>
          <w:szCs w:val="22"/>
        </w:rPr>
        <w:t>,采购人或者采购代理机构在质疑回复后5个工作日内，在浙江政府采购网的“其他公告”栏目公开质疑答复，答复内容应当完整。质疑函作为附件上传。</w:t>
      </w:r>
    </w:p>
    <w:p w14:paraId="39A41220">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zh-CN"/>
        </w:rPr>
        <w:t>4.3</w:t>
      </w:r>
      <w:r>
        <w:rPr>
          <w:rFonts w:hint="eastAsia" w:asciiTheme="minorEastAsia" w:hAnsiTheme="minorEastAsia" w:eastAsiaTheme="minorEastAsia" w:cstheme="minorEastAsia"/>
          <w:sz w:val="22"/>
          <w:szCs w:val="22"/>
        </w:rPr>
        <w:t>.6询问或者质疑事项可能影响采购结果的，采购人应当暂停签订合同，已经签订合同的，应当中止履行合同。</w:t>
      </w:r>
    </w:p>
    <w:p w14:paraId="66582ECA">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lang w:val="zh-CN"/>
        </w:rPr>
        <w:t>4.4供应商投诉</w:t>
      </w:r>
    </w:p>
    <w:p w14:paraId="6007DB11">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4.4.1质疑供应商对采购人、采购代理机构的答复不满意或者采购人、采购代理机构未在规定的时间内作出答复的，可以在答复期满后十五个工作日内向同级政府采购监督管理部门提出投诉。</w:t>
      </w:r>
    </w:p>
    <w:p w14:paraId="286BF34B">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4.4.</w:t>
      </w:r>
      <w:r>
        <w:rPr>
          <w:rFonts w:hint="eastAsia" w:asciiTheme="minorEastAsia" w:hAnsiTheme="minorEastAsia" w:eastAsiaTheme="minorEastAsia" w:cstheme="minorEastAsia"/>
          <w:sz w:val="22"/>
          <w:szCs w:val="22"/>
          <w:lang w:val="zh-CN"/>
        </w:rPr>
        <w:t>2</w:t>
      </w:r>
      <w:r>
        <w:rPr>
          <w:rFonts w:hint="eastAsia" w:asciiTheme="minorEastAsia" w:hAnsiTheme="minorEastAsia" w:eastAsiaTheme="minorEastAsia" w:cstheme="minorEastAsia"/>
          <w:sz w:val="22"/>
          <w:szCs w:val="22"/>
        </w:rPr>
        <w:t>供应商投诉的事项不得超出已质疑事项的范围，基于质疑答复内容提出的投诉事项除外。</w:t>
      </w:r>
    </w:p>
    <w:p w14:paraId="50614F19">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4.4.3供应商投诉应当有明确的请求和必要的证明材料。</w:t>
      </w:r>
    </w:p>
    <w:p w14:paraId="40245D88">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4.4.4 以联合体形式参加政府采购活动的，其投诉应当由组成联合体的所有供应商共同提出。</w:t>
      </w:r>
    </w:p>
    <w:p w14:paraId="4E24F004">
      <w:pPr>
        <w:pStyle w:val="55"/>
        <w:shd w:val="clear" w:color="auto" w:fill="FFFFFF"/>
        <w:snapToGrid w:val="0"/>
        <w:spacing w:before="0" w:beforeAutospacing="0" w:after="0" w:afterAutospacing="0" w:line="400" w:lineRule="exact"/>
        <w:ind w:firstLine="440" w:firstLineChars="200"/>
        <w:contextualSpacing/>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4.4.5投诉书范本请到浙江政府采购网下载专区下载。</w:t>
      </w:r>
    </w:p>
    <w:p w14:paraId="72EB2DCD">
      <w:pPr>
        <w:autoSpaceDE w:val="0"/>
        <w:autoSpaceDN w:val="0"/>
        <w:adjustRightInd w:val="0"/>
        <w:spacing w:line="460" w:lineRule="atLeast"/>
        <w:ind w:firstLine="420"/>
        <w:textAlignment w:val="bottom"/>
        <w:rPr>
          <w:rFonts w:hint="eastAsia" w:ascii="宋体" w:hAnsi="宋体" w:eastAsia="宋体" w:cs="宋体"/>
          <w:szCs w:val="21"/>
        </w:rPr>
      </w:pPr>
      <w:r>
        <w:rPr>
          <w:rFonts w:hint="eastAsia" w:ascii="宋体" w:hAnsi="宋体" w:eastAsia="宋体" w:cs="宋体"/>
          <w:szCs w:val="21"/>
        </w:rPr>
        <w:t>5、知识产权</w:t>
      </w:r>
    </w:p>
    <w:p w14:paraId="17F6B28D">
      <w:pPr>
        <w:autoSpaceDE w:val="0"/>
        <w:autoSpaceDN w:val="0"/>
        <w:adjustRightInd w:val="0"/>
        <w:spacing w:line="460" w:lineRule="atLeast"/>
        <w:ind w:firstLine="420"/>
        <w:textAlignment w:val="bottom"/>
        <w:rPr>
          <w:rFonts w:hint="eastAsia" w:ascii="宋体" w:hAnsi="宋体" w:eastAsia="宋体" w:cs="宋体"/>
          <w:szCs w:val="21"/>
        </w:rPr>
      </w:pPr>
      <w:r>
        <w:rPr>
          <w:rFonts w:hint="eastAsia" w:ascii="宋体" w:hAnsi="宋体" w:eastAsia="宋体" w:cs="宋体"/>
          <w:szCs w:val="21"/>
        </w:rPr>
        <w:t>5.1供应商应保证，采购人在中华人民共和国使用货物和服务的任何一部分时，免受第三方提出侵犯其专利权、商标权或其它知识产权的起诉。</w:t>
      </w:r>
    </w:p>
    <w:p w14:paraId="5A89CC48">
      <w:pPr>
        <w:autoSpaceDE w:val="0"/>
        <w:autoSpaceDN w:val="0"/>
        <w:adjustRightInd w:val="0"/>
        <w:spacing w:line="460" w:lineRule="atLeast"/>
        <w:ind w:firstLine="420"/>
        <w:textAlignment w:val="bottom"/>
        <w:rPr>
          <w:rFonts w:hint="eastAsia" w:ascii="宋体" w:hAnsi="宋体" w:eastAsia="宋体" w:cs="宋体"/>
          <w:szCs w:val="21"/>
        </w:rPr>
      </w:pPr>
      <w:r>
        <w:rPr>
          <w:rFonts w:hint="eastAsia" w:ascii="宋体" w:hAnsi="宋体" w:eastAsia="宋体" w:cs="宋体"/>
          <w:szCs w:val="21"/>
        </w:rPr>
        <w:t>5.2供应商应对采购人在使用该产品时所涉及到的专利权负责，不损害采购人的利益。</w:t>
      </w:r>
    </w:p>
    <w:p w14:paraId="4EF57CD4">
      <w:pPr>
        <w:autoSpaceDE w:val="0"/>
        <w:autoSpaceDN w:val="0"/>
        <w:adjustRightInd w:val="0"/>
        <w:spacing w:line="460" w:lineRule="atLeast"/>
        <w:ind w:firstLine="420"/>
        <w:textAlignment w:val="bottom"/>
        <w:rPr>
          <w:rFonts w:hint="eastAsia" w:ascii="宋体" w:hAnsi="宋体" w:eastAsia="宋体" w:cs="宋体"/>
          <w:szCs w:val="21"/>
        </w:rPr>
      </w:pPr>
      <w:r>
        <w:rPr>
          <w:rFonts w:hint="eastAsia" w:ascii="宋体" w:hAnsi="宋体" w:eastAsia="宋体" w:cs="宋体"/>
          <w:szCs w:val="21"/>
        </w:rPr>
        <w:t>5.3报价应包括所有应支付的对专利权和版权、设计或其他知识产权而需要向其他方支付的版税。</w:t>
      </w:r>
    </w:p>
    <w:p w14:paraId="4A337196">
      <w:pPr>
        <w:autoSpaceDE w:val="0"/>
        <w:autoSpaceDN w:val="0"/>
        <w:adjustRightInd w:val="0"/>
        <w:snapToGrid w:val="0"/>
        <w:spacing w:line="440" w:lineRule="atLeast"/>
        <w:ind w:firstLine="426" w:firstLineChars="203"/>
        <w:textAlignment w:val="bottom"/>
        <w:rPr>
          <w:rFonts w:hint="eastAsia" w:ascii="宋体" w:hAnsi="宋体" w:eastAsia="宋体" w:cs="宋体"/>
          <w:szCs w:val="21"/>
        </w:rPr>
      </w:pPr>
      <w:r>
        <w:rPr>
          <w:rFonts w:hint="eastAsia" w:ascii="宋体" w:hAnsi="宋体" w:eastAsia="宋体" w:cs="宋体"/>
          <w:szCs w:val="21"/>
        </w:rPr>
        <w:t>5.4供应商提供得货物中如使用其他公司的相关专利，应在标书中出示相关授权，如未出示但使用了其他公司的专利，导致供应商中标而引起相关诉讼，由供应商承担。</w:t>
      </w:r>
    </w:p>
    <w:p w14:paraId="492AC10A">
      <w:pPr>
        <w:adjustRightInd w:val="0"/>
        <w:spacing w:line="440" w:lineRule="atLeast"/>
        <w:ind w:firstLine="411" w:firstLineChars="196"/>
        <w:rPr>
          <w:rFonts w:hint="eastAsia" w:ascii="宋体" w:hAnsi="宋体" w:eastAsia="宋体" w:cs="宋体"/>
          <w:szCs w:val="21"/>
        </w:rPr>
      </w:pPr>
      <w:r>
        <w:rPr>
          <w:rFonts w:hint="eastAsia" w:ascii="宋体" w:hAnsi="宋体" w:eastAsia="宋体" w:cs="宋体"/>
          <w:szCs w:val="21"/>
        </w:rPr>
        <w:t>6、单位负责人为同一人或者存在直接控股、管理关系的不同供应商，不得参加同一合同项下的政府采购活动。如在评标过程中发现供应商间存在上述关系，评标委员会可以对存在上述关系的供应商做无效投标处理。</w:t>
      </w:r>
    </w:p>
    <w:p w14:paraId="152CFF4A">
      <w:pPr>
        <w:adjustRightInd w:val="0"/>
        <w:spacing w:line="440" w:lineRule="atLeast"/>
        <w:ind w:firstLine="411" w:firstLineChars="196"/>
        <w:rPr>
          <w:rFonts w:hint="eastAsia" w:ascii="宋体" w:hAnsi="宋体" w:eastAsia="宋体" w:cs="宋体"/>
          <w:szCs w:val="21"/>
        </w:rPr>
      </w:pPr>
      <w:r>
        <w:rPr>
          <w:rFonts w:hint="eastAsia" w:ascii="宋体" w:hAnsi="宋体" w:eastAsia="宋体" w:cs="宋体"/>
          <w:szCs w:val="21"/>
        </w:rPr>
        <w:t>除单一来源采购项目外，为采购项目提供整体设计、规范编制或者项目管理、监理、检测等服务的供应商，不得再参加该采购项目的其他采购活动。</w:t>
      </w:r>
    </w:p>
    <w:p w14:paraId="3AFA3F29">
      <w:pPr>
        <w:autoSpaceDE w:val="0"/>
        <w:autoSpaceDN w:val="0"/>
        <w:adjustRightInd w:val="0"/>
        <w:snapToGrid w:val="0"/>
        <w:spacing w:line="430" w:lineRule="atLeast"/>
        <w:ind w:firstLine="420"/>
        <w:textAlignment w:val="bottom"/>
        <w:rPr>
          <w:rFonts w:hint="eastAsia" w:ascii="宋体" w:hAnsi="宋体" w:eastAsia="宋体" w:cs="宋体"/>
          <w:sz w:val="21"/>
          <w:szCs w:val="21"/>
        </w:rPr>
      </w:pPr>
      <w:r>
        <w:rPr>
          <w:rFonts w:hint="eastAsia" w:ascii="宋体" w:hAnsi="宋体" w:eastAsia="宋体" w:cs="宋体"/>
          <w:sz w:val="21"/>
          <w:szCs w:val="21"/>
        </w:rPr>
        <w:t>7、</w:t>
      </w:r>
      <w:r>
        <w:rPr>
          <w:rFonts w:hint="eastAsia" w:ascii="宋体" w:hAnsi="宋体" w:eastAsia="宋体" w:cs="宋体"/>
          <w:sz w:val="21"/>
          <w:szCs w:val="21"/>
          <w:lang w:val="zh-CN"/>
        </w:rPr>
        <w:t>本项目采购预算（最高限</w:t>
      </w:r>
      <w:r>
        <w:rPr>
          <w:rFonts w:hint="eastAsia" w:ascii="宋体" w:hAnsi="宋体" w:eastAsia="宋体" w:cs="宋体"/>
          <w:sz w:val="21"/>
          <w:szCs w:val="21"/>
          <w:highlight w:val="none"/>
          <w:lang w:val="zh-CN"/>
        </w:rPr>
        <w:t>价）为：</w:t>
      </w:r>
      <w:r>
        <w:rPr>
          <w:rFonts w:hint="eastAsia" w:ascii="宋体" w:hAnsi="宋体" w:eastAsia="宋体" w:cs="宋体"/>
          <w:sz w:val="21"/>
          <w:szCs w:val="21"/>
          <w:highlight w:val="none"/>
          <w:u w:val="single"/>
          <w:lang w:val="en-US" w:eastAsia="zh-CN"/>
        </w:rPr>
        <w:t>4954000</w:t>
      </w:r>
      <w:r>
        <w:rPr>
          <w:rFonts w:hint="eastAsia" w:ascii="宋体" w:hAnsi="宋体" w:eastAsia="宋体" w:cs="宋体"/>
          <w:sz w:val="21"/>
          <w:szCs w:val="21"/>
          <w:highlight w:val="none"/>
          <w:u w:val="single"/>
        </w:rPr>
        <w:t xml:space="preserve">元 </w:t>
      </w:r>
      <w:r>
        <w:rPr>
          <w:rFonts w:hint="eastAsia" w:ascii="宋体" w:hAnsi="宋体" w:eastAsia="宋体" w:cs="宋体"/>
          <w:sz w:val="21"/>
          <w:szCs w:val="21"/>
          <w:highlight w:val="none"/>
          <w:lang w:val="zh-CN"/>
        </w:rPr>
        <w:t>，如果所有供应商的投标报价均超出该标项采购预算（最高限价）金额的，</w:t>
      </w:r>
      <w:r>
        <w:rPr>
          <w:rFonts w:hint="eastAsia" w:ascii="宋体" w:hAnsi="宋体" w:eastAsia="宋体" w:cs="宋体"/>
          <w:sz w:val="21"/>
          <w:szCs w:val="21"/>
          <w:highlight w:val="none"/>
        </w:rPr>
        <w:t>则</w:t>
      </w:r>
      <w:r>
        <w:rPr>
          <w:rFonts w:hint="eastAsia" w:ascii="宋体" w:hAnsi="宋体" w:eastAsia="宋体" w:cs="宋体"/>
          <w:sz w:val="21"/>
          <w:szCs w:val="21"/>
          <w:highlight w:val="none"/>
          <w:lang w:val="zh-CN"/>
        </w:rPr>
        <w:t>该标项按流标处理。</w:t>
      </w:r>
      <w:r>
        <w:rPr>
          <w:rFonts w:hint="eastAsia" w:ascii="宋体" w:hAnsi="宋体" w:eastAsia="宋体" w:cs="宋体"/>
          <w:sz w:val="21"/>
          <w:szCs w:val="21"/>
          <w:highlight w:val="none"/>
        </w:rPr>
        <w:t>如果仅仅某个（些）供应商</w:t>
      </w:r>
      <w:r>
        <w:rPr>
          <w:rFonts w:hint="eastAsia" w:ascii="宋体" w:hAnsi="宋体" w:eastAsia="宋体" w:cs="宋体"/>
          <w:sz w:val="21"/>
          <w:szCs w:val="21"/>
        </w:rPr>
        <w:t>的投标报价超出该标项采购预算金额的，</w:t>
      </w:r>
      <w:r>
        <w:rPr>
          <w:rFonts w:hint="eastAsia" w:ascii="宋体" w:hAnsi="宋体" w:eastAsia="宋体" w:cs="宋体"/>
          <w:bCs/>
          <w:sz w:val="21"/>
          <w:szCs w:val="21"/>
        </w:rPr>
        <w:t>则该供应商该标项</w:t>
      </w:r>
      <w:r>
        <w:rPr>
          <w:rFonts w:hint="eastAsia" w:ascii="宋体" w:hAnsi="宋体" w:eastAsia="宋体" w:cs="宋体"/>
          <w:sz w:val="21"/>
          <w:szCs w:val="21"/>
          <w:lang w:val="zh-CN"/>
        </w:rPr>
        <w:t>按无效投标处理</w:t>
      </w:r>
      <w:r>
        <w:rPr>
          <w:rFonts w:hint="eastAsia" w:ascii="宋体" w:hAnsi="宋体" w:eastAsia="宋体" w:cs="宋体"/>
          <w:bCs/>
          <w:sz w:val="21"/>
          <w:szCs w:val="21"/>
        </w:rPr>
        <w:t>。</w:t>
      </w:r>
    </w:p>
    <w:p w14:paraId="705E3084">
      <w:pPr>
        <w:spacing w:line="400" w:lineRule="exact"/>
        <w:ind w:firstLine="420"/>
        <w:rPr>
          <w:rFonts w:hint="eastAsia" w:ascii="宋体" w:hAnsi="宋体" w:eastAsia="宋体" w:cs="宋体"/>
          <w:bCs/>
          <w:spacing w:val="6"/>
          <w:sz w:val="21"/>
          <w:szCs w:val="21"/>
        </w:rPr>
      </w:pPr>
      <w:r>
        <w:rPr>
          <w:rFonts w:hint="eastAsia" w:ascii="宋体" w:hAnsi="宋体" w:eastAsia="宋体" w:cs="宋体"/>
          <w:sz w:val="21"/>
          <w:szCs w:val="21"/>
        </w:rPr>
        <w:t>8、</w:t>
      </w:r>
      <w:r>
        <w:rPr>
          <w:rFonts w:hint="eastAsia" w:ascii="宋体" w:hAnsi="宋体" w:eastAsia="宋体" w:cs="宋体"/>
          <w:bCs/>
          <w:spacing w:val="6"/>
          <w:sz w:val="21"/>
          <w:szCs w:val="21"/>
        </w:rPr>
        <w:t>使用综合评分法的采购项目，提供相同品牌产品且通过资格审查、符合性审查的不同投标供应商参加同一合同项下投标的，按一家投标供应商计算，评审后得分最高的同品牌投标供应商获得中标人推荐资格；评审得分相同的，由采购人或者采购人委托评标委员会按照</w:t>
      </w:r>
      <w:r>
        <w:rPr>
          <w:rFonts w:hint="eastAsia" w:ascii="宋体" w:hAnsi="宋体" w:eastAsia="宋体" w:cs="宋体"/>
          <w:bCs/>
          <w:spacing w:val="6"/>
          <w:sz w:val="21"/>
          <w:szCs w:val="21"/>
          <w:lang w:eastAsia="zh-CN"/>
        </w:rPr>
        <w:t>采购文件</w:t>
      </w:r>
      <w:r>
        <w:rPr>
          <w:rFonts w:hint="eastAsia" w:ascii="宋体" w:hAnsi="宋体" w:eastAsia="宋体" w:cs="宋体"/>
          <w:bCs/>
          <w:spacing w:val="6"/>
          <w:sz w:val="21"/>
          <w:szCs w:val="21"/>
        </w:rPr>
        <w:t>规定的方式确定一个投标供应商获得中标人推荐资格，</w:t>
      </w:r>
      <w:r>
        <w:rPr>
          <w:rFonts w:hint="eastAsia" w:ascii="宋体" w:hAnsi="宋体" w:eastAsia="宋体" w:cs="宋体"/>
          <w:bCs/>
          <w:spacing w:val="6"/>
          <w:sz w:val="21"/>
          <w:szCs w:val="21"/>
          <w:lang w:eastAsia="zh-CN"/>
        </w:rPr>
        <w:t>采购文件</w:t>
      </w:r>
      <w:r>
        <w:rPr>
          <w:rFonts w:hint="eastAsia" w:ascii="宋体" w:hAnsi="宋体" w:eastAsia="宋体" w:cs="宋体"/>
          <w:bCs/>
          <w:spacing w:val="6"/>
          <w:sz w:val="21"/>
          <w:szCs w:val="21"/>
        </w:rPr>
        <w:t>未规定的采取随机抽取方式确定，其他同品牌投标供应商不作为中标候选人。</w:t>
      </w:r>
    </w:p>
    <w:p w14:paraId="729DC8FF">
      <w:pPr>
        <w:spacing w:line="400" w:lineRule="exact"/>
        <w:ind w:firstLine="444"/>
        <w:rPr>
          <w:rFonts w:hint="eastAsia" w:ascii="宋体" w:hAnsi="宋体" w:eastAsia="宋体" w:cs="宋体"/>
          <w:bCs/>
          <w:spacing w:val="6"/>
          <w:sz w:val="21"/>
          <w:szCs w:val="21"/>
        </w:rPr>
      </w:pPr>
      <w:r>
        <w:rPr>
          <w:rFonts w:hint="eastAsia" w:ascii="宋体" w:hAnsi="宋体" w:eastAsia="宋体" w:cs="宋体"/>
          <w:bCs/>
          <w:spacing w:val="6"/>
          <w:sz w:val="21"/>
          <w:szCs w:val="21"/>
        </w:rPr>
        <w:t>非单一产品采购项目，采购人应当根据采购项目技术构成、产品价格比重等合理确定核心产品，并在</w:t>
      </w:r>
      <w:r>
        <w:rPr>
          <w:rFonts w:hint="eastAsia" w:ascii="宋体" w:hAnsi="宋体" w:eastAsia="宋体" w:cs="宋体"/>
          <w:bCs/>
          <w:spacing w:val="6"/>
          <w:sz w:val="21"/>
          <w:szCs w:val="21"/>
          <w:lang w:eastAsia="zh-CN"/>
        </w:rPr>
        <w:t>采购文件</w:t>
      </w:r>
      <w:r>
        <w:rPr>
          <w:rFonts w:hint="eastAsia" w:ascii="宋体" w:hAnsi="宋体" w:eastAsia="宋体" w:cs="宋体"/>
          <w:bCs/>
          <w:spacing w:val="6"/>
          <w:sz w:val="21"/>
          <w:szCs w:val="21"/>
        </w:rPr>
        <w:t>中载明。多家投标供应商提供的核心产品品牌相同的，按前两款规定处理。</w:t>
      </w:r>
    </w:p>
    <w:p w14:paraId="106DAF73">
      <w:pPr>
        <w:spacing w:line="400" w:lineRule="exact"/>
        <w:ind w:firstLine="444"/>
        <w:rPr>
          <w:rFonts w:hint="eastAsia" w:ascii="宋体" w:hAnsi="宋体" w:eastAsia="宋体" w:cs="宋体"/>
          <w:bCs/>
          <w:spacing w:val="6"/>
          <w:sz w:val="21"/>
          <w:szCs w:val="21"/>
        </w:rPr>
      </w:pPr>
      <w:r>
        <w:rPr>
          <w:rFonts w:hint="eastAsia" w:ascii="宋体" w:hAnsi="宋体" w:eastAsia="宋体" w:cs="宋体"/>
          <w:bCs/>
          <w:spacing w:val="6"/>
          <w:sz w:val="21"/>
          <w:szCs w:val="21"/>
        </w:rPr>
        <w:t>注：所有核心产品品牌均相同按同品牌投标供应商计算。</w:t>
      </w:r>
    </w:p>
    <w:p w14:paraId="427F778F">
      <w:pPr>
        <w:widowControl/>
        <w:snapToGrid w:val="0"/>
        <w:spacing w:line="380" w:lineRule="exact"/>
        <w:ind w:firstLine="420"/>
        <w:rPr>
          <w:rFonts w:hint="eastAsia" w:ascii="宋体" w:hAnsi="宋体" w:eastAsia="宋体" w:cs="宋体"/>
          <w:sz w:val="22"/>
          <w:szCs w:val="22"/>
        </w:rPr>
      </w:pPr>
      <w:r>
        <w:rPr>
          <w:rFonts w:hint="eastAsia" w:ascii="宋体" w:hAnsi="宋体" w:eastAsia="宋体" w:cs="宋体"/>
          <w:sz w:val="21"/>
          <w:szCs w:val="21"/>
        </w:rPr>
        <w:t>9、本项目</w:t>
      </w:r>
      <w:r>
        <w:rPr>
          <w:rFonts w:hint="eastAsia" w:ascii="宋体" w:hAnsi="宋体" w:eastAsia="宋体" w:cs="宋体"/>
          <w:sz w:val="21"/>
          <w:szCs w:val="21"/>
          <w:lang w:eastAsia="zh-CN"/>
        </w:rPr>
        <w:t>采购文件</w:t>
      </w:r>
      <w:r>
        <w:rPr>
          <w:rFonts w:hint="eastAsia" w:ascii="宋体" w:hAnsi="宋体" w:eastAsia="宋体" w:cs="宋体"/>
          <w:sz w:val="21"/>
          <w:szCs w:val="21"/>
        </w:rPr>
        <w:t>如有补充、更正均见浙江政府采购网（http://www.zjzfcg.gov.cn/）。供应商须在投标截止前自行查看是否有补充、更正文件，并按补充、更正文件要求投标，否则责任自负</w:t>
      </w:r>
      <w:r>
        <w:rPr>
          <w:rFonts w:hint="eastAsia" w:ascii="宋体" w:hAnsi="宋体" w:eastAsia="宋体" w:cs="宋体"/>
          <w:sz w:val="22"/>
          <w:szCs w:val="22"/>
        </w:rPr>
        <w:t>。</w:t>
      </w:r>
    </w:p>
    <w:p w14:paraId="3D0B7646">
      <w:pPr>
        <w:pStyle w:val="3"/>
        <w:ind w:firstLine="602"/>
        <w:rPr>
          <w:rFonts w:hint="eastAsia" w:ascii="宋体" w:hAnsi="宋体" w:eastAsia="宋体" w:cs="宋体"/>
        </w:rPr>
      </w:pPr>
      <w:bookmarkStart w:id="15" w:name="_Toc12012"/>
      <w:r>
        <w:rPr>
          <w:rFonts w:hint="eastAsia" w:ascii="宋体" w:hAnsi="宋体" w:eastAsia="宋体" w:cs="宋体"/>
        </w:rPr>
        <w:t xml:space="preserve">二   </w:t>
      </w:r>
      <w:r>
        <w:rPr>
          <w:rFonts w:hint="eastAsia" w:ascii="宋体" w:hAnsi="宋体" w:eastAsia="宋体" w:cs="宋体"/>
          <w:lang w:val="en-US" w:eastAsia="zh-CN"/>
        </w:rPr>
        <w:t>采购</w:t>
      </w:r>
      <w:r>
        <w:rPr>
          <w:rFonts w:hint="eastAsia" w:ascii="宋体" w:hAnsi="宋体" w:eastAsia="宋体" w:cs="宋体"/>
        </w:rPr>
        <w:t>文件（标项1、标项2、标项3通用）</w:t>
      </w:r>
      <w:bookmarkEnd w:id="15"/>
    </w:p>
    <w:p w14:paraId="08B42CEC">
      <w:pPr>
        <w:spacing w:line="360" w:lineRule="auto"/>
        <w:ind w:firstLine="420"/>
        <w:rPr>
          <w:rFonts w:hint="eastAsia" w:ascii="宋体" w:hAnsi="宋体" w:eastAsia="宋体" w:cs="宋体"/>
          <w:color w:val="auto"/>
          <w:highlight w:val="none"/>
        </w:rPr>
      </w:pPr>
      <w:r>
        <w:rPr>
          <w:rFonts w:hint="eastAsia" w:ascii="宋体" w:hAnsi="宋体" w:eastAsia="宋体" w:cs="宋体"/>
        </w:rPr>
        <w:t>1．</w:t>
      </w:r>
      <w:r>
        <w:rPr>
          <w:rFonts w:hint="eastAsia" w:ascii="宋体" w:hAnsi="宋体" w:eastAsia="宋体" w:cs="宋体"/>
          <w:color w:val="auto"/>
          <w:highlight w:val="none"/>
          <w:lang w:eastAsia="zh-CN"/>
        </w:rPr>
        <w:t>采购文件</w:t>
      </w:r>
      <w:r>
        <w:rPr>
          <w:rFonts w:hint="eastAsia" w:ascii="宋体" w:hAnsi="宋体" w:eastAsia="宋体" w:cs="宋体"/>
          <w:color w:val="auto"/>
          <w:highlight w:val="none"/>
        </w:rPr>
        <w:t>由</w:t>
      </w:r>
      <w:r>
        <w:rPr>
          <w:rFonts w:hint="eastAsia" w:ascii="宋体" w:hAnsi="宋体" w:eastAsia="宋体" w:cs="宋体"/>
          <w:color w:val="auto"/>
          <w:highlight w:val="none"/>
          <w:lang w:eastAsia="zh-CN"/>
        </w:rPr>
        <w:t>采购文件</w:t>
      </w:r>
      <w:r>
        <w:rPr>
          <w:rFonts w:hint="eastAsia" w:ascii="宋体" w:hAnsi="宋体" w:eastAsia="宋体" w:cs="宋体"/>
          <w:color w:val="auto"/>
          <w:highlight w:val="none"/>
        </w:rPr>
        <w:t>目录所列内容及相关资料组成。</w:t>
      </w:r>
    </w:p>
    <w:p w14:paraId="1218AE30">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采购文件</w:t>
      </w:r>
      <w:r>
        <w:rPr>
          <w:rFonts w:hint="eastAsia" w:ascii="宋体" w:hAnsi="宋体" w:eastAsia="宋体" w:cs="宋体"/>
          <w:color w:val="auto"/>
          <w:highlight w:val="none"/>
        </w:rPr>
        <w:t>的澄清</w:t>
      </w:r>
    </w:p>
    <w:p w14:paraId="198FB51B">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sz w:val="21"/>
          <w:szCs w:val="21"/>
          <w:highlight w:val="none"/>
        </w:rPr>
        <w:t>2.1 任何要求对采购文件进行澄清的投标供应商，均应以书面形式（信函、传真，下同）通知采购人或采购代理机构，但该通知不得迟于投标截止时间前十五日使采购人或采购代理机构收到，采购人或采购代理机构将以书面形式予以答复。如有必要，可将不说明问题来源的答复发给各投标文件收受人或召开答疑会。如果采购文件澄清期内未收到有关澄清要求，视为投标供应商完全同意采购文件所有条款，且对于采购文件有关表述以及未尽事宜如有异议，以采购人或采购代理机构解释为准</w:t>
      </w:r>
      <w:r>
        <w:rPr>
          <w:rFonts w:hint="eastAsia" w:ascii="宋体" w:hAnsi="宋体" w:eastAsia="宋体" w:cs="宋体"/>
          <w:color w:val="auto"/>
          <w:highlight w:val="none"/>
        </w:rPr>
        <w:t>。</w:t>
      </w:r>
    </w:p>
    <w:p w14:paraId="442AE459">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 xml:space="preserve">3．   </w:t>
      </w:r>
      <w:r>
        <w:rPr>
          <w:rFonts w:hint="eastAsia" w:ascii="宋体" w:hAnsi="宋体" w:eastAsia="宋体" w:cs="宋体"/>
          <w:color w:val="auto"/>
          <w:highlight w:val="none"/>
          <w:lang w:eastAsia="zh-CN"/>
        </w:rPr>
        <w:t>采购文件</w:t>
      </w:r>
      <w:r>
        <w:rPr>
          <w:rFonts w:hint="eastAsia" w:ascii="宋体" w:hAnsi="宋体" w:eastAsia="宋体" w:cs="宋体"/>
          <w:color w:val="auto"/>
          <w:highlight w:val="none"/>
        </w:rPr>
        <w:t>的修改</w:t>
      </w:r>
    </w:p>
    <w:p w14:paraId="176B15DE">
      <w:pPr>
        <w:tabs>
          <w:tab w:val="left" w:pos="360"/>
        </w:tabs>
        <w:adjustRightInd w:val="0"/>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采购人或采购代理机构对已发出的采购文件进行必要的澄清或者修改的，应当在采购文件要求递交投标文件截止时间十五日前，在财政部门指定的政府采购信息发布媒体上发布更正公告，该澄清或修改内容为采购文件的组成部分。</w:t>
      </w:r>
    </w:p>
    <w:p w14:paraId="193FA022">
      <w:pPr>
        <w:adjustRightInd w:val="0"/>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采购人、采购代理机构可以视采购的具体情况决定是否延长投标截止时间和开标时间，并在采购文件要求递交投标文件的截止时间三日前，将变更时间书面通知所有采购文件收受人，同时在财政部门指定的政府采购信息发布媒体上发布变更公告。</w:t>
      </w:r>
    </w:p>
    <w:p w14:paraId="14E130D3">
      <w:pPr>
        <w:spacing w:line="360" w:lineRule="auto"/>
        <w:ind w:firstLine="420"/>
        <w:rPr>
          <w:rFonts w:hint="eastAsia" w:ascii="宋体" w:hAnsi="宋体" w:eastAsia="宋体" w:cs="宋体"/>
        </w:rPr>
      </w:pPr>
      <w:r>
        <w:rPr>
          <w:rFonts w:hint="eastAsia" w:ascii="宋体" w:hAnsi="宋体" w:eastAsia="宋体" w:cs="宋体"/>
          <w:color w:val="auto"/>
          <w:sz w:val="21"/>
          <w:szCs w:val="21"/>
          <w:highlight w:val="none"/>
        </w:rPr>
        <w:t xml:space="preserve"> 3.3 供应商应自行关注补充、澄清公告，供应商因未及时关注公告而产生的后果由供应商自负</w:t>
      </w:r>
      <w:r>
        <w:rPr>
          <w:rFonts w:hint="eastAsia" w:ascii="宋体" w:hAnsi="宋体" w:eastAsia="宋体" w:cs="宋体"/>
        </w:rPr>
        <w:t>。</w:t>
      </w:r>
    </w:p>
    <w:p w14:paraId="7B6FC88F">
      <w:pPr>
        <w:pStyle w:val="3"/>
        <w:jc w:val="both"/>
        <w:rPr>
          <w:rFonts w:hint="eastAsia" w:ascii="宋体" w:hAnsi="宋体" w:eastAsia="宋体" w:cs="宋体"/>
        </w:rPr>
      </w:pPr>
      <w:bookmarkStart w:id="16" w:name="_Toc18032"/>
      <w:r>
        <w:rPr>
          <w:rFonts w:hint="eastAsia" w:ascii="宋体" w:hAnsi="宋体" w:eastAsia="宋体" w:cs="宋体"/>
        </w:rPr>
        <w:t>三 电子响应文件的编制（标项1、标项2、标项3</w:t>
      </w:r>
      <w:r>
        <w:rPr>
          <w:rFonts w:hint="eastAsia" w:ascii="宋体" w:hAnsi="宋体" w:eastAsia="宋体" w:cs="宋体"/>
          <w:lang w:eastAsia="zh-CN"/>
        </w:rPr>
        <w:t>、</w:t>
      </w:r>
      <w:r>
        <w:rPr>
          <w:rFonts w:hint="eastAsia" w:ascii="宋体" w:hAnsi="宋体" w:eastAsia="宋体" w:cs="宋体"/>
        </w:rPr>
        <w:t>标项</w:t>
      </w:r>
      <w:r>
        <w:rPr>
          <w:rFonts w:hint="eastAsia" w:ascii="宋体" w:hAnsi="宋体" w:eastAsia="宋体" w:cs="宋体"/>
          <w:lang w:val="en-US" w:eastAsia="zh-CN"/>
        </w:rPr>
        <w:t>4</w:t>
      </w:r>
      <w:r>
        <w:rPr>
          <w:rFonts w:hint="eastAsia" w:ascii="宋体" w:hAnsi="宋体" w:eastAsia="宋体" w:cs="宋体"/>
        </w:rPr>
        <w:t>通用）</w:t>
      </w:r>
      <w:bookmarkEnd w:id="16"/>
    </w:p>
    <w:p w14:paraId="32B5D4CD">
      <w:pPr>
        <w:spacing w:line="360" w:lineRule="auto"/>
        <w:ind w:firstLine="420"/>
        <w:rPr>
          <w:rFonts w:hint="eastAsia" w:ascii="宋体" w:hAnsi="宋体" w:eastAsia="宋体" w:cs="宋体"/>
        </w:rPr>
      </w:pPr>
      <w:r>
        <w:rPr>
          <w:rFonts w:hint="eastAsia" w:ascii="宋体" w:hAnsi="宋体" w:eastAsia="宋体" w:cs="宋体"/>
        </w:rPr>
        <w:t>1．   供应商应认真阅读</w:t>
      </w:r>
      <w:r>
        <w:rPr>
          <w:rFonts w:hint="eastAsia" w:ascii="宋体" w:hAnsi="宋体" w:eastAsia="宋体" w:cs="宋体"/>
          <w:lang w:val="en-US" w:eastAsia="zh-CN"/>
        </w:rPr>
        <w:t>采购</w:t>
      </w:r>
      <w:r>
        <w:rPr>
          <w:rFonts w:hint="eastAsia" w:ascii="宋体" w:hAnsi="宋体" w:eastAsia="宋体" w:cs="宋体"/>
        </w:rPr>
        <w:t>文件中所有事项格式、条款和技术规范等。</w:t>
      </w:r>
      <w:r>
        <w:rPr>
          <w:rFonts w:hint="eastAsia" w:ascii="宋体" w:hAnsi="宋体" w:eastAsia="宋体" w:cs="宋体"/>
          <w:u w:val="single"/>
        </w:rPr>
        <w:t>▲供应商没有按照</w:t>
      </w:r>
      <w:r>
        <w:rPr>
          <w:rFonts w:hint="eastAsia" w:ascii="宋体" w:hAnsi="宋体" w:eastAsia="宋体" w:cs="宋体"/>
          <w:u w:val="single"/>
          <w:lang w:val="en-US" w:eastAsia="zh-CN"/>
        </w:rPr>
        <w:t>采购</w:t>
      </w:r>
      <w:r>
        <w:rPr>
          <w:rFonts w:hint="eastAsia" w:ascii="宋体" w:hAnsi="宋体" w:eastAsia="宋体" w:cs="宋体"/>
          <w:u w:val="single"/>
        </w:rPr>
        <w:t>文件要求提交全部资料，或者没有对</w:t>
      </w:r>
      <w:r>
        <w:rPr>
          <w:rFonts w:hint="eastAsia" w:ascii="宋体" w:hAnsi="宋体" w:eastAsia="宋体" w:cs="宋体"/>
          <w:u w:val="single"/>
          <w:lang w:val="en-US" w:eastAsia="zh-CN"/>
        </w:rPr>
        <w:t>采购</w:t>
      </w:r>
      <w:r>
        <w:rPr>
          <w:rFonts w:hint="eastAsia" w:ascii="宋体" w:hAnsi="宋体" w:eastAsia="宋体" w:cs="宋体"/>
          <w:u w:val="single"/>
        </w:rPr>
        <w:t>文件各个方面做出实质性响应，导致投标被拒绝的风险由供应商自行承担。</w:t>
      </w:r>
    </w:p>
    <w:p w14:paraId="3EF6F847">
      <w:pPr>
        <w:spacing w:line="360" w:lineRule="auto"/>
        <w:ind w:firstLine="420"/>
        <w:rPr>
          <w:rFonts w:hint="eastAsia" w:ascii="宋体" w:hAnsi="宋体" w:eastAsia="宋体" w:cs="宋体"/>
        </w:rPr>
      </w:pPr>
      <w:r>
        <w:rPr>
          <w:rFonts w:hint="eastAsia" w:ascii="宋体" w:hAnsi="宋体" w:eastAsia="宋体" w:cs="宋体"/>
        </w:rPr>
        <w:t xml:space="preserve">2．  </w:t>
      </w:r>
      <w:r>
        <w:rPr>
          <w:rFonts w:hint="eastAsia" w:ascii="宋体" w:hAnsi="宋体" w:eastAsia="宋体" w:cs="宋体"/>
          <w:u w:val="single"/>
        </w:rPr>
        <w:t xml:space="preserve"> ▲供应商应保证所提供文件资料的真实性，所有文件资料必须是针对本次</w:t>
      </w:r>
      <w:r>
        <w:rPr>
          <w:rFonts w:hint="eastAsia" w:ascii="宋体" w:hAnsi="宋体" w:eastAsia="宋体" w:cs="宋体"/>
          <w:u w:val="single"/>
          <w:lang w:val="en-US" w:eastAsia="zh-CN"/>
        </w:rPr>
        <w:t>投标</w:t>
      </w:r>
      <w:r>
        <w:rPr>
          <w:rFonts w:hint="eastAsia" w:ascii="宋体" w:hAnsi="宋体" w:eastAsia="宋体" w:cs="宋体"/>
          <w:u w:val="single"/>
        </w:rPr>
        <w:t>的。如发现供应商提供了虚假文件资料，其投标将被拒绝，并自行承担相应的法律责任</w:t>
      </w:r>
      <w:r>
        <w:rPr>
          <w:rFonts w:hint="eastAsia" w:ascii="宋体" w:hAnsi="宋体" w:eastAsia="宋体" w:cs="宋体"/>
        </w:rPr>
        <w:t>。</w:t>
      </w:r>
    </w:p>
    <w:p w14:paraId="6AEE48CE">
      <w:pPr>
        <w:spacing w:line="360" w:lineRule="auto"/>
        <w:ind w:firstLine="420"/>
        <w:rPr>
          <w:rFonts w:hint="eastAsia" w:ascii="宋体" w:hAnsi="宋体" w:eastAsia="宋体" w:cs="宋体"/>
          <w:bCs/>
          <w:szCs w:val="21"/>
        </w:rPr>
      </w:pPr>
      <w:r>
        <w:rPr>
          <w:rFonts w:hint="eastAsia" w:ascii="宋体" w:hAnsi="宋体" w:eastAsia="宋体" w:cs="宋体"/>
          <w:bCs/>
          <w:szCs w:val="21"/>
        </w:rPr>
        <w:t>3．   电子响应文件的构成</w:t>
      </w:r>
      <w:r>
        <w:rPr>
          <w:rFonts w:hint="eastAsia" w:ascii="宋体" w:hAnsi="宋体" w:eastAsia="宋体" w:cs="宋体"/>
          <w:b/>
          <w:bCs/>
          <w:lang w:val="en-US" w:eastAsia="zh-CN"/>
        </w:rPr>
        <w:t xml:space="preserve"> </w:t>
      </w:r>
      <w:r>
        <w:rPr>
          <w:rFonts w:hint="eastAsia" w:ascii="宋体" w:hAnsi="宋体" w:eastAsia="宋体" w:cs="宋体"/>
          <w:bCs/>
          <w:szCs w:val="21"/>
        </w:rPr>
        <w:t>：</w:t>
      </w:r>
    </w:p>
    <w:p w14:paraId="23791438">
      <w:pPr>
        <w:spacing w:line="360" w:lineRule="auto"/>
        <w:ind w:firstLine="420"/>
        <w:rPr>
          <w:rFonts w:hint="eastAsia" w:ascii="宋体" w:hAnsi="宋体" w:eastAsia="宋体" w:cs="宋体"/>
        </w:rPr>
      </w:pPr>
      <w:r>
        <w:rPr>
          <w:rFonts w:hint="eastAsia" w:ascii="宋体" w:hAnsi="宋体" w:eastAsia="宋体" w:cs="宋体"/>
        </w:rPr>
        <w:t>3.1   电子响应文件由</w:t>
      </w:r>
      <w:r>
        <w:rPr>
          <w:rFonts w:hint="eastAsia" w:ascii="宋体" w:hAnsi="宋体" w:eastAsia="宋体" w:cs="宋体"/>
          <w:lang w:eastAsia="zh-CN"/>
        </w:rPr>
        <w:t>资格文件</w:t>
      </w:r>
      <w:r>
        <w:rPr>
          <w:rFonts w:hint="eastAsia" w:ascii="宋体" w:hAnsi="宋体" w:eastAsia="宋体" w:cs="宋体"/>
        </w:rPr>
        <w:t>、</w:t>
      </w:r>
      <w:r>
        <w:rPr>
          <w:rFonts w:hint="eastAsia" w:ascii="宋体" w:hAnsi="宋体" w:eastAsia="宋体" w:cs="宋体"/>
          <w:lang w:eastAsia="zh-CN"/>
        </w:rPr>
        <w:t>商务技术文件</w:t>
      </w:r>
      <w:r>
        <w:rPr>
          <w:rFonts w:hint="eastAsia" w:ascii="宋体" w:hAnsi="宋体" w:eastAsia="宋体" w:cs="宋体"/>
        </w:rPr>
        <w:t>、</w:t>
      </w:r>
      <w:r>
        <w:rPr>
          <w:rFonts w:hint="eastAsia" w:ascii="宋体" w:hAnsi="宋体" w:eastAsia="宋体" w:cs="宋体"/>
          <w:lang w:eastAsia="zh-CN"/>
        </w:rPr>
        <w:t>报价文件</w:t>
      </w:r>
      <w:r>
        <w:rPr>
          <w:rFonts w:hint="eastAsia" w:ascii="宋体" w:hAnsi="宋体" w:eastAsia="宋体" w:cs="宋体"/>
        </w:rPr>
        <w:t>三部分构成：</w:t>
      </w:r>
    </w:p>
    <w:p w14:paraId="38256234">
      <w:pPr>
        <w:spacing w:line="360" w:lineRule="auto"/>
        <w:ind w:firstLine="420"/>
        <w:rPr>
          <w:rFonts w:hint="eastAsia" w:ascii="宋体" w:hAnsi="宋体" w:eastAsia="宋体" w:cs="宋体"/>
        </w:rPr>
      </w:pPr>
      <w:r>
        <w:rPr>
          <w:rFonts w:hint="eastAsia" w:ascii="宋体" w:hAnsi="宋体" w:eastAsia="宋体" w:cs="宋体"/>
        </w:rPr>
        <w:t xml:space="preserve"> （一）资格文件</w:t>
      </w:r>
    </w:p>
    <w:p w14:paraId="419FCC64">
      <w:pPr>
        <w:pStyle w:val="10"/>
        <w:spacing w:after="0"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u w:val="single"/>
        </w:rPr>
        <w:t>资格文件（强制性要求，</w:t>
      </w:r>
      <w:r>
        <w:rPr>
          <w:rFonts w:hint="eastAsia" w:ascii="宋体" w:hAnsi="宋体" w:eastAsia="宋体" w:cs="宋体"/>
          <w:sz w:val="21"/>
          <w:szCs w:val="21"/>
          <w:u w:val="single"/>
          <w:lang w:val="zh-CN"/>
        </w:rPr>
        <w:t>否则不能通过资格性审查的投标供应商，责任自负</w:t>
      </w:r>
      <w:r>
        <w:rPr>
          <w:rFonts w:hint="eastAsia" w:ascii="宋体" w:hAnsi="宋体" w:eastAsia="宋体" w:cs="宋体"/>
          <w:sz w:val="21"/>
          <w:szCs w:val="21"/>
          <w:u w:val="single"/>
        </w:rPr>
        <w:t>）的组成</w:t>
      </w:r>
      <w:r>
        <w:rPr>
          <w:rFonts w:hint="eastAsia" w:ascii="宋体" w:hAnsi="宋体" w:eastAsia="宋体" w:cs="宋体"/>
          <w:sz w:val="21"/>
          <w:szCs w:val="21"/>
        </w:rPr>
        <w:t>：</w:t>
      </w:r>
    </w:p>
    <w:p w14:paraId="1F20FBE8">
      <w:pPr>
        <w:pStyle w:val="10"/>
        <w:numPr>
          <w:ilvl w:val="0"/>
          <w:numId w:val="12"/>
        </w:numPr>
        <w:spacing w:after="0" w:line="360" w:lineRule="auto"/>
        <w:ind w:firstLineChars="0"/>
        <w:rPr>
          <w:rFonts w:hint="eastAsia" w:ascii="宋体" w:hAnsi="宋体" w:eastAsia="宋体" w:cs="宋体"/>
          <w:sz w:val="21"/>
          <w:szCs w:val="21"/>
        </w:rPr>
      </w:pPr>
      <w:bookmarkStart w:id="17" w:name="_Hlk22024173"/>
      <w:r>
        <w:rPr>
          <w:rFonts w:hint="eastAsia" w:ascii="宋体" w:hAnsi="宋体" w:cs="宋体"/>
          <w:snapToGrid w:val="0"/>
          <w:sz w:val="22"/>
        </w:rPr>
        <w:t>有效的法人或者其他组织的营业执照等证明文件</w:t>
      </w:r>
      <w:r>
        <w:rPr>
          <w:rFonts w:hint="eastAsia" w:ascii="宋体" w:hAnsi="宋体" w:eastAsia="宋体" w:cs="宋体"/>
          <w:sz w:val="21"/>
          <w:szCs w:val="21"/>
        </w:rPr>
        <w:t xml:space="preserve">； </w:t>
      </w:r>
    </w:p>
    <w:p w14:paraId="417E077B">
      <w:pPr>
        <w:pStyle w:val="10"/>
        <w:numPr>
          <w:ilvl w:val="0"/>
          <w:numId w:val="12"/>
        </w:numPr>
        <w:spacing w:after="0" w:line="360" w:lineRule="auto"/>
        <w:ind w:firstLineChars="0"/>
        <w:rPr>
          <w:rFonts w:hint="eastAsia" w:ascii="宋体" w:hAnsi="宋体" w:cs="宋体"/>
          <w:snapToGrid w:val="0"/>
          <w:sz w:val="22"/>
          <w:lang w:eastAsia="zh-CN"/>
        </w:rPr>
      </w:pPr>
      <w:r>
        <w:rPr>
          <w:rFonts w:hint="eastAsia" w:ascii="宋体" w:hAnsi="宋体" w:cs="宋体"/>
          <w:snapToGrid w:val="0"/>
          <w:sz w:val="22"/>
        </w:rPr>
        <w:t>符合参加政府采购活动应当具备的一般条件的承诺函</w:t>
      </w:r>
      <w:r>
        <w:rPr>
          <w:rFonts w:hint="eastAsia" w:ascii="宋体" w:hAnsi="宋体" w:cs="宋体"/>
          <w:snapToGrid w:val="0"/>
          <w:sz w:val="22"/>
          <w:lang w:eastAsia="zh-CN"/>
        </w:rPr>
        <w:t>；</w:t>
      </w:r>
    </w:p>
    <w:p w14:paraId="1C82784A">
      <w:pPr>
        <w:pStyle w:val="10"/>
        <w:numPr>
          <w:ilvl w:val="0"/>
          <w:numId w:val="12"/>
        </w:numPr>
        <w:spacing w:after="0" w:line="360" w:lineRule="auto"/>
        <w:ind w:firstLineChars="0"/>
        <w:rPr>
          <w:rFonts w:hint="eastAsia" w:ascii="宋体" w:hAnsi="宋体" w:eastAsia="宋体" w:cs="宋体"/>
          <w:snapToGrid w:val="0"/>
          <w:sz w:val="22"/>
          <w:lang w:eastAsia="zh-CN"/>
        </w:rPr>
      </w:pPr>
      <w:r>
        <w:rPr>
          <w:rFonts w:hint="eastAsia" w:ascii="宋体" w:hAnsi="宋体" w:eastAsia="宋体" w:cs="宋体"/>
          <w:snapToGrid w:val="0"/>
          <w:sz w:val="22"/>
        </w:rPr>
        <w:t>联合协议（如有)</w:t>
      </w:r>
    </w:p>
    <w:p w14:paraId="742DDF66">
      <w:pPr>
        <w:pStyle w:val="10"/>
        <w:numPr>
          <w:ilvl w:val="0"/>
          <w:numId w:val="12"/>
        </w:numPr>
        <w:spacing w:after="0" w:line="360" w:lineRule="auto"/>
        <w:ind w:firstLineChars="0"/>
        <w:rPr>
          <w:rFonts w:hint="eastAsia" w:ascii="宋体" w:hAnsi="宋体" w:eastAsia="宋体" w:cs="宋体"/>
          <w:snapToGrid w:val="0"/>
          <w:sz w:val="22"/>
          <w:lang w:eastAsia="zh-CN"/>
        </w:rPr>
      </w:pPr>
      <w:r>
        <w:rPr>
          <w:rFonts w:hint="eastAsia" w:ascii="宋体" w:hAnsi="宋体" w:eastAsia="宋体" w:cs="宋体"/>
          <w:snapToGrid w:val="0"/>
          <w:sz w:val="22"/>
          <w:lang w:eastAsia="zh-CN"/>
        </w:rPr>
        <w:t>法定代表人资格声明书</w:t>
      </w:r>
      <w:r>
        <w:rPr>
          <w:rFonts w:hint="eastAsia" w:ascii="宋体" w:hAnsi="宋体" w:eastAsia="宋体" w:cs="宋体"/>
          <w:snapToGrid w:val="0"/>
          <w:sz w:val="22"/>
          <w:lang w:val="en-US" w:eastAsia="zh-CN"/>
        </w:rPr>
        <w:t>或法定代表人授权委托书（如为联合体，则联合体牵头人提供即可）</w:t>
      </w:r>
    </w:p>
    <w:p w14:paraId="2D657EFA">
      <w:pPr>
        <w:pStyle w:val="10"/>
        <w:numPr>
          <w:ilvl w:val="0"/>
          <w:numId w:val="0"/>
        </w:numPr>
        <w:spacing w:after="0" w:line="360" w:lineRule="auto"/>
        <w:ind w:leftChars="0"/>
        <w:rPr>
          <w:rFonts w:hint="eastAsia" w:ascii="宋体" w:hAnsi="宋体" w:eastAsia="宋体" w:cs="宋体"/>
          <w:b w:val="0"/>
          <w:snapToGrid w:val="0"/>
          <w:color w:val="000000"/>
          <w:kern w:val="0"/>
          <w:sz w:val="21"/>
          <w:szCs w:val="21"/>
          <w:lang w:val="en-US" w:eastAsia="zh-CN" w:bidi="ar-SA"/>
        </w:rPr>
      </w:pPr>
      <w:r>
        <w:rPr>
          <w:rFonts w:hint="eastAsia" w:ascii="宋体" w:hAnsi="宋体" w:eastAsia="宋体" w:cs="宋体"/>
          <w:b w:val="0"/>
          <w:snapToGrid w:val="0"/>
          <w:color w:val="000000"/>
          <w:kern w:val="0"/>
          <w:sz w:val="21"/>
          <w:szCs w:val="21"/>
          <w:lang w:val="en-US" w:eastAsia="en-US" w:bidi="ar-SA"/>
        </w:rPr>
        <w:t>（二）</w:t>
      </w:r>
      <w:bookmarkEnd w:id="17"/>
      <w:r>
        <w:rPr>
          <w:rFonts w:hint="eastAsia" w:ascii="宋体" w:hAnsi="宋体" w:eastAsia="宋体" w:cs="宋体"/>
          <w:b w:val="0"/>
          <w:snapToGrid w:val="0"/>
          <w:color w:val="000000"/>
          <w:kern w:val="0"/>
          <w:sz w:val="21"/>
          <w:szCs w:val="21"/>
          <w:lang w:val="en-US" w:eastAsia="zh-CN" w:bidi="ar-SA"/>
        </w:rPr>
        <w:t>商务技术文件</w:t>
      </w:r>
    </w:p>
    <w:tbl>
      <w:tblPr>
        <w:tblStyle w:val="25"/>
        <w:tblW w:w="9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7765"/>
        <w:gridCol w:w="1127"/>
      </w:tblGrid>
      <w:tr w14:paraId="3F53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2B6DA55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序号</w:t>
            </w:r>
          </w:p>
        </w:tc>
        <w:tc>
          <w:tcPr>
            <w:tcW w:w="7765" w:type="dxa"/>
            <w:vAlign w:val="center"/>
          </w:tcPr>
          <w:p w14:paraId="0CD797D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内容</w:t>
            </w:r>
          </w:p>
        </w:tc>
        <w:tc>
          <w:tcPr>
            <w:tcW w:w="1127" w:type="dxa"/>
            <w:vAlign w:val="center"/>
          </w:tcPr>
          <w:p w14:paraId="685E8CF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备注</w:t>
            </w:r>
          </w:p>
        </w:tc>
      </w:tr>
      <w:tr w14:paraId="31CD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38" w:type="dxa"/>
            <w:vAlign w:val="center"/>
          </w:tcPr>
          <w:p w14:paraId="4E1C42B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1)</w:t>
            </w:r>
          </w:p>
        </w:tc>
        <w:tc>
          <w:tcPr>
            <w:tcW w:w="7765" w:type="dxa"/>
            <w:vAlign w:val="center"/>
          </w:tcPr>
          <w:p w14:paraId="29EF197B">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Cs w:val="21"/>
              </w:rPr>
            </w:pPr>
            <w:r>
              <w:rPr>
                <w:rFonts w:hint="eastAsia" w:ascii="宋体" w:hAnsi="宋体" w:eastAsia="宋体" w:cs="宋体"/>
                <w:szCs w:val="21"/>
                <w:lang w:val="en-US" w:eastAsia="zh-CN"/>
              </w:rPr>
              <w:t>投标</w:t>
            </w:r>
            <w:r>
              <w:rPr>
                <w:rFonts w:hint="eastAsia" w:ascii="宋体" w:hAnsi="宋体" w:eastAsia="宋体" w:cs="宋体"/>
                <w:szCs w:val="21"/>
              </w:rPr>
              <w:t>函</w:t>
            </w:r>
          </w:p>
        </w:tc>
        <w:tc>
          <w:tcPr>
            <w:tcW w:w="1127" w:type="dxa"/>
            <w:vAlign w:val="center"/>
          </w:tcPr>
          <w:p w14:paraId="27643E9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p>
        </w:tc>
      </w:tr>
      <w:tr w14:paraId="61C6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38" w:type="dxa"/>
            <w:vAlign w:val="center"/>
          </w:tcPr>
          <w:p w14:paraId="4EED9AC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7765" w:type="dxa"/>
            <w:shd w:val="clear" w:color="auto" w:fill="auto"/>
            <w:vAlign w:val="center"/>
          </w:tcPr>
          <w:p w14:paraId="0AFD670A">
            <w:pPr>
              <w:keepNext w:val="0"/>
              <w:keepLines w:val="0"/>
              <w:widowControl/>
              <w:suppressLineNumbers w:val="0"/>
              <w:spacing w:before="0" w:beforeAutospacing="0" w:after="0" w:afterAutospacing="0" w:line="240" w:lineRule="auto"/>
              <w:ind w:left="0" w:leftChars="0" w:right="0" w:rightChars="0" w:firstLine="0" w:firstLineChars="0"/>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Cs w:val="21"/>
              </w:rPr>
              <w:t>技术方案（按“评标细则”相关评分内容逐项编制，格式自拟）：</w:t>
            </w:r>
          </w:p>
        </w:tc>
        <w:tc>
          <w:tcPr>
            <w:tcW w:w="1127" w:type="dxa"/>
            <w:vAlign w:val="center"/>
          </w:tcPr>
          <w:p w14:paraId="6D7C97D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p>
        </w:tc>
      </w:tr>
      <w:tr w14:paraId="2776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44162B4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 xml:space="preserve"> 3）</w:t>
            </w:r>
          </w:p>
        </w:tc>
        <w:tc>
          <w:tcPr>
            <w:tcW w:w="7765" w:type="dxa"/>
            <w:shd w:val="clear" w:color="auto" w:fill="auto"/>
            <w:vAlign w:val="center"/>
          </w:tcPr>
          <w:p w14:paraId="3BB1CBB2">
            <w:pPr>
              <w:keepNext w:val="0"/>
              <w:keepLines w:val="0"/>
              <w:widowControl/>
              <w:suppressLineNumbers w:val="0"/>
              <w:spacing w:before="0" w:beforeAutospacing="0" w:after="0" w:afterAutospacing="0" w:line="240" w:lineRule="auto"/>
              <w:ind w:left="0" w:leftChars="0" w:right="0" w:rightChars="0" w:firstLine="0" w:firstLine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法定代表人诚信投标承诺书</w:t>
            </w:r>
          </w:p>
        </w:tc>
        <w:tc>
          <w:tcPr>
            <w:tcW w:w="1127" w:type="dxa"/>
            <w:vAlign w:val="center"/>
          </w:tcPr>
          <w:p w14:paraId="2CD3F5E2">
            <w:pPr>
              <w:pStyle w:val="6"/>
              <w:keepNext/>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14:paraId="695A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20FA924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4)</w:t>
            </w:r>
          </w:p>
        </w:tc>
        <w:tc>
          <w:tcPr>
            <w:tcW w:w="7765" w:type="dxa"/>
            <w:shd w:val="clear" w:color="auto" w:fill="auto"/>
            <w:vAlign w:val="center"/>
          </w:tcPr>
          <w:p w14:paraId="062235E9">
            <w:pPr>
              <w:keepNext w:val="0"/>
              <w:keepLines w:val="0"/>
              <w:widowControl/>
              <w:suppressLineNumbers w:val="0"/>
              <w:spacing w:before="0" w:beforeAutospacing="0" w:after="0" w:afterAutospacing="0" w:line="240" w:lineRule="auto"/>
              <w:ind w:left="0" w:leftChars="0" w:right="0" w:rightChars="0" w:firstLine="0" w:firstLine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zCs w:val="21"/>
              </w:rPr>
              <w:t>资信内容（按“评标细则”相关评分内容，各供应商参照评分标准根据自身情况提供）</w:t>
            </w:r>
          </w:p>
        </w:tc>
        <w:tc>
          <w:tcPr>
            <w:tcW w:w="1127" w:type="dxa"/>
            <w:vAlign w:val="center"/>
          </w:tcPr>
          <w:p w14:paraId="3F20F791">
            <w:pPr>
              <w:pStyle w:val="6"/>
              <w:keepNext/>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14:paraId="7A96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6036A3A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7765" w:type="dxa"/>
            <w:vAlign w:val="center"/>
          </w:tcPr>
          <w:p w14:paraId="7BF51B41">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Cs w:val="21"/>
              </w:rPr>
            </w:pPr>
            <w:r>
              <w:rPr>
                <w:rFonts w:hint="eastAsia" w:ascii="宋体" w:hAnsi="宋体" w:eastAsia="宋体" w:cs="宋体"/>
                <w:szCs w:val="21"/>
              </w:rPr>
              <w:t>根据采购文件中的采购内容与技术要求、评标细则，需要提供的其它文件和资料</w:t>
            </w:r>
          </w:p>
        </w:tc>
        <w:tc>
          <w:tcPr>
            <w:tcW w:w="1127" w:type="dxa"/>
            <w:vAlign w:val="center"/>
          </w:tcPr>
          <w:p w14:paraId="57A544C5">
            <w:pPr>
              <w:pStyle w:val="6"/>
              <w:keepNext/>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bl>
    <w:p w14:paraId="11BD6951">
      <w:pPr>
        <w:ind w:firstLine="420"/>
        <w:rPr>
          <w:rFonts w:hint="eastAsia" w:ascii="宋体" w:hAnsi="宋体" w:eastAsia="宋体" w:cs="宋体"/>
          <w:sz w:val="21"/>
          <w:szCs w:val="21"/>
          <w:lang w:eastAsia="zh-CN"/>
        </w:rPr>
      </w:pPr>
      <w:r>
        <w:rPr>
          <w:rFonts w:hint="eastAsia" w:ascii="宋体" w:hAnsi="宋体" w:eastAsia="宋体" w:cs="宋体"/>
          <w:sz w:val="21"/>
          <w:szCs w:val="21"/>
        </w:rPr>
        <w:t>（三）</w:t>
      </w:r>
      <w:r>
        <w:rPr>
          <w:rFonts w:hint="eastAsia" w:ascii="宋体" w:hAnsi="宋体" w:eastAsia="宋体" w:cs="宋体"/>
          <w:sz w:val="21"/>
          <w:szCs w:val="21"/>
          <w:lang w:eastAsia="zh-CN"/>
        </w:rPr>
        <w:t>报价文件</w:t>
      </w:r>
    </w:p>
    <w:p w14:paraId="48F421E4">
      <w:pPr>
        <w:ind w:firstLine="420"/>
        <w:rPr>
          <w:rFonts w:hint="eastAsia" w:ascii="宋体" w:hAnsi="宋体" w:eastAsia="宋体" w:cs="宋体"/>
          <w:sz w:val="21"/>
          <w:szCs w:val="21"/>
        </w:rPr>
      </w:pPr>
      <w:r>
        <w:rPr>
          <w:rFonts w:hint="eastAsia" w:ascii="宋体" w:hAnsi="宋体" w:eastAsia="宋体" w:cs="宋体"/>
          <w:sz w:val="21"/>
          <w:szCs w:val="21"/>
          <w:lang w:eastAsia="zh-CN"/>
        </w:rPr>
        <w:t>报价文件</w:t>
      </w:r>
      <w:r>
        <w:rPr>
          <w:rFonts w:hint="eastAsia" w:ascii="宋体" w:hAnsi="宋体" w:eastAsia="宋体" w:cs="宋体"/>
          <w:sz w:val="21"/>
          <w:szCs w:val="21"/>
        </w:rPr>
        <w:t>主要包括下列内容：</w:t>
      </w:r>
    </w:p>
    <w:p w14:paraId="2B735691">
      <w:pPr>
        <w:pStyle w:val="9"/>
        <w:ind w:firstLine="420"/>
        <w:rPr>
          <w:rFonts w:hint="eastAsia" w:ascii="宋体" w:hAnsi="宋体" w:eastAsia="宋体" w:cs="宋体"/>
          <w:sz w:val="21"/>
          <w:szCs w:val="21"/>
        </w:rPr>
      </w:pPr>
      <w:r>
        <w:rPr>
          <w:rFonts w:hint="eastAsia" w:ascii="宋体" w:hAnsi="宋体" w:eastAsia="宋体" w:cs="宋体"/>
          <w:sz w:val="21"/>
          <w:szCs w:val="21"/>
        </w:rPr>
        <w:t>①　</w:t>
      </w:r>
      <w:r>
        <w:rPr>
          <w:rFonts w:hint="eastAsia" w:ascii="宋体" w:hAnsi="宋体" w:eastAsia="宋体" w:cs="宋体"/>
          <w:sz w:val="21"/>
          <w:szCs w:val="21"/>
          <w:lang w:val="en-US" w:eastAsia="zh-CN"/>
        </w:rPr>
        <w:t>开标</w:t>
      </w:r>
      <w:r>
        <w:rPr>
          <w:rFonts w:hint="eastAsia" w:ascii="宋体" w:hAnsi="宋体" w:eastAsia="宋体" w:cs="宋体"/>
          <w:sz w:val="21"/>
          <w:szCs w:val="21"/>
        </w:rPr>
        <w:t xml:space="preserve">报价一览表                              </w:t>
      </w:r>
    </w:p>
    <w:p w14:paraId="0300B757">
      <w:pPr>
        <w:pStyle w:val="9"/>
        <w:ind w:firstLine="420"/>
        <w:rPr>
          <w:rFonts w:hint="eastAsia" w:ascii="宋体" w:hAnsi="宋体" w:eastAsia="宋体" w:cs="宋体"/>
          <w:sz w:val="21"/>
          <w:szCs w:val="21"/>
        </w:rPr>
      </w:pPr>
      <w:r>
        <w:rPr>
          <w:rFonts w:hint="eastAsia" w:ascii="宋体" w:hAnsi="宋体" w:eastAsia="宋体" w:cs="宋体"/>
          <w:sz w:val="21"/>
          <w:szCs w:val="21"/>
        </w:rPr>
        <w:t>②　享受小微企业（含监狱企业、残疾人福利性单位）价格折扣须按供应商单位性质提供以下相关的证明材料（如有）：</w:t>
      </w:r>
    </w:p>
    <w:p w14:paraId="40F21C7A">
      <w:pPr>
        <w:pStyle w:val="9"/>
        <w:numPr>
          <w:ilvl w:val="0"/>
          <w:numId w:val="13"/>
        </w:numPr>
        <w:ind w:firstLineChars="0"/>
        <w:rPr>
          <w:rFonts w:hint="eastAsia" w:ascii="宋体" w:hAnsi="宋体" w:eastAsia="宋体" w:cs="宋体"/>
          <w:sz w:val="21"/>
          <w:szCs w:val="21"/>
        </w:rPr>
      </w:pPr>
      <w:bookmarkStart w:id="18" w:name="_Toc20590"/>
      <w:bookmarkStart w:id="19" w:name="_Toc1428"/>
      <w:bookmarkStart w:id="20" w:name="_Toc22259"/>
      <w:r>
        <w:rPr>
          <w:rFonts w:hint="eastAsia" w:ascii="宋体" w:hAnsi="宋体" w:eastAsia="宋体" w:cs="宋体"/>
          <w:sz w:val="21"/>
          <w:szCs w:val="21"/>
        </w:rPr>
        <w:t>《中小企业声明函（货物）》（上传后进行CA电子签章，格式及要求见</w:t>
      </w:r>
      <w:r>
        <w:rPr>
          <w:rFonts w:hint="eastAsia" w:ascii="宋体" w:hAnsi="宋体" w:eastAsia="宋体" w:cs="宋体"/>
          <w:sz w:val="21"/>
          <w:szCs w:val="21"/>
          <w:lang w:eastAsia="zh-CN"/>
        </w:rPr>
        <w:t>采购文件</w:t>
      </w:r>
      <w:r>
        <w:rPr>
          <w:rFonts w:hint="eastAsia" w:ascii="宋体" w:hAnsi="宋体" w:eastAsia="宋体" w:cs="宋体"/>
          <w:sz w:val="21"/>
          <w:szCs w:val="21"/>
        </w:rPr>
        <w:t>附件）</w:t>
      </w:r>
      <w:bookmarkEnd w:id="18"/>
      <w:bookmarkEnd w:id="19"/>
      <w:bookmarkEnd w:id="20"/>
    </w:p>
    <w:p w14:paraId="3F26B2D1">
      <w:pPr>
        <w:pStyle w:val="9"/>
        <w:numPr>
          <w:ilvl w:val="0"/>
          <w:numId w:val="13"/>
        </w:numPr>
        <w:ind w:firstLineChars="0"/>
        <w:rPr>
          <w:rFonts w:hint="eastAsia" w:ascii="宋体" w:hAnsi="宋体" w:eastAsia="宋体" w:cs="宋体"/>
          <w:sz w:val="21"/>
          <w:szCs w:val="21"/>
        </w:rPr>
      </w:pPr>
      <w:bookmarkStart w:id="21" w:name="_Toc8861"/>
      <w:bookmarkStart w:id="22" w:name="_Toc4014"/>
      <w:bookmarkStart w:id="23" w:name="_Toc6789"/>
      <w:r>
        <w:rPr>
          <w:rFonts w:hint="eastAsia" w:ascii="宋体" w:hAnsi="宋体" w:eastAsia="宋体" w:cs="宋体"/>
          <w:sz w:val="21"/>
          <w:szCs w:val="21"/>
        </w:rPr>
        <w:t>监狱企业参加政府采购活动时，应当提供由省级以上监狱管理局、戒毒管理局(含新疆生产建设兵团)出具的属于监狱企业的证明文件（复印件上传后进行CA电子签章）。在政府采购活动中，监狱企业视同小型、微型企业，享受评审中价格扣除政策。</w:t>
      </w:r>
      <w:bookmarkEnd w:id="21"/>
      <w:bookmarkEnd w:id="22"/>
      <w:bookmarkEnd w:id="23"/>
      <w:bookmarkStart w:id="24" w:name="_Toc2559"/>
    </w:p>
    <w:p w14:paraId="679AB38A">
      <w:pPr>
        <w:pStyle w:val="9"/>
        <w:numPr>
          <w:ilvl w:val="0"/>
          <w:numId w:val="13"/>
        </w:numPr>
        <w:ind w:firstLineChars="0"/>
        <w:rPr>
          <w:rFonts w:hint="eastAsia" w:ascii="宋体" w:hAnsi="宋体" w:eastAsia="宋体" w:cs="宋体"/>
          <w:sz w:val="21"/>
          <w:szCs w:val="21"/>
        </w:rPr>
      </w:pPr>
      <w:r>
        <w:rPr>
          <w:rFonts w:hint="eastAsia" w:ascii="宋体" w:hAnsi="宋体" w:eastAsia="宋体" w:cs="宋体"/>
          <w:sz w:val="21"/>
          <w:szCs w:val="21"/>
        </w:rPr>
        <w:t>残疾人福利性单位声明函（上传后进行CA电子签章，格式见</w:t>
      </w:r>
      <w:r>
        <w:rPr>
          <w:rFonts w:hint="eastAsia" w:ascii="宋体" w:hAnsi="宋体" w:eastAsia="宋体" w:cs="宋体"/>
          <w:sz w:val="21"/>
          <w:szCs w:val="21"/>
          <w:lang w:eastAsia="zh-CN"/>
        </w:rPr>
        <w:t>采购文件</w:t>
      </w:r>
      <w:r>
        <w:rPr>
          <w:rFonts w:hint="eastAsia" w:ascii="宋体" w:hAnsi="宋体" w:eastAsia="宋体" w:cs="宋体"/>
          <w:sz w:val="21"/>
          <w:szCs w:val="21"/>
        </w:rPr>
        <w:t>附件）在政府采购活动中，残疾人福利性单位视同小型、微型企业，享受评审中价格扣除政策</w:t>
      </w:r>
      <w:bookmarkEnd w:id="24"/>
      <w:r>
        <w:rPr>
          <w:rFonts w:hint="eastAsia" w:ascii="宋体" w:hAnsi="宋体" w:eastAsia="宋体" w:cs="宋体"/>
          <w:sz w:val="21"/>
          <w:szCs w:val="21"/>
        </w:rPr>
        <w:t xml:space="preserve"> </w:t>
      </w:r>
    </w:p>
    <w:p w14:paraId="62D52466">
      <w:pPr>
        <w:ind w:firstLine="422"/>
        <w:rPr>
          <w:rFonts w:hint="eastAsia" w:ascii="宋体" w:hAnsi="宋体" w:eastAsia="宋体" w:cs="宋体"/>
          <w:b/>
          <w:bCs/>
          <w:sz w:val="21"/>
          <w:szCs w:val="21"/>
        </w:rPr>
      </w:pPr>
      <w:bookmarkStart w:id="25" w:name="_Toc6829"/>
      <w:r>
        <w:rPr>
          <w:rFonts w:hint="eastAsia" w:ascii="宋体" w:hAnsi="宋体" w:eastAsia="宋体" w:cs="宋体"/>
          <w:b/>
          <w:bCs/>
          <w:sz w:val="21"/>
          <w:szCs w:val="21"/>
        </w:rPr>
        <w:t>3.2   电子响应文件的编制</w:t>
      </w:r>
    </w:p>
    <w:p w14:paraId="5F0EBD1C">
      <w:pPr>
        <w:tabs>
          <w:tab w:val="left" w:pos="360"/>
        </w:tabs>
        <w:spacing w:line="460" w:lineRule="exact"/>
        <w:ind w:firstLine="422"/>
        <w:rPr>
          <w:rFonts w:hint="eastAsia" w:ascii="宋体" w:hAnsi="宋体" w:eastAsia="宋体" w:cs="宋体"/>
          <w:b/>
          <w:bCs/>
          <w:szCs w:val="21"/>
        </w:rPr>
      </w:pPr>
      <w:r>
        <w:rPr>
          <w:rFonts w:hint="eastAsia" w:ascii="宋体" w:hAnsi="宋体" w:eastAsia="宋体" w:cs="宋体"/>
          <w:b/>
          <w:bCs/>
          <w:szCs w:val="21"/>
        </w:rPr>
        <w:t>3.2.1本项目要求供应商通过“政府采购云平台”实行在线投标响应（电子投标）。</w:t>
      </w:r>
    </w:p>
    <w:p w14:paraId="50A69E0B">
      <w:pPr>
        <w:tabs>
          <w:tab w:val="left" w:pos="360"/>
        </w:tabs>
        <w:spacing w:line="460" w:lineRule="exact"/>
        <w:ind w:firstLine="422"/>
        <w:rPr>
          <w:rFonts w:hint="eastAsia" w:ascii="宋体" w:hAnsi="宋体" w:eastAsia="宋体" w:cs="宋体"/>
          <w:b/>
          <w:bCs/>
          <w:szCs w:val="21"/>
        </w:rPr>
      </w:pPr>
      <w:r>
        <w:rPr>
          <w:rFonts w:hint="eastAsia" w:ascii="宋体" w:hAnsi="宋体" w:eastAsia="宋体" w:cs="宋体"/>
          <w:b/>
          <w:bCs/>
          <w:szCs w:val="21"/>
        </w:rPr>
        <w:t>3.2.2、供应商报名通过后，应在投标客户端进行电子响应文件的制作（注：提前申领CA数字证书，申领流程请自行前往“浙江政府采购网-下载专区-电子交易客户端-CA驱动和申领流程”进行查阅，然后将CA与政采云平台账号绑定）。</w:t>
      </w:r>
    </w:p>
    <w:p w14:paraId="58A7057C">
      <w:pPr>
        <w:numPr>
          <w:ilvl w:val="0"/>
          <w:numId w:val="14"/>
        </w:numPr>
        <w:tabs>
          <w:tab w:val="left" w:pos="360"/>
        </w:tabs>
        <w:spacing w:line="460" w:lineRule="exact"/>
        <w:ind w:firstLine="422"/>
        <w:rPr>
          <w:rFonts w:hint="eastAsia" w:ascii="宋体" w:hAnsi="宋体" w:eastAsia="宋体" w:cs="宋体"/>
          <w:b/>
          <w:bCs/>
          <w:szCs w:val="21"/>
        </w:rPr>
      </w:pPr>
      <w:r>
        <w:rPr>
          <w:rFonts w:hint="eastAsia" w:ascii="宋体" w:hAnsi="宋体" w:eastAsia="宋体" w:cs="宋体"/>
          <w:b/>
          <w:bCs/>
          <w:szCs w:val="21"/>
        </w:rPr>
        <w:t>供应商应根据《政府采购项目电子交易管理操作指南-供应商》（供应商自行去政采云系统上进行下载）的规定并按照本</w:t>
      </w:r>
      <w:r>
        <w:rPr>
          <w:rFonts w:hint="eastAsia" w:ascii="宋体" w:hAnsi="宋体" w:eastAsia="宋体" w:cs="宋体"/>
          <w:b/>
          <w:bCs/>
          <w:szCs w:val="21"/>
          <w:lang w:eastAsia="zh-CN"/>
        </w:rPr>
        <w:t>采购文件</w:t>
      </w:r>
      <w:r>
        <w:rPr>
          <w:rFonts w:hint="eastAsia" w:ascii="宋体" w:hAnsi="宋体" w:eastAsia="宋体" w:cs="宋体"/>
          <w:b/>
          <w:bCs/>
          <w:szCs w:val="21"/>
        </w:rPr>
        <w:t>的要求编制电子响应文件，编制过程中遇到涉及平台使用的任何问题，可致电政采云平台技术支持热线咨询：400-881-7190。</w:t>
      </w:r>
    </w:p>
    <w:p w14:paraId="32DEDA3E">
      <w:pPr>
        <w:tabs>
          <w:tab w:val="left" w:pos="360"/>
        </w:tabs>
        <w:spacing w:line="460" w:lineRule="exact"/>
        <w:ind w:firstLine="422"/>
        <w:rPr>
          <w:rFonts w:hint="eastAsia" w:ascii="宋体" w:hAnsi="宋体" w:eastAsia="宋体" w:cs="宋体"/>
          <w:b/>
          <w:bCs/>
          <w:szCs w:val="21"/>
        </w:rPr>
      </w:pPr>
      <w:r>
        <w:rPr>
          <w:rFonts w:hint="eastAsia" w:ascii="宋体" w:hAnsi="宋体" w:eastAsia="宋体" w:cs="宋体"/>
          <w:b/>
          <w:bCs/>
          <w:szCs w:val="21"/>
        </w:rPr>
        <w:t>3.2.3本</w:t>
      </w:r>
      <w:r>
        <w:rPr>
          <w:rFonts w:hint="eastAsia" w:ascii="宋体" w:hAnsi="宋体" w:eastAsia="宋体" w:cs="宋体"/>
          <w:b/>
          <w:bCs/>
          <w:szCs w:val="21"/>
          <w:lang w:eastAsia="zh-CN"/>
        </w:rPr>
        <w:t>采购文件</w:t>
      </w:r>
      <w:r>
        <w:rPr>
          <w:rFonts w:hint="eastAsia" w:ascii="宋体" w:hAnsi="宋体" w:eastAsia="宋体" w:cs="宋体"/>
          <w:b/>
          <w:bCs/>
          <w:szCs w:val="21"/>
        </w:rPr>
        <w:t>《第三部分 附件》中有提供格式的，投标供应商须参照格式进行编制（格式中要求提供相关证明材料的还需后附相关证明材料），并按格式要求在指定位置根据要求进行签章；本</w:t>
      </w:r>
      <w:r>
        <w:rPr>
          <w:rFonts w:hint="eastAsia" w:ascii="宋体" w:hAnsi="宋体" w:eastAsia="宋体" w:cs="宋体"/>
          <w:b/>
          <w:bCs/>
          <w:szCs w:val="21"/>
          <w:lang w:eastAsia="zh-CN"/>
        </w:rPr>
        <w:t>采购文件</w:t>
      </w:r>
      <w:r>
        <w:rPr>
          <w:rFonts w:hint="eastAsia" w:ascii="宋体" w:hAnsi="宋体" w:eastAsia="宋体" w:cs="宋体"/>
          <w:b/>
          <w:bCs/>
          <w:szCs w:val="21"/>
        </w:rPr>
        <w:t>《第三部分 附件》未提供格式的，请各投标单位自行拟定格式，并在相应位置进行签章，否则视为未提供。</w:t>
      </w:r>
    </w:p>
    <w:p w14:paraId="7F9120A1">
      <w:pPr>
        <w:tabs>
          <w:tab w:val="left" w:pos="360"/>
        </w:tabs>
        <w:spacing w:line="460" w:lineRule="exact"/>
        <w:ind w:firstLine="422"/>
        <w:rPr>
          <w:rFonts w:hint="eastAsia" w:ascii="宋体" w:hAnsi="宋体" w:eastAsia="宋体" w:cs="宋体"/>
          <w:b/>
          <w:bCs/>
          <w:szCs w:val="21"/>
        </w:rPr>
      </w:pPr>
      <w:r>
        <w:rPr>
          <w:rFonts w:hint="eastAsia" w:ascii="宋体" w:hAnsi="宋体" w:eastAsia="宋体" w:cs="宋体"/>
          <w:b/>
          <w:bCs/>
          <w:szCs w:val="21"/>
        </w:rPr>
        <w:t>3.2.4供应商应保证《</w:t>
      </w:r>
      <w:r>
        <w:rPr>
          <w:rFonts w:hint="eastAsia" w:ascii="宋体" w:hAnsi="宋体" w:eastAsia="宋体" w:cs="宋体"/>
          <w:b/>
          <w:bCs/>
          <w:szCs w:val="21"/>
          <w:lang w:val="en-US" w:eastAsia="zh-CN"/>
        </w:rPr>
        <w:t>电子</w:t>
      </w:r>
      <w:r>
        <w:rPr>
          <w:rFonts w:hint="eastAsia" w:ascii="宋体" w:hAnsi="宋体" w:eastAsia="宋体" w:cs="宋体"/>
          <w:b/>
          <w:bCs/>
          <w:szCs w:val="21"/>
        </w:rPr>
        <w:t>响应文件》的字迹清晰、内容完整、排版清爽，若因《</w:t>
      </w:r>
      <w:r>
        <w:rPr>
          <w:rFonts w:hint="eastAsia" w:ascii="宋体" w:hAnsi="宋体" w:eastAsia="宋体" w:cs="宋体"/>
          <w:b/>
          <w:bCs/>
          <w:szCs w:val="21"/>
          <w:lang w:val="en-US" w:eastAsia="zh-CN"/>
        </w:rPr>
        <w:t>电子</w:t>
      </w:r>
      <w:r>
        <w:rPr>
          <w:rFonts w:hint="eastAsia" w:ascii="宋体" w:hAnsi="宋体" w:eastAsia="宋体" w:cs="宋体"/>
          <w:b/>
          <w:bCs/>
          <w:szCs w:val="21"/>
        </w:rPr>
        <w:t>响应文件》字迹潦草或表达不清、内容不完整、编排混乱等原因导致《响应文件》被误读、漏读或者查找不到相关内容，由此造成对供应商不利的评审的，其后果由供应商自行承担。</w:t>
      </w:r>
    </w:p>
    <w:p w14:paraId="37C85A32">
      <w:pPr>
        <w:tabs>
          <w:tab w:val="left" w:pos="360"/>
        </w:tabs>
        <w:spacing w:line="460" w:lineRule="exact"/>
        <w:ind w:firstLine="422"/>
        <w:rPr>
          <w:rFonts w:hint="eastAsia" w:ascii="宋体" w:hAnsi="宋体" w:eastAsia="宋体" w:cs="宋体"/>
          <w:b/>
          <w:bCs/>
          <w:sz w:val="21"/>
          <w:szCs w:val="21"/>
        </w:rPr>
      </w:pPr>
      <w:r>
        <w:rPr>
          <w:rFonts w:hint="eastAsia" w:ascii="宋体" w:hAnsi="宋体" w:eastAsia="宋体" w:cs="宋体"/>
          <w:b/>
          <w:bCs/>
          <w:szCs w:val="21"/>
        </w:rPr>
        <w:t>3.2.5投标供应商没有按照本章节 “响应文件组成”要求提供全部资料，或者没有仔细阅读</w:t>
      </w:r>
      <w:r>
        <w:rPr>
          <w:rFonts w:hint="eastAsia" w:ascii="宋体" w:hAnsi="宋体" w:eastAsia="宋体" w:cs="宋体"/>
          <w:b/>
          <w:bCs/>
          <w:szCs w:val="21"/>
          <w:lang w:eastAsia="zh-CN"/>
        </w:rPr>
        <w:t>采购文件</w:t>
      </w:r>
      <w:r>
        <w:rPr>
          <w:rFonts w:hint="eastAsia" w:ascii="宋体" w:hAnsi="宋体" w:eastAsia="宋体" w:cs="宋体"/>
          <w:b/>
          <w:bCs/>
          <w:szCs w:val="21"/>
        </w:rPr>
        <w:t>，</w:t>
      </w:r>
      <w:r>
        <w:rPr>
          <w:rFonts w:hint="eastAsia" w:ascii="宋体" w:hAnsi="宋体" w:eastAsia="宋体" w:cs="宋体"/>
          <w:b/>
          <w:bCs/>
          <w:sz w:val="21"/>
          <w:szCs w:val="21"/>
        </w:rPr>
        <w:t>或者没有对</w:t>
      </w:r>
      <w:r>
        <w:rPr>
          <w:rFonts w:hint="eastAsia" w:ascii="宋体" w:hAnsi="宋体" w:eastAsia="宋体" w:cs="宋体"/>
          <w:b/>
          <w:bCs/>
          <w:sz w:val="21"/>
          <w:szCs w:val="21"/>
          <w:lang w:eastAsia="zh-CN"/>
        </w:rPr>
        <w:t>采购文件</w:t>
      </w:r>
      <w:r>
        <w:rPr>
          <w:rFonts w:hint="eastAsia" w:ascii="宋体" w:hAnsi="宋体" w:eastAsia="宋体" w:cs="宋体"/>
          <w:b/>
          <w:bCs/>
          <w:sz w:val="21"/>
          <w:szCs w:val="21"/>
        </w:rPr>
        <w:t>在各方面的要求作出实质性响应是投标供应商的风险，由此造成的一切后果由投标供应商自行承担。</w:t>
      </w:r>
    </w:p>
    <w:p w14:paraId="1619D7C5">
      <w:pPr>
        <w:pStyle w:val="9"/>
        <w:ind w:firstLine="422"/>
        <w:rPr>
          <w:rFonts w:hint="eastAsia" w:ascii="宋体" w:hAnsi="宋体" w:eastAsia="宋体" w:cs="宋体"/>
          <w:sz w:val="21"/>
          <w:szCs w:val="21"/>
        </w:rPr>
      </w:pPr>
      <w:r>
        <w:rPr>
          <w:rFonts w:hint="eastAsia" w:ascii="宋体" w:hAnsi="宋体" w:eastAsia="宋体" w:cs="宋体"/>
          <w:b/>
          <w:bCs/>
          <w:sz w:val="21"/>
          <w:szCs w:val="21"/>
        </w:rPr>
        <w:t>3.2.6</w:t>
      </w:r>
      <w:r>
        <w:rPr>
          <w:rFonts w:hint="eastAsia" w:ascii="宋体" w:hAnsi="宋体" w:eastAsia="宋体" w:cs="宋体"/>
          <w:b/>
          <w:bCs/>
          <w:sz w:val="21"/>
          <w:szCs w:val="21"/>
          <w:u w:val="single"/>
        </w:rPr>
        <w:t>本项目采购过程中，涉及的供应商联系方式（如手机号码、响应文件中预留的邮箱、供应商地址），均以供应商递交的电子响应文件中《法定代表人资格声明书》或《法定代表人授权委托书》上注明的联系方式为准</w:t>
      </w:r>
      <w:r>
        <w:rPr>
          <w:rFonts w:hint="eastAsia" w:ascii="宋体" w:hAnsi="宋体" w:eastAsia="宋体" w:cs="宋体"/>
          <w:b/>
          <w:sz w:val="21"/>
          <w:szCs w:val="21"/>
          <w:u w:val="single"/>
        </w:rPr>
        <w:t>。</w:t>
      </w:r>
    </w:p>
    <w:bookmarkEnd w:id="25"/>
    <w:p w14:paraId="2DC1197B">
      <w:pPr>
        <w:numPr>
          <w:ilvl w:val="0"/>
          <w:numId w:val="15"/>
        </w:numPr>
        <w:ind w:firstLine="422"/>
        <w:rPr>
          <w:rFonts w:hint="eastAsia" w:ascii="宋体" w:hAnsi="宋体" w:eastAsia="宋体" w:cs="宋体"/>
          <w:b/>
          <w:bCs/>
          <w:sz w:val="21"/>
          <w:szCs w:val="21"/>
          <w:u w:val="single"/>
        </w:rPr>
      </w:pPr>
      <w:r>
        <w:rPr>
          <w:rFonts w:hint="eastAsia" w:ascii="宋体" w:hAnsi="宋体" w:eastAsia="宋体" w:cs="宋体"/>
          <w:b/>
          <w:bCs/>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b/>
          <w:bCs/>
          <w:sz w:val="21"/>
          <w:szCs w:val="21"/>
          <w:u w:val="single"/>
          <w:lang w:eastAsia="zh-CN"/>
        </w:rPr>
        <w:t>电子响应文件</w:t>
      </w:r>
      <w:r>
        <w:rPr>
          <w:rFonts w:hint="eastAsia" w:ascii="宋体" w:hAnsi="宋体" w:eastAsia="宋体" w:cs="宋体"/>
          <w:b/>
          <w:bCs/>
          <w:sz w:val="21"/>
          <w:szCs w:val="21"/>
          <w:u w:val="single"/>
        </w:rPr>
        <w:t>的签章</w:t>
      </w:r>
    </w:p>
    <w:p w14:paraId="360667DF">
      <w:pPr>
        <w:pStyle w:val="10"/>
        <w:ind w:firstLine="211"/>
        <w:rPr>
          <w:rFonts w:hint="eastAsia" w:ascii="宋体" w:hAnsi="宋体" w:eastAsia="宋体" w:cs="宋体"/>
          <w:bCs/>
          <w:kern w:val="2"/>
          <w:sz w:val="21"/>
          <w:szCs w:val="21"/>
          <w:u w:val="single"/>
        </w:rPr>
      </w:pPr>
      <w:r>
        <w:rPr>
          <w:rFonts w:hint="eastAsia" w:ascii="宋体" w:hAnsi="宋体" w:eastAsia="宋体" w:cs="宋体"/>
          <w:bCs/>
          <w:kern w:val="2"/>
          <w:sz w:val="21"/>
          <w:szCs w:val="21"/>
          <w:u w:val="single"/>
        </w:rPr>
        <w:t>4.1单位公章：</w:t>
      </w:r>
      <w:r>
        <w:rPr>
          <w:rFonts w:hint="eastAsia" w:ascii="宋体" w:hAnsi="宋体" w:eastAsia="宋体" w:cs="宋体"/>
          <w:bCs/>
          <w:kern w:val="2"/>
          <w:sz w:val="21"/>
          <w:szCs w:val="21"/>
          <w:u w:val="single"/>
          <w:lang w:eastAsia="zh-CN"/>
        </w:rPr>
        <w:t>电子响应文件</w:t>
      </w:r>
      <w:r>
        <w:rPr>
          <w:rFonts w:hint="eastAsia" w:ascii="宋体" w:hAnsi="宋体" w:eastAsia="宋体" w:cs="宋体"/>
          <w:bCs/>
          <w:kern w:val="2"/>
          <w:sz w:val="21"/>
          <w:szCs w:val="21"/>
          <w:u w:val="single"/>
        </w:rPr>
        <w:t>中所须加盖公章部分均采用CA电子签章，如供应商以联合体形式参与投标的，由联合体牵头人进行CA电子签章；</w:t>
      </w:r>
    </w:p>
    <w:p w14:paraId="7F4874BD">
      <w:pPr>
        <w:pStyle w:val="10"/>
        <w:ind w:firstLine="211"/>
        <w:rPr>
          <w:rFonts w:hint="eastAsia" w:ascii="宋体" w:hAnsi="宋体" w:eastAsia="宋体" w:cs="宋体"/>
          <w:bCs/>
          <w:kern w:val="2"/>
          <w:sz w:val="21"/>
          <w:szCs w:val="21"/>
          <w:u w:val="single"/>
          <w:lang w:val="zh-CN"/>
        </w:rPr>
      </w:pPr>
      <w:r>
        <w:rPr>
          <w:rFonts w:hint="eastAsia" w:ascii="宋体" w:hAnsi="宋体" w:eastAsia="宋体" w:cs="宋体"/>
          <w:bCs/>
          <w:kern w:val="2"/>
          <w:sz w:val="21"/>
          <w:szCs w:val="21"/>
          <w:u w:val="single"/>
        </w:rPr>
        <w:t xml:space="preserve">4.2 </w:t>
      </w:r>
      <w:r>
        <w:rPr>
          <w:rFonts w:hint="eastAsia" w:ascii="宋体" w:hAnsi="宋体" w:eastAsia="宋体" w:cs="宋体"/>
          <w:bCs/>
          <w:kern w:val="2"/>
          <w:sz w:val="21"/>
          <w:szCs w:val="21"/>
          <w:u w:val="single"/>
          <w:lang w:val="zh-CN"/>
        </w:rPr>
        <w:t>法定代表人</w:t>
      </w:r>
      <w:r>
        <w:rPr>
          <w:rFonts w:hint="eastAsia" w:ascii="宋体" w:hAnsi="宋体" w:eastAsia="宋体" w:cs="宋体"/>
          <w:bCs/>
          <w:kern w:val="2"/>
          <w:sz w:val="21"/>
          <w:szCs w:val="21"/>
          <w:u w:val="single"/>
        </w:rPr>
        <w:t>签署的规定：</w:t>
      </w:r>
    </w:p>
    <w:p w14:paraId="0204F440">
      <w:pPr>
        <w:pStyle w:val="10"/>
        <w:numPr>
          <w:ilvl w:val="0"/>
          <w:numId w:val="16"/>
        </w:numPr>
        <w:ind w:firstLineChars="0"/>
        <w:rPr>
          <w:rFonts w:hint="eastAsia" w:ascii="宋体" w:hAnsi="宋体" w:eastAsia="宋体" w:cs="宋体"/>
          <w:bCs/>
          <w:kern w:val="2"/>
          <w:sz w:val="21"/>
          <w:szCs w:val="21"/>
          <w:u w:val="single"/>
          <w:lang w:val="zh-CN"/>
        </w:rPr>
      </w:pPr>
      <w:r>
        <w:rPr>
          <w:rFonts w:hint="eastAsia" w:ascii="宋体" w:hAnsi="宋体" w:eastAsia="宋体" w:cs="宋体"/>
          <w:bCs/>
          <w:kern w:val="2"/>
          <w:sz w:val="21"/>
          <w:szCs w:val="21"/>
          <w:u w:val="single"/>
        </w:rPr>
        <w:t>如供应商已办理法人CA电子签章的，则法定代表人签署的地方可用CA电子签章进行签署；</w:t>
      </w:r>
    </w:p>
    <w:p w14:paraId="2927F5D2">
      <w:pPr>
        <w:pStyle w:val="10"/>
        <w:numPr>
          <w:ilvl w:val="0"/>
          <w:numId w:val="16"/>
        </w:numPr>
        <w:ind w:firstLineChars="0"/>
        <w:rPr>
          <w:rFonts w:hint="eastAsia" w:ascii="宋体" w:hAnsi="宋体" w:eastAsia="宋体" w:cs="宋体"/>
          <w:bCs/>
          <w:kern w:val="2"/>
          <w:sz w:val="21"/>
          <w:szCs w:val="21"/>
          <w:u w:val="single"/>
          <w:lang w:val="zh-CN"/>
        </w:rPr>
      </w:pPr>
      <w:r>
        <w:rPr>
          <w:rFonts w:hint="eastAsia" w:ascii="宋体" w:hAnsi="宋体" w:eastAsia="宋体" w:cs="宋体"/>
          <w:bCs/>
          <w:kern w:val="2"/>
          <w:sz w:val="21"/>
          <w:szCs w:val="21"/>
          <w:u w:val="single"/>
        </w:rPr>
        <w:t>如供应商未办理法人CA电子签章的</w:t>
      </w:r>
      <w:r>
        <w:rPr>
          <w:rFonts w:hint="eastAsia" w:ascii="宋体" w:hAnsi="宋体" w:eastAsia="宋体" w:cs="宋体"/>
          <w:bCs/>
          <w:kern w:val="2"/>
          <w:sz w:val="21"/>
          <w:szCs w:val="21"/>
          <w:u w:val="single"/>
          <w:lang w:val="zh-CN"/>
        </w:rPr>
        <w:t>，</w:t>
      </w:r>
      <w:r>
        <w:rPr>
          <w:rFonts w:hint="eastAsia" w:ascii="宋体" w:hAnsi="宋体" w:eastAsia="宋体" w:cs="宋体"/>
          <w:bCs/>
          <w:kern w:val="2"/>
          <w:sz w:val="21"/>
          <w:szCs w:val="21"/>
          <w:u w:val="single"/>
        </w:rPr>
        <w:t>投标文件</w:t>
      </w:r>
      <w:r>
        <w:rPr>
          <w:rFonts w:hint="eastAsia" w:ascii="宋体" w:hAnsi="宋体" w:eastAsia="宋体" w:cs="宋体"/>
          <w:bCs/>
          <w:kern w:val="2"/>
          <w:sz w:val="21"/>
          <w:szCs w:val="21"/>
          <w:u w:val="single"/>
          <w:lang w:val="zh-CN"/>
        </w:rPr>
        <w:t>中要求供应商法定代表人</w:t>
      </w:r>
      <w:r>
        <w:rPr>
          <w:rFonts w:hint="eastAsia" w:ascii="宋体" w:hAnsi="宋体" w:eastAsia="宋体" w:cs="宋体"/>
          <w:bCs/>
          <w:kern w:val="2"/>
          <w:sz w:val="21"/>
          <w:szCs w:val="21"/>
          <w:u w:val="single"/>
        </w:rPr>
        <w:t>签署</w:t>
      </w:r>
      <w:r>
        <w:rPr>
          <w:rFonts w:hint="eastAsia" w:ascii="宋体" w:hAnsi="宋体" w:eastAsia="宋体" w:cs="宋体"/>
          <w:bCs/>
          <w:kern w:val="2"/>
          <w:sz w:val="21"/>
          <w:szCs w:val="21"/>
          <w:u w:val="single"/>
          <w:lang w:val="zh-CN"/>
        </w:rPr>
        <w:t>的地方，须供应商制作成word版本先打印出来，由法定代表人</w:t>
      </w:r>
      <w:r>
        <w:rPr>
          <w:rFonts w:hint="eastAsia" w:ascii="宋体" w:hAnsi="宋体" w:eastAsia="宋体" w:cs="宋体"/>
          <w:bCs/>
          <w:kern w:val="2"/>
          <w:sz w:val="21"/>
          <w:szCs w:val="21"/>
          <w:u w:val="single"/>
        </w:rPr>
        <w:t>签署</w:t>
      </w:r>
      <w:r>
        <w:rPr>
          <w:rFonts w:hint="eastAsia" w:ascii="宋体" w:hAnsi="宋体" w:eastAsia="宋体" w:cs="宋体"/>
          <w:bCs/>
          <w:kern w:val="2"/>
          <w:sz w:val="21"/>
          <w:szCs w:val="21"/>
          <w:u w:val="single"/>
          <w:lang w:val="zh-CN"/>
        </w:rPr>
        <w:t>后再上传PDF.</w:t>
      </w:r>
    </w:p>
    <w:p w14:paraId="517ACC33">
      <w:pPr>
        <w:autoSpaceDE w:val="0"/>
        <w:autoSpaceDN w:val="0"/>
        <w:adjustRightInd w:val="0"/>
        <w:ind w:firstLine="211" w:firstLineChars="100"/>
        <w:rPr>
          <w:rFonts w:hint="eastAsia" w:ascii="宋体" w:hAnsi="宋体" w:eastAsia="宋体" w:cs="宋体"/>
          <w:b/>
          <w:bCs/>
          <w:kern w:val="0"/>
          <w:sz w:val="21"/>
          <w:szCs w:val="21"/>
          <w:u w:val="single"/>
          <w:lang w:val="zh-CN"/>
        </w:rPr>
      </w:pPr>
      <w:r>
        <w:rPr>
          <w:rFonts w:hint="eastAsia" w:ascii="宋体" w:hAnsi="宋体" w:eastAsia="宋体" w:cs="宋体"/>
          <w:b/>
          <w:bCs/>
          <w:sz w:val="21"/>
          <w:szCs w:val="21"/>
          <w:u w:val="single"/>
        </w:rPr>
        <w:t>4.3、</w:t>
      </w:r>
      <w:r>
        <w:rPr>
          <w:rFonts w:hint="eastAsia" w:ascii="宋体" w:hAnsi="宋体" w:eastAsia="宋体" w:cs="宋体"/>
          <w:b/>
          <w:bCs/>
          <w:kern w:val="0"/>
          <w:sz w:val="21"/>
          <w:szCs w:val="21"/>
          <w:u w:val="single"/>
          <w:lang w:val="zh-CN"/>
        </w:rPr>
        <w:t>授权代表签署的规定：</w:t>
      </w:r>
    </w:p>
    <w:p w14:paraId="6547F743">
      <w:pPr>
        <w:numPr>
          <w:ilvl w:val="0"/>
          <w:numId w:val="4"/>
        </w:numPr>
        <w:autoSpaceDE w:val="0"/>
        <w:autoSpaceDN w:val="0"/>
        <w:adjustRightInd w:val="0"/>
        <w:ind w:firstLineChars="0"/>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如授权代表已办理CA电子签章的，则授权代表签署的地方可用CA电子签章进行签署；</w:t>
      </w:r>
    </w:p>
    <w:p w14:paraId="649FF48E">
      <w:pPr>
        <w:numPr>
          <w:ilvl w:val="0"/>
          <w:numId w:val="4"/>
        </w:numPr>
        <w:autoSpaceDE w:val="0"/>
        <w:autoSpaceDN w:val="0"/>
        <w:adjustRightInd w:val="0"/>
        <w:ind w:firstLineChars="0"/>
        <w:rPr>
          <w:rFonts w:hint="eastAsia" w:ascii="宋体" w:hAnsi="宋体" w:eastAsia="宋体" w:cs="宋体"/>
          <w:b/>
          <w:bCs/>
          <w:kern w:val="0"/>
          <w:sz w:val="21"/>
          <w:szCs w:val="21"/>
        </w:rPr>
      </w:pPr>
      <w:r>
        <w:rPr>
          <w:rFonts w:hint="eastAsia" w:ascii="宋体" w:hAnsi="宋体" w:eastAsia="宋体" w:cs="宋体"/>
          <w:b/>
          <w:bCs/>
          <w:kern w:val="0"/>
          <w:sz w:val="21"/>
          <w:szCs w:val="21"/>
          <w:lang w:val="zh-CN"/>
        </w:rPr>
        <w:t>如授权代表未办理CA电子签章的，投标文件中要求授权代表签署的地方，须供应商制作成word版本先打印出来，由授权代表签署后再上传PDF</w:t>
      </w:r>
      <w:r>
        <w:rPr>
          <w:rFonts w:hint="eastAsia" w:ascii="宋体" w:hAnsi="宋体" w:eastAsia="宋体" w:cs="宋体"/>
          <w:b/>
          <w:bCs/>
          <w:kern w:val="0"/>
          <w:sz w:val="21"/>
          <w:szCs w:val="21"/>
        </w:rPr>
        <w:t>.</w:t>
      </w:r>
    </w:p>
    <w:p w14:paraId="14C65081">
      <w:pPr>
        <w:pStyle w:val="10"/>
        <w:ind w:firstLine="211"/>
        <w:rPr>
          <w:rFonts w:hint="eastAsia" w:ascii="宋体" w:hAnsi="宋体" w:eastAsia="宋体" w:cs="宋体"/>
          <w:bCs/>
          <w:kern w:val="2"/>
          <w:sz w:val="21"/>
          <w:szCs w:val="21"/>
          <w:u w:val="single"/>
        </w:rPr>
      </w:pPr>
      <w:r>
        <w:rPr>
          <w:rFonts w:hint="eastAsia" w:ascii="宋体" w:hAnsi="宋体" w:eastAsia="宋体" w:cs="宋体"/>
          <w:bCs/>
          <w:sz w:val="21"/>
          <w:szCs w:val="21"/>
        </w:rPr>
        <w:t>4.4、</w:t>
      </w:r>
      <w:r>
        <w:rPr>
          <w:rFonts w:hint="eastAsia" w:ascii="宋体" w:hAnsi="宋体" w:eastAsia="宋体" w:cs="宋体"/>
          <w:bCs/>
          <w:sz w:val="21"/>
          <w:szCs w:val="21"/>
          <w:lang w:val="zh-CN"/>
        </w:rPr>
        <w:t>政采云系统平台有新的操作流程的，按其规定</w:t>
      </w:r>
      <w:r>
        <w:rPr>
          <w:rFonts w:hint="eastAsia" w:ascii="宋体" w:hAnsi="宋体" w:eastAsia="宋体" w:cs="宋体"/>
          <w:bCs/>
          <w:kern w:val="2"/>
          <w:sz w:val="21"/>
          <w:szCs w:val="21"/>
          <w:u w:val="single"/>
        </w:rPr>
        <w:t>.</w:t>
      </w:r>
    </w:p>
    <w:p w14:paraId="2820A8B2">
      <w:pPr>
        <w:ind w:firstLine="420"/>
        <w:rPr>
          <w:rFonts w:hint="eastAsia" w:ascii="宋体" w:hAnsi="宋体" w:eastAsia="宋体" w:cs="宋体"/>
          <w:sz w:val="21"/>
          <w:szCs w:val="21"/>
        </w:rPr>
      </w:pPr>
      <w:r>
        <w:rPr>
          <w:rFonts w:hint="eastAsia" w:ascii="宋体" w:hAnsi="宋体" w:eastAsia="宋体" w:cs="宋体"/>
          <w:sz w:val="21"/>
          <w:szCs w:val="21"/>
        </w:rPr>
        <w:t>5.电子响应文件的形式和份数</w:t>
      </w:r>
    </w:p>
    <w:p w14:paraId="645A25C8">
      <w:pPr>
        <w:pStyle w:val="9"/>
        <w:ind w:firstLine="420"/>
        <w:rPr>
          <w:rFonts w:hint="eastAsia" w:ascii="宋体" w:hAnsi="宋体" w:eastAsia="宋体" w:cs="宋体"/>
          <w:sz w:val="21"/>
          <w:szCs w:val="21"/>
        </w:rPr>
      </w:pPr>
      <w:r>
        <w:rPr>
          <w:rFonts w:hint="eastAsia" w:ascii="宋体" w:hAnsi="宋体" w:eastAsia="宋体" w:cs="宋体"/>
          <w:sz w:val="21"/>
          <w:szCs w:val="21"/>
        </w:rPr>
        <w:t>5.1 电子响应文件的形式：详见《供应商须知前附表第18点》；</w:t>
      </w:r>
    </w:p>
    <w:p w14:paraId="548F4192">
      <w:pPr>
        <w:pStyle w:val="9"/>
        <w:ind w:firstLine="420"/>
        <w:rPr>
          <w:rFonts w:hint="eastAsia" w:ascii="宋体" w:hAnsi="宋体" w:eastAsia="宋体" w:cs="宋体"/>
          <w:sz w:val="21"/>
          <w:szCs w:val="21"/>
        </w:rPr>
      </w:pPr>
      <w:r>
        <w:rPr>
          <w:rFonts w:hint="eastAsia" w:ascii="宋体" w:hAnsi="宋体" w:eastAsia="宋体" w:cs="宋体"/>
          <w:sz w:val="21"/>
          <w:szCs w:val="21"/>
        </w:rPr>
        <w:t>5.2 电子响应文件的份数：详见《供应商须知前附表第19点》</w:t>
      </w:r>
    </w:p>
    <w:p w14:paraId="5B21AA9A">
      <w:pPr>
        <w:numPr>
          <w:ilvl w:val="0"/>
          <w:numId w:val="17"/>
        </w:numPr>
        <w:ind w:firstLine="420"/>
        <w:rPr>
          <w:rFonts w:hint="eastAsia" w:ascii="宋体" w:hAnsi="宋体" w:eastAsia="宋体" w:cs="宋体"/>
          <w:sz w:val="21"/>
          <w:szCs w:val="21"/>
        </w:rPr>
      </w:pPr>
      <w:r>
        <w:rPr>
          <w:rFonts w:hint="eastAsia" w:ascii="宋体" w:hAnsi="宋体" w:eastAsia="宋体" w:cs="宋体"/>
          <w:sz w:val="21"/>
          <w:szCs w:val="21"/>
          <w:lang w:val="en-US" w:eastAsia="zh-CN"/>
        </w:rPr>
        <w:t>投标</w:t>
      </w:r>
      <w:r>
        <w:rPr>
          <w:rFonts w:hint="eastAsia" w:ascii="宋体" w:hAnsi="宋体" w:eastAsia="宋体" w:cs="宋体"/>
          <w:sz w:val="21"/>
          <w:szCs w:val="21"/>
        </w:rPr>
        <w:t>保证金</w:t>
      </w:r>
    </w:p>
    <w:p w14:paraId="786B1E83">
      <w:pPr>
        <w:ind w:firstLine="420"/>
        <w:rPr>
          <w:rFonts w:hint="eastAsia" w:ascii="宋体" w:hAnsi="宋体" w:eastAsia="宋体" w:cs="宋体"/>
          <w:sz w:val="21"/>
          <w:szCs w:val="21"/>
        </w:rPr>
      </w:pPr>
      <w:bookmarkStart w:id="26" w:name="_Toc26715"/>
      <w:r>
        <w:rPr>
          <w:rFonts w:hint="eastAsia" w:ascii="宋体" w:hAnsi="宋体" w:eastAsia="宋体" w:cs="宋体"/>
          <w:sz w:val="21"/>
          <w:szCs w:val="21"/>
        </w:rPr>
        <w:t>6.1  根据浙江省财政厅关于明确政府采购保证金管理工作的通知【浙财采监（2019）5号文件】规定，本项目不要求缴纳投标保证金。</w:t>
      </w:r>
      <w:bookmarkEnd w:id="26"/>
    </w:p>
    <w:p w14:paraId="2541EC49">
      <w:pPr>
        <w:ind w:firstLine="420"/>
        <w:rPr>
          <w:rFonts w:hint="eastAsia" w:ascii="宋体" w:hAnsi="宋体" w:eastAsia="宋体" w:cs="宋体"/>
        </w:rPr>
      </w:pPr>
      <w:r>
        <w:rPr>
          <w:rFonts w:hint="eastAsia" w:ascii="宋体" w:hAnsi="宋体" w:eastAsia="宋体" w:cs="宋体"/>
        </w:rPr>
        <w:t>7．   投标有效期</w:t>
      </w:r>
    </w:p>
    <w:p w14:paraId="5A2ED4EF">
      <w:pPr>
        <w:ind w:firstLine="420"/>
        <w:rPr>
          <w:rFonts w:hint="eastAsia" w:ascii="宋体" w:hAnsi="宋体" w:eastAsia="宋体" w:cs="宋体"/>
        </w:rPr>
      </w:pPr>
      <w:bookmarkStart w:id="27" w:name="_Toc13531"/>
      <w:r>
        <w:rPr>
          <w:rFonts w:hint="eastAsia" w:ascii="宋体" w:hAnsi="宋体" w:eastAsia="宋体" w:cs="宋体"/>
        </w:rPr>
        <w:t>7.1   ▲自开标之日起90天内投标应保持有效。投标有效期短于这个规定期限的投标将视为非响应性投标而予以拒绝。</w:t>
      </w:r>
      <w:bookmarkEnd w:id="27"/>
    </w:p>
    <w:p w14:paraId="4AD7D1A0">
      <w:pPr>
        <w:ind w:firstLine="420"/>
        <w:rPr>
          <w:rFonts w:hint="eastAsia" w:ascii="宋体" w:hAnsi="宋体" w:eastAsia="宋体" w:cs="宋体"/>
        </w:rPr>
      </w:pPr>
      <w:r>
        <w:rPr>
          <w:rFonts w:hint="eastAsia" w:ascii="宋体" w:hAnsi="宋体" w:eastAsia="宋体" w:cs="宋体"/>
        </w:rPr>
        <w:t>7.2   特殊情况下，在原投标有效期截止前，采购人可与供应商协商延长投标有效期，这种要求和答复均以书面形式进行，供应商可拒绝接受延期要求，同意延长投标有效期的供应商不得修改电子响应文件。</w:t>
      </w:r>
    </w:p>
    <w:p w14:paraId="603F9D31">
      <w:pPr>
        <w:pStyle w:val="3"/>
        <w:jc w:val="center"/>
        <w:rPr>
          <w:rFonts w:hint="eastAsia" w:ascii="宋体" w:hAnsi="宋体" w:eastAsia="宋体" w:cs="宋体"/>
        </w:rPr>
      </w:pPr>
      <w:bookmarkStart w:id="28" w:name="_Toc21984"/>
      <w:r>
        <w:rPr>
          <w:rFonts w:hint="eastAsia" w:ascii="宋体" w:hAnsi="宋体" w:eastAsia="宋体" w:cs="宋体"/>
        </w:rPr>
        <w:t>四 电子响应文件的递交（标项1、标项2、标项3、标项</w:t>
      </w:r>
      <w:r>
        <w:rPr>
          <w:rFonts w:hint="eastAsia" w:ascii="宋体" w:hAnsi="宋体" w:eastAsia="宋体" w:cs="宋体"/>
          <w:lang w:val="en-US" w:eastAsia="zh-CN"/>
        </w:rPr>
        <w:t>4</w:t>
      </w:r>
      <w:r>
        <w:rPr>
          <w:rFonts w:hint="eastAsia" w:ascii="宋体" w:hAnsi="宋体" w:eastAsia="宋体" w:cs="宋体"/>
        </w:rPr>
        <w:t>通用）</w:t>
      </w:r>
      <w:bookmarkEnd w:id="28"/>
    </w:p>
    <w:p w14:paraId="028CBCDE">
      <w:pPr>
        <w:ind w:firstLine="420"/>
        <w:rPr>
          <w:rFonts w:hint="eastAsia" w:ascii="宋体" w:hAnsi="宋体" w:eastAsia="宋体" w:cs="宋体"/>
          <w:u w:val="single"/>
        </w:rPr>
      </w:pPr>
      <w:r>
        <w:rPr>
          <w:rFonts w:hint="eastAsia" w:ascii="宋体" w:hAnsi="宋体" w:eastAsia="宋体" w:cs="宋体"/>
        </w:rPr>
        <w:t>1．  响应</w:t>
      </w:r>
      <w:r>
        <w:rPr>
          <w:rFonts w:hint="eastAsia" w:ascii="宋体" w:hAnsi="宋体" w:eastAsia="宋体" w:cs="宋体"/>
          <w:lang w:val="zh-CN"/>
        </w:rPr>
        <w:t>文件的上传和递交：</w:t>
      </w:r>
      <w:r>
        <w:rPr>
          <w:rFonts w:hint="eastAsia" w:ascii="宋体" w:hAnsi="宋体" w:eastAsia="宋体" w:cs="宋体"/>
        </w:rPr>
        <w:t>详见《供应商须知前附表第20点》</w:t>
      </w:r>
    </w:p>
    <w:p w14:paraId="2734EFB6">
      <w:pPr>
        <w:ind w:firstLine="420"/>
        <w:rPr>
          <w:rFonts w:hint="eastAsia" w:ascii="宋体" w:hAnsi="宋体" w:eastAsia="宋体" w:cs="宋体"/>
        </w:rPr>
      </w:pPr>
      <w:r>
        <w:rPr>
          <w:rFonts w:hint="eastAsia" w:ascii="宋体" w:hAnsi="宋体" w:eastAsia="宋体" w:cs="宋体"/>
        </w:rPr>
        <w:t>2．  响应文件的修改和撤回</w:t>
      </w:r>
    </w:p>
    <w:p w14:paraId="7F972236">
      <w:pPr>
        <w:ind w:firstLine="420"/>
        <w:rPr>
          <w:rFonts w:hint="eastAsia" w:ascii="宋体" w:hAnsi="宋体" w:eastAsia="宋体" w:cs="宋体"/>
          <w:lang w:val="zh-CN"/>
        </w:rPr>
      </w:pPr>
      <w:r>
        <w:rPr>
          <w:rFonts w:hint="eastAsia" w:ascii="宋体" w:hAnsi="宋体" w:eastAsia="宋体" w:cs="宋体"/>
          <w:lang w:val="zh-CN"/>
        </w:rPr>
        <w:t>2.1  供应商应当在</w:t>
      </w:r>
      <w:r>
        <w:rPr>
          <w:rFonts w:hint="eastAsia" w:ascii="宋体" w:hAnsi="宋体" w:eastAsia="宋体" w:cs="宋体"/>
          <w:lang w:val="en-US" w:eastAsia="zh-CN"/>
        </w:rPr>
        <w:t>投标</w:t>
      </w:r>
      <w:r>
        <w:rPr>
          <w:rFonts w:hint="eastAsia" w:ascii="宋体" w:hAnsi="宋体" w:eastAsia="宋体" w:cs="宋体"/>
          <w:lang w:val="zh-CN"/>
        </w:rPr>
        <w:t>截止时间前完成</w:t>
      </w:r>
      <w:r>
        <w:rPr>
          <w:rFonts w:hint="eastAsia" w:ascii="宋体" w:hAnsi="宋体" w:eastAsia="宋体" w:cs="宋体"/>
        </w:rPr>
        <w:t>电子响应</w:t>
      </w:r>
      <w:r>
        <w:rPr>
          <w:rFonts w:hint="eastAsia" w:ascii="宋体" w:hAnsi="宋体" w:eastAsia="宋体" w:cs="宋体"/>
          <w:lang w:val="zh-CN"/>
        </w:rPr>
        <w:t>文件的上传、递交，并可以补充、修改或者撤回</w:t>
      </w:r>
      <w:r>
        <w:rPr>
          <w:rFonts w:hint="eastAsia" w:ascii="宋体" w:hAnsi="宋体" w:eastAsia="宋体" w:cs="宋体"/>
        </w:rPr>
        <w:t>响应</w:t>
      </w:r>
      <w:r>
        <w:rPr>
          <w:rFonts w:hint="eastAsia" w:ascii="宋体" w:hAnsi="宋体" w:eastAsia="宋体" w:cs="宋体"/>
          <w:lang w:val="zh-CN"/>
        </w:rPr>
        <w:t>文件。补充或者修改</w:t>
      </w:r>
      <w:r>
        <w:rPr>
          <w:rFonts w:hint="eastAsia" w:ascii="宋体" w:hAnsi="宋体" w:eastAsia="宋体" w:cs="宋体"/>
        </w:rPr>
        <w:t>响应</w:t>
      </w:r>
      <w:r>
        <w:rPr>
          <w:rFonts w:hint="eastAsia" w:ascii="宋体" w:hAnsi="宋体" w:eastAsia="宋体" w:cs="宋体"/>
          <w:lang w:val="zh-CN"/>
        </w:rPr>
        <w:t>文件的，应当先行撤回原文件，补充、修改后重新上传、递交。</w:t>
      </w:r>
      <w:r>
        <w:rPr>
          <w:rFonts w:hint="eastAsia" w:ascii="宋体" w:hAnsi="宋体" w:eastAsia="宋体" w:cs="宋体"/>
          <w:lang w:val="en-US" w:eastAsia="zh-CN"/>
        </w:rPr>
        <w:t>投标</w:t>
      </w:r>
      <w:r>
        <w:rPr>
          <w:rFonts w:hint="eastAsia" w:ascii="宋体" w:hAnsi="宋体" w:eastAsia="宋体" w:cs="宋体"/>
          <w:lang w:val="zh-CN"/>
        </w:rPr>
        <w:t>截止时间前未完成上传、递交的，视为撤回</w:t>
      </w:r>
      <w:r>
        <w:rPr>
          <w:rFonts w:hint="eastAsia" w:ascii="宋体" w:hAnsi="宋体" w:eastAsia="宋体" w:cs="宋体"/>
        </w:rPr>
        <w:t>响应</w:t>
      </w:r>
      <w:r>
        <w:rPr>
          <w:rFonts w:hint="eastAsia" w:ascii="宋体" w:hAnsi="宋体" w:eastAsia="宋体" w:cs="宋体"/>
          <w:lang w:val="zh-CN"/>
        </w:rPr>
        <w:t>文件。</w:t>
      </w:r>
      <w:r>
        <w:rPr>
          <w:rFonts w:hint="eastAsia" w:ascii="宋体" w:hAnsi="宋体" w:eastAsia="宋体" w:cs="宋体"/>
          <w:lang w:val="en-US" w:eastAsia="zh-CN"/>
        </w:rPr>
        <w:t>投标</w:t>
      </w:r>
      <w:r>
        <w:rPr>
          <w:rFonts w:hint="eastAsia" w:ascii="宋体" w:hAnsi="宋体" w:eastAsia="宋体" w:cs="宋体"/>
          <w:lang w:val="zh-CN"/>
        </w:rPr>
        <w:t>截止时间后递交的</w:t>
      </w:r>
      <w:r>
        <w:rPr>
          <w:rFonts w:hint="eastAsia" w:ascii="宋体" w:hAnsi="宋体" w:eastAsia="宋体" w:cs="宋体"/>
        </w:rPr>
        <w:t>响应</w:t>
      </w:r>
      <w:r>
        <w:rPr>
          <w:rFonts w:hint="eastAsia" w:ascii="宋体" w:hAnsi="宋体" w:eastAsia="宋体" w:cs="宋体"/>
          <w:lang w:val="zh-CN"/>
        </w:rPr>
        <w:t>文件，“政府采购云平台”将予以拒收</w:t>
      </w:r>
      <w:r>
        <w:rPr>
          <w:rFonts w:hint="eastAsia" w:ascii="宋体" w:hAnsi="宋体" w:eastAsia="宋体" w:cs="宋体"/>
        </w:rPr>
        <w:t>。</w:t>
      </w:r>
    </w:p>
    <w:p w14:paraId="7B7E5F94">
      <w:pPr>
        <w:ind w:firstLine="420"/>
        <w:rPr>
          <w:rFonts w:hint="eastAsia" w:ascii="宋体" w:hAnsi="宋体" w:eastAsia="宋体" w:cs="宋体"/>
        </w:rPr>
      </w:pPr>
      <w:r>
        <w:rPr>
          <w:rFonts w:hint="eastAsia" w:ascii="宋体" w:hAnsi="宋体" w:eastAsia="宋体" w:cs="宋体"/>
        </w:rPr>
        <w:t>2.2  从</w:t>
      </w:r>
      <w:r>
        <w:rPr>
          <w:rFonts w:hint="eastAsia" w:ascii="宋体" w:hAnsi="宋体" w:eastAsia="宋体" w:cs="宋体"/>
          <w:lang w:val="en-US" w:eastAsia="zh-CN"/>
        </w:rPr>
        <w:t>投标</w:t>
      </w:r>
      <w:r>
        <w:rPr>
          <w:rFonts w:hint="eastAsia" w:ascii="宋体" w:hAnsi="宋体" w:eastAsia="宋体" w:cs="宋体"/>
        </w:rPr>
        <w:t>截止日期起至投标有效期满这段时间内，供应商不得撤回其投标。</w:t>
      </w:r>
    </w:p>
    <w:p w14:paraId="187E11DD">
      <w:pPr>
        <w:ind w:firstLine="420"/>
        <w:rPr>
          <w:rFonts w:hint="eastAsia" w:ascii="宋体" w:hAnsi="宋体" w:eastAsia="宋体" w:cs="宋体"/>
          <w:u w:val="single"/>
        </w:rPr>
      </w:pPr>
      <w:r>
        <w:rPr>
          <w:rFonts w:hint="eastAsia" w:ascii="宋体" w:hAnsi="宋体" w:eastAsia="宋体" w:cs="宋体"/>
        </w:rPr>
        <w:t xml:space="preserve">3． </w:t>
      </w:r>
      <w:r>
        <w:rPr>
          <w:rFonts w:hint="eastAsia" w:ascii="宋体" w:hAnsi="宋体" w:eastAsia="宋体" w:cs="宋体"/>
          <w:u w:val="single"/>
        </w:rPr>
        <w:t xml:space="preserve"> 投标文件的备选方案:</w:t>
      </w:r>
    </w:p>
    <w:p w14:paraId="066DFFD1">
      <w:pPr>
        <w:ind w:firstLine="420"/>
        <w:rPr>
          <w:rFonts w:hint="eastAsia" w:ascii="宋体" w:hAnsi="宋体" w:eastAsia="宋体" w:cs="宋体"/>
        </w:rPr>
      </w:pPr>
      <w:r>
        <w:rPr>
          <w:rFonts w:hint="eastAsia" w:ascii="宋体" w:hAnsi="宋体" w:eastAsia="宋体" w:cs="宋体"/>
        </w:rPr>
        <w:t>3.1投标供应商不得递交任何的投标备选（替代）方案，否则其响应文件将作无效标处理。与“电子响应文件”同时生成的“备份响应文件”不是投标备选（替代）方案。</w:t>
      </w:r>
    </w:p>
    <w:p w14:paraId="3BFE1D62">
      <w:pPr>
        <w:pStyle w:val="3"/>
        <w:ind w:firstLine="602"/>
        <w:rPr>
          <w:rFonts w:hint="eastAsia" w:ascii="宋体" w:hAnsi="宋体" w:eastAsia="宋体" w:cs="宋体"/>
          <w:lang w:val="en-US" w:eastAsia="zh-CN"/>
        </w:rPr>
      </w:pPr>
      <w:bookmarkStart w:id="29" w:name="_Toc201"/>
      <w:r>
        <w:rPr>
          <w:rFonts w:hint="eastAsia" w:ascii="宋体" w:hAnsi="宋体" w:eastAsia="宋体" w:cs="宋体"/>
        </w:rPr>
        <w:t xml:space="preserve">五 </w:t>
      </w:r>
      <w:r>
        <w:rPr>
          <w:rFonts w:hint="eastAsia" w:ascii="宋体" w:hAnsi="宋体" w:eastAsia="宋体" w:cs="宋体"/>
          <w:lang w:val="en-US" w:eastAsia="zh-CN"/>
        </w:rPr>
        <w:t>开标和评标</w:t>
      </w:r>
      <w:r>
        <w:rPr>
          <w:rFonts w:hint="eastAsia" w:ascii="宋体" w:hAnsi="宋体" w:eastAsia="宋体" w:cs="宋体"/>
        </w:rPr>
        <w:t>（标项1、标项2、标项3、标项</w:t>
      </w:r>
      <w:r>
        <w:rPr>
          <w:rFonts w:hint="eastAsia" w:ascii="宋体" w:hAnsi="宋体" w:eastAsia="宋体" w:cs="宋体"/>
          <w:lang w:val="en-US" w:eastAsia="zh-CN"/>
        </w:rPr>
        <w:t>4</w:t>
      </w:r>
      <w:r>
        <w:rPr>
          <w:rFonts w:hint="eastAsia" w:ascii="宋体" w:hAnsi="宋体" w:eastAsia="宋体" w:cs="宋体"/>
        </w:rPr>
        <w:t>通用）</w:t>
      </w:r>
      <w:bookmarkEnd w:id="29"/>
    </w:p>
    <w:p w14:paraId="7F6C92CC">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（一）开标</w:t>
      </w:r>
    </w:p>
    <w:p w14:paraId="5AA1788D">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1、采购代理机构将在规定的时间和地点进行开标，并做好相应的开标及现场监控设备的准备。</w:t>
      </w:r>
    </w:p>
    <w:p w14:paraId="0C1DFCA1">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购组织机构将按照采购文件规定的时间通过“政府采购云平台”组织开标、开启投标文件，所有投标供应商均应当准时在线参加。投标供应商如不参加开标大会的，视同认可开标结果，事后不得对采购相关人员、开标过程和开标结果提出异议，同时投标供应商因未在线参加开标而导致投标文件无法按时解密等一切后果由投标供应商自己承担。</w:t>
      </w:r>
    </w:p>
    <w:p w14:paraId="64885B86">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 、开标程序</w:t>
      </w:r>
    </w:p>
    <w:p w14:paraId="4F4DF1F0">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分两阶段开标。</w:t>
      </w:r>
    </w:p>
    <w:p w14:paraId="3E91C02B">
      <w:pPr>
        <w:adjustRightInd w:val="0"/>
        <w:snapToGrid w:val="0"/>
        <w:ind w:firstLine="211" w:firstLineChars="10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3.1．第一阶段</w:t>
      </w:r>
    </w:p>
    <w:p w14:paraId="22591267">
      <w:pPr>
        <w:numPr>
          <w:ilvl w:val="0"/>
          <w:numId w:val="18"/>
        </w:numPr>
        <w:adjustRightInd w:val="0"/>
        <w:snapToGrid w:val="0"/>
        <w:ind w:left="0" w:firstLine="211" w:firstLineChars="1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投标截止时间后，采购组织机构将向各投标供应商发出解密通知，各投标供应商代表应当在接到解密通知后登录政采云平台，对电子投标文件进行在线解密（解密投标文件必须插入CA），在线解密电子投标文件时间为接到解密通知后30分钟内。</w:t>
      </w:r>
    </w:p>
    <w:p w14:paraId="3DE8BCD9">
      <w:pPr>
        <w:numPr>
          <w:ilvl w:val="0"/>
          <w:numId w:val="18"/>
        </w:numPr>
        <w:adjustRightInd w:val="0"/>
        <w:snapToGrid w:val="0"/>
        <w:ind w:left="0" w:firstLine="211" w:firstLineChars="1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异常处理：如政采云上电子投标文件出现解密失败情况，供应商可根据自身意愿确认是否将备份标书压缩包的解密密码传送至采购代理机构邮箱471870577qq.com,采购代理机构收到解密密码后通过【异常处理】的端口对供应商的备份投标文件进行上传（上传成功后，“电子投标文件”自动失效），不能成功上传的视为投标文件撤回）。</w:t>
      </w:r>
    </w:p>
    <w:p w14:paraId="51693C64">
      <w:pPr>
        <w:numPr>
          <w:ilvl w:val="0"/>
          <w:numId w:val="18"/>
        </w:numPr>
        <w:adjustRightInd w:val="0"/>
        <w:snapToGrid w:val="0"/>
        <w:ind w:left="0" w:firstLine="211" w:firstLineChars="1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供应商有以下情形之一的，政府采购云平台将默认供应商自动放弃：</w:t>
      </w:r>
    </w:p>
    <w:p w14:paraId="734F75E2">
      <w:pPr>
        <w:adjustRightInd w:val="0"/>
        <w:snapToGrid w:val="0"/>
        <w:ind w:firstLine="211" w:firstLineChars="1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①　供应商未按规定上传电子投标文件的；</w:t>
      </w:r>
    </w:p>
    <w:p w14:paraId="46EF7C0C">
      <w:pPr>
        <w:adjustRightInd w:val="0"/>
        <w:snapToGrid w:val="0"/>
        <w:ind w:firstLine="211" w:firstLineChars="1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②　在解密期限内供应商电子投标文件解密失败，且经异常处理后政采云电子交易系统仍未能解决的。</w:t>
      </w:r>
    </w:p>
    <w:p w14:paraId="0A2C2FBE">
      <w:pPr>
        <w:numPr>
          <w:ilvl w:val="0"/>
          <w:numId w:val="18"/>
        </w:numPr>
        <w:adjustRightInd w:val="0"/>
        <w:snapToGrid w:val="0"/>
        <w:ind w:left="0" w:firstLine="211" w:firstLineChars="100"/>
        <w:rPr>
          <w:rFonts w:hint="eastAsia" w:ascii="宋体" w:hAnsi="宋体" w:eastAsia="宋体" w:cs="宋体"/>
          <w:b/>
          <w:bCs/>
          <w:color w:val="auto"/>
          <w:spacing w:val="6"/>
          <w:sz w:val="21"/>
          <w:szCs w:val="21"/>
          <w:highlight w:val="none"/>
        </w:rPr>
      </w:pPr>
      <w:r>
        <w:rPr>
          <w:rFonts w:hint="eastAsia" w:ascii="宋体" w:hAnsi="宋体" w:eastAsia="宋体" w:cs="宋体"/>
          <w:b/>
          <w:bCs/>
          <w:color w:val="auto"/>
          <w:kern w:val="0"/>
          <w:sz w:val="21"/>
          <w:szCs w:val="21"/>
          <w:highlight w:val="none"/>
        </w:rPr>
        <w:t>电子投标文件解密结束后，各供应商签署《政府采购活动现场确认声明书》（见附件）后将扫描件发送至采购代理机构邮箱471870577qq.com</w:t>
      </w:r>
      <w:r>
        <w:rPr>
          <w:rFonts w:hint="eastAsia" w:ascii="宋体" w:hAnsi="宋体" w:eastAsia="宋体" w:cs="宋体"/>
          <w:b/>
          <w:bCs/>
          <w:color w:val="auto"/>
          <w:spacing w:val="6"/>
          <w:sz w:val="21"/>
          <w:szCs w:val="21"/>
          <w:highlight w:val="none"/>
        </w:rPr>
        <w:t>。</w:t>
      </w:r>
    </w:p>
    <w:p w14:paraId="39943EF2">
      <w:pPr>
        <w:numPr>
          <w:ilvl w:val="0"/>
          <w:numId w:val="18"/>
        </w:numPr>
        <w:adjustRightInd w:val="0"/>
        <w:snapToGrid w:val="0"/>
        <w:ind w:left="0" w:firstLine="211" w:firstLineChars="100"/>
        <w:rPr>
          <w:rFonts w:hint="eastAsia" w:ascii="宋体" w:hAnsi="宋体" w:eastAsia="宋体" w:cs="宋体"/>
          <w:b/>
          <w:color w:val="auto"/>
          <w:kern w:val="0"/>
          <w:sz w:val="21"/>
          <w:szCs w:val="21"/>
          <w:highlight w:val="none"/>
        </w:rPr>
      </w:pPr>
      <w:r>
        <w:rPr>
          <w:rFonts w:hint="eastAsia" w:ascii="宋体" w:hAnsi="宋体" w:eastAsia="宋体" w:cs="宋体"/>
          <w:b/>
          <w:bCs/>
          <w:color w:val="auto"/>
          <w:kern w:val="0"/>
          <w:sz w:val="21"/>
          <w:szCs w:val="21"/>
          <w:highlight w:val="none"/>
        </w:rPr>
        <w:t>第一阶段开标结束后，采购人或采购代理机构将对依法对投标供应商的</w:t>
      </w:r>
      <w:r>
        <w:rPr>
          <w:rFonts w:hint="eastAsia" w:ascii="宋体" w:hAnsi="宋体" w:eastAsia="宋体" w:cs="宋体"/>
          <w:b/>
          <w:bCs/>
          <w:color w:val="auto"/>
          <w:kern w:val="0"/>
          <w:sz w:val="21"/>
          <w:szCs w:val="21"/>
          <w:highlight w:val="none"/>
          <w:lang w:eastAsia="zh-CN"/>
        </w:rPr>
        <w:t>资格文件</w:t>
      </w:r>
      <w:r>
        <w:rPr>
          <w:rFonts w:hint="eastAsia" w:ascii="宋体" w:hAnsi="宋体" w:eastAsia="宋体" w:cs="宋体"/>
          <w:b/>
          <w:bCs/>
          <w:color w:val="auto"/>
          <w:kern w:val="0"/>
          <w:sz w:val="21"/>
          <w:szCs w:val="21"/>
          <w:highlight w:val="none"/>
        </w:rPr>
        <w:t>进行审查，资格审查结束后进入符合性审查和商务技术的评审</w:t>
      </w:r>
      <w:r>
        <w:rPr>
          <w:rFonts w:hint="eastAsia" w:ascii="宋体" w:hAnsi="宋体" w:eastAsia="宋体" w:cs="宋体"/>
          <w:b/>
          <w:color w:val="auto"/>
          <w:kern w:val="0"/>
          <w:sz w:val="21"/>
          <w:szCs w:val="21"/>
          <w:highlight w:val="none"/>
        </w:rPr>
        <w:t>。</w:t>
      </w:r>
    </w:p>
    <w:p w14:paraId="5C497FF6">
      <w:pPr>
        <w:adjustRightInd w:val="0"/>
        <w:snapToGrid w:val="0"/>
        <w:ind w:firstLine="211" w:firstLineChars="10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3.2.第二阶段</w:t>
      </w:r>
    </w:p>
    <w:p w14:paraId="3D40555E">
      <w:pPr>
        <w:adjustRightInd w:val="0"/>
        <w:snapToGrid w:val="0"/>
        <w:ind w:firstLine="210"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（1）资格审查、符合性审查、商务技术评审结束后，进行第二阶段开标。</w:t>
      </w:r>
    </w:p>
    <w:p w14:paraId="24D84CDD">
      <w:pPr>
        <w:adjustRightInd w:val="0"/>
        <w:snapToGrid w:val="0"/>
        <w:ind w:firstLine="210"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公布资格审查、符合性审查、商务技术评审无效投标供应商名称及理由；公布经商务技术评审后有效投标供应商的名单，同时公布其商务技术文件得分情况。</w:t>
      </w:r>
    </w:p>
    <w:p w14:paraId="6B851ADD">
      <w:pPr>
        <w:adjustRightInd w:val="0"/>
        <w:snapToGrid w:val="0"/>
        <w:ind w:firstLine="210"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（2）开启符合性审查、商务技术评审有效投标供应商的报价文件，公布投标报价一览表有关内容，同时当场制作开标记录表。第二阶段开标结束后，由评审委员会对报价的合理性、准确性等进行审查核实。</w:t>
      </w:r>
    </w:p>
    <w:p w14:paraId="3A7ACF07">
      <w:pPr>
        <w:adjustRightInd w:val="0"/>
        <w:snapToGrid w:val="0"/>
        <w:ind w:firstLine="210"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（3）评审结束后，公布中标（成交）候选投标供应商名单，及采购人最终确定中标或成交投标供应商名单的时间和公告方式等。</w:t>
      </w:r>
    </w:p>
    <w:p w14:paraId="1ADF77AA">
      <w:pPr>
        <w:adjustRightInd w:val="0"/>
        <w:snapToGrid w:val="0"/>
        <w:ind w:firstLine="211" w:firstLineChars="100"/>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注：以上各环节流程和工作的未尽之处及具体操作以“政府采购云平台”电子交易系统设定的在线流程为准。</w:t>
      </w:r>
    </w:p>
    <w:p w14:paraId="1F7B6325">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（二）评标</w:t>
      </w:r>
    </w:p>
    <w:p w14:paraId="711BA473">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1.1评标组织</w:t>
      </w:r>
    </w:p>
    <w:p w14:paraId="51D70A4F">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工作由采购单位负责组织，具体评标事务由采购单位依法组建的评审委员会负责。评审委员会由采购人代表和有关技术、经济等方面的专家组成，成员人数应当为五人及以上单数。其中,技术、经济等方面的专家不得少于成员总数的三分之二。</w:t>
      </w:r>
    </w:p>
    <w:p w14:paraId="79683D65">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1.2评标办法</w:t>
      </w:r>
    </w:p>
    <w:p w14:paraId="458E49F1">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采用综合评分法，详见采购文件第五部分“评标原则及办法”。</w:t>
      </w:r>
    </w:p>
    <w:p w14:paraId="2317981F">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1.3 评标程序</w:t>
      </w:r>
    </w:p>
    <w:p w14:paraId="752A43CD">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1.3.1.在评审专家中推选评审委员会组长。</w:t>
      </w:r>
    </w:p>
    <w:p w14:paraId="5CE4BD5D">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评审委员会组长召集成员认真阅读采购文件以及相关补充、质疑、答复文件、项目书面说明等材料，熟悉采购项目的基本概况，采购项目的质量要求、数量、主要技术标准或服务需求，采购合同主要条款，投标无效情形，评审方法、评审依据、评审标准等。</w:t>
      </w:r>
    </w:p>
    <w:p w14:paraId="78DD9626">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1.3.3.采购人或者采购代理机构对各供应商的资格进行审查，投标供应商资格条件不符合采购文件要求的投标无效，不再进入符合性审查。</w:t>
      </w:r>
    </w:p>
    <w:p w14:paraId="07DCBBC6">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1.3.4.评审委员会对各投标文件的符合性进行审查，确定是否对采购文件作出了实质性响应。实质上没有响应采购文件要求的投标将被视为无效投标，不再进入下一阶段的评审。</w:t>
      </w:r>
    </w:p>
    <w:p w14:paraId="199BB73E">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1.3.5.评审人员按采购文件规定的评审方法和评审标准，依法独立对供应商投标文件进行评估、比较，并给予评价或打分，不受任何单位和个人的干预。</w:t>
      </w:r>
    </w:p>
    <w:p w14:paraId="5178D471">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1.3.6.各供应商的得分为所有评委的有效评分的算术平均数，由指定专人进行计算复核。</w:t>
      </w:r>
    </w:p>
    <w:p w14:paraId="03C3637C">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1.3.7.评审委员会完成评标后,评委对各部分得分汇总,计算出本项目最终得分。评审委员会按评标原则推荐中标候选人，同时起草评标报告。</w:t>
      </w:r>
    </w:p>
    <w:p w14:paraId="2E4C3AE4">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1.3.8.实质上响应采购文件要求的投标供应商不足三家的，除财政部门另有规定外，应当作废标处理。</w:t>
      </w:r>
    </w:p>
    <w:p w14:paraId="6BE9AB45">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1.4 供应商的资格审查</w:t>
      </w:r>
    </w:p>
    <w:p w14:paraId="7B1F83FD">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采购人或采购代理机构首先依法对各供应商的资格进行审查，审查各供应商的资格是否满足采购文件的要求。采购人或采购代理机构对供应商所提交的资格审查材料仅负审核的责任。如发现供应商所提交的资格审查材料不合法或与事实不符，采购人可取消其中标资格并追究供应商的法律责任。</w:t>
      </w:r>
    </w:p>
    <w:p w14:paraId="0A13DB62">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1.4.2供应商提交的资格审查材料无法证明其符合采购文件规定的“供应商资格要求”的，采购人或采购代理机构将对其作资格审查不通过处理（无效投标），并不再将其投标提交评标委员会进行后续评审。</w:t>
      </w:r>
    </w:p>
    <w:p w14:paraId="5AE602BB">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1.4.3单位负责人为同一人或者存在直接控股、管理关系的不同供应商参加同一合同项下的政府采购活动的，相关供应商均作资格无效处理</w:t>
      </w:r>
    </w:p>
    <w:p w14:paraId="4D981B8B">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1.5澄清问题的形式</w:t>
      </w:r>
    </w:p>
    <w:p w14:paraId="4E472682">
      <w:p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1.5.1在评审过程中，如评审小组对供应商递交的电子投标文件存有疑问要求供应商进行澄清的，将采用在政采云系统上向供应商发起询标函的方式进行。供应商须在“规定时间”内登录政采云系统根据标项回复询标函，具体操作流程详见</w:t>
      </w:r>
      <w:r>
        <w:rPr>
          <w:rFonts w:hint="eastAsia" w:ascii="宋体" w:hAnsi="宋体" w:eastAsia="宋体" w:cs="宋体"/>
          <w:b/>
          <w:bCs/>
          <w:color w:val="auto"/>
          <w:kern w:val="0"/>
          <w:sz w:val="21"/>
          <w:szCs w:val="21"/>
          <w:highlight w:val="none"/>
          <w:lang w:val="zh-CN"/>
        </w:rPr>
        <w:t>《政府采购项目电子交易管理操作指南-供应商》（</w:t>
      </w:r>
      <w:r>
        <w:rPr>
          <w:rFonts w:hint="eastAsia" w:ascii="宋体" w:hAnsi="宋体" w:eastAsia="宋体" w:cs="宋体"/>
          <w:b/>
          <w:bCs/>
          <w:color w:val="auto"/>
          <w:kern w:val="0"/>
          <w:sz w:val="21"/>
          <w:szCs w:val="21"/>
          <w:highlight w:val="none"/>
        </w:rPr>
        <w:t>供应商自行去政采云系统上进行下载</w:t>
      </w:r>
      <w:r>
        <w:rPr>
          <w:rFonts w:hint="eastAsia" w:ascii="宋体" w:hAnsi="宋体" w:eastAsia="宋体" w:cs="宋体"/>
          <w:b/>
          <w:bCs/>
          <w:color w:val="auto"/>
          <w:kern w:val="0"/>
          <w:sz w:val="21"/>
          <w:szCs w:val="21"/>
          <w:highlight w:val="none"/>
          <w:lang w:val="zh-CN"/>
        </w:rPr>
        <w:t>）</w:t>
      </w:r>
      <w:r>
        <w:rPr>
          <w:rFonts w:hint="eastAsia" w:ascii="宋体" w:hAnsi="宋体" w:eastAsia="宋体" w:cs="宋体"/>
          <w:b/>
          <w:bCs/>
          <w:color w:val="auto"/>
          <w:sz w:val="21"/>
          <w:szCs w:val="21"/>
          <w:highlight w:val="none"/>
        </w:rPr>
        <w:t>.</w:t>
      </w:r>
    </w:p>
    <w:p w14:paraId="59251B30">
      <w:pPr>
        <w:pStyle w:val="9"/>
        <w:adjustRightInd w:val="0"/>
        <w:snapToGrid w:val="0"/>
        <w:spacing w:after="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1.5.2 评审过程中，建议各供应商代表应在电脑前及时在线关注评审动态，若供应商在询标澄清环节，由于CA等原因无法进行线上操作时，应在规定时限内由授权代表将线下材料通过其在投标文件中预留的邮箱传送至代理机构邮箱471870577qq.com;因供应商自身原因导致其未能在规定时间内完成询标澄清的，由此造成的后果由供应商自行承担。</w:t>
      </w:r>
    </w:p>
    <w:p w14:paraId="41516E6E">
      <w:pPr>
        <w:adjustRightInd w:val="0"/>
        <w:snapToGrid w:val="0"/>
        <w:ind w:firstLine="211" w:firstLineChars="1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1.5.3本项目采购过程中，涉及的供应商联系方式（如手机号码、投标文件中预留的邮箱、供应商地址），均以供应商递交的电子投标文件中《法定代表人资格声明书》或《法定代表人授权委托书》上注明的联系方式为准</w:t>
      </w:r>
      <w:r>
        <w:rPr>
          <w:rFonts w:hint="eastAsia" w:ascii="宋体" w:hAnsi="宋体" w:eastAsia="宋体" w:cs="宋体"/>
          <w:color w:val="auto"/>
          <w:sz w:val="21"/>
          <w:szCs w:val="21"/>
          <w:highlight w:val="none"/>
        </w:rPr>
        <w:t>。</w:t>
      </w:r>
    </w:p>
    <w:p w14:paraId="432508E7">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1.6错误修正</w:t>
      </w:r>
    </w:p>
    <w:p w14:paraId="32F439E5">
      <w:pPr>
        <w:pStyle w:val="9"/>
        <w:adjustRightInd w:val="0"/>
        <w:snapToGrid w:val="0"/>
        <w:spacing w:after="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电子投标文件报价出现前后不一致的，除采购文件另有规定外，按照下列规定修正，可按下面方法修正；</w:t>
      </w:r>
    </w:p>
    <w:p w14:paraId="56459B4E">
      <w:pPr>
        <w:numPr>
          <w:ilvl w:val="0"/>
          <w:numId w:val="19"/>
        </w:num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大写金额和小写金额不一致的，以大写金额为准；</w:t>
      </w:r>
    </w:p>
    <w:p w14:paraId="11F16226">
      <w:pPr>
        <w:numPr>
          <w:ilvl w:val="0"/>
          <w:numId w:val="19"/>
        </w:num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单价金额小数点或者百分比有明显错位的，以投标报价一览表的总价为准，并修改单价；</w:t>
      </w:r>
    </w:p>
    <w:p w14:paraId="2EE7035F">
      <w:pPr>
        <w:numPr>
          <w:ilvl w:val="0"/>
          <w:numId w:val="19"/>
        </w:num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总价金额与按单价汇总金额不一致的，以单价金额计算结果为准；</w:t>
      </w:r>
    </w:p>
    <w:p w14:paraId="4C963C82">
      <w:pPr>
        <w:numPr>
          <w:ilvl w:val="0"/>
          <w:numId w:val="19"/>
        </w:num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若上传的电子投标文件中前后价格不一致的，以报价文件中《投标报价一览表》上的报价为准；</w:t>
      </w:r>
    </w:p>
    <w:p w14:paraId="4685E1CB">
      <w:pPr>
        <w:numPr>
          <w:ilvl w:val="0"/>
          <w:numId w:val="19"/>
        </w:num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若供应商在报价文件中上传的价格和报价一览表里填写的价格不一致的，以供应商上传的报价文件为准，由采购代理机构在系统上对供应商的报价进行修正；</w:t>
      </w:r>
    </w:p>
    <w:p w14:paraId="53B03B31">
      <w:pPr>
        <w:numPr>
          <w:ilvl w:val="0"/>
          <w:numId w:val="19"/>
        </w:numPr>
        <w:adjustRightInd w:val="0"/>
        <w:snapToGrid w:val="0"/>
        <w:ind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委员会认为供应商的报价明显低于其他通过符合性审查供应商的报价，有可能影响产品质量或者不能诚信履约的，应当要求其在规定的时间内提供书面说明，必要时提交相关证明材料；供应商不能证明其报价合理性的，评标委员会应当将其作为无效投标处理。</w:t>
      </w:r>
    </w:p>
    <w:p w14:paraId="029DE3DE">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同时出现两种以上不一致的，按照前款规定的顺序修正。评审委员会应当以书面形式要求投标供应商对修正后的报价予以确认并对投标供应商产生约束力。投标供应商不予确认的，其投标无效。</w:t>
      </w:r>
    </w:p>
    <w:p w14:paraId="5CCD7E44">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（三）评标原则和评标办法</w:t>
      </w:r>
    </w:p>
    <w:p w14:paraId="51C8553D">
      <w:pPr>
        <w:pStyle w:val="22"/>
        <w:widowControl w:val="0"/>
        <w:adjustRightInd w:val="0"/>
        <w:snapToGrid w:val="0"/>
        <w:spacing w:before="0" w:beforeAutospacing="0" w:after="0" w:afterAutospacing="0"/>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评审委员会必须公平、公正、客观，不带任何倾向性和启发性；不得向外界透露任何与评标有关的内容；任何单位和个人不得干扰、影响评标的正常进行；评审委员会及有关工作人员不得私下与投标供应商接触。</w:t>
      </w:r>
    </w:p>
    <w:p w14:paraId="1E6C22D3">
      <w:pPr>
        <w:adjustRightInd w:val="0"/>
        <w:snapToGrid w:val="0"/>
        <w:ind w:firstLine="210" w:firstLineChars="1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2.本项目评标办法是综合评分法，具体评标内容及评分标准等详见第五部分《评标原则及方法》。</w:t>
      </w:r>
    </w:p>
    <w:p w14:paraId="4ED4C9CA">
      <w:pPr>
        <w:adjustRightInd w:val="0"/>
        <w:snapToGrid w:val="0"/>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（四）废标</w:t>
      </w:r>
    </w:p>
    <w:p w14:paraId="4EDFE398">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1、根据《中华人民共和国政府采购法》第三十六条，出现下列情形之一的，应予以废标：</w:t>
      </w:r>
    </w:p>
    <w:p w14:paraId="1CE445F3">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（1）符合专业条件的投标供应商或者对采购文件作实质响应的投标供应商不足三家的；</w:t>
      </w:r>
    </w:p>
    <w:p w14:paraId="56900167">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（2）出现影响采购公正的违法、违规行为的；</w:t>
      </w:r>
    </w:p>
    <w:p w14:paraId="52E704D5">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（3）所有投标供应商的报价均超过了采购预算</w:t>
      </w:r>
      <w:r>
        <w:rPr>
          <w:rFonts w:hint="eastAsia" w:ascii="宋体" w:hAnsi="宋体" w:eastAsia="宋体" w:cs="宋体"/>
          <w:snapToGrid w:val="0"/>
          <w:color w:val="auto"/>
          <w:kern w:val="0"/>
          <w:sz w:val="21"/>
          <w:szCs w:val="21"/>
          <w:highlight w:val="none"/>
          <w:lang w:val="en-US" w:eastAsia="zh-CN"/>
        </w:rPr>
        <w:t>的</w:t>
      </w:r>
      <w:r>
        <w:rPr>
          <w:rFonts w:hint="eastAsia" w:ascii="宋体" w:hAnsi="宋体" w:eastAsia="宋体" w:cs="宋体"/>
          <w:snapToGrid w:val="0"/>
          <w:color w:val="auto"/>
          <w:kern w:val="0"/>
          <w:sz w:val="21"/>
          <w:szCs w:val="21"/>
          <w:highlight w:val="none"/>
        </w:rPr>
        <w:t>，采购人不能支付的；</w:t>
      </w:r>
    </w:p>
    <w:p w14:paraId="61F1660D">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（4）因重大变故，采购任务取消的。</w:t>
      </w:r>
    </w:p>
    <w:p w14:paraId="55B449E5">
      <w:pPr>
        <w:adjustRightInd w:val="0"/>
        <w:snapToGrid w:val="0"/>
        <w:ind w:firstLine="210" w:firstLineChars="100"/>
        <w:rPr>
          <w:rFonts w:hint="eastAsia" w:ascii="宋体" w:hAnsi="宋体" w:eastAsia="宋体" w:cs="宋体"/>
          <w:b/>
          <w:bCs/>
          <w:color w:val="auto"/>
          <w:sz w:val="21"/>
          <w:szCs w:val="21"/>
          <w:highlight w:val="none"/>
          <w:u w:val="single"/>
        </w:rPr>
      </w:pPr>
      <w:r>
        <w:rPr>
          <w:rFonts w:hint="eastAsia" w:ascii="宋体" w:hAnsi="宋体" w:eastAsia="宋体" w:cs="宋体"/>
          <w:snapToGrid w:val="0"/>
          <w:color w:val="auto"/>
          <w:kern w:val="0"/>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u w:val="single"/>
        </w:rPr>
        <w:t>▲在评审过程中，有下列情况之一的，其投标无效：</w:t>
      </w:r>
    </w:p>
    <w:p w14:paraId="3ED7B100">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电子投标文件未按规定进行CA电子签章；</w:t>
      </w:r>
    </w:p>
    <w:p w14:paraId="2E59CD31">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lang w:val="en-US" w:eastAsia="zh-CN"/>
        </w:rPr>
        <w:t>商务技术文件中出现商务报价的；</w:t>
      </w:r>
    </w:p>
    <w:p w14:paraId="41282058">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投标文件中要求供应商法定代表人或授权代表签字或盖章的地方未按规定签署的；</w:t>
      </w:r>
    </w:p>
    <w:p w14:paraId="320C5D04">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授权代表没有法定代表人合法、有效委托的；</w:t>
      </w:r>
    </w:p>
    <w:p w14:paraId="7387F3D0">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未按采购文件要求提供资格文件的；</w:t>
      </w:r>
    </w:p>
    <w:p w14:paraId="32DC8652">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供应商被政府采购云平台默认自动放弃的；</w:t>
      </w:r>
    </w:p>
    <w:p w14:paraId="2E98E4D0">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电子投标文件内容不全或关键字迹模糊无法辨认的；</w:t>
      </w:r>
    </w:p>
    <w:p w14:paraId="60D3E306">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供应商递交两份或多份内容不同的电子投标文件的；</w:t>
      </w:r>
    </w:p>
    <w:p w14:paraId="4BA8CC96">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电子投标文件附有采购人不能接受的条件；</w:t>
      </w:r>
    </w:p>
    <w:p w14:paraId="1F91107A">
      <w:pPr>
        <w:numPr>
          <w:ilvl w:val="0"/>
          <w:numId w:val="20"/>
        </w:numPr>
        <w:adjustRightInd w:val="0"/>
        <w:snapToGrid w:val="0"/>
        <w:ind w:left="0" w:firstLine="211" w:firstLineChars="10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评标委员会认定不符合法律、法规和采购文件中规定的其他实质性要求的。</w:t>
      </w:r>
    </w:p>
    <w:p w14:paraId="1DCC5EBA">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3、采购过程中出现以下情形，导致电子交易平台无法正常运行，或者无法保证电子交易的公平、公正和安全时，采购组织机构可中止电子交易活动：</w:t>
      </w:r>
    </w:p>
    <w:p w14:paraId="35D5FFEE">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（1）电子交易平台发生故障而无法登录访问的； </w:t>
      </w:r>
    </w:p>
    <w:p w14:paraId="476CB977">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（2）电子交易平台应用或数据库出现错误，不能进行正常操作的；</w:t>
      </w:r>
    </w:p>
    <w:p w14:paraId="2A1213E4">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（3）电子交易平台发现严重安全漏洞，有潜在泄密危险的；</w:t>
      </w:r>
    </w:p>
    <w:p w14:paraId="3566D445">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（4）病毒发作导致不能进行正常操作的； </w:t>
      </w:r>
    </w:p>
    <w:p w14:paraId="1FDA6EC4">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（5）其他无法保证电子交易的公平、公正和安全的情况。</w:t>
      </w:r>
    </w:p>
    <w:p w14:paraId="7594F04B">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6A92F18">
      <w:pPr>
        <w:adjustRightInd w:val="0"/>
        <w:snapToGrid w:val="0"/>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 废标后，采购人应当将废标理由通知所有投标供应商并重新组织招标；或者经主管部门批准，采取其他方式组织采购。</w:t>
      </w:r>
    </w:p>
    <w:p w14:paraId="54582C27">
      <w:pPr>
        <w:adjustRightInd w:val="0"/>
        <w:snapToGrid w:val="0"/>
        <w:ind w:firstLine="210" w:firstLineChars="1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（五）确定</w:t>
      </w:r>
      <w:r>
        <w:rPr>
          <w:rFonts w:hint="eastAsia" w:ascii="宋体" w:hAnsi="宋体" w:eastAsia="宋体" w:cs="宋体"/>
          <w:bCs/>
          <w:color w:val="auto"/>
          <w:sz w:val="21"/>
          <w:szCs w:val="21"/>
          <w:highlight w:val="none"/>
          <w:lang w:val="en-US" w:eastAsia="zh-CN"/>
        </w:rPr>
        <w:t>中</w:t>
      </w:r>
      <w:r>
        <w:rPr>
          <w:rFonts w:hint="eastAsia" w:ascii="宋体" w:hAnsi="宋体" w:eastAsia="宋体" w:cs="宋体"/>
          <w:bCs/>
          <w:color w:val="auto"/>
          <w:sz w:val="21"/>
          <w:szCs w:val="21"/>
          <w:highlight w:val="none"/>
        </w:rPr>
        <w:t>标候选供应商</w:t>
      </w:r>
    </w:p>
    <w:p w14:paraId="0CB364AB">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1、本次采购由采购人确定中标人，若采购响应截止时间止及评审期间有效投标供应商少于3家则该项目（标段）按流（废）标处理，重新组织采购。</w:t>
      </w:r>
    </w:p>
    <w:p w14:paraId="7B276D58">
      <w:pPr>
        <w:spacing w:line="360" w:lineRule="auto"/>
        <w:ind w:firstLine="420" w:firstLineChars="200"/>
        <w:rPr>
          <w:rFonts w:hint="eastAsia" w:ascii="宋体" w:hAnsi="宋体" w:eastAsia="宋体" w:cs="宋体"/>
          <w:bCs/>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评标委员会依据法律、法规及采购文件有关规定按有效投标供应商的最终得分（即商务技术</w:t>
      </w:r>
      <w:r>
        <w:rPr>
          <w:rFonts w:hint="eastAsia" w:ascii="宋体" w:hAnsi="宋体" w:eastAsia="宋体" w:cs="宋体"/>
          <w:sz w:val="21"/>
          <w:szCs w:val="21"/>
          <w:highlight w:val="none"/>
          <w:lang w:val="en-US" w:eastAsia="zh-CN"/>
        </w:rPr>
        <w:t>得分</w:t>
      </w:r>
      <w:r>
        <w:rPr>
          <w:rFonts w:hint="eastAsia" w:ascii="宋体" w:hAnsi="宋体" w:eastAsia="宋体" w:cs="宋体"/>
          <w:sz w:val="21"/>
          <w:szCs w:val="21"/>
          <w:highlight w:val="none"/>
        </w:rPr>
        <w:t>和报价</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rPr>
        <w:t>分之和）高低进行排序，</w:t>
      </w:r>
      <w:r>
        <w:rPr>
          <w:rFonts w:hint="eastAsia" w:ascii="宋体" w:hAnsi="宋体" w:eastAsia="宋体" w:cs="宋体"/>
          <w:sz w:val="21"/>
          <w:szCs w:val="21"/>
          <w:highlight w:val="none"/>
          <w:lang w:val="en-US" w:eastAsia="zh-CN"/>
        </w:rPr>
        <w:t>推荐得分最高和次高的</w:t>
      </w:r>
      <w:r>
        <w:rPr>
          <w:rFonts w:hint="eastAsia" w:ascii="宋体" w:hAnsi="宋体" w:eastAsia="宋体" w:cs="宋体"/>
          <w:sz w:val="21"/>
          <w:szCs w:val="21"/>
          <w:highlight w:val="none"/>
        </w:rPr>
        <w:t>投标供应商为第一中标候选供应商</w:t>
      </w:r>
      <w:r>
        <w:rPr>
          <w:rFonts w:hint="eastAsia" w:ascii="宋体" w:hAnsi="宋体" w:eastAsia="宋体" w:cs="宋体"/>
          <w:sz w:val="21"/>
          <w:szCs w:val="21"/>
          <w:highlight w:val="none"/>
          <w:lang w:val="en-US" w:eastAsia="zh-CN"/>
        </w:rPr>
        <w:t>和第二</w:t>
      </w:r>
      <w:r>
        <w:rPr>
          <w:rFonts w:hint="eastAsia" w:ascii="宋体" w:hAnsi="宋体" w:eastAsia="宋体" w:cs="宋体"/>
          <w:sz w:val="21"/>
          <w:szCs w:val="21"/>
          <w:highlight w:val="none"/>
        </w:rPr>
        <w:t>中标候选供应商（得分相同投标报价低的排序第一；得分且投标报价相同的，则由</w:t>
      </w:r>
      <w:r>
        <w:rPr>
          <w:rFonts w:hint="eastAsia" w:ascii="宋体" w:hAnsi="宋体" w:eastAsia="宋体" w:cs="宋体"/>
          <w:sz w:val="21"/>
          <w:szCs w:val="21"/>
          <w:highlight w:val="none"/>
          <w:lang w:val="en-US" w:eastAsia="zh-CN"/>
        </w:rPr>
        <w:t>评委现场</w:t>
      </w:r>
      <w:r>
        <w:rPr>
          <w:rFonts w:hint="eastAsia" w:ascii="宋体" w:hAnsi="宋体" w:eastAsia="宋体" w:cs="宋体"/>
          <w:sz w:val="21"/>
          <w:szCs w:val="21"/>
          <w:highlight w:val="none"/>
        </w:rPr>
        <w:t>抽签决定名次先后）</w:t>
      </w:r>
      <w:r>
        <w:rPr>
          <w:rFonts w:hint="eastAsia" w:ascii="宋体" w:hAnsi="宋体" w:eastAsia="宋体" w:cs="宋体"/>
          <w:bCs/>
          <w:szCs w:val="21"/>
          <w:highlight w:val="none"/>
        </w:rPr>
        <w:t>。</w:t>
      </w:r>
    </w:p>
    <w:p w14:paraId="7E9AB99E">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lang w:val="en-US" w:eastAsia="zh-CN"/>
        </w:rPr>
        <w:t>3</w:t>
      </w:r>
      <w:r>
        <w:rPr>
          <w:rFonts w:hint="eastAsia" w:ascii="宋体" w:hAnsi="宋体" w:eastAsia="宋体" w:cs="宋体"/>
          <w:bCs/>
          <w:szCs w:val="21"/>
        </w:rPr>
        <w:t>、若中标候选供应商放弃中标资格；因不可抗力提出不能履行合同；或未能在规定时间内与采购单位签订合同的；或者经质疑，采购人审查后，确因排名中标候选供应商在本次采购活动中存在违法违规行为或其他原因使质疑成立的，</w:t>
      </w:r>
      <w:r>
        <w:rPr>
          <w:rFonts w:hint="eastAsia" w:ascii="宋体" w:hAnsi="宋体" w:eastAsia="宋体" w:cs="宋体"/>
          <w:bCs/>
          <w:szCs w:val="21"/>
          <w:lang w:val="en-US" w:eastAsia="zh-CN"/>
        </w:rPr>
        <w:t>则</w:t>
      </w:r>
      <w:r>
        <w:rPr>
          <w:rFonts w:hint="eastAsia" w:ascii="宋体" w:hAnsi="宋体" w:eastAsia="宋体" w:cs="宋体"/>
          <w:bCs/>
          <w:szCs w:val="21"/>
        </w:rPr>
        <w:t>采购人</w:t>
      </w:r>
      <w:r>
        <w:rPr>
          <w:rFonts w:hint="eastAsia" w:ascii="宋体" w:hAnsi="宋体" w:eastAsia="宋体" w:cs="宋体"/>
          <w:bCs/>
          <w:szCs w:val="21"/>
          <w:lang w:val="en-US" w:eastAsia="zh-CN"/>
        </w:rPr>
        <w:t>重新组织采购</w:t>
      </w:r>
      <w:r>
        <w:rPr>
          <w:rFonts w:hint="eastAsia" w:ascii="宋体" w:hAnsi="宋体" w:eastAsia="宋体" w:cs="宋体"/>
          <w:bCs/>
          <w:szCs w:val="21"/>
        </w:rPr>
        <w:t>。</w:t>
      </w:r>
    </w:p>
    <w:p w14:paraId="515530F3">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lang w:val="en-US" w:eastAsia="zh-CN"/>
        </w:rPr>
        <w:t>4</w:t>
      </w:r>
      <w:r>
        <w:rPr>
          <w:rFonts w:hint="eastAsia" w:ascii="宋体" w:hAnsi="宋体" w:eastAsia="宋体" w:cs="宋体"/>
          <w:bCs/>
          <w:szCs w:val="21"/>
        </w:rPr>
        <w:t>、采购人、</w:t>
      </w:r>
      <w:r>
        <w:rPr>
          <w:rFonts w:hint="eastAsia" w:ascii="宋体" w:hAnsi="宋体" w:eastAsia="宋体" w:cs="宋体"/>
          <w:bCs/>
          <w:szCs w:val="21"/>
          <w:lang w:eastAsia="zh-CN"/>
        </w:rPr>
        <w:t>采购代理机构</w:t>
      </w:r>
      <w:r>
        <w:rPr>
          <w:rFonts w:hint="eastAsia" w:ascii="宋体" w:hAnsi="宋体" w:eastAsia="宋体" w:cs="宋体"/>
          <w:bCs/>
          <w:szCs w:val="21"/>
        </w:rPr>
        <w:t>及评标委员会不向落标的投标供应商解释落标原因，也不公布评标过程中的相关细节。</w:t>
      </w:r>
    </w:p>
    <w:p w14:paraId="1C59CD96">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lang w:val="en-US" w:eastAsia="zh-CN"/>
        </w:rPr>
        <w:t>5</w:t>
      </w:r>
      <w:r>
        <w:rPr>
          <w:rFonts w:hint="eastAsia" w:ascii="宋体" w:hAnsi="宋体" w:eastAsia="宋体" w:cs="宋体"/>
          <w:b/>
          <w:szCs w:val="21"/>
        </w:rPr>
        <w:t>、评标细则详见“评标原则及方法”。</w:t>
      </w:r>
    </w:p>
    <w:p w14:paraId="06F35DC2">
      <w:pPr>
        <w:numPr>
          <w:ilvl w:val="0"/>
          <w:numId w:val="0"/>
        </w:numPr>
        <w:ind w:firstLine="422" w:firstLineChars="200"/>
        <w:rPr>
          <w:rFonts w:hint="eastAsia" w:ascii="宋体" w:hAnsi="宋体" w:eastAsia="宋体" w:cs="宋体"/>
          <w:color w:val="auto"/>
          <w:highlight w:val="none"/>
          <w:lang w:eastAsia="zh-CN"/>
        </w:rPr>
      </w:pPr>
      <w:r>
        <w:rPr>
          <w:rFonts w:hint="eastAsia" w:ascii="宋体" w:hAnsi="宋体" w:eastAsia="宋体" w:cs="宋体"/>
          <w:b/>
          <w:szCs w:val="21"/>
          <w:lang w:val="en-US" w:eastAsia="zh-CN"/>
        </w:rPr>
        <w:t>6</w:t>
      </w:r>
      <w:r>
        <w:rPr>
          <w:rFonts w:hint="eastAsia" w:ascii="宋体" w:hAnsi="宋体" w:eastAsia="宋体" w:cs="宋体"/>
          <w:b/>
          <w:szCs w:val="21"/>
        </w:rPr>
        <w:t>、未详尽事宜，遵照有关法律法规执行</w:t>
      </w:r>
      <w:r>
        <w:rPr>
          <w:rFonts w:hint="eastAsia" w:ascii="宋体" w:hAnsi="宋体" w:eastAsia="宋体" w:cs="宋体"/>
          <w:color w:val="auto"/>
          <w:highlight w:val="none"/>
          <w:lang w:eastAsia="zh-CN"/>
        </w:rPr>
        <w:t>。</w:t>
      </w:r>
    </w:p>
    <w:p w14:paraId="06CCD972">
      <w:pPr>
        <w:pStyle w:val="3"/>
        <w:ind w:firstLine="602"/>
        <w:rPr>
          <w:rFonts w:hint="eastAsia" w:ascii="宋体" w:hAnsi="宋体" w:eastAsia="宋体" w:cs="宋体"/>
          <w:color w:val="auto"/>
          <w:sz w:val="28"/>
          <w:szCs w:val="28"/>
          <w:highlight w:val="none"/>
        </w:rPr>
      </w:pPr>
      <w:bookmarkStart w:id="30" w:name="_Toc16937"/>
      <w:bookmarkStart w:id="31" w:name="_Toc26272"/>
      <w:bookmarkStart w:id="32" w:name="_Toc1850"/>
      <w:bookmarkStart w:id="33" w:name="_Toc8915"/>
      <w:r>
        <w:rPr>
          <w:rFonts w:hint="eastAsia" w:ascii="宋体" w:hAnsi="宋体" w:eastAsia="宋体" w:cs="宋体"/>
          <w:color w:val="auto"/>
          <w:sz w:val="28"/>
          <w:szCs w:val="28"/>
          <w:highlight w:val="none"/>
        </w:rPr>
        <w:t xml:space="preserve">六、 </w:t>
      </w:r>
      <w:r>
        <w:rPr>
          <w:rFonts w:hint="eastAsia" w:ascii="宋体" w:hAnsi="宋体" w:eastAsia="宋体" w:cs="宋体"/>
          <w:color w:val="auto"/>
          <w:sz w:val="28"/>
          <w:szCs w:val="28"/>
          <w:highlight w:val="none"/>
          <w:lang w:val="en-US" w:eastAsia="zh-CN"/>
        </w:rPr>
        <w:t>定标及</w:t>
      </w:r>
      <w:r>
        <w:rPr>
          <w:rFonts w:hint="eastAsia" w:ascii="宋体" w:hAnsi="宋体" w:eastAsia="宋体" w:cs="宋体"/>
          <w:color w:val="auto"/>
          <w:sz w:val="28"/>
          <w:szCs w:val="28"/>
          <w:highlight w:val="none"/>
        </w:rPr>
        <w:t>授予合同</w:t>
      </w:r>
      <w:bookmarkEnd w:id="30"/>
      <w:bookmarkEnd w:id="31"/>
      <w:bookmarkEnd w:id="32"/>
      <w:r>
        <w:rPr>
          <w:rFonts w:hint="eastAsia" w:ascii="宋体" w:hAnsi="宋体" w:eastAsia="宋体" w:cs="宋体"/>
          <w:color w:val="auto"/>
          <w:sz w:val="28"/>
          <w:szCs w:val="28"/>
          <w:highlight w:val="none"/>
        </w:rPr>
        <w:t>（标项1、标项2、标项3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标项4</w:t>
      </w:r>
      <w:r>
        <w:rPr>
          <w:rFonts w:hint="eastAsia" w:ascii="宋体" w:hAnsi="宋体" w:eastAsia="宋体" w:cs="宋体"/>
          <w:color w:val="auto"/>
          <w:sz w:val="28"/>
          <w:szCs w:val="28"/>
          <w:highlight w:val="none"/>
        </w:rPr>
        <w:t>通用）</w:t>
      </w:r>
      <w:bookmarkEnd w:id="33"/>
    </w:p>
    <w:p w14:paraId="04CE90FF">
      <w:pPr>
        <w:tabs>
          <w:tab w:val="left" w:pos="360"/>
        </w:tabs>
        <w:adjustRightInd w:val="0"/>
        <w:snapToGrid w:val="0"/>
        <w:ind w:firstLine="211" w:firstLineChars="100"/>
        <w:rPr>
          <w:rFonts w:hint="eastAsia" w:ascii="宋体" w:hAnsi="宋体" w:eastAsia="宋体" w:cs="宋体"/>
          <w:b/>
          <w:szCs w:val="21"/>
        </w:rPr>
      </w:pPr>
      <w:r>
        <w:rPr>
          <w:rFonts w:hint="eastAsia" w:ascii="宋体" w:hAnsi="宋体" w:eastAsia="宋体" w:cs="宋体"/>
          <w:b/>
          <w:szCs w:val="21"/>
        </w:rPr>
        <w:t>1．确定中标供应商</w:t>
      </w:r>
    </w:p>
    <w:p w14:paraId="5AF7BABB">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rPr>
        <w:t>政府采购项目实行全流程电子化，评审报告送交、采购结果确定和结果公告均在线完成。为进一步提升采购结果确定效率，采购代理机构应当依法及时将评审报告在线送交采购人。采购人应当自收到评审报告之日起5个工作日内在线确定中标或者成交供应商，为提高政府采购效率，鼓励在收到评审报告当天在线确定中标或者成交供应商。中标、成交通知书和中标、成交结果公告应当在规定时间内同时发出。</w:t>
      </w:r>
    </w:p>
    <w:p w14:paraId="7622B7E0">
      <w:pPr>
        <w:tabs>
          <w:tab w:val="left" w:pos="360"/>
        </w:tabs>
        <w:adjustRightInd w:val="0"/>
        <w:snapToGrid w:val="0"/>
        <w:ind w:firstLine="211" w:firstLineChars="100"/>
        <w:rPr>
          <w:rFonts w:hint="eastAsia" w:ascii="宋体" w:hAnsi="宋体" w:eastAsia="宋体" w:cs="宋体"/>
          <w:b/>
          <w:szCs w:val="21"/>
        </w:rPr>
      </w:pPr>
      <w:r>
        <w:rPr>
          <w:rFonts w:hint="eastAsia" w:ascii="宋体" w:hAnsi="宋体" w:eastAsia="宋体" w:cs="宋体"/>
          <w:b/>
          <w:szCs w:val="21"/>
        </w:rPr>
        <w:t>2．中标通知与中标结果公告</w:t>
      </w:r>
    </w:p>
    <w:p w14:paraId="38F3CBA6">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.1自中标人确定之日起2个工作日内，采购代理机构通过电子交易平台向中标人发出中标通知书，同时编制发布采购结果公告。采购代理机构也可以以纸质形式进行中标通知。</w:t>
      </w:r>
    </w:p>
    <w:p w14:paraId="060178A4">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02A4988">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.3公告期限为1个工作日。</w:t>
      </w:r>
    </w:p>
    <w:p w14:paraId="28CDEEFC">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.4 由于中标、成交供应商原因导致重新采购的，应当承担支付代理费和专家评审费等费用在内的赔偿责任。和服务在一定幅度范围内予以增加或减少,但不得对单价和其他的条款和条件作任何改变。</w:t>
      </w:r>
    </w:p>
    <w:p w14:paraId="51ECCE14">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．签订合同</w:t>
      </w:r>
    </w:p>
    <w:p w14:paraId="3CDC2D8D">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5CC4FDD">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lang w:val="zh-CN"/>
        </w:rPr>
        <w:t>.2中标人按规定的日期、时间、地点，由法定代表人或其授权代表与采购人代表签订合同。如中标人为联合体的，由联合体成员各方法定代表人或其授权代表与采购人代表签订合同。</w:t>
      </w:r>
    </w:p>
    <w:p w14:paraId="6A20C2B9">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.3如签订合同并生效后，供应商无故拒绝或延期，除按照合同条款处理外，列入不良行为记录一次，并给予通报。</w:t>
      </w:r>
    </w:p>
    <w:p w14:paraId="05DB3390">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.4中标供应商拒绝与采购人签订合同的，采购人可以按照评审报告推荐的中标或者成交候选人名单排序，确定下一候选人为中标供应商，也可以重新开展政府采购活动。</w:t>
      </w:r>
    </w:p>
    <w:p w14:paraId="2C7F05C8">
      <w:pPr>
        <w:tabs>
          <w:tab w:val="left" w:pos="360"/>
        </w:tabs>
        <w:adjustRightInd w:val="0"/>
        <w:snapToGrid w:val="0"/>
        <w:ind w:firstLine="210" w:firstLineChars="1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.5采购合同由采购人与中标供应商根据招标文件、投标文件等内容通过政府采购电子交易平台在线签订，自动备案</w:t>
      </w:r>
    </w:p>
    <w:p w14:paraId="55616C7C">
      <w:pPr>
        <w:numPr>
          <w:ilvl w:val="0"/>
          <w:numId w:val="21"/>
        </w:numPr>
        <w:tabs>
          <w:tab w:val="left" w:pos="360"/>
        </w:tabs>
        <w:adjustRightInd w:val="0"/>
        <w:snapToGrid w:val="0"/>
        <w:rPr>
          <w:rFonts w:hint="eastAsia" w:ascii="宋体" w:hAnsi="宋体" w:eastAsia="宋体" w:cs="宋体"/>
          <w:kern w:val="0"/>
          <w:szCs w:val="21"/>
        </w:rPr>
      </w:pPr>
      <w:r>
        <w:rPr>
          <w:rFonts w:hint="eastAsia" w:ascii="宋体" w:hAnsi="宋体" w:eastAsia="宋体" w:cs="宋体"/>
          <w:szCs w:val="21"/>
        </w:rPr>
        <w:t>履约保证金：</w:t>
      </w:r>
    </w:p>
    <w:p w14:paraId="05C2E50F">
      <w:pPr>
        <w:numPr>
          <w:ilvl w:val="0"/>
          <w:numId w:val="0"/>
        </w:numPr>
        <w:tabs>
          <w:tab w:val="left" w:pos="360"/>
        </w:tabs>
        <w:adjustRightInd w:val="0"/>
        <w:snapToGrid w:val="0"/>
        <w:rPr>
          <w:rFonts w:hint="eastAsia" w:asciiTheme="minorEastAsia" w:hAnsiTheme="minorEastAsia" w:eastAsiaTheme="minorEastAsia" w:cstheme="minorEastAsia"/>
          <w:kern w:val="0"/>
          <w:sz w:val="22"/>
          <w:szCs w:val="22"/>
        </w:rPr>
      </w:pPr>
      <w:r>
        <w:rPr>
          <w:rFonts w:hint="eastAsia" w:ascii="宋体" w:hAnsi="宋体" w:eastAsia="宋体" w:cs="宋体"/>
          <w:szCs w:val="21"/>
          <w:lang w:val="en-US" w:eastAsia="zh-CN"/>
        </w:rPr>
        <w:t xml:space="preserve">4.1 </w:t>
      </w:r>
      <w:r>
        <w:rPr>
          <w:rFonts w:hint="eastAsia" w:asciiTheme="minorEastAsia" w:hAnsiTheme="minorEastAsia" w:eastAsiaTheme="minorEastAsia" w:cstheme="minorEastAsia"/>
          <w:kern w:val="0"/>
          <w:sz w:val="22"/>
          <w:szCs w:val="22"/>
        </w:rPr>
        <w:t>拟签订的合同文本要求中标供应商提交履约保证金的，供应商应当以支票、汇票、本票或者金融机构、担保机构出具的保函等非现金形式提交</w:t>
      </w:r>
      <w:r>
        <w:rPr>
          <w:rFonts w:hint="eastAsia" w:asciiTheme="minorEastAsia" w:hAnsiTheme="minorEastAsia" w:eastAsiaTheme="minorEastAsia" w:cstheme="minorEastAsia"/>
          <w:sz w:val="22"/>
          <w:szCs w:val="22"/>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w:t>
      </w:r>
      <w:r>
        <w:rPr>
          <w:rFonts w:hint="eastAsia" w:asciiTheme="minorEastAsia" w:hAnsiTheme="minorEastAsia" w:eastAsiaTheme="minorEastAsia" w:cstheme="minorEastAsia"/>
          <w:kern w:val="0"/>
          <w:sz w:val="22"/>
          <w:szCs w:val="22"/>
        </w:rPr>
        <w:t>和法律规定承担相应的赔偿责任。</w:t>
      </w:r>
    </w:p>
    <w:p w14:paraId="461E3E33">
      <w:pPr>
        <w:numPr>
          <w:ilvl w:val="0"/>
          <w:numId w:val="0"/>
        </w:numPr>
        <w:tabs>
          <w:tab w:val="left" w:pos="360"/>
        </w:tabs>
        <w:adjustRightInd w:val="0"/>
        <w:snapToGrid w:val="0"/>
        <w:ind w:firstLine="220" w:firstLineChars="100"/>
        <w:rPr>
          <w:rFonts w:hint="eastAsia" w:ascii="宋体" w:hAnsi="宋体" w:eastAsia="宋体" w:cs="宋体"/>
          <w:kern w:val="0"/>
          <w:szCs w:val="21"/>
        </w:rPr>
      </w:pPr>
      <w:r>
        <w:rPr>
          <w:rFonts w:hint="eastAsia" w:asciiTheme="minorEastAsia" w:hAnsiTheme="minorEastAsia" w:eastAsiaTheme="minorEastAsia" w:cstheme="minorEastAsia"/>
          <w:kern w:val="0"/>
          <w:sz w:val="22"/>
          <w:szCs w:val="22"/>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6E362F06">
      <w:pPr>
        <w:spacing w:line="400" w:lineRule="exact"/>
        <w:rPr>
          <w:rFonts w:hint="eastAsia" w:asciiTheme="minorEastAsia" w:hAnsiTheme="minorEastAsia" w:eastAsiaTheme="minorEastAsia" w:cstheme="minorEastAsia"/>
          <w:b/>
          <w:snapToGrid w:val="0"/>
          <w:kern w:val="28"/>
          <w:sz w:val="22"/>
          <w:szCs w:val="22"/>
        </w:rPr>
      </w:pPr>
      <w:r>
        <w:rPr>
          <w:rFonts w:hint="eastAsia" w:ascii="宋体" w:hAnsi="宋体" w:eastAsia="宋体" w:cs="宋体"/>
          <w:bCs/>
          <w:szCs w:val="21"/>
          <w:lang w:val="en-US" w:eastAsia="zh-CN"/>
        </w:rPr>
        <w:t>5、</w:t>
      </w:r>
      <w:r>
        <w:rPr>
          <w:rFonts w:hint="eastAsia" w:asciiTheme="minorEastAsia" w:hAnsiTheme="minorEastAsia" w:eastAsiaTheme="minorEastAsia" w:cstheme="minorEastAsia"/>
          <w:b/>
          <w:snapToGrid w:val="0"/>
          <w:kern w:val="28"/>
          <w:sz w:val="22"/>
          <w:szCs w:val="22"/>
        </w:rPr>
        <w:t>预付款</w:t>
      </w:r>
    </w:p>
    <w:p w14:paraId="394503C9">
      <w:pPr>
        <w:numPr>
          <w:ilvl w:val="0"/>
          <w:numId w:val="0"/>
        </w:numPr>
        <w:tabs>
          <w:tab w:val="left" w:pos="360"/>
        </w:tabs>
        <w:adjustRightInd w:val="0"/>
        <w:snapToGrid w:val="0"/>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采购人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人可不适用前述规定。采购人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r>
        <w:rPr>
          <w:rFonts w:hint="eastAsia" w:asciiTheme="minorEastAsia" w:hAnsiTheme="minorEastAsia" w:eastAsiaTheme="minorEastAsia" w:cstheme="minorEastAsia"/>
          <w:sz w:val="22"/>
          <w:szCs w:val="22"/>
          <w:lang w:eastAsia="zh-CN"/>
        </w:rPr>
        <w:t>。</w:t>
      </w:r>
    </w:p>
    <w:p w14:paraId="612CEDC5">
      <w:pPr>
        <w:numPr>
          <w:ilvl w:val="0"/>
          <w:numId w:val="0"/>
        </w:numPr>
        <w:tabs>
          <w:tab w:val="left" w:pos="360"/>
        </w:tabs>
        <w:adjustRightInd w:val="0"/>
        <w:snapToGrid w:val="0"/>
        <w:rPr>
          <w:rFonts w:hint="eastAsia" w:ascii="宋体" w:hAnsi="宋体" w:eastAsia="宋体" w:cs="宋体"/>
          <w:bCs/>
          <w:szCs w:val="21"/>
        </w:rPr>
      </w:pPr>
      <w:r>
        <w:rPr>
          <w:rFonts w:hint="eastAsia" w:ascii="宋体" w:hAnsi="宋体" w:eastAsia="宋体" w:cs="宋体"/>
          <w:bCs/>
          <w:szCs w:val="21"/>
          <w:lang w:val="en-US" w:eastAsia="zh-CN"/>
        </w:rPr>
        <w:t>5、</w:t>
      </w:r>
      <w:r>
        <w:rPr>
          <w:rFonts w:hint="eastAsia" w:ascii="宋体" w:hAnsi="宋体" w:eastAsia="宋体" w:cs="宋体"/>
          <w:bCs/>
          <w:szCs w:val="21"/>
        </w:rPr>
        <w:t>代理服务费：本项目采购代理服务费按</w:t>
      </w:r>
      <w:r>
        <w:rPr>
          <w:rFonts w:hint="eastAsia" w:ascii="宋体" w:hAnsi="宋体" w:eastAsia="宋体" w:cs="宋体"/>
          <w:bCs/>
          <w:szCs w:val="21"/>
          <w:lang w:val="en-US" w:eastAsia="zh-CN"/>
        </w:rPr>
        <w:t>以下金额进行收费：标段1按</w:t>
      </w:r>
      <w:r>
        <w:rPr>
          <w:rFonts w:hint="eastAsia" w:ascii="宋体" w:hAnsi="宋体" w:eastAsia="宋体" w:cs="宋体"/>
          <w:bCs/>
          <w:szCs w:val="21"/>
        </w:rPr>
        <w:t>固定金额人民币</w:t>
      </w:r>
      <w:r>
        <w:rPr>
          <w:rFonts w:hint="eastAsia" w:ascii="宋体" w:hAnsi="宋体" w:eastAsia="宋体" w:cs="宋体"/>
          <w:bCs/>
          <w:szCs w:val="21"/>
          <w:lang w:val="en-US" w:eastAsia="zh-CN"/>
        </w:rPr>
        <w:t>捌</w:t>
      </w:r>
      <w:r>
        <w:rPr>
          <w:rFonts w:hint="eastAsia" w:ascii="宋体" w:hAnsi="宋体" w:eastAsia="宋体" w:cs="宋体"/>
          <w:bCs/>
          <w:szCs w:val="21"/>
        </w:rPr>
        <w:t>仟</w:t>
      </w:r>
      <w:r>
        <w:rPr>
          <w:rFonts w:hint="eastAsia" w:ascii="宋体" w:hAnsi="宋体" w:eastAsia="宋体" w:cs="宋体"/>
          <w:bCs/>
          <w:szCs w:val="21"/>
          <w:lang w:val="en-US" w:eastAsia="zh-CN"/>
        </w:rPr>
        <w:t>捌佰</w:t>
      </w:r>
      <w:r>
        <w:rPr>
          <w:rFonts w:hint="eastAsia" w:ascii="宋体" w:hAnsi="宋体" w:eastAsia="宋体" w:cs="宋体"/>
          <w:bCs/>
          <w:szCs w:val="21"/>
        </w:rPr>
        <w:t>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标段2按</w:t>
      </w:r>
      <w:r>
        <w:rPr>
          <w:rFonts w:hint="eastAsia" w:ascii="宋体" w:hAnsi="宋体" w:eastAsia="宋体" w:cs="宋体"/>
          <w:bCs/>
          <w:szCs w:val="21"/>
        </w:rPr>
        <w:t>固定金额人民币</w:t>
      </w:r>
      <w:r>
        <w:rPr>
          <w:rFonts w:hint="eastAsia" w:ascii="宋体" w:hAnsi="宋体" w:eastAsia="宋体" w:cs="宋体"/>
          <w:bCs/>
          <w:szCs w:val="21"/>
          <w:lang w:val="en-US" w:eastAsia="zh-CN"/>
        </w:rPr>
        <w:t>捌</w:t>
      </w:r>
      <w:r>
        <w:rPr>
          <w:rFonts w:hint="eastAsia" w:ascii="宋体" w:hAnsi="宋体" w:eastAsia="宋体" w:cs="宋体"/>
          <w:bCs/>
          <w:szCs w:val="21"/>
        </w:rPr>
        <w:t>仟</w:t>
      </w:r>
      <w:r>
        <w:rPr>
          <w:rFonts w:hint="eastAsia" w:ascii="宋体" w:hAnsi="宋体" w:eastAsia="宋体" w:cs="宋体"/>
          <w:bCs/>
          <w:szCs w:val="21"/>
          <w:lang w:val="en-US" w:eastAsia="zh-CN"/>
        </w:rPr>
        <w:t>捌佰</w:t>
      </w:r>
      <w:r>
        <w:rPr>
          <w:rFonts w:hint="eastAsia" w:ascii="宋体" w:hAnsi="宋体" w:eastAsia="宋体" w:cs="宋体"/>
          <w:bCs/>
          <w:szCs w:val="21"/>
        </w:rPr>
        <w:t>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标段3按</w:t>
      </w:r>
      <w:r>
        <w:rPr>
          <w:rFonts w:hint="eastAsia" w:ascii="宋体" w:hAnsi="宋体" w:eastAsia="宋体" w:cs="宋体"/>
          <w:bCs/>
          <w:szCs w:val="21"/>
        </w:rPr>
        <w:t>固定金额人民币</w:t>
      </w:r>
      <w:r>
        <w:rPr>
          <w:rFonts w:hint="eastAsia" w:ascii="宋体" w:hAnsi="宋体" w:eastAsia="宋体" w:cs="宋体"/>
          <w:bCs/>
          <w:szCs w:val="21"/>
          <w:lang w:val="en-US" w:eastAsia="zh-CN"/>
        </w:rPr>
        <w:t>肆</w:t>
      </w:r>
      <w:r>
        <w:rPr>
          <w:rFonts w:hint="eastAsia" w:ascii="宋体" w:hAnsi="宋体" w:eastAsia="宋体" w:cs="宋体"/>
          <w:bCs/>
          <w:szCs w:val="21"/>
        </w:rPr>
        <w:t>仟</w:t>
      </w:r>
      <w:r>
        <w:rPr>
          <w:rFonts w:hint="eastAsia" w:ascii="宋体" w:hAnsi="宋体" w:eastAsia="宋体" w:cs="宋体"/>
          <w:bCs/>
          <w:szCs w:val="21"/>
          <w:lang w:val="en-US" w:eastAsia="zh-CN"/>
        </w:rPr>
        <w:t>捌佰壹拾捌</w:t>
      </w:r>
      <w:r>
        <w:rPr>
          <w:rFonts w:hint="eastAsia" w:ascii="宋体" w:hAnsi="宋体" w:eastAsia="宋体" w:cs="宋体"/>
          <w:bCs/>
          <w:szCs w:val="21"/>
        </w:rPr>
        <w:t>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标段4按</w:t>
      </w:r>
      <w:r>
        <w:rPr>
          <w:rFonts w:hint="eastAsia" w:ascii="宋体" w:hAnsi="宋体" w:eastAsia="宋体" w:cs="宋体"/>
          <w:bCs/>
          <w:szCs w:val="21"/>
        </w:rPr>
        <w:t>固定金额人民币</w:t>
      </w:r>
      <w:r>
        <w:rPr>
          <w:rFonts w:hint="eastAsia" w:ascii="宋体" w:hAnsi="宋体" w:eastAsia="宋体" w:cs="宋体"/>
          <w:bCs/>
          <w:szCs w:val="21"/>
          <w:lang w:val="en-US" w:eastAsia="zh-CN"/>
        </w:rPr>
        <w:t>伍</w:t>
      </w:r>
      <w:r>
        <w:rPr>
          <w:rFonts w:hint="eastAsia" w:ascii="宋体" w:hAnsi="宋体" w:eastAsia="宋体" w:cs="宋体"/>
          <w:bCs/>
          <w:szCs w:val="21"/>
        </w:rPr>
        <w:t>仟</w:t>
      </w:r>
      <w:r>
        <w:rPr>
          <w:rFonts w:hint="eastAsia" w:ascii="宋体" w:hAnsi="宋体" w:eastAsia="宋体" w:cs="宋体"/>
          <w:bCs/>
          <w:szCs w:val="21"/>
          <w:lang w:val="en-US" w:eastAsia="zh-CN"/>
        </w:rPr>
        <w:t>壹佰捌拾捌</w:t>
      </w:r>
      <w:r>
        <w:rPr>
          <w:rFonts w:hint="eastAsia" w:ascii="宋体" w:hAnsi="宋体" w:eastAsia="宋体" w:cs="宋体"/>
          <w:bCs/>
          <w:szCs w:val="21"/>
        </w:rPr>
        <w:t>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以上</w:t>
      </w:r>
      <w:r>
        <w:rPr>
          <w:rFonts w:hint="eastAsia" w:ascii="宋体" w:hAnsi="宋体" w:eastAsia="宋体" w:cs="宋体"/>
          <w:bCs/>
          <w:szCs w:val="21"/>
        </w:rPr>
        <w:t>费用由</w:t>
      </w:r>
      <w:r>
        <w:rPr>
          <w:rFonts w:hint="eastAsia" w:ascii="宋体" w:hAnsi="宋体" w:eastAsia="宋体" w:cs="宋体"/>
          <w:bCs/>
          <w:szCs w:val="21"/>
          <w:lang w:val="en-US" w:eastAsia="zh-CN"/>
        </w:rPr>
        <w:t>每个标段的</w:t>
      </w:r>
      <w:r>
        <w:rPr>
          <w:rFonts w:hint="eastAsia" w:ascii="宋体" w:hAnsi="宋体" w:eastAsia="宋体" w:cs="宋体"/>
          <w:bCs/>
          <w:szCs w:val="21"/>
        </w:rPr>
        <w:t>中标单位在领取中标通知书时一次性支付给代理机构，否则通知书不予发放。</w:t>
      </w:r>
    </w:p>
    <w:p w14:paraId="156825F1">
      <w:pPr>
        <w:pStyle w:val="3"/>
        <w:bidi w:val="0"/>
        <w:rPr>
          <w:rFonts w:hint="eastAsia"/>
        </w:rPr>
      </w:pPr>
      <w:bookmarkStart w:id="34" w:name="_Toc2325"/>
      <w:r>
        <w:rPr>
          <w:rFonts w:hint="eastAsia"/>
          <w:lang w:val="en-US" w:eastAsia="zh-CN"/>
        </w:rPr>
        <w:t>七</w:t>
      </w:r>
      <w:r>
        <w:rPr>
          <w:rFonts w:hint="eastAsia"/>
        </w:rPr>
        <w:t>、电子交易活动的中止</w:t>
      </w:r>
      <w:bookmarkEnd w:id="34"/>
    </w:p>
    <w:p w14:paraId="57845CED">
      <w:pPr>
        <w:pStyle w:val="56"/>
        <w:snapToGrid w:val="0"/>
        <w:spacing w:before="0" w:line="400" w:lineRule="exact"/>
        <w:ind w:firstLine="44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napToGrid w:val="0"/>
          <w:kern w:val="28"/>
          <w:sz w:val="22"/>
          <w:szCs w:val="22"/>
          <w:lang w:val="en-US" w:eastAsia="zh-CN"/>
        </w:rPr>
        <w:t>1</w:t>
      </w:r>
      <w:r>
        <w:rPr>
          <w:rFonts w:hint="eastAsia" w:asciiTheme="minorEastAsia" w:hAnsiTheme="minorEastAsia" w:eastAsiaTheme="minorEastAsia" w:cstheme="minorEastAsia"/>
          <w:b/>
          <w:snapToGrid w:val="0"/>
          <w:kern w:val="28"/>
          <w:sz w:val="22"/>
          <w:szCs w:val="22"/>
        </w:rPr>
        <w:t>.</w:t>
      </w:r>
      <w:r>
        <w:rPr>
          <w:rFonts w:hint="eastAsia" w:asciiTheme="minorEastAsia" w:hAnsiTheme="minorEastAsia" w:eastAsiaTheme="minorEastAsia" w:cstheme="minorEastAsia"/>
          <w:bCs/>
          <w:snapToGrid w:val="0"/>
          <w:kern w:val="28"/>
          <w:sz w:val="22"/>
          <w:szCs w:val="22"/>
        </w:rPr>
        <w:t>电子交易活动的中止。采购过程中出现以下情形，导致电子交易平台无法正常运行，</w:t>
      </w:r>
      <w:r>
        <w:rPr>
          <w:rFonts w:hint="eastAsia" w:asciiTheme="minorEastAsia" w:hAnsiTheme="minorEastAsia" w:eastAsiaTheme="minorEastAsia" w:cstheme="minorEastAsia"/>
          <w:sz w:val="22"/>
          <w:szCs w:val="22"/>
        </w:rPr>
        <w:t>或者无法保证电子交易的公平、公正和安全时，采购代理机构可中止电子交易活动：</w:t>
      </w:r>
    </w:p>
    <w:p w14:paraId="0BEDC9CA">
      <w:pPr>
        <w:pStyle w:val="56"/>
        <w:snapToGrid w:val="0"/>
        <w:spacing w:before="0" w:line="400" w:lineRule="exact"/>
        <w:ind w:firstLine="44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 xml:space="preserve">.1电子交易平台发生故障而无法登录访问的； </w:t>
      </w:r>
    </w:p>
    <w:p w14:paraId="3C630E1E">
      <w:pPr>
        <w:pStyle w:val="56"/>
        <w:snapToGrid w:val="0"/>
        <w:spacing w:before="0" w:line="400" w:lineRule="exact"/>
        <w:ind w:firstLine="44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.2电子交易平台应用或数据库出现错误，不能进行正常操作的；</w:t>
      </w:r>
    </w:p>
    <w:p w14:paraId="3F217688">
      <w:pPr>
        <w:pStyle w:val="56"/>
        <w:snapToGrid w:val="0"/>
        <w:spacing w:before="0" w:line="400" w:lineRule="exact"/>
        <w:ind w:firstLine="44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.3电子交易平台发现严重安全漏洞，有潜在泄密危险的；</w:t>
      </w:r>
    </w:p>
    <w:p w14:paraId="01CD0CE3">
      <w:pPr>
        <w:pStyle w:val="56"/>
        <w:snapToGrid w:val="0"/>
        <w:spacing w:before="0" w:line="400" w:lineRule="exact"/>
        <w:ind w:firstLine="44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 xml:space="preserve">.4病毒发作导致不能进行正常操作的； </w:t>
      </w:r>
    </w:p>
    <w:p w14:paraId="32740CE6">
      <w:pPr>
        <w:pStyle w:val="56"/>
        <w:snapToGrid w:val="0"/>
        <w:spacing w:before="0" w:line="400" w:lineRule="exact"/>
        <w:ind w:firstLine="44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.5其他无法保证电子交易的公平、公正和安全的情况。</w:t>
      </w:r>
    </w:p>
    <w:p w14:paraId="291FA262">
      <w:pPr>
        <w:spacing w:line="400" w:lineRule="exact"/>
        <w:ind w:firstLine="442" w:firstLineChars="200"/>
        <w:rPr>
          <w:rFonts w:hint="eastAsia" w:asciiTheme="minorEastAsia" w:hAnsiTheme="minorEastAsia" w:eastAsiaTheme="minorEastAsia" w:cstheme="minorEastAsia"/>
          <w:b/>
          <w:snapToGrid w:val="0"/>
          <w:kern w:val="28"/>
          <w:sz w:val="22"/>
          <w:szCs w:val="22"/>
        </w:rPr>
      </w:pPr>
      <w:r>
        <w:rPr>
          <w:rFonts w:hint="eastAsia" w:asciiTheme="minorEastAsia" w:hAnsiTheme="minorEastAsia" w:eastAsiaTheme="minorEastAsia" w:cstheme="minorEastAsia"/>
          <w:b/>
          <w:snapToGrid w:val="0"/>
          <w:kern w:val="28"/>
          <w:sz w:val="22"/>
          <w:szCs w:val="22"/>
          <w:lang w:val="en-US" w:eastAsia="zh-CN"/>
        </w:rPr>
        <w:t>2</w:t>
      </w:r>
      <w:r>
        <w:rPr>
          <w:rFonts w:hint="eastAsia" w:asciiTheme="minorEastAsia" w:hAnsiTheme="minorEastAsia" w:eastAsiaTheme="minorEastAsia" w:cstheme="minorEastAsia"/>
          <w:b/>
          <w:snapToGrid w:val="0"/>
          <w:kern w:val="28"/>
          <w:sz w:val="22"/>
          <w:szCs w:val="22"/>
        </w:rPr>
        <w:t>.出现以上情形，不影响采购公平、公正性的，采购组织机构可以待上述情形消除后继续组织电子交易活动，也可以决定某些环节以纸质形式进行；影响或可能影响采购公平、公正性的，应当重新采购。</w:t>
      </w:r>
    </w:p>
    <w:p w14:paraId="3DA55761">
      <w:pPr>
        <w:pStyle w:val="3"/>
        <w:bidi w:val="0"/>
        <w:rPr>
          <w:rFonts w:hint="eastAsia"/>
        </w:rPr>
      </w:pPr>
      <w:bookmarkStart w:id="35" w:name="_Toc4895"/>
      <w:r>
        <w:rPr>
          <w:rFonts w:hint="eastAsia"/>
          <w:lang w:val="en-US" w:eastAsia="zh-CN"/>
        </w:rPr>
        <w:t>八</w:t>
      </w:r>
      <w:r>
        <w:rPr>
          <w:rFonts w:hint="eastAsia"/>
        </w:rPr>
        <w:t>、验收</w:t>
      </w:r>
      <w:bookmarkEnd w:id="35"/>
    </w:p>
    <w:p w14:paraId="0B15EC8C">
      <w:pPr>
        <w:spacing w:line="400" w:lineRule="exact"/>
        <w:ind w:firstLine="422" w:firstLineChars="200"/>
        <w:rPr>
          <w:rFonts w:hint="eastAsia" w:asciiTheme="minorEastAsia" w:hAnsiTheme="minorEastAsia" w:eastAsiaTheme="minorEastAsia" w:cstheme="minorEastAsia"/>
          <w:b/>
          <w:snapToGrid w:val="0"/>
          <w:kern w:val="28"/>
          <w:sz w:val="21"/>
          <w:szCs w:val="21"/>
        </w:rPr>
      </w:pPr>
      <w:r>
        <w:rPr>
          <w:rFonts w:hint="eastAsia" w:asciiTheme="minorEastAsia" w:hAnsiTheme="minorEastAsia" w:eastAsiaTheme="minorEastAsia" w:cstheme="minorEastAsia"/>
          <w:b/>
          <w:snapToGrid w:val="0"/>
          <w:kern w:val="28"/>
          <w:sz w:val="21"/>
          <w:szCs w:val="21"/>
          <w:lang w:val="en-US" w:eastAsia="zh-CN"/>
        </w:rPr>
        <w:t>1</w:t>
      </w:r>
      <w:r>
        <w:rPr>
          <w:rFonts w:hint="eastAsia" w:asciiTheme="minorEastAsia" w:hAnsiTheme="minorEastAsia" w:eastAsiaTheme="minorEastAsia" w:cstheme="minorEastAsia"/>
          <w:b/>
          <w:snapToGrid w:val="0"/>
          <w:kern w:val="28"/>
          <w:sz w:val="21"/>
          <w:szCs w:val="21"/>
        </w:rPr>
        <w:t>.验收</w:t>
      </w:r>
    </w:p>
    <w:p w14:paraId="63207533">
      <w:pPr>
        <w:tabs>
          <w:tab w:val="left" w:pos="0"/>
        </w:tabs>
        <w:spacing w:line="400" w:lineRule="exact"/>
        <w:ind w:firstLine="48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F3D0429">
      <w:pPr>
        <w:tabs>
          <w:tab w:val="left" w:pos="0"/>
        </w:tabs>
        <w:spacing w:line="400" w:lineRule="exact"/>
        <w:ind w:firstLine="48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.2采购人可以邀请参加本项目的其他投标人或者第三方机构参与验收。参与验收的投标人或者第三方机构的意见作为验收书的参考资料一并存档。</w:t>
      </w:r>
    </w:p>
    <w:p w14:paraId="12D5828C">
      <w:pPr>
        <w:tabs>
          <w:tab w:val="left" w:pos="0"/>
        </w:tabs>
        <w:spacing w:line="400" w:lineRule="exact"/>
        <w:ind w:firstLine="48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3FDECD5">
      <w:pPr>
        <w:tabs>
          <w:tab w:val="left" w:pos="0"/>
        </w:tabs>
        <w:spacing w:line="400" w:lineRule="exact"/>
        <w:ind w:firstLine="48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36" w:name="_Hlt68057669"/>
      <w:bookmarkEnd w:id="36"/>
      <w:bookmarkStart w:id="37" w:name="_Hlt68403820"/>
      <w:bookmarkEnd w:id="37"/>
      <w:bookmarkStart w:id="38" w:name="_Hlt68073093"/>
      <w:bookmarkEnd w:id="38"/>
      <w:bookmarkStart w:id="39" w:name="_Hlt75236011"/>
      <w:bookmarkEnd w:id="39"/>
      <w:bookmarkStart w:id="40" w:name="_Hlt68072990"/>
      <w:bookmarkEnd w:id="40"/>
      <w:bookmarkStart w:id="41" w:name="_Hlt74714665"/>
      <w:bookmarkEnd w:id="41"/>
      <w:bookmarkStart w:id="42" w:name="_Hlt74707468"/>
      <w:bookmarkEnd w:id="42"/>
      <w:bookmarkStart w:id="43" w:name="_Hlt74730295"/>
      <w:bookmarkEnd w:id="43"/>
      <w:bookmarkStart w:id="44" w:name="_Hlt68072998"/>
      <w:bookmarkEnd w:id="44"/>
      <w:bookmarkStart w:id="45" w:name="_Hlt75236290"/>
      <w:bookmarkEnd w:id="45"/>
      <w:bookmarkStart w:id="46" w:name="_Hlt75236101"/>
      <w:bookmarkEnd w:id="46"/>
      <w:bookmarkStart w:id="47" w:name="_Hlt74729768"/>
      <w:bookmarkEnd w:id="47"/>
    </w:p>
    <w:p w14:paraId="5F737527">
      <w:pPr>
        <w:tabs>
          <w:tab w:val="left" w:pos="0"/>
        </w:tabs>
        <w:spacing w:line="400" w:lineRule="exact"/>
        <w:ind w:firstLine="48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79874FEB">
      <w:pPr>
        <w:tabs>
          <w:tab w:val="left" w:pos="0"/>
        </w:tabs>
        <w:spacing w:line="400" w:lineRule="exact"/>
        <w:ind w:firstLine="480"/>
        <w:rPr>
          <w:rFonts w:hint="eastAsia" w:eastAsia="宋体" w:asciiTheme="minorEastAsia" w:hAnsiTheme="minorEastAsia" w:cstheme="minorEastAsia"/>
          <w:kern w:val="0"/>
          <w:sz w:val="21"/>
          <w:szCs w:val="21"/>
          <w:lang w:val="en-US" w:eastAsia="zh-CN"/>
        </w:rPr>
      </w:pPr>
      <w:r>
        <w:rPr>
          <w:rFonts w:hint="eastAsia" w:ascii="宋体" w:hAnsi="宋体" w:eastAsia="宋体" w:cs="宋体"/>
          <w:bCs/>
          <w:szCs w:val="21"/>
          <w:lang w:val="en-US" w:eastAsia="zh-CN"/>
        </w:rPr>
        <w:t>2</w:t>
      </w:r>
      <w:r>
        <w:rPr>
          <w:rFonts w:hint="eastAsia" w:ascii="宋体" w:hAnsi="宋体" w:eastAsia="宋体" w:cs="宋体"/>
          <w:szCs w:val="21"/>
        </w:rPr>
        <w:t>.履约验收代理服务费：如采购人委托代理机构协助进行履约验收的，则费用</w:t>
      </w:r>
      <w:r>
        <w:rPr>
          <w:rFonts w:hint="eastAsia" w:ascii="宋体" w:hAnsi="宋体" w:eastAsia="宋体" w:cs="宋体"/>
          <w:bCs/>
          <w:szCs w:val="21"/>
        </w:rPr>
        <w:t>按</w:t>
      </w:r>
      <w:r>
        <w:rPr>
          <w:rFonts w:hint="eastAsia" w:ascii="宋体" w:hAnsi="宋体" w:eastAsia="宋体" w:cs="宋体"/>
          <w:bCs/>
          <w:szCs w:val="21"/>
          <w:lang w:val="en-US" w:eastAsia="zh-CN"/>
        </w:rPr>
        <w:t>以下金额进行收费：标段1按</w:t>
      </w:r>
      <w:r>
        <w:rPr>
          <w:rFonts w:hint="eastAsia" w:ascii="宋体" w:hAnsi="宋体" w:eastAsia="宋体" w:cs="宋体"/>
          <w:bCs/>
          <w:szCs w:val="21"/>
        </w:rPr>
        <w:t>固定金额人民币</w:t>
      </w:r>
      <w:r>
        <w:rPr>
          <w:rFonts w:hint="eastAsia" w:ascii="宋体" w:hAnsi="宋体" w:eastAsia="宋体" w:cs="宋体"/>
          <w:bCs/>
          <w:szCs w:val="21"/>
          <w:lang w:val="en-US" w:eastAsia="zh-CN"/>
        </w:rPr>
        <w:t>壹万</w:t>
      </w:r>
      <w:r>
        <w:rPr>
          <w:rFonts w:hint="eastAsia" w:ascii="宋体" w:hAnsi="宋体" w:eastAsia="宋体" w:cs="宋体"/>
          <w:bCs/>
          <w:szCs w:val="21"/>
        </w:rPr>
        <w:t>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标段2按</w:t>
      </w:r>
      <w:r>
        <w:rPr>
          <w:rFonts w:hint="eastAsia" w:ascii="宋体" w:hAnsi="宋体" w:eastAsia="宋体" w:cs="宋体"/>
          <w:bCs/>
          <w:szCs w:val="21"/>
        </w:rPr>
        <w:t>固定金额人民币</w:t>
      </w:r>
      <w:r>
        <w:rPr>
          <w:rFonts w:hint="eastAsia" w:ascii="宋体" w:hAnsi="宋体" w:eastAsia="宋体" w:cs="宋体"/>
          <w:bCs/>
          <w:szCs w:val="21"/>
          <w:lang w:val="en-US" w:eastAsia="zh-CN"/>
        </w:rPr>
        <w:t>壹万</w:t>
      </w:r>
      <w:r>
        <w:rPr>
          <w:rFonts w:hint="eastAsia" w:ascii="宋体" w:hAnsi="宋体" w:eastAsia="宋体" w:cs="宋体"/>
          <w:bCs/>
          <w:szCs w:val="21"/>
        </w:rPr>
        <w:t>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标段3按</w:t>
      </w:r>
      <w:r>
        <w:rPr>
          <w:rFonts w:hint="eastAsia" w:ascii="宋体" w:hAnsi="宋体" w:eastAsia="宋体" w:cs="宋体"/>
          <w:bCs/>
          <w:szCs w:val="21"/>
        </w:rPr>
        <w:t>固定金额人民币</w:t>
      </w:r>
      <w:r>
        <w:rPr>
          <w:rFonts w:hint="eastAsia" w:ascii="宋体" w:hAnsi="宋体" w:eastAsia="宋体" w:cs="宋体"/>
          <w:bCs/>
          <w:szCs w:val="21"/>
          <w:lang w:val="en-US" w:eastAsia="zh-CN"/>
        </w:rPr>
        <w:t>捌</w:t>
      </w:r>
      <w:r>
        <w:rPr>
          <w:rFonts w:hint="eastAsia" w:ascii="宋体" w:hAnsi="宋体" w:eastAsia="宋体" w:cs="宋体"/>
          <w:bCs/>
          <w:szCs w:val="21"/>
        </w:rPr>
        <w:t>仟元整计取</w:t>
      </w:r>
      <w:r>
        <w:rPr>
          <w:rFonts w:hint="eastAsia" w:ascii="宋体" w:hAnsi="宋体" w:eastAsia="宋体" w:cs="宋体"/>
          <w:bCs/>
          <w:szCs w:val="21"/>
          <w:lang w:eastAsia="zh-CN"/>
        </w:rPr>
        <w:t>；</w:t>
      </w:r>
      <w:r>
        <w:rPr>
          <w:rFonts w:hint="eastAsia" w:ascii="宋体" w:hAnsi="宋体" w:eastAsia="宋体" w:cs="宋体"/>
          <w:bCs/>
          <w:szCs w:val="21"/>
          <w:lang w:val="en-US" w:eastAsia="zh-CN"/>
        </w:rPr>
        <w:t>标段4按</w:t>
      </w:r>
      <w:r>
        <w:rPr>
          <w:rFonts w:hint="eastAsia" w:ascii="宋体" w:hAnsi="宋体" w:eastAsia="宋体" w:cs="宋体"/>
          <w:bCs/>
          <w:szCs w:val="21"/>
        </w:rPr>
        <w:t>固定金额人民币</w:t>
      </w:r>
      <w:r>
        <w:rPr>
          <w:rFonts w:hint="eastAsia" w:ascii="宋体" w:hAnsi="宋体" w:eastAsia="宋体" w:cs="宋体"/>
          <w:bCs/>
          <w:szCs w:val="21"/>
          <w:lang w:val="en-US" w:eastAsia="zh-CN"/>
        </w:rPr>
        <w:t>捌</w:t>
      </w:r>
      <w:r>
        <w:rPr>
          <w:rFonts w:hint="eastAsia" w:ascii="宋体" w:hAnsi="宋体" w:eastAsia="宋体" w:cs="宋体"/>
          <w:bCs/>
          <w:szCs w:val="21"/>
        </w:rPr>
        <w:t>仟元整计取</w:t>
      </w:r>
      <w:r>
        <w:rPr>
          <w:rFonts w:hint="eastAsia" w:ascii="宋体" w:hAnsi="宋体" w:eastAsia="宋体" w:cs="宋体"/>
          <w:szCs w:val="21"/>
        </w:rPr>
        <w:t>，由</w:t>
      </w:r>
      <w:r>
        <w:rPr>
          <w:rFonts w:hint="eastAsia" w:ascii="宋体" w:hAnsi="宋体" w:eastAsia="宋体" w:cs="宋体"/>
          <w:szCs w:val="21"/>
          <w:lang w:val="en-US" w:eastAsia="zh-CN"/>
        </w:rPr>
        <w:t>每个标段的</w:t>
      </w:r>
      <w:r>
        <w:rPr>
          <w:rFonts w:hint="eastAsia" w:ascii="宋体" w:hAnsi="宋体" w:eastAsia="宋体" w:cs="宋体"/>
          <w:szCs w:val="21"/>
        </w:rPr>
        <w:t>中标人在发布履约验收公告前支付给招标代理机构</w:t>
      </w:r>
      <w:r>
        <w:rPr>
          <w:rFonts w:hint="eastAsia" w:ascii="宋体" w:hAnsi="宋体" w:eastAsia="宋体" w:cs="宋体"/>
          <w:szCs w:val="21"/>
          <w:lang w:val="en-US" w:eastAsia="zh-CN"/>
        </w:rPr>
        <w:t>.</w:t>
      </w:r>
    </w:p>
    <w:p w14:paraId="6B6247D6">
      <w:pPr>
        <w:pStyle w:val="57"/>
        <w:spacing w:line="400" w:lineRule="exact"/>
        <w:ind w:firstLine="440"/>
        <w:rPr>
          <w:rFonts w:hint="eastAsia" w:asciiTheme="minorEastAsia" w:hAnsiTheme="minorEastAsia" w:eastAsiaTheme="minorEastAsia" w:cstheme="minorEastAsia"/>
          <w:sz w:val="22"/>
          <w:szCs w:val="22"/>
        </w:rPr>
        <w:sectPr>
          <w:pgSz w:w="11906" w:h="16838"/>
          <w:pgMar w:top="1440" w:right="1080" w:bottom="1440" w:left="1080" w:header="851" w:footer="992" w:gutter="0"/>
          <w:cols w:space="720" w:num="1"/>
          <w:titlePg/>
          <w:docGrid w:linePitch="312" w:charSpace="0"/>
        </w:sectPr>
      </w:pPr>
    </w:p>
    <w:p w14:paraId="46C61711">
      <w:pPr>
        <w:ind w:firstLine="0"/>
        <w:jc w:val="left"/>
        <w:rPr>
          <w:rFonts w:hint="eastAsia" w:ascii="宋体" w:hAnsi="宋体" w:eastAsia="宋体" w:cs="宋体"/>
        </w:rPr>
      </w:pPr>
      <w:bookmarkStart w:id="48" w:name="_Toc6336"/>
      <w:r>
        <w:rPr>
          <w:rStyle w:val="33"/>
          <w:rFonts w:hint="eastAsia" w:ascii="宋体" w:hAnsi="宋体" w:eastAsia="宋体" w:cs="宋体"/>
        </w:rPr>
        <w:t>第二部分  合同主要条款（标项1、标项2、标项3</w:t>
      </w:r>
      <w:r>
        <w:rPr>
          <w:rStyle w:val="33"/>
          <w:rFonts w:hint="eastAsia" w:ascii="宋体" w:hAnsi="宋体" w:eastAsia="宋体" w:cs="宋体"/>
          <w:lang w:eastAsia="zh-CN"/>
        </w:rPr>
        <w:t>、</w:t>
      </w:r>
      <w:r>
        <w:rPr>
          <w:rStyle w:val="33"/>
          <w:rFonts w:hint="eastAsia" w:ascii="宋体" w:hAnsi="宋体" w:eastAsia="宋体" w:cs="宋体"/>
          <w:lang w:val="en-US" w:eastAsia="zh-CN"/>
        </w:rPr>
        <w:t>标项4</w:t>
      </w:r>
      <w:r>
        <w:rPr>
          <w:rStyle w:val="33"/>
          <w:rFonts w:hint="eastAsia" w:ascii="宋体" w:hAnsi="宋体" w:eastAsia="宋体" w:cs="宋体"/>
        </w:rPr>
        <w:t>通用）</w:t>
      </w:r>
      <w:bookmarkEnd w:id="48"/>
    </w:p>
    <w:p w14:paraId="2B31279D">
      <w:pPr>
        <w:pStyle w:val="13"/>
        <w:snapToGrid w:val="0"/>
        <w:spacing w:line="360" w:lineRule="auto"/>
        <w:rPr>
          <w:rFonts w:hint="eastAsia" w:ascii="宋体" w:hAnsi="宋体" w:eastAsia="宋体" w:cs="宋体"/>
          <w:b/>
          <w:color w:val="000000"/>
          <w:sz w:val="21"/>
          <w:szCs w:val="21"/>
          <w:u w:val="wave"/>
        </w:rPr>
      </w:pPr>
      <w:r>
        <w:rPr>
          <w:rFonts w:hint="eastAsia" w:ascii="宋体" w:hAnsi="宋体" w:eastAsia="宋体" w:cs="宋体"/>
          <w:b/>
          <w:color w:val="000000"/>
          <w:sz w:val="21"/>
          <w:szCs w:val="21"/>
          <w:u w:val="wave"/>
        </w:rPr>
        <w:t>说明：如甲乙双方同意，合同格式也可以按照其他形式。</w:t>
      </w:r>
    </w:p>
    <w:p w14:paraId="5B0A7432">
      <w:pPr>
        <w:pStyle w:val="13"/>
        <w:snapToGrid w:val="0"/>
        <w:spacing w:line="360" w:lineRule="auto"/>
        <w:rPr>
          <w:rFonts w:hint="eastAsia" w:ascii="宋体" w:hAnsi="宋体" w:eastAsia="宋体" w:cs="宋体"/>
          <w:color w:val="000000"/>
          <w:sz w:val="21"/>
          <w:szCs w:val="21"/>
        </w:rPr>
      </w:pPr>
    </w:p>
    <w:p w14:paraId="56347706">
      <w:pPr>
        <w:spacing w:line="360" w:lineRule="auto"/>
        <w:jc w:val="center"/>
        <w:outlineLvl w:val="0"/>
        <w:rPr>
          <w:rFonts w:hint="default" w:ascii="宋体" w:hAnsi="宋体" w:eastAsia="宋体" w:cs="宋体"/>
          <w:b/>
          <w:bCs w:val="0"/>
          <w:i/>
          <w:iCs/>
          <w:color w:val="auto"/>
          <w:sz w:val="48"/>
          <w:szCs w:val="48"/>
          <w:highlight w:val="none"/>
          <w:u w:val="single"/>
          <w:lang w:val="en-US" w:eastAsia="zh-CN"/>
        </w:rPr>
      </w:pPr>
      <w:r>
        <w:rPr>
          <w:rFonts w:hint="eastAsia" w:ascii="宋体" w:hAnsi="宋体" w:eastAsia="宋体" w:cs="宋体"/>
          <w:b/>
          <w:color w:val="auto"/>
          <w:sz w:val="48"/>
          <w:szCs w:val="48"/>
          <w:highlight w:val="none"/>
          <w:lang w:val="en-US" w:eastAsia="zh-CN"/>
        </w:rPr>
        <w:t xml:space="preserve"> </w:t>
      </w:r>
      <w:r>
        <w:rPr>
          <w:rFonts w:hint="eastAsia" w:ascii="宋体" w:hAnsi="宋体" w:eastAsia="宋体" w:cs="宋体"/>
          <w:b/>
          <w:bCs w:val="0"/>
          <w:i/>
          <w:iCs/>
          <w:color w:val="auto"/>
          <w:sz w:val="48"/>
          <w:szCs w:val="48"/>
          <w:highlight w:val="none"/>
          <w:lang w:val="en-US" w:eastAsia="zh-CN"/>
        </w:rPr>
        <w:t xml:space="preserve"> </w:t>
      </w:r>
    </w:p>
    <w:p w14:paraId="6A8E2C13">
      <w:pPr>
        <w:pStyle w:val="10"/>
        <w:rPr>
          <w:rFonts w:hint="eastAsia" w:ascii="宋体" w:hAnsi="宋体" w:eastAsia="宋体" w:cs="宋体"/>
          <w:color w:val="auto"/>
          <w:highlight w:val="none"/>
        </w:rPr>
      </w:pPr>
    </w:p>
    <w:p w14:paraId="45D4006A">
      <w:pPr>
        <w:spacing w:line="360" w:lineRule="auto"/>
        <w:jc w:val="left"/>
        <w:rPr>
          <w:rFonts w:hint="eastAsia" w:ascii="宋体" w:hAnsi="宋体" w:eastAsia="宋体" w:cs="宋体"/>
          <w:color w:val="auto"/>
          <w:highlight w:val="none"/>
        </w:rPr>
      </w:pPr>
    </w:p>
    <w:p w14:paraId="6F7144CE">
      <w:pPr>
        <w:spacing w:line="360" w:lineRule="auto"/>
        <w:jc w:val="left"/>
        <w:rPr>
          <w:rFonts w:hint="eastAsia" w:ascii="宋体" w:hAnsi="宋体" w:eastAsia="宋体" w:cs="宋体"/>
          <w:color w:val="auto"/>
          <w:highlight w:val="none"/>
        </w:rPr>
      </w:pPr>
    </w:p>
    <w:p w14:paraId="187B6AF7">
      <w:pPr>
        <w:spacing w:line="360" w:lineRule="auto"/>
        <w:jc w:val="left"/>
        <w:rPr>
          <w:rFonts w:hint="eastAsia" w:ascii="宋体" w:hAnsi="宋体" w:eastAsia="宋体" w:cs="宋体"/>
          <w:color w:val="auto"/>
          <w:highlight w:val="none"/>
        </w:rPr>
      </w:pPr>
    </w:p>
    <w:p w14:paraId="2361F316">
      <w:pPr>
        <w:spacing w:line="360" w:lineRule="auto"/>
        <w:jc w:val="left"/>
        <w:rPr>
          <w:rFonts w:hint="eastAsia" w:ascii="宋体" w:hAnsi="宋体" w:eastAsia="宋体" w:cs="宋体"/>
          <w:color w:val="auto"/>
          <w:highlight w:val="none"/>
        </w:rPr>
      </w:pPr>
    </w:p>
    <w:p w14:paraId="44C816B4">
      <w:pPr>
        <w:keepNext w:val="0"/>
        <w:keepLines w:val="0"/>
        <w:pageBreakBefore w:val="0"/>
        <w:widowControl w:val="0"/>
        <w:numPr>
          <w:ilvl w:val="0"/>
          <w:numId w:val="0"/>
        </w:numPr>
        <w:kinsoku/>
        <w:wordWrap/>
        <w:overflowPunct/>
        <w:topLinePunct w:val="0"/>
        <w:autoSpaceDE w:val="0"/>
        <w:autoSpaceDN w:val="0"/>
        <w:bidi w:val="0"/>
        <w:adjustRightInd/>
        <w:snapToGrid/>
        <w:spacing w:before="480" w:beforeAutospacing="0" w:after="480" w:afterAutospacing="0" w:line="240" w:lineRule="auto"/>
        <w:ind w:left="0" w:leftChars="0" w:right="0" w:rightChars="0" w:firstLine="0" w:firstLine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采购合同（货物类）</w:t>
      </w:r>
    </w:p>
    <w:p w14:paraId="55053FEF">
      <w:pPr>
        <w:pStyle w:val="47"/>
        <w:keepNext w:val="0"/>
        <w:keepLines w:val="0"/>
        <w:pageBreakBefore w:val="0"/>
        <w:widowControl w:val="0"/>
        <w:numPr>
          <w:ilvl w:val="0"/>
          <w:numId w:val="0"/>
        </w:numPr>
        <w:kinsoku/>
        <w:wordWrap/>
        <w:overflowPunct/>
        <w:topLinePunct w:val="0"/>
        <w:autoSpaceDE w:val="0"/>
        <w:autoSpaceDN w:val="0"/>
        <w:bidi w:val="0"/>
        <w:adjustRightInd/>
        <w:snapToGrid/>
        <w:spacing w:before="100" w:beforeAutospacing="0" w:after="100" w:afterAutospacing="0" w:line="240" w:lineRule="auto"/>
        <w:ind w:left="0" w:leftChars="0" w:right="0" w:rightChars="0" w:firstLine="0" w:firstLineChars="0"/>
        <w:jc w:val="center"/>
        <w:textAlignment w:val="auto"/>
        <w:outlineLvl w:val="0"/>
        <w:rPr>
          <w:rFonts w:hint="eastAsia" w:ascii="宋体" w:hAnsi="宋体" w:eastAsia="宋体" w:cs="宋体"/>
          <w:b w:val="0"/>
          <w:color w:val="000000"/>
          <w:sz w:val="21"/>
          <w:szCs w:val="21"/>
          <w:highlight w:val="none"/>
        </w:rPr>
      </w:pPr>
      <w:bookmarkStart w:id="49" w:name="_Toc19986"/>
      <w:r>
        <w:rPr>
          <w:rFonts w:hint="eastAsia" w:ascii="宋体" w:hAnsi="宋体" w:eastAsia="宋体" w:cs="宋体"/>
          <w:b w:val="0"/>
          <w:color w:val="000000"/>
          <w:sz w:val="21"/>
          <w:szCs w:val="21"/>
          <w:highlight w:val="none"/>
        </w:rPr>
        <w:t>第一部分 合同书</w:t>
      </w:r>
      <w:bookmarkEnd w:id="49"/>
    </w:p>
    <w:p w14:paraId="2788348A">
      <w:pPr>
        <w:pStyle w:val="47"/>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p>
    <w:p w14:paraId="2100EBEC">
      <w:pPr>
        <w:pStyle w:val="47"/>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p>
    <w:p w14:paraId="316C18AC">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rPr>
      </w:pPr>
    </w:p>
    <w:p w14:paraId="63A3F211">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项目名称：</w:t>
      </w:r>
      <w:r>
        <w:rPr>
          <w:rFonts w:hint="eastAsia" w:ascii="宋体" w:hAnsi="宋体" w:eastAsia="宋体" w:cs="宋体"/>
          <w:color w:val="000000"/>
          <w:sz w:val="21"/>
          <w:szCs w:val="21"/>
          <w:highlight w:val="none"/>
          <w:u w:val="single"/>
        </w:rPr>
        <w:t xml:space="preserve">                                   </w:t>
      </w:r>
    </w:p>
    <w:p w14:paraId="368BED3D">
      <w:pPr>
        <w:pStyle w:val="48"/>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rPr>
      </w:pPr>
    </w:p>
    <w:p w14:paraId="41403CBE">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甲方：</w:t>
      </w:r>
      <w:r>
        <w:rPr>
          <w:rFonts w:hint="eastAsia" w:ascii="宋体" w:hAnsi="宋体" w:eastAsia="宋体" w:cs="宋体"/>
          <w:color w:val="000000"/>
          <w:sz w:val="21"/>
          <w:szCs w:val="21"/>
          <w:highlight w:val="none"/>
          <w:u w:val="single"/>
        </w:rPr>
        <w:t xml:space="preserve">                                       </w:t>
      </w:r>
    </w:p>
    <w:p w14:paraId="4C82A5F9">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rPr>
      </w:pPr>
    </w:p>
    <w:p w14:paraId="550DFCCD">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u w:val="single"/>
        </w:rPr>
        <w:t xml:space="preserve">                                       </w:t>
      </w:r>
    </w:p>
    <w:p w14:paraId="6B371326">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rPr>
      </w:pPr>
    </w:p>
    <w:p w14:paraId="704E92E5">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签订地：</w:t>
      </w:r>
      <w:r>
        <w:rPr>
          <w:rFonts w:hint="eastAsia" w:ascii="宋体" w:hAnsi="宋体" w:eastAsia="宋体" w:cs="宋体"/>
          <w:color w:val="000000"/>
          <w:sz w:val="21"/>
          <w:szCs w:val="21"/>
          <w:highlight w:val="none"/>
          <w:u w:val="single"/>
        </w:rPr>
        <w:t xml:space="preserve">                                     </w:t>
      </w:r>
    </w:p>
    <w:p w14:paraId="20DE9EB1">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rPr>
      </w:pPr>
    </w:p>
    <w:p w14:paraId="25E13265">
      <w:pPr>
        <w:numPr>
          <w:ilvl w:val="0"/>
          <w:numId w:val="0"/>
        </w:numPr>
        <w:autoSpaceDE/>
        <w:autoSpaceDN/>
        <w:snapToGrid/>
        <w:spacing w:before="0" w:beforeAutospacing="0" w:after="0" w:afterAutospacing="0" w:line="300" w:lineRule="auto"/>
        <w:ind w:left="0" w:leftChars="0" w:right="0" w:rightChars="0" w:firstLine="1050" w:firstLineChars="500"/>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签订日期：</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w:t>
      </w:r>
    </w:p>
    <w:p w14:paraId="11D5BE12">
      <w:pPr>
        <w:widowControl/>
        <w:autoSpaceDE/>
        <w:autoSpaceDN/>
        <w:snapToGrid/>
        <w:spacing w:before="0" w:beforeAutospacing="0" w:after="0" w:afterAutospacing="0" w:line="300" w:lineRule="auto"/>
        <w:ind w:left="0" w:leftChars="0" w:right="0" w:rightChars="0" w:firstLine="1100" w:firstLineChars="500"/>
        <w:jc w:val="left"/>
        <w:rPr>
          <w:rFonts w:hint="eastAsia" w:ascii="仿宋" w:hAnsi="仿宋" w:eastAsia="仿宋" w:cs="仿宋"/>
          <w:color w:val="000000"/>
          <w:kern w:val="0"/>
          <w:sz w:val="22"/>
          <w:szCs w:val="22"/>
          <w:highlight w:val="none"/>
        </w:rPr>
        <w:sectPr>
          <w:pgSz w:w="11907" w:h="16840"/>
          <w:pgMar w:top="1474" w:right="1814" w:bottom="1474" w:left="1814" w:header="851" w:footer="851" w:gutter="0"/>
          <w:pgNumType w:fmt="decimal"/>
          <w:cols w:space="720" w:num="1"/>
        </w:sectPr>
      </w:pPr>
    </w:p>
    <w:p w14:paraId="3949B4BB">
      <w:pPr>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采购编号：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合同编号：</w:t>
      </w:r>
      <w:r>
        <w:rPr>
          <w:rFonts w:hint="eastAsia" w:ascii="宋体" w:hAnsi="宋体" w:eastAsia="宋体" w:cs="宋体"/>
          <w:color w:val="000000"/>
          <w:sz w:val="21"/>
          <w:szCs w:val="21"/>
          <w:highlight w:val="none"/>
          <w:u w:val="single"/>
        </w:rPr>
        <w:t xml:space="preserve">             </w:t>
      </w:r>
    </w:p>
    <w:p w14:paraId="00C7DEA4">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甲方：</w:t>
      </w:r>
      <w:r>
        <w:rPr>
          <w:rFonts w:hint="eastAsia" w:ascii="宋体" w:hAnsi="宋体" w:eastAsia="宋体" w:cs="宋体"/>
          <w:color w:val="000000"/>
          <w:sz w:val="21"/>
          <w:szCs w:val="21"/>
          <w:highlight w:val="none"/>
          <w:u w:val="single"/>
        </w:rPr>
        <w:t>温州市职业中等专业学校</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1D4F8779">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lang w:val="zh-CN"/>
        </w:rPr>
        <w:t xml:space="preserve">    </w:t>
      </w:r>
      <w:r>
        <w:rPr>
          <w:rFonts w:hint="eastAsia" w:ascii="宋体" w:hAnsi="宋体" w:eastAsia="宋体" w:cs="宋体"/>
          <w:color w:val="000000"/>
          <w:sz w:val="21"/>
          <w:szCs w:val="21"/>
          <w:highlight w:val="none"/>
          <w:lang w:val="zh-CN"/>
        </w:rPr>
        <w:t>年</w:t>
      </w:r>
      <w:r>
        <w:rPr>
          <w:rFonts w:hint="eastAsia" w:ascii="宋体" w:hAnsi="宋体" w:eastAsia="宋体" w:cs="宋体"/>
          <w:color w:val="000000"/>
          <w:sz w:val="21"/>
          <w:szCs w:val="21"/>
          <w:highlight w:val="none"/>
          <w:u w:val="single"/>
          <w:lang w:val="zh-CN"/>
        </w:rPr>
        <w:t xml:space="preserve">    </w:t>
      </w:r>
      <w:r>
        <w:rPr>
          <w:rFonts w:hint="eastAsia" w:ascii="宋体" w:hAnsi="宋体" w:eastAsia="宋体" w:cs="宋体"/>
          <w:color w:val="000000"/>
          <w:sz w:val="21"/>
          <w:szCs w:val="21"/>
          <w:highlight w:val="none"/>
          <w:lang w:val="zh-CN"/>
        </w:rPr>
        <w:t>月</w:t>
      </w:r>
      <w:r>
        <w:rPr>
          <w:rFonts w:hint="eastAsia" w:ascii="宋体" w:hAnsi="宋体" w:eastAsia="宋体" w:cs="宋体"/>
          <w:color w:val="000000"/>
          <w:sz w:val="21"/>
          <w:szCs w:val="21"/>
          <w:highlight w:val="none"/>
          <w:u w:val="single"/>
          <w:lang w:val="zh-CN"/>
        </w:rPr>
        <w:t xml:space="preserve">    </w:t>
      </w:r>
      <w:r>
        <w:rPr>
          <w:rFonts w:hint="eastAsia" w:ascii="宋体" w:hAnsi="宋体" w:eastAsia="宋体" w:cs="宋体"/>
          <w:color w:val="000000"/>
          <w:sz w:val="21"/>
          <w:szCs w:val="21"/>
          <w:highlight w:val="none"/>
          <w:lang w:val="zh-CN"/>
        </w:rPr>
        <w:t>日</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 xml:space="preserve">   （采购人）   </w:t>
      </w:r>
      <w:r>
        <w:rPr>
          <w:rFonts w:hint="eastAsia" w:ascii="宋体" w:hAnsi="宋体" w:eastAsia="宋体" w:cs="宋体"/>
          <w:color w:val="000000"/>
          <w:sz w:val="21"/>
          <w:szCs w:val="21"/>
          <w:highlight w:val="none"/>
        </w:rPr>
        <w:t>以</w:t>
      </w:r>
      <w:r>
        <w:rPr>
          <w:rFonts w:hint="eastAsia" w:ascii="宋体" w:hAnsi="宋体" w:eastAsia="宋体" w:cs="宋体"/>
          <w:color w:val="000000"/>
          <w:sz w:val="21"/>
          <w:szCs w:val="21"/>
          <w:highlight w:val="none"/>
          <w:u w:val="single"/>
        </w:rPr>
        <w:t xml:space="preserve">   （政府采购方式）  </w:t>
      </w:r>
      <w:r>
        <w:rPr>
          <w:rFonts w:hint="eastAsia" w:ascii="宋体" w:hAnsi="宋体" w:eastAsia="宋体" w:cs="宋体"/>
          <w:color w:val="000000"/>
          <w:sz w:val="21"/>
          <w:szCs w:val="21"/>
          <w:highlight w:val="none"/>
        </w:rPr>
        <w:t>对</w:t>
      </w:r>
      <w:r>
        <w:rPr>
          <w:rFonts w:hint="eastAsia" w:ascii="宋体" w:hAnsi="宋体" w:eastAsia="宋体" w:cs="宋体"/>
          <w:color w:val="000000"/>
          <w:sz w:val="21"/>
          <w:szCs w:val="21"/>
          <w:highlight w:val="none"/>
          <w:u w:val="single"/>
        </w:rPr>
        <w:t xml:space="preserve">   （项目名称、</w:t>
      </w:r>
      <w:r>
        <w:rPr>
          <w:rFonts w:hint="eastAsia" w:ascii="宋体" w:hAnsi="宋体" w:eastAsia="宋体" w:cs="宋体"/>
          <w:color w:val="000000"/>
          <w:sz w:val="21"/>
          <w:szCs w:val="21"/>
          <w:highlight w:val="none"/>
          <w:u w:val="single"/>
          <w:lang w:val="en-US" w:eastAsia="zh-CN"/>
        </w:rPr>
        <w:t xml:space="preserve">标段  </w:t>
      </w:r>
      <w:r>
        <w:rPr>
          <w:rFonts w:hint="eastAsia" w:ascii="宋体" w:hAnsi="宋体" w:eastAsia="宋体" w:cs="宋体"/>
          <w:color w:val="000000"/>
          <w:sz w:val="21"/>
          <w:szCs w:val="21"/>
          <w:highlight w:val="none"/>
          <w:u w:val="single"/>
        </w:rPr>
        <w:t xml:space="preserve">编号）   </w:t>
      </w:r>
      <w:r>
        <w:rPr>
          <w:rFonts w:hint="eastAsia" w:ascii="宋体" w:hAnsi="宋体" w:eastAsia="宋体" w:cs="宋体"/>
          <w:color w:val="000000"/>
          <w:sz w:val="21"/>
          <w:szCs w:val="21"/>
          <w:highlight w:val="none"/>
        </w:rPr>
        <w:t>项目进行了采购。经</w:t>
      </w:r>
      <w:r>
        <w:rPr>
          <w:rFonts w:hint="eastAsia" w:ascii="宋体" w:hAnsi="宋体" w:eastAsia="宋体" w:cs="宋体"/>
          <w:color w:val="000000"/>
          <w:sz w:val="21"/>
          <w:szCs w:val="21"/>
          <w:highlight w:val="none"/>
          <w:u w:val="single"/>
        </w:rPr>
        <w:t xml:space="preserve">   （相关评定主体名称）   </w:t>
      </w:r>
      <w:r>
        <w:rPr>
          <w:rFonts w:hint="eastAsia" w:ascii="宋体" w:hAnsi="宋体" w:eastAsia="宋体" w:cs="宋体"/>
          <w:color w:val="000000"/>
          <w:sz w:val="21"/>
          <w:szCs w:val="21"/>
          <w:highlight w:val="none"/>
        </w:rPr>
        <w:t>评定，</w:t>
      </w:r>
      <w:r>
        <w:rPr>
          <w:rFonts w:hint="eastAsia" w:ascii="宋体" w:hAnsi="宋体" w:eastAsia="宋体" w:cs="宋体"/>
          <w:color w:val="000000"/>
          <w:sz w:val="21"/>
          <w:szCs w:val="21"/>
          <w:highlight w:val="none"/>
          <w:u w:val="single"/>
        </w:rPr>
        <w:t xml:space="preserve">   （中标或者成交供应商名称）</w:t>
      </w:r>
      <w:r>
        <w:rPr>
          <w:rFonts w:hint="eastAsia" w:ascii="宋体" w:hAnsi="宋体" w:eastAsia="宋体" w:cs="宋体"/>
          <w:color w:val="000000"/>
          <w:sz w:val="21"/>
          <w:szCs w:val="21"/>
          <w:highlight w:val="none"/>
        </w:rPr>
        <w:t>为该项目中标或者成交供应商</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按照采购文件等确定的事项签订本合同。</w:t>
      </w:r>
    </w:p>
    <w:p w14:paraId="76AA46AD">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000000"/>
          <w:sz w:val="21"/>
          <w:szCs w:val="21"/>
          <w:highlight w:val="none"/>
          <w:u w:val="single"/>
        </w:rPr>
        <w:t xml:space="preserve">   （采购人）   </w:t>
      </w:r>
      <w:r>
        <w:rPr>
          <w:rFonts w:hint="eastAsia" w:ascii="宋体" w:hAnsi="宋体" w:eastAsia="宋体" w:cs="宋体"/>
          <w:color w:val="000000"/>
          <w:sz w:val="21"/>
          <w:szCs w:val="21"/>
          <w:highlight w:val="none"/>
          <w:lang w:val="zh-CN"/>
        </w:rPr>
        <w:t>(以下简称：甲方)和</w:t>
      </w:r>
      <w:r>
        <w:rPr>
          <w:rFonts w:hint="eastAsia" w:ascii="宋体" w:hAnsi="宋体" w:eastAsia="宋体" w:cs="宋体"/>
          <w:color w:val="000000"/>
          <w:sz w:val="21"/>
          <w:szCs w:val="21"/>
          <w:highlight w:val="none"/>
          <w:u w:val="single"/>
        </w:rPr>
        <w:t xml:space="preserve">   （中标或者成交供应商名称）   </w:t>
      </w:r>
      <w:r>
        <w:rPr>
          <w:rFonts w:hint="eastAsia" w:ascii="宋体" w:hAnsi="宋体" w:eastAsia="宋体" w:cs="宋体"/>
          <w:color w:val="000000"/>
          <w:sz w:val="21"/>
          <w:szCs w:val="21"/>
          <w:highlight w:val="none"/>
          <w:lang w:val="zh-CN"/>
        </w:rPr>
        <w:t>(以下简称：乙方)协商一致，约定以下合同</w:t>
      </w:r>
      <w:r>
        <w:rPr>
          <w:rFonts w:hint="eastAsia" w:ascii="宋体" w:hAnsi="宋体" w:eastAsia="宋体" w:cs="宋体"/>
          <w:color w:val="000000"/>
          <w:sz w:val="21"/>
          <w:szCs w:val="21"/>
          <w:highlight w:val="none"/>
        </w:rPr>
        <w:t>条款，以兹共同遵守、全面履行。</w:t>
      </w:r>
    </w:p>
    <w:p w14:paraId="6682C57C">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50" w:name="_Toc1832"/>
      <w:bookmarkStart w:id="51" w:name="_Toc3029"/>
      <w:bookmarkStart w:id="52" w:name="_Toc2232"/>
      <w:bookmarkStart w:id="53" w:name="_Toc24059"/>
      <w:r>
        <w:rPr>
          <w:rFonts w:hint="eastAsia" w:ascii="宋体" w:hAnsi="宋体" w:eastAsia="宋体" w:cs="宋体"/>
          <w:b w:val="0"/>
          <w:color w:val="000000"/>
          <w:sz w:val="21"/>
          <w:szCs w:val="21"/>
          <w:highlight w:val="none"/>
        </w:rPr>
        <w:t>1.1 合同组成部分</w:t>
      </w:r>
      <w:bookmarkEnd w:id="50"/>
      <w:bookmarkEnd w:id="51"/>
      <w:bookmarkEnd w:id="52"/>
      <w:bookmarkEnd w:id="53"/>
    </w:p>
    <w:p w14:paraId="6DAAC7C9">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484FE6B">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1.1.1 本合同及其补充合同、变更协议；</w:t>
      </w:r>
    </w:p>
    <w:p w14:paraId="1BCA0907">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1.1.2 中标或者成交通知书；</w:t>
      </w:r>
    </w:p>
    <w:p w14:paraId="4A0D62BB">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1.1.3 投标或者响应文件（含澄清或者说明文件）；</w:t>
      </w:r>
    </w:p>
    <w:p w14:paraId="4967C0E9">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1.1.4 采购文件（含澄清或者修改文件）；</w:t>
      </w:r>
    </w:p>
    <w:p w14:paraId="664EF4F3">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1.1.5 其他相关采购文件。</w:t>
      </w:r>
    </w:p>
    <w:p w14:paraId="4A59C167">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bCs/>
          <w:color w:val="000000"/>
          <w:sz w:val="21"/>
          <w:szCs w:val="21"/>
          <w:highlight w:val="none"/>
          <w:lang w:val="en-US" w:eastAsia="zh-CN"/>
        </w:rPr>
      </w:pPr>
      <w:bookmarkStart w:id="54" w:name="_Toc3510"/>
      <w:bookmarkStart w:id="55" w:name="_Toc10340"/>
      <w:bookmarkStart w:id="56" w:name="_Toc1814"/>
      <w:bookmarkStart w:id="57" w:name="_Toc22618"/>
      <w:r>
        <w:rPr>
          <w:rFonts w:hint="eastAsia" w:ascii="宋体" w:hAnsi="宋体" w:eastAsia="宋体" w:cs="宋体"/>
          <w:b w:val="0"/>
          <w:bCs/>
          <w:color w:val="000000"/>
          <w:sz w:val="21"/>
          <w:szCs w:val="21"/>
          <w:highlight w:val="none"/>
          <w:lang w:val="en-US" w:eastAsia="zh-CN"/>
        </w:rPr>
        <w:t>1.2合同价款</w:t>
      </w:r>
      <w:bookmarkEnd w:id="54"/>
    </w:p>
    <w:p w14:paraId="099AB867">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本项目采用以下第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条款规定的计价方式计价。</w:t>
      </w:r>
    </w:p>
    <w:p w14:paraId="0D8D37EE">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sym w:font="Wingdings" w:char="00A8"/>
      </w: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.1</w:t>
      </w:r>
      <w:r>
        <w:rPr>
          <w:rFonts w:hint="eastAsia" w:ascii="宋体" w:hAnsi="宋体" w:eastAsia="宋体" w:cs="宋体"/>
          <w:b/>
          <w:bCs/>
          <w:color w:val="000000"/>
          <w:sz w:val="21"/>
          <w:szCs w:val="21"/>
          <w:highlight w:val="none"/>
        </w:rPr>
        <w:t>总价合同，</w:t>
      </w:r>
      <w:r>
        <w:rPr>
          <w:rFonts w:hint="eastAsia" w:ascii="宋体" w:hAnsi="宋体" w:eastAsia="宋体" w:cs="宋体"/>
          <w:color w:val="000000"/>
          <w:sz w:val="21"/>
          <w:szCs w:val="21"/>
          <w:highlight w:val="none"/>
        </w:rPr>
        <w:t>本合同总价（含税）为：￥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元（大写：</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人民币）。</w:t>
      </w:r>
    </w:p>
    <w:p w14:paraId="4EC565AC">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u w:val="single"/>
        </w:rPr>
      </w:pPr>
      <w:r>
        <w:rPr>
          <w:rFonts w:hint="eastAsia" w:ascii="宋体" w:hAnsi="宋体" w:eastAsia="宋体" w:cs="宋体"/>
          <w:b/>
          <w:bCs/>
          <w:color w:val="000000"/>
          <w:sz w:val="21"/>
          <w:szCs w:val="21"/>
          <w:highlight w:val="none"/>
        </w:rPr>
        <w:t>内容及价格</w:t>
      </w:r>
      <w:bookmarkStart w:id="58" w:name="_Hlk143419861"/>
      <w:r>
        <w:rPr>
          <w:rFonts w:hint="eastAsia" w:ascii="宋体" w:hAnsi="宋体" w:eastAsia="宋体" w:cs="宋体"/>
          <w:color w:val="000000"/>
          <w:sz w:val="21"/>
          <w:szCs w:val="21"/>
          <w:highlight w:val="none"/>
        </w:rPr>
        <w:t xml:space="preserve">（详细清单可附后） </w:t>
      </w:r>
      <w:bookmarkEnd w:id="58"/>
      <w:r>
        <w:rPr>
          <w:rFonts w:hint="eastAsia" w:ascii="宋体" w:hAnsi="宋体" w:eastAsia="宋体" w:cs="宋体"/>
          <w:color w:val="000000"/>
          <w:sz w:val="21"/>
          <w:szCs w:val="21"/>
          <w:highlight w:val="none"/>
        </w:rPr>
        <w:t xml:space="preserve">                单位</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元</w:t>
      </w:r>
    </w:p>
    <w:p w14:paraId="141948CD">
      <w:pPr>
        <w:pStyle w:val="49"/>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p>
    <w:tbl>
      <w:tblPr>
        <w:tblStyle w:val="25"/>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45"/>
        <w:gridCol w:w="1041"/>
        <w:gridCol w:w="2215"/>
        <w:gridCol w:w="781"/>
        <w:gridCol w:w="1063"/>
        <w:gridCol w:w="1255"/>
      </w:tblGrid>
      <w:tr w14:paraId="7950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35" w:type="dxa"/>
            <w:noWrap w:val="0"/>
            <w:vAlign w:val="center"/>
          </w:tcPr>
          <w:p w14:paraId="5BB5F2F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序号</w:t>
            </w:r>
          </w:p>
        </w:tc>
        <w:tc>
          <w:tcPr>
            <w:tcW w:w="1345" w:type="dxa"/>
            <w:noWrap w:val="0"/>
            <w:vAlign w:val="center"/>
          </w:tcPr>
          <w:p w14:paraId="2FC55D0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val="en-US" w:eastAsia="zh-CN"/>
              </w:rPr>
              <w:t>产品</w:t>
            </w:r>
            <w:r>
              <w:rPr>
                <w:rFonts w:hint="eastAsia" w:ascii="宋体" w:hAnsi="宋体" w:eastAsia="宋体" w:cs="宋体"/>
                <w:b/>
                <w:bCs/>
                <w:color w:val="000000"/>
                <w:sz w:val="21"/>
                <w:szCs w:val="21"/>
                <w:highlight w:val="none"/>
              </w:rPr>
              <w:t>名称</w:t>
            </w:r>
          </w:p>
        </w:tc>
        <w:tc>
          <w:tcPr>
            <w:tcW w:w="1041" w:type="dxa"/>
            <w:noWrap w:val="0"/>
            <w:vAlign w:val="center"/>
          </w:tcPr>
          <w:p w14:paraId="78D706D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品牌</w:t>
            </w:r>
          </w:p>
        </w:tc>
        <w:tc>
          <w:tcPr>
            <w:tcW w:w="2215" w:type="dxa"/>
            <w:noWrap w:val="0"/>
            <w:vAlign w:val="center"/>
          </w:tcPr>
          <w:p w14:paraId="6C85BCE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型号规格和主要配置</w:t>
            </w:r>
          </w:p>
        </w:tc>
        <w:tc>
          <w:tcPr>
            <w:tcW w:w="781" w:type="dxa"/>
            <w:noWrap w:val="0"/>
            <w:vAlign w:val="center"/>
          </w:tcPr>
          <w:p w14:paraId="62C4FF4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数量</w:t>
            </w:r>
          </w:p>
        </w:tc>
        <w:tc>
          <w:tcPr>
            <w:tcW w:w="1063" w:type="dxa"/>
            <w:noWrap w:val="0"/>
            <w:vAlign w:val="center"/>
          </w:tcPr>
          <w:p w14:paraId="4F35ADD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单价</w:t>
            </w:r>
          </w:p>
        </w:tc>
        <w:tc>
          <w:tcPr>
            <w:tcW w:w="1255" w:type="dxa"/>
            <w:noWrap w:val="0"/>
            <w:vAlign w:val="center"/>
          </w:tcPr>
          <w:p w14:paraId="693C4BC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总价</w:t>
            </w:r>
          </w:p>
        </w:tc>
      </w:tr>
      <w:tr w14:paraId="2248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35" w:type="dxa"/>
            <w:noWrap w:val="0"/>
            <w:vAlign w:val="center"/>
          </w:tcPr>
          <w:p w14:paraId="081AE5F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345" w:type="dxa"/>
            <w:noWrap w:val="0"/>
            <w:vAlign w:val="center"/>
          </w:tcPr>
          <w:p w14:paraId="25D76CD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tc>
        <w:tc>
          <w:tcPr>
            <w:tcW w:w="1041" w:type="dxa"/>
            <w:noWrap w:val="0"/>
            <w:vAlign w:val="center"/>
          </w:tcPr>
          <w:p w14:paraId="5EE83A5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tc>
        <w:tc>
          <w:tcPr>
            <w:tcW w:w="2215" w:type="dxa"/>
            <w:noWrap w:val="0"/>
            <w:vAlign w:val="center"/>
          </w:tcPr>
          <w:p w14:paraId="4CB1D1A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tc>
        <w:tc>
          <w:tcPr>
            <w:tcW w:w="781" w:type="dxa"/>
            <w:noWrap w:val="0"/>
            <w:vAlign w:val="center"/>
          </w:tcPr>
          <w:p w14:paraId="5EAEF7C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tc>
        <w:tc>
          <w:tcPr>
            <w:tcW w:w="1063" w:type="dxa"/>
            <w:noWrap w:val="0"/>
            <w:vAlign w:val="center"/>
          </w:tcPr>
          <w:p w14:paraId="06A061A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tc>
        <w:tc>
          <w:tcPr>
            <w:tcW w:w="1255" w:type="dxa"/>
            <w:noWrap w:val="0"/>
            <w:vAlign w:val="center"/>
          </w:tcPr>
          <w:p w14:paraId="7EF1E2C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tc>
      </w:tr>
      <w:tr w14:paraId="2E47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35" w:type="dxa"/>
            <w:noWrap w:val="0"/>
            <w:vAlign w:val="center"/>
          </w:tcPr>
          <w:p w14:paraId="5B5198A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p>
        </w:tc>
        <w:tc>
          <w:tcPr>
            <w:tcW w:w="1345" w:type="dxa"/>
            <w:noWrap w:val="0"/>
            <w:vAlign w:val="center"/>
          </w:tcPr>
          <w:p w14:paraId="34D5102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1041" w:type="dxa"/>
            <w:noWrap w:val="0"/>
            <w:vAlign w:val="center"/>
          </w:tcPr>
          <w:p w14:paraId="753F803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2215" w:type="dxa"/>
            <w:noWrap w:val="0"/>
            <w:vAlign w:val="center"/>
          </w:tcPr>
          <w:p w14:paraId="0A70111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781" w:type="dxa"/>
            <w:noWrap w:val="0"/>
            <w:vAlign w:val="center"/>
          </w:tcPr>
          <w:p w14:paraId="2FCDCB2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063" w:type="dxa"/>
            <w:noWrap w:val="0"/>
            <w:vAlign w:val="center"/>
          </w:tcPr>
          <w:p w14:paraId="57DA0E7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255" w:type="dxa"/>
            <w:noWrap w:val="0"/>
            <w:vAlign w:val="center"/>
          </w:tcPr>
          <w:p w14:paraId="2505AE11">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r>
      <w:tr w14:paraId="2AFF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8535" w:type="dxa"/>
            <w:gridSpan w:val="7"/>
            <w:noWrap w:val="0"/>
            <w:vAlign w:val="top"/>
          </w:tcPr>
          <w:p w14:paraId="57B77F59">
            <w:pPr>
              <w:keepNext w:val="0"/>
              <w:keepLines w:val="0"/>
              <w:widowControl/>
              <w:numPr>
                <w:ilvl w:val="0"/>
                <w:numId w:val="0"/>
              </w:numPr>
              <w:suppressLineNumbers w:val="0"/>
              <w:spacing w:before="0" w:beforeAutospacing="0" w:after="0" w:afterAutospacing="0" w:line="460" w:lineRule="exact"/>
              <w:ind w:left="420" w:leftChars="200" w:right="0" w:rightChars="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合计</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（大写）                                     小写</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 xml:space="preserve">￥          </w:t>
            </w:r>
          </w:p>
        </w:tc>
      </w:tr>
    </w:tbl>
    <w:p w14:paraId="0E8E3672">
      <w:pPr>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sym w:font="Wingdings" w:char="00A8"/>
      </w:r>
      <w:r>
        <w:rPr>
          <w:rFonts w:hint="eastAsia" w:ascii="宋体" w:hAnsi="宋体" w:eastAsia="宋体" w:cs="宋体"/>
          <w:b/>
          <w:bCs w:val="0"/>
          <w:color w:val="000000"/>
          <w:sz w:val="21"/>
          <w:szCs w:val="21"/>
          <w:highlight w:val="none"/>
          <w:lang w:val="en-US" w:eastAsia="zh-CN"/>
        </w:rPr>
        <w:t>1.2.2单</w:t>
      </w:r>
      <w:r>
        <w:rPr>
          <w:rFonts w:hint="eastAsia" w:ascii="宋体" w:hAnsi="宋体" w:eastAsia="宋体" w:cs="宋体"/>
          <w:b/>
          <w:bCs w:val="0"/>
          <w:color w:val="000000"/>
          <w:sz w:val="21"/>
          <w:szCs w:val="21"/>
          <w:highlight w:val="none"/>
        </w:rPr>
        <w:t>价合同，</w:t>
      </w:r>
      <w:r>
        <w:rPr>
          <w:rFonts w:hint="eastAsia" w:ascii="宋体" w:hAnsi="宋体" w:eastAsia="宋体" w:cs="宋体"/>
          <w:color w:val="000000"/>
          <w:sz w:val="21"/>
          <w:szCs w:val="21"/>
          <w:highlight w:val="none"/>
        </w:rPr>
        <w:t>在合同履行期间内，根据实际完成的工作量</w:t>
      </w:r>
      <w:r>
        <w:rPr>
          <w:rFonts w:hint="eastAsia" w:ascii="宋体" w:hAnsi="宋体" w:eastAsia="宋体" w:cs="宋体"/>
          <w:color w:val="000000"/>
          <w:sz w:val="21"/>
          <w:szCs w:val="21"/>
          <w:highlight w:val="none"/>
          <w:lang w:val="en-US" w:eastAsia="zh-CN"/>
        </w:rPr>
        <w:t>*单价</w:t>
      </w:r>
      <w:r>
        <w:rPr>
          <w:rFonts w:hint="eastAsia" w:ascii="宋体" w:hAnsi="宋体" w:eastAsia="宋体" w:cs="宋体"/>
          <w:color w:val="000000"/>
          <w:sz w:val="21"/>
          <w:szCs w:val="21"/>
          <w:highlight w:val="none"/>
        </w:rPr>
        <w:t>据实结算，但结算总价上限不得超过预算金额￥</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（大写：</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元人民币）。本合同所明确的单价为固定价格，在整个合同执行周期内，不受市场行情、通货膨胀、行业规范变更或其他不可抗力以外因素的干扰而进行调整。</w:t>
      </w:r>
    </w:p>
    <w:tbl>
      <w:tblPr>
        <w:tblStyle w:val="25"/>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55"/>
        <w:gridCol w:w="1234"/>
        <w:gridCol w:w="1355"/>
        <w:gridCol w:w="1156"/>
        <w:gridCol w:w="1557"/>
        <w:gridCol w:w="1413"/>
      </w:tblGrid>
      <w:tr w14:paraId="5E03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53" w:type="dxa"/>
            <w:noWrap w:val="0"/>
            <w:vAlign w:val="center"/>
          </w:tcPr>
          <w:p w14:paraId="04CA876E">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序号</w:t>
            </w:r>
          </w:p>
        </w:tc>
        <w:tc>
          <w:tcPr>
            <w:tcW w:w="1355" w:type="dxa"/>
            <w:noWrap w:val="0"/>
            <w:vAlign w:val="center"/>
          </w:tcPr>
          <w:p w14:paraId="45D66078">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val="en-US" w:eastAsia="zh-CN"/>
              </w:rPr>
              <w:t>产品</w:t>
            </w:r>
            <w:r>
              <w:rPr>
                <w:rFonts w:hint="eastAsia" w:ascii="宋体" w:hAnsi="宋体" w:eastAsia="宋体" w:cs="宋体"/>
                <w:b/>
                <w:bCs/>
                <w:color w:val="000000"/>
                <w:sz w:val="21"/>
                <w:szCs w:val="21"/>
                <w:highlight w:val="none"/>
              </w:rPr>
              <w:t>名称</w:t>
            </w:r>
          </w:p>
        </w:tc>
        <w:tc>
          <w:tcPr>
            <w:tcW w:w="1234" w:type="dxa"/>
            <w:noWrap w:val="0"/>
            <w:vAlign w:val="center"/>
          </w:tcPr>
          <w:p w14:paraId="41B28D0C">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val="en-US" w:eastAsia="zh-CN"/>
              </w:rPr>
              <w:t>产品</w:t>
            </w:r>
            <w:r>
              <w:rPr>
                <w:rFonts w:hint="eastAsia" w:ascii="宋体" w:hAnsi="宋体" w:eastAsia="宋体" w:cs="宋体"/>
                <w:b/>
                <w:bCs/>
                <w:color w:val="000000"/>
                <w:sz w:val="21"/>
                <w:szCs w:val="21"/>
                <w:highlight w:val="none"/>
              </w:rPr>
              <w:t>内容</w:t>
            </w:r>
          </w:p>
        </w:tc>
        <w:tc>
          <w:tcPr>
            <w:tcW w:w="1355" w:type="dxa"/>
            <w:noWrap w:val="0"/>
            <w:vAlign w:val="center"/>
          </w:tcPr>
          <w:p w14:paraId="07350FA1">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供货时间</w:t>
            </w:r>
          </w:p>
        </w:tc>
        <w:tc>
          <w:tcPr>
            <w:tcW w:w="1156" w:type="dxa"/>
            <w:noWrap w:val="0"/>
            <w:vAlign w:val="center"/>
          </w:tcPr>
          <w:p w14:paraId="0A6475F0">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数量/工作量</w:t>
            </w:r>
          </w:p>
        </w:tc>
        <w:tc>
          <w:tcPr>
            <w:tcW w:w="1557" w:type="dxa"/>
            <w:noWrap w:val="0"/>
            <w:vAlign w:val="center"/>
          </w:tcPr>
          <w:p w14:paraId="7690E32C">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单价</w:t>
            </w:r>
          </w:p>
        </w:tc>
        <w:tc>
          <w:tcPr>
            <w:tcW w:w="1413" w:type="dxa"/>
            <w:noWrap w:val="0"/>
            <w:vAlign w:val="center"/>
          </w:tcPr>
          <w:p w14:paraId="248A05F2">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rPr>
              <w:t>总价</w:t>
            </w:r>
          </w:p>
        </w:tc>
      </w:tr>
      <w:tr w14:paraId="6A70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53" w:type="dxa"/>
            <w:noWrap w:val="0"/>
            <w:vAlign w:val="center"/>
          </w:tcPr>
          <w:p w14:paraId="4C3BEB6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355" w:type="dxa"/>
            <w:noWrap w:val="0"/>
            <w:vAlign w:val="center"/>
          </w:tcPr>
          <w:p w14:paraId="30EA631F">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234" w:type="dxa"/>
            <w:noWrap w:val="0"/>
            <w:vAlign w:val="center"/>
          </w:tcPr>
          <w:p w14:paraId="79873A4F">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355" w:type="dxa"/>
            <w:noWrap w:val="0"/>
            <w:vAlign w:val="center"/>
          </w:tcPr>
          <w:p w14:paraId="075413E0">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156" w:type="dxa"/>
            <w:noWrap w:val="0"/>
            <w:vAlign w:val="center"/>
          </w:tcPr>
          <w:p w14:paraId="6F5093E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557" w:type="dxa"/>
            <w:noWrap w:val="0"/>
            <w:vAlign w:val="center"/>
          </w:tcPr>
          <w:p w14:paraId="62FA90F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413" w:type="dxa"/>
            <w:noWrap w:val="0"/>
            <w:vAlign w:val="center"/>
          </w:tcPr>
          <w:p w14:paraId="245E268B">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r>
      <w:tr w14:paraId="644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53" w:type="dxa"/>
            <w:noWrap w:val="0"/>
            <w:vAlign w:val="center"/>
          </w:tcPr>
          <w:p w14:paraId="6FF4351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p>
        </w:tc>
        <w:tc>
          <w:tcPr>
            <w:tcW w:w="1355" w:type="dxa"/>
            <w:noWrap w:val="0"/>
            <w:vAlign w:val="center"/>
          </w:tcPr>
          <w:p w14:paraId="5B7C7F3B">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1234" w:type="dxa"/>
            <w:noWrap w:val="0"/>
            <w:vAlign w:val="center"/>
          </w:tcPr>
          <w:p w14:paraId="3A000590">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355" w:type="dxa"/>
            <w:noWrap w:val="0"/>
            <w:vAlign w:val="center"/>
          </w:tcPr>
          <w:p w14:paraId="618AC1DA">
            <w:pPr>
              <w:keepNext w:val="0"/>
              <w:keepLines w:val="0"/>
              <w:pageBreakBefore w:val="0"/>
              <w:widowControl w:val="0"/>
              <w:numPr>
                <w:ilvl w:val="0"/>
                <w:numId w:val="0"/>
              </w:numPr>
              <w:suppressLineNumbers w:val="0"/>
              <w:kinsoku/>
              <w:wordWrap/>
              <w:overflowPunct/>
              <w:topLinePunct w:val="0"/>
              <w:autoSpaceDE w:val="0"/>
              <w:autoSpaceDN w:val="0"/>
              <w:bidi w:val="0"/>
              <w:adjustRightInd/>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156" w:type="dxa"/>
            <w:noWrap w:val="0"/>
            <w:vAlign w:val="center"/>
          </w:tcPr>
          <w:p w14:paraId="628CBBFB">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c>
          <w:tcPr>
            <w:tcW w:w="1557" w:type="dxa"/>
            <w:noWrap w:val="0"/>
            <w:vAlign w:val="center"/>
          </w:tcPr>
          <w:p w14:paraId="0D69F12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p w14:paraId="3769E8D7">
            <w:pPr>
              <w:keepNext w:val="0"/>
              <w:keepLines w:val="0"/>
              <w:widowControl/>
              <w:numPr>
                <w:ilvl w:val="0"/>
                <w:numId w:val="0"/>
              </w:numPr>
              <w:suppressLineNumbers w:val="0"/>
              <w:spacing w:before="0" w:beforeAutospacing="0" w:after="0" w:afterAutospacing="0"/>
              <w:ind w:left="0" w:right="0" w:rightChars="0" w:firstLine="640"/>
              <w:rPr>
                <w:rFonts w:hint="eastAsia" w:ascii="宋体" w:hAnsi="宋体" w:eastAsia="宋体" w:cs="宋体"/>
                <w:color w:val="000000"/>
                <w:sz w:val="21"/>
                <w:szCs w:val="21"/>
                <w:highlight w:val="none"/>
              </w:rPr>
            </w:pPr>
          </w:p>
        </w:tc>
        <w:tc>
          <w:tcPr>
            <w:tcW w:w="1413" w:type="dxa"/>
            <w:noWrap w:val="0"/>
            <w:vAlign w:val="center"/>
          </w:tcPr>
          <w:p w14:paraId="5354D67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460" w:lineRule="exact"/>
              <w:ind w:left="0" w:leftChars="0" w:right="0" w:rightChars="0"/>
              <w:jc w:val="center"/>
              <w:textAlignment w:val="auto"/>
              <w:rPr>
                <w:rFonts w:hint="eastAsia" w:ascii="宋体" w:hAnsi="宋体" w:eastAsia="宋体" w:cs="宋体"/>
                <w:color w:val="000000"/>
                <w:sz w:val="21"/>
                <w:szCs w:val="21"/>
                <w:highlight w:val="none"/>
              </w:rPr>
            </w:pPr>
          </w:p>
        </w:tc>
      </w:tr>
    </w:tbl>
    <w:p w14:paraId="0B273239">
      <w:pPr>
        <w:pStyle w:val="49"/>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b w:val="0"/>
          <w:bCs w:val="0"/>
          <w:color w:val="000000"/>
          <w:sz w:val="21"/>
          <w:szCs w:val="21"/>
          <w:highlight w:val="none"/>
        </w:rPr>
      </w:pPr>
      <w:r>
        <w:rPr>
          <w:rFonts w:hint="eastAsia" w:ascii="宋体" w:hAnsi="宋体" w:eastAsia="宋体" w:cs="宋体"/>
          <w:color w:val="000000"/>
          <w:sz w:val="21"/>
          <w:szCs w:val="21"/>
          <w:highlight w:val="none"/>
        </w:rPr>
        <w:sym w:font="Wingdings" w:char="00A8"/>
      </w:r>
      <w:r>
        <w:rPr>
          <w:rFonts w:hint="eastAsia" w:ascii="宋体" w:hAnsi="宋体" w:eastAsia="宋体" w:cs="宋体"/>
          <w:b w:val="0"/>
          <w:bCs w:val="0"/>
          <w:color w:val="000000"/>
          <w:sz w:val="21"/>
          <w:szCs w:val="21"/>
          <w:highlight w:val="none"/>
          <w:lang w:val="en-US"/>
        </w:rPr>
        <w:t>1.</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lang w:val="en-US"/>
        </w:rPr>
        <w:t>.</w:t>
      </w:r>
      <w:r>
        <w:rPr>
          <w:rFonts w:hint="eastAsia" w:ascii="宋体" w:hAnsi="宋体" w:eastAsia="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lang w:val="en-US"/>
        </w:rPr>
        <w:t>其他计价方式：</w:t>
      </w:r>
      <w:r>
        <w:rPr>
          <w:rFonts w:hint="eastAsia" w:ascii="宋体" w:hAnsi="宋体" w:eastAsia="宋体" w:cs="宋体"/>
          <w:b w:val="0"/>
          <w:bCs w:val="0"/>
          <w:color w:val="000000"/>
          <w:sz w:val="21"/>
          <w:szCs w:val="21"/>
          <w:highlight w:val="none"/>
          <w:u w:val="single"/>
          <w:lang w:val="en-US"/>
        </w:rPr>
        <w:t xml:space="preserve">                   </w:t>
      </w:r>
      <w:r>
        <w:rPr>
          <w:rFonts w:hint="eastAsia" w:ascii="宋体" w:hAnsi="宋体" w:eastAsia="宋体" w:cs="宋体"/>
          <w:b w:val="0"/>
          <w:bCs w:val="0"/>
          <w:color w:val="000000"/>
          <w:sz w:val="21"/>
          <w:szCs w:val="21"/>
          <w:highlight w:val="none"/>
        </w:rPr>
        <w:t>。</w:t>
      </w:r>
    </w:p>
    <w:p w14:paraId="66D1EF1D">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bCs/>
          <w:color w:val="000000"/>
          <w:sz w:val="21"/>
          <w:szCs w:val="21"/>
          <w:highlight w:val="none"/>
        </w:rPr>
      </w:pPr>
      <w:bookmarkStart w:id="59" w:name="_Toc28107"/>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3履约联系人：</w:t>
      </w:r>
      <w:bookmarkEnd w:id="59"/>
    </w:p>
    <w:p w14:paraId="04F740D4">
      <w:pPr>
        <w:pStyle w:val="49"/>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color w:val="000000"/>
          <w:sz w:val="21"/>
          <w:szCs w:val="21"/>
          <w:highlight w:val="none"/>
        </w:rPr>
        <w:t>甲、乙双方指定合同履行联系人。如果服务期间需更改联系人的，须及时书面通知对方，否则造成服务问题，由更改方承担责任。甲方联系人：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手机号：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；乙方联系人：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手机号：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DC17AEC">
      <w:pPr>
        <w:pStyle w:val="49"/>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60" w:name="_Toc5825"/>
      <w:r>
        <w:rPr>
          <w:rFonts w:hint="eastAsia" w:ascii="宋体" w:hAnsi="宋体" w:eastAsia="宋体" w:cs="宋体"/>
          <w:b w:val="0"/>
          <w:color w:val="000000"/>
          <w:sz w:val="21"/>
          <w:szCs w:val="21"/>
          <w:highlight w:val="none"/>
        </w:rPr>
        <w:t>1.4</w:t>
      </w:r>
      <w:r>
        <w:rPr>
          <w:rFonts w:hint="eastAsia" w:ascii="宋体" w:hAnsi="宋体" w:eastAsia="宋体" w:cs="宋体"/>
          <w:b w:val="0"/>
          <w:color w:val="000000"/>
          <w:sz w:val="21"/>
          <w:szCs w:val="21"/>
          <w:highlight w:val="none"/>
          <w:lang w:val="en-US" w:eastAsia="zh-CN"/>
        </w:rPr>
        <w:t xml:space="preserve"> </w:t>
      </w:r>
      <w:r>
        <w:rPr>
          <w:rFonts w:hint="eastAsia" w:ascii="宋体" w:hAnsi="宋体" w:eastAsia="宋体" w:cs="宋体"/>
          <w:b w:val="0"/>
          <w:color w:val="000000"/>
          <w:sz w:val="21"/>
          <w:szCs w:val="21"/>
          <w:highlight w:val="none"/>
        </w:rPr>
        <w:t>履约保证金</w:t>
      </w:r>
      <w:bookmarkEnd w:id="60"/>
    </w:p>
    <w:p w14:paraId="20526325">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color w:val="000000"/>
          <w:kern w:val="0"/>
          <w:sz w:val="21"/>
          <w:szCs w:val="21"/>
          <w:highlight w:val="none"/>
        </w:rPr>
      </w:pPr>
      <w:bookmarkStart w:id="61" w:name="_Toc4849"/>
      <w:r>
        <w:rPr>
          <w:rFonts w:hint="eastAsia" w:ascii="宋体" w:hAnsi="宋体" w:eastAsia="宋体" w:cs="宋体"/>
          <w:color w:val="000000"/>
          <w:kern w:val="0"/>
          <w:sz w:val="21"/>
          <w:szCs w:val="21"/>
          <w:highlight w:val="none"/>
        </w:rPr>
        <w:t>1.4.</w:t>
      </w: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履约保证金</w:t>
      </w:r>
      <w:r>
        <w:rPr>
          <w:rFonts w:hint="eastAsia" w:ascii="宋体" w:hAnsi="宋体" w:eastAsia="宋体" w:cs="宋体"/>
          <w:color w:val="000000"/>
          <w:kern w:val="0"/>
          <w:sz w:val="21"/>
          <w:szCs w:val="21"/>
          <w:highlight w:val="none"/>
          <w:lang w:val="en-US" w:eastAsia="zh-CN"/>
        </w:rPr>
        <w:t>支付及退还</w:t>
      </w:r>
      <w:r>
        <w:rPr>
          <w:rFonts w:hint="eastAsia" w:ascii="宋体" w:hAnsi="宋体" w:eastAsia="宋体" w:cs="宋体"/>
          <w:color w:val="000000"/>
          <w:kern w:val="0"/>
          <w:sz w:val="21"/>
          <w:szCs w:val="21"/>
          <w:highlight w:val="none"/>
        </w:rPr>
        <w:t>详见</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rPr>
        <w:t>；</w:t>
      </w:r>
      <w:bookmarkEnd w:id="61"/>
    </w:p>
    <w:p w14:paraId="6B915CB7">
      <w:pPr>
        <w:pStyle w:val="3"/>
        <w:numPr>
          <w:ilvl w:val="0"/>
          <w:numId w:val="0"/>
        </w:numPr>
        <w:tabs>
          <w:tab w:val="left" w:pos="0"/>
        </w:tabs>
        <w:snapToGrid/>
        <w:spacing w:before="0" w:beforeLines="0" w:beforeAutospacing="0" w:after="0" w:afterLines="0" w:afterAutospacing="0" w:line="300" w:lineRule="auto"/>
        <w:ind w:left="0" w:leftChars="0" w:right="0" w:rightChars="0" w:firstLine="482" w:firstLineChars="0"/>
        <w:jc w:val="left"/>
        <w:rPr>
          <w:rFonts w:hint="eastAsia" w:ascii="宋体" w:hAnsi="宋体" w:eastAsia="宋体" w:cs="宋体"/>
          <w:color w:val="000000"/>
          <w:sz w:val="21"/>
          <w:szCs w:val="21"/>
          <w:highlight w:val="none"/>
          <w:lang w:val="en-US"/>
        </w:rPr>
      </w:pPr>
      <w:bookmarkStart w:id="62" w:name="_Toc285"/>
      <w:r>
        <w:rPr>
          <w:rFonts w:hint="eastAsia" w:ascii="宋体" w:hAnsi="宋体" w:eastAsia="宋体" w:cs="宋体"/>
          <w:b w:val="0"/>
          <w:bCs w:val="0"/>
          <w:color w:val="000000"/>
          <w:kern w:val="0"/>
          <w:sz w:val="21"/>
          <w:szCs w:val="21"/>
          <w:highlight w:val="none"/>
          <w:lang w:val="en-US"/>
        </w:rPr>
        <w:t>1.4.</w:t>
      </w:r>
      <w:r>
        <w:rPr>
          <w:rFonts w:hint="eastAsia" w:ascii="宋体" w:hAnsi="宋体" w:eastAsia="宋体" w:cs="宋体"/>
          <w:b w:val="0"/>
          <w:bCs w:val="0"/>
          <w:color w:val="000000"/>
          <w:kern w:val="0"/>
          <w:sz w:val="21"/>
          <w:szCs w:val="21"/>
          <w:highlight w:val="none"/>
          <w:lang w:val="en-US" w:eastAsia="zh-CN"/>
        </w:rPr>
        <w:t>2</w:t>
      </w:r>
      <w:r>
        <w:rPr>
          <w:rFonts w:hint="eastAsia" w:ascii="宋体" w:hAnsi="宋体" w:eastAsia="宋体" w:cs="宋体"/>
          <w:b w:val="0"/>
          <w:bCs w:val="0"/>
          <w:color w:val="000000"/>
          <w:kern w:val="0"/>
          <w:sz w:val="21"/>
          <w:szCs w:val="21"/>
          <w:highlight w:val="none"/>
          <w:lang w:val="en-US"/>
        </w:rPr>
        <w:t xml:space="preserve"> </w:t>
      </w:r>
      <w:r>
        <w:rPr>
          <w:rFonts w:hint="eastAsia" w:ascii="宋体" w:hAnsi="宋体" w:eastAsia="宋体" w:cs="宋体"/>
          <w:b w:val="0"/>
          <w:color w:val="000000"/>
          <w:kern w:val="0"/>
          <w:sz w:val="21"/>
          <w:szCs w:val="21"/>
          <w:highlight w:val="none"/>
          <w:lang w:val="en-US" w:eastAsia="zh-CN" w:bidi="zh-CN"/>
        </w:rPr>
        <w:t>如果乙方不履行合同，履约保证金不予退还；如果乙方未能按合同约定全面履行义务，那么甲方有权从履约保证金中取得补偿或赔偿，同时不影响甲方要求乙方承担合同约定的超过履约保证金的违约责任的权利；</w:t>
      </w:r>
      <w:bookmarkEnd w:id="62"/>
    </w:p>
    <w:p w14:paraId="73110224">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63" w:name="_Toc30355"/>
      <w:r>
        <w:rPr>
          <w:rFonts w:hint="eastAsia" w:ascii="宋体" w:hAnsi="宋体" w:eastAsia="宋体" w:cs="宋体"/>
          <w:b w:val="0"/>
          <w:color w:val="000000"/>
          <w:sz w:val="21"/>
          <w:szCs w:val="21"/>
          <w:highlight w:val="none"/>
        </w:rPr>
        <w:t>1.5</w:t>
      </w:r>
      <w:bookmarkEnd w:id="55"/>
      <w:bookmarkEnd w:id="56"/>
      <w:bookmarkEnd w:id="57"/>
      <w:r>
        <w:rPr>
          <w:rFonts w:hint="eastAsia" w:ascii="宋体" w:hAnsi="宋体" w:eastAsia="宋体" w:cs="宋体"/>
          <w:b w:val="0"/>
          <w:color w:val="000000"/>
          <w:sz w:val="21"/>
          <w:szCs w:val="21"/>
          <w:highlight w:val="none"/>
        </w:rPr>
        <w:t>预付款</w:t>
      </w:r>
      <w:bookmarkEnd w:id="63"/>
    </w:p>
    <w:p w14:paraId="3E56E9A7">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color w:val="000000"/>
          <w:kern w:val="0"/>
          <w:sz w:val="21"/>
          <w:szCs w:val="21"/>
          <w:highlight w:val="none"/>
        </w:rPr>
      </w:pPr>
      <w:bookmarkStart w:id="64" w:name="_Toc23982"/>
      <w:r>
        <w:rPr>
          <w:rFonts w:hint="eastAsia" w:ascii="宋体" w:hAnsi="宋体" w:eastAsia="宋体" w:cs="宋体"/>
          <w:color w:val="000000"/>
          <w:kern w:val="0"/>
          <w:sz w:val="21"/>
          <w:szCs w:val="21"/>
          <w:highlight w:val="none"/>
          <w:lang w:val="en-US" w:eastAsia="zh-CN"/>
        </w:rPr>
        <w:t>预付款及支付方式</w:t>
      </w:r>
      <w:r>
        <w:rPr>
          <w:rFonts w:hint="eastAsia" w:ascii="宋体" w:hAnsi="宋体" w:eastAsia="宋体" w:cs="宋体"/>
          <w:color w:val="000000"/>
          <w:kern w:val="0"/>
          <w:sz w:val="21"/>
          <w:szCs w:val="21"/>
          <w:highlight w:val="none"/>
        </w:rPr>
        <w:t>详见</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rPr>
        <w:t>；</w:t>
      </w:r>
      <w:bookmarkEnd w:id="64"/>
    </w:p>
    <w:p w14:paraId="37FA1BC2">
      <w:pPr>
        <w:pStyle w:val="49"/>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bCs/>
          <w:color w:val="000000"/>
          <w:sz w:val="21"/>
          <w:szCs w:val="21"/>
          <w:highlight w:val="none"/>
        </w:rPr>
      </w:pPr>
      <w:bookmarkStart w:id="65" w:name="_Toc27452"/>
      <w:r>
        <w:rPr>
          <w:rFonts w:hint="eastAsia" w:ascii="宋体" w:hAnsi="宋体" w:eastAsia="宋体" w:cs="宋体"/>
          <w:b w:val="0"/>
          <w:bCs/>
          <w:color w:val="000000"/>
          <w:sz w:val="21"/>
          <w:szCs w:val="21"/>
          <w:highlight w:val="none"/>
        </w:rPr>
        <w:t>1.6资金支付</w:t>
      </w:r>
      <w:bookmarkEnd w:id="65"/>
    </w:p>
    <w:p w14:paraId="638B53EC">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color w:val="000000"/>
          <w:sz w:val="21"/>
          <w:szCs w:val="21"/>
          <w:highlight w:val="none"/>
        </w:rPr>
      </w:pPr>
      <w:bookmarkStart w:id="66" w:name="_Toc14193"/>
      <w:r>
        <w:rPr>
          <w:rFonts w:hint="eastAsia" w:ascii="宋体" w:hAnsi="宋体" w:eastAsia="宋体" w:cs="宋体"/>
          <w:color w:val="000000"/>
          <w:sz w:val="21"/>
          <w:szCs w:val="21"/>
          <w:highlight w:val="none"/>
        </w:rPr>
        <w:t>资金支付的方式、时间和条件详见</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sz w:val="21"/>
          <w:szCs w:val="21"/>
          <w:highlight w:val="none"/>
        </w:rPr>
        <w:t>。</w:t>
      </w:r>
      <w:bookmarkEnd w:id="66"/>
    </w:p>
    <w:p w14:paraId="47FA6037">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67" w:name="_Toc32071"/>
      <w:bookmarkStart w:id="68" w:name="_Toc19304"/>
      <w:bookmarkStart w:id="69" w:name="_Toc2846"/>
      <w:bookmarkStart w:id="70" w:name="_Toc23461"/>
      <w:r>
        <w:rPr>
          <w:rFonts w:hint="eastAsia" w:ascii="宋体" w:hAnsi="宋体" w:eastAsia="宋体" w:cs="宋体"/>
          <w:b w:val="0"/>
          <w:color w:val="000000"/>
          <w:sz w:val="21"/>
          <w:szCs w:val="21"/>
          <w:highlight w:val="none"/>
        </w:rPr>
        <w:t>1.7货物交付期限、地点和方式</w:t>
      </w:r>
      <w:bookmarkEnd w:id="67"/>
      <w:bookmarkEnd w:id="68"/>
      <w:bookmarkEnd w:id="69"/>
      <w:bookmarkEnd w:id="70"/>
    </w:p>
    <w:p w14:paraId="59EFD0BE">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u w:val="single"/>
        </w:rPr>
      </w:pPr>
      <w:r>
        <w:rPr>
          <w:rFonts w:hint="eastAsia" w:ascii="宋体" w:hAnsi="宋体" w:eastAsia="宋体" w:cs="宋体"/>
          <w:b w:val="0"/>
          <w:color w:val="000000"/>
          <w:sz w:val="21"/>
          <w:szCs w:val="21"/>
          <w:highlight w:val="none"/>
        </w:rPr>
        <w:t>1.7.1 交付</w:t>
      </w:r>
      <w:r>
        <w:rPr>
          <w:rFonts w:hint="eastAsia" w:ascii="宋体" w:hAnsi="宋体" w:eastAsia="宋体" w:cs="宋体"/>
          <w:b w:val="0"/>
          <w:color w:val="000000"/>
          <w:sz w:val="21"/>
          <w:szCs w:val="21"/>
          <w:highlight w:val="none"/>
          <w:lang w:val="en-US" w:eastAsia="zh-CN"/>
        </w:rPr>
        <w:t>时间</w:t>
      </w:r>
      <w:r>
        <w:rPr>
          <w:rFonts w:hint="eastAsia" w:ascii="宋体" w:hAnsi="宋体" w:eastAsia="宋体" w:cs="宋体"/>
          <w:b w:val="0"/>
          <w:color w:val="000000"/>
          <w:sz w:val="21"/>
          <w:szCs w:val="21"/>
          <w:highlight w:val="none"/>
        </w:rPr>
        <w:t>：</w:t>
      </w:r>
      <w:r>
        <w:rPr>
          <w:rFonts w:hint="eastAsia" w:ascii="宋体" w:hAnsi="宋体" w:eastAsia="宋体" w:cs="宋体"/>
          <w:color w:val="000000"/>
          <w:kern w:val="0"/>
          <w:sz w:val="21"/>
          <w:szCs w:val="21"/>
          <w:highlight w:val="none"/>
        </w:rPr>
        <w:t>详见</w:t>
      </w:r>
      <w:r>
        <w:rPr>
          <w:rFonts w:hint="eastAsia" w:ascii="宋体" w:hAnsi="宋体" w:eastAsia="宋体" w:cs="宋体"/>
          <w:b w:val="0"/>
          <w:i/>
          <w:color w:val="000000"/>
          <w:sz w:val="21"/>
          <w:szCs w:val="21"/>
          <w:highlight w:val="none"/>
          <w:u w:val="single"/>
        </w:rPr>
        <w:t>合同专用条款</w:t>
      </w:r>
      <w:r>
        <w:rPr>
          <w:rFonts w:hint="eastAsia" w:ascii="宋体" w:hAnsi="宋体" w:eastAsia="宋体" w:cs="宋体"/>
          <w:b w:val="0"/>
          <w:color w:val="000000"/>
          <w:sz w:val="21"/>
          <w:szCs w:val="21"/>
          <w:highlight w:val="none"/>
        </w:rPr>
        <w:t>；</w:t>
      </w:r>
    </w:p>
    <w:p w14:paraId="11C64947">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1.7.2 交付地点：</w:t>
      </w:r>
      <w:r>
        <w:rPr>
          <w:rFonts w:hint="eastAsia" w:ascii="宋体" w:hAnsi="宋体" w:eastAsia="宋体" w:cs="宋体"/>
          <w:color w:val="000000"/>
          <w:kern w:val="0"/>
          <w:sz w:val="21"/>
          <w:szCs w:val="21"/>
          <w:highlight w:val="none"/>
        </w:rPr>
        <w:t>详见</w:t>
      </w:r>
      <w:r>
        <w:rPr>
          <w:rFonts w:hint="eastAsia" w:ascii="宋体" w:hAnsi="宋体" w:eastAsia="宋体" w:cs="宋体"/>
          <w:b w:val="0"/>
          <w:i/>
          <w:color w:val="000000"/>
          <w:sz w:val="21"/>
          <w:szCs w:val="21"/>
          <w:highlight w:val="none"/>
          <w:u w:val="single"/>
        </w:rPr>
        <w:t>合同专用条款</w:t>
      </w:r>
      <w:r>
        <w:rPr>
          <w:rFonts w:hint="eastAsia" w:ascii="宋体" w:hAnsi="宋体" w:eastAsia="宋体" w:cs="宋体"/>
          <w:b w:val="0"/>
          <w:color w:val="000000"/>
          <w:sz w:val="21"/>
          <w:szCs w:val="21"/>
          <w:highlight w:val="none"/>
        </w:rPr>
        <w:t>；</w:t>
      </w:r>
    </w:p>
    <w:p w14:paraId="467A969B">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1.7.3 交付方式：</w:t>
      </w:r>
      <w:r>
        <w:rPr>
          <w:rFonts w:hint="eastAsia" w:ascii="宋体" w:hAnsi="宋体" w:eastAsia="宋体" w:cs="宋体"/>
          <w:color w:val="000000"/>
          <w:kern w:val="0"/>
          <w:sz w:val="21"/>
          <w:szCs w:val="21"/>
          <w:highlight w:val="none"/>
        </w:rPr>
        <w:t>详见</w:t>
      </w:r>
      <w:r>
        <w:rPr>
          <w:rFonts w:hint="eastAsia" w:ascii="宋体" w:hAnsi="宋体" w:eastAsia="宋体" w:cs="宋体"/>
          <w:b w:val="0"/>
          <w:i/>
          <w:color w:val="000000"/>
          <w:sz w:val="21"/>
          <w:szCs w:val="21"/>
          <w:highlight w:val="none"/>
          <w:u w:val="single"/>
        </w:rPr>
        <w:t>合同专用条款</w:t>
      </w:r>
      <w:r>
        <w:rPr>
          <w:rFonts w:hint="eastAsia" w:ascii="宋体" w:hAnsi="宋体" w:eastAsia="宋体" w:cs="宋体"/>
          <w:b w:val="0"/>
          <w:color w:val="000000"/>
          <w:sz w:val="21"/>
          <w:szCs w:val="21"/>
          <w:highlight w:val="none"/>
        </w:rPr>
        <w:t>。</w:t>
      </w:r>
    </w:p>
    <w:p w14:paraId="0B5CDD58">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71" w:name="_Toc19554"/>
      <w:bookmarkStart w:id="72" w:name="_Toc27250"/>
      <w:bookmarkStart w:id="73" w:name="_Toc21423"/>
      <w:bookmarkStart w:id="74" w:name="_Toc1340"/>
      <w:r>
        <w:rPr>
          <w:rFonts w:hint="eastAsia" w:ascii="宋体" w:hAnsi="宋体" w:eastAsia="宋体" w:cs="宋体"/>
          <w:b w:val="0"/>
          <w:color w:val="000000"/>
          <w:sz w:val="21"/>
          <w:szCs w:val="21"/>
          <w:highlight w:val="none"/>
        </w:rPr>
        <w:t>1.8违约责任</w:t>
      </w:r>
      <w:bookmarkEnd w:id="71"/>
      <w:bookmarkEnd w:id="72"/>
      <w:bookmarkEnd w:id="73"/>
      <w:bookmarkEnd w:id="74"/>
    </w:p>
    <w:p w14:paraId="32611C31">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000000"/>
          <w:sz w:val="21"/>
          <w:szCs w:val="21"/>
          <w:highlight w:val="none"/>
          <w:u w:val="none"/>
        </w:rPr>
        <w:t>0.05</w:t>
      </w:r>
      <w:r>
        <w:rPr>
          <w:rFonts w:hint="eastAsia" w:ascii="宋体" w:hAnsi="宋体" w:eastAsia="宋体" w:cs="宋体"/>
          <w:color w:val="000000"/>
          <w:sz w:val="21"/>
          <w:szCs w:val="21"/>
          <w:highlight w:val="none"/>
        </w:rPr>
        <w:t>%计算，最高限额为本合同总价的</w:t>
      </w:r>
      <w:r>
        <w:rPr>
          <w:rFonts w:hint="eastAsia" w:ascii="宋体" w:hAnsi="宋体" w:eastAsia="宋体" w:cs="宋体"/>
          <w:color w:val="000000"/>
          <w:sz w:val="21"/>
          <w:szCs w:val="21"/>
          <w:highlight w:val="none"/>
          <w:u w:val="none"/>
        </w:rPr>
        <w:t>20</w:t>
      </w:r>
      <w:r>
        <w:rPr>
          <w:rFonts w:hint="eastAsia" w:ascii="宋体" w:hAnsi="宋体" w:eastAsia="宋体" w:cs="宋体"/>
          <w:color w:val="000000"/>
          <w:sz w:val="21"/>
          <w:szCs w:val="21"/>
          <w:highlight w:val="none"/>
        </w:rPr>
        <w:t>%；迟延交付货物的违约金计算数额达到前述最高限额之日起，甲方有权在要求乙方支付违约金的同时，书面通知乙方解除本合同；</w:t>
      </w:r>
    </w:p>
    <w:p w14:paraId="47899C26">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1.8.2 除不可抗力外，如果甲方没有按照本合同约定的付款方式付款，那么乙方可要求甲方支付违约金，</w:t>
      </w:r>
      <w:r>
        <w:rPr>
          <w:rFonts w:hint="eastAsia" w:ascii="宋体" w:hAnsi="宋体" w:eastAsia="宋体" w:cs="宋体"/>
          <w:color w:val="000000"/>
          <w:sz w:val="21"/>
          <w:szCs w:val="21"/>
          <w:highlight w:val="none"/>
          <w:u w:val="none"/>
        </w:rPr>
        <w:t>违约金按每迟延付款一日的应付而未付款的0.05%计算，最高限额为本合同总价的20%；迟延</w:t>
      </w:r>
      <w:r>
        <w:rPr>
          <w:rFonts w:hint="eastAsia" w:ascii="宋体" w:hAnsi="宋体" w:eastAsia="宋体" w:cs="宋体"/>
          <w:color w:val="000000"/>
          <w:sz w:val="21"/>
          <w:szCs w:val="21"/>
          <w:highlight w:val="none"/>
        </w:rPr>
        <w:t>付款的违约金计算数额达到前述最高限额之日起，乙方有权在要求甲方支付违约金的同时，书面通知甲方解除本合同；</w:t>
      </w:r>
      <w:r>
        <w:rPr>
          <w:rFonts w:hint="eastAsia" w:ascii="宋体" w:hAnsi="宋体" w:eastAsia="宋体" w:cs="宋体"/>
          <w:color w:val="000000"/>
          <w:sz w:val="21"/>
          <w:szCs w:val="21"/>
          <w:highlight w:val="none"/>
          <w:lang w:val="en-US" w:eastAsia="zh-CN"/>
        </w:rPr>
        <w:t xml:space="preserve"> </w:t>
      </w:r>
    </w:p>
    <w:p w14:paraId="0E39450A">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AB5A1FB">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FA167BE">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164D0FB">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1.8.6违约责任</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sz w:val="21"/>
          <w:szCs w:val="21"/>
          <w:highlight w:val="none"/>
        </w:rPr>
        <w:t>另有约定的，从其约定。</w:t>
      </w:r>
    </w:p>
    <w:p w14:paraId="15C3B856">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75" w:name="_Toc16021"/>
      <w:bookmarkStart w:id="76" w:name="_Toc28375"/>
      <w:bookmarkStart w:id="77" w:name="_Toc15583"/>
      <w:bookmarkStart w:id="78" w:name="_Toc29648"/>
      <w:r>
        <w:rPr>
          <w:rFonts w:hint="eastAsia" w:ascii="宋体" w:hAnsi="宋体" w:eastAsia="宋体" w:cs="宋体"/>
          <w:b w:val="0"/>
          <w:color w:val="000000"/>
          <w:sz w:val="21"/>
          <w:szCs w:val="21"/>
          <w:highlight w:val="none"/>
        </w:rPr>
        <w:t>1.9合同争议的解决</w:t>
      </w:r>
      <w:bookmarkEnd w:id="75"/>
      <w:bookmarkEnd w:id="76"/>
      <w:bookmarkEnd w:id="77"/>
      <w:bookmarkEnd w:id="78"/>
    </w:p>
    <w:p w14:paraId="74C261FB">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color w:val="000000"/>
          <w:sz w:val="21"/>
          <w:szCs w:val="21"/>
          <w:highlight w:val="none"/>
          <w:lang w:val="en-US" w:eastAsia="zh-CN"/>
        </w:rPr>
      </w:pPr>
      <w:bookmarkStart w:id="79" w:name="_Toc7228"/>
      <w:bookmarkStart w:id="80" w:name="_Toc15322"/>
      <w:bookmarkStart w:id="81" w:name="_Toc11173"/>
      <w:bookmarkStart w:id="82" w:name="_Toc7245"/>
      <w:r>
        <w:rPr>
          <w:rFonts w:hint="eastAsia" w:ascii="宋体" w:hAnsi="宋体" w:eastAsia="宋体" w:cs="宋体"/>
          <w:color w:val="000000"/>
          <w:sz w:val="21"/>
          <w:szCs w:val="21"/>
          <w:highlight w:val="none"/>
        </w:rPr>
        <w:t>本合同履行过程中发生的任何争议，双方当事人均可通过和解或者调解解决；不愿和解、调解或者和解、调解不成的，</w:t>
      </w:r>
      <w:r>
        <w:rPr>
          <w:rFonts w:hint="eastAsia" w:ascii="宋体" w:hAnsi="宋体" w:eastAsia="宋体" w:cs="宋体"/>
          <w:color w:val="000000"/>
          <w:sz w:val="21"/>
          <w:szCs w:val="21"/>
          <w:highlight w:val="none"/>
          <w:lang w:val="en-US" w:eastAsia="zh-CN"/>
        </w:rPr>
        <w:t>按</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en-US" w:eastAsia="zh-CN"/>
        </w:rPr>
        <w:t>方式处理。</w:t>
      </w:r>
      <w:bookmarkEnd w:id="79"/>
    </w:p>
    <w:p w14:paraId="55090C17">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color w:val="000000"/>
          <w:sz w:val="21"/>
          <w:szCs w:val="21"/>
          <w:highlight w:val="none"/>
          <w:lang w:val="en-US" w:eastAsia="zh-CN"/>
        </w:rPr>
      </w:pPr>
      <w:bookmarkStart w:id="83" w:name="_Toc25583"/>
      <w:r>
        <w:rPr>
          <w:rFonts w:hint="eastAsia" w:ascii="宋体" w:hAnsi="宋体" w:eastAsia="宋体" w:cs="宋体"/>
          <w:color w:val="000000"/>
          <w:sz w:val="21"/>
          <w:szCs w:val="21"/>
          <w:highlight w:val="none"/>
          <w:lang w:val="en-US" w:eastAsia="zh-CN"/>
        </w:rPr>
        <w:t>A:</w:t>
      </w:r>
      <w:r>
        <w:rPr>
          <w:rFonts w:hint="eastAsia" w:ascii="宋体" w:hAnsi="宋体" w:eastAsia="宋体" w:cs="宋体"/>
          <w:color w:val="000000"/>
          <w:sz w:val="21"/>
          <w:szCs w:val="21"/>
          <w:highlight w:val="none"/>
        </w:rPr>
        <w:t>任何一方可向甲方所在地仲裁机构提请仲裁</w:t>
      </w:r>
      <w:r>
        <w:rPr>
          <w:rFonts w:hint="eastAsia" w:ascii="宋体" w:hAnsi="宋体" w:eastAsia="宋体" w:cs="宋体"/>
          <w:color w:val="000000"/>
          <w:sz w:val="21"/>
          <w:szCs w:val="21"/>
          <w:highlight w:val="none"/>
          <w:lang w:eastAsia="zh-CN"/>
        </w:rPr>
        <w:t>；</w:t>
      </w:r>
      <w:bookmarkEnd w:id="83"/>
    </w:p>
    <w:p w14:paraId="2980B494">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color w:val="000000"/>
          <w:sz w:val="21"/>
          <w:szCs w:val="21"/>
          <w:highlight w:val="none"/>
          <w:lang w:eastAsia="zh-CN"/>
        </w:rPr>
      </w:pPr>
      <w:bookmarkStart w:id="84" w:name="_Toc12706"/>
      <w:r>
        <w:rPr>
          <w:rFonts w:hint="eastAsia" w:ascii="宋体" w:hAnsi="宋体" w:eastAsia="宋体" w:cs="宋体"/>
          <w:color w:val="000000"/>
          <w:sz w:val="21"/>
          <w:szCs w:val="21"/>
          <w:highlight w:val="none"/>
          <w:lang w:val="en-US" w:eastAsia="zh-CN"/>
        </w:rPr>
        <w:t>B:</w:t>
      </w:r>
      <w:r>
        <w:rPr>
          <w:rFonts w:hint="eastAsia" w:ascii="宋体" w:hAnsi="宋体" w:eastAsia="宋体" w:cs="宋体"/>
          <w:color w:val="000000"/>
          <w:sz w:val="21"/>
          <w:szCs w:val="21"/>
          <w:highlight w:val="none"/>
        </w:rPr>
        <w:t>任何一方可向甲方所在地人民法院提起诉讼。</w:t>
      </w:r>
      <w:bookmarkEnd w:id="84"/>
    </w:p>
    <w:bookmarkEnd w:id="80"/>
    <w:bookmarkEnd w:id="81"/>
    <w:bookmarkEnd w:id="82"/>
    <w:p w14:paraId="11C3A4E4">
      <w:pPr>
        <w:pageBreakBefore w:val="0"/>
        <w:numPr>
          <w:ilvl w:val="0"/>
          <w:numId w:val="0"/>
        </w:numPr>
        <w:kinsoku/>
        <w:wordWrap/>
        <w:overflowPunct/>
        <w:topLinePunct w:val="0"/>
        <w:autoSpaceDE w:val="0"/>
        <w:autoSpaceDN w:val="0"/>
        <w:bidi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val="en-US" w:eastAsia="zh-CN"/>
        </w:rPr>
        <w:t>2.0</w:t>
      </w:r>
      <w:r>
        <w:rPr>
          <w:rFonts w:hint="eastAsia" w:ascii="宋体" w:hAnsi="宋体" w:eastAsia="宋体" w:cs="宋体"/>
          <w:b/>
          <w:bCs/>
          <w:color w:val="000000"/>
          <w:sz w:val="21"/>
          <w:szCs w:val="21"/>
          <w:highlight w:val="none"/>
        </w:rPr>
        <w:t>、其他</w:t>
      </w:r>
    </w:p>
    <w:p w14:paraId="2E5E230C">
      <w:pPr>
        <w:pageBreakBefore w:val="0"/>
        <w:numPr>
          <w:ilvl w:val="0"/>
          <w:numId w:val="0"/>
        </w:numPr>
        <w:kinsoku/>
        <w:wordWrap/>
        <w:overflowPunct/>
        <w:topLinePunct w:val="0"/>
        <w:autoSpaceDE w:val="0"/>
        <w:autoSpaceDN w:val="0"/>
        <w:bidi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2.0.1</w:t>
      </w:r>
      <w:r>
        <w:rPr>
          <w:rFonts w:hint="eastAsia" w:ascii="宋体" w:hAnsi="宋体" w:eastAsia="宋体" w:cs="宋体"/>
          <w:color w:val="000000"/>
          <w:sz w:val="21"/>
          <w:szCs w:val="21"/>
          <w:highlight w:val="none"/>
        </w:rPr>
        <w:t>本合同一式伍份，甲方叁份、乙方贰份。</w:t>
      </w:r>
    </w:p>
    <w:p w14:paraId="5822BA42">
      <w:pPr>
        <w:pageBreakBefore w:val="0"/>
        <w:numPr>
          <w:ilvl w:val="0"/>
          <w:numId w:val="0"/>
        </w:numPr>
        <w:kinsoku/>
        <w:wordWrap/>
        <w:overflowPunct/>
        <w:topLinePunct w:val="0"/>
        <w:autoSpaceDE w:val="0"/>
        <w:autoSpaceDN w:val="0"/>
        <w:bidi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lang w:val="en-US" w:eastAsia="zh-CN"/>
        </w:rPr>
        <w:t>2.0.2</w:t>
      </w:r>
      <w:r>
        <w:rPr>
          <w:rFonts w:hint="eastAsia" w:ascii="宋体" w:hAnsi="宋体" w:eastAsia="宋体" w:cs="宋体"/>
          <w:color w:val="000000"/>
          <w:sz w:val="21"/>
          <w:szCs w:val="21"/>
          <w:highlight w:val="none"/>
        </w:rPr>
        <w:t>合同经甲乙双方签字盖章后生效。</w:t>
      </w:r>
    </w:p>
    <w:p w14:paraId="2B280DC4">
      <w:pPr>
        <w:pageBreakBefore w:val="0"/>
        <w:numPr>
          <w:ilvl w:val="0"/>
          <w:numId w:val="0"/>
        </w:numPr>
        <w:kinsoku/>
        <w:wordWrap/>
        <w:overflowPunct/>
        <w:topLinePunct w:val="0"/>
        <w:autoSpaceDE w:val="0"/>
        <w:autoSpaceDN w:val="0"/>
        <w:bidi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2.0.3</w:t>
      </w:r>
      <w:r>
        <w:rPr>
          <w:rFonts w:hint="eastAsia" w:ascii="宋体" w:hAnsi="宋体" w:eastAsia="宋体" w:cs="宋体"/>
          <w:color w:val="000000"/>
          <w:sz w:val="21"/>
          <w:szCs w:val="21"/>
          <w:highlight w:val="none"/>
        </w:rPr>
        <w:t>如需修改或补充合同内容，双方应协商一致并签署书面修改或补充协议，该协议将作为本合同的组成部分。</w:t>
      </w:r>
    </w:p>
    <w:p w14:paraId="710E3E0C">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p>
    <w:p w14:paraId="3CF11B57">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p>
    <w:p w14:paraId="2B48A61B">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u w:val="single"/>
          <w:lang w:val="zh-CN"/>
        </w:rPr>
      </w:pPr>
      <w:r>
        <w:rPr>
          <w:rFonts w:hint="eastAsia" w:ascii="宋体" w:hAnsi="宋体" w:eastAsia="宋体" w:cs="宋体"/>
          <w:color w:val="000000"/>
          <w:sz w:val="21"/>
          <w:szCs w:val="21"/>
          <w:highlight w:val="none"/>
          <w:lang w:val="zh-CN"/>
        </w:rPr>
        <w:t>甲方（盖章）：</w:t>
      </w:r>
      <w:r>
        <w:rPr>
          <w:rFonts w:hint="eastAsia" w:ascii="宋体" w:hAnsi="宋体" w:eastAsia="宋体" w:cs="宋体"/>
          <w:color w:val="000000"/>
          <w:sz w:val="21"/>
          <w:szCs w:val="21"/>
          <w:highlight w:val="none"/>
          <w:lang w:val="en-US"/>
        </w:rPr>
        <w:t xml:space="preserve">         </w:t>
      </w:r>
      <w:r>
        <w:rPr>
          <w:rFonts w:hint="eastAsia" w:ascii="宋体" w:hAnsi="宋体" w:eastAsia="宋体" w:cs="宋体"/>
          <w:color w:val="000000"/>
          <w:sz w:val="21"/>
          <w:szCs w:val="21"/>
          <w:highlight w:val="none"/>
          <w:lang w:val="zh-CN"/>
        </w:rPr>
        <w:t xml:space="preserve">        乙方（盖章）： </w:t>
      </w:r>
    </w:p>
    <w:p w14:paraId="5CDEF659">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法人代表：                     法人代表： </w:t>
      </w:r>
    </w:p>
    <w:p w14:paraId="620755EA">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委托代理人（签字）：           委托代理人（签字）： </w:t>
      </w:r>
    </w:p>
    <w:p w14:paraId="24FB7D45">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联系电话：                    </w:t>
      </w:r>
      <w:r>
        <w:rPr>
          <w:rFonts w:hint="eastAsia" w:ascii="宋体" w:hAnsi="宋体" w:eastAsia="宋体" w:cs="宋体"/>
          <w:color w:val="000000"/>
          <w:sz w:val="21"/>
          <w:szCs w:val="21"/>
          <w:highlight w:val="none"/>
          <w:lang w:val="en-US"/>
        </w:rPr>
        <w:t xml:space="preserve"> </w:t>
      </w:r>
      <w:r>
        <w:rPr>
          <w:rFonts w:hint="eastAsia" w:ascii="宋体" w:hAnsi="宋体" w:eastAsia="宋体" w:cs="宋体"/>
          <w:color w:val="000000"/>
          <w:sz w:val="21"/>
          <w:szCs w:val="21"/>
          <w:highlight w:val="none"/>
          <w:lang w:val="zh-CN"/>
        </w:rPr>
        <w:t xml:space="preserve">联系电话： </w:t>
      </w:r>
    </w:p>
    <w:p w14:paraId="3E8E0342">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地    址：                     地    址： </w:t>
      </w:r>
    </w:p>
    <w:p w14:paraId="53ED15E5">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纳税人名称：</w:t>
      </w:r>
      <w:r>
        <w:rPr>
          <w:rFonts w:hint="eastAsia" w:ascii="宋体" w:hAnsi="宋体" w:eastAsia="宋体" w:cs="宋体"/>
          <w:color w:val="000000"/>
          <w:sz w:val="21"/>
          <w:szCs w:val="21"/>
          <w:highlight w:val="none"/>
          <w:lang w:val="en-US"/>
        </w:rPr>
        <w:t xml:space="preserve">   </w:t>
      </w:r>
      <w:r>
        <w:rPr>
          <w:rFonts w:hint="eastAsia" w:ascii="宋体" w:hAnsi="宋体" w:eastAsia="宋体" w:cs="宋体"/>
          <w:color w:val="000000"/>
          <w:sz w:val="21"/>
          <w:szCs w:val="21"/>
          <w:highlight w:val="none"/>
          <w:lang w:val="zh-CN"/>
        </w:rPr>
        <w:t xml:space="preserve">                纳税人名称： </w:t>
      </w:r>
    </w:p>
    <w:p w14:paraId="63A41B98">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纳税人识别号：                </w:t>
      </w:r>
      <w:r>
        <w:rPr>
          <w:rFonts w:hint="eastAsia" w:ascii="宋体" w:hAnsi="宋体" w:eastAsia="宋体" w:cs="宋体"/>
          <w:color w:val="000000"/>
          <w:sz w:val="21"/>
          <w:szCs w:val="21"/>
          <w:highlight w:val="none"/>
          <w:lang w:val="en-US"/>
        </w:rPr>
        <w:t xml:space="preserve"> </w:t>
      </w:r>
      <w:r>
        <w:rPr>
          <w:rFonts w:hint="eastAsia" w:ascii="宋体" w:hAnsi="宋体" w:eastAsia="宋体" w:cs="宋体"/>
          <w:color w:val="000000"/>
          <w:sz w:val="21"/>
          <w:szCs w:val="21"/>
          <w:highlight w:val="none"/>
          <w:lang w:val="zh-CN"/>
        </w:rPr>
        <w:t xml:space="preserve">纳税人识别号： </w:t>
      </w:r>
    </w:p>
    <w:p w14:paraId="08344171">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开户行：                       开户行： </w:t>
      </w:r>
    </w:p>
    <w:p w14:paraId="16986375">
      <w:pPr>
        <w:keepNext w:val="0"/>
        <w:keepLines w:val="0"/>
        <w:pageBreakBefore w:val="0"/>
        <w:numPr>
          <w:ilvl w:val="0"/>
          <w:numId w:val="0"/>
        </w:numPr>
        <w:kinsoku/>
        <w:wordWrap/>
        <w:overflowPunct/>
        <w:topLinePunct w:val="0"/>
        <w:bidi w:val="0"/>
        <w:adjustRightInd/>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 xml:space="preserve">账号：                         账号： </w:t>
      </w:r>
    </w:p>
    <w:p w14:paraId="6A57014B">
      <w:pPr>
        <w:pStyle w:val="3"/>
        <w:numPr>
          <w:ilvl w:val="0"/>
          <w:numId w:val="0"/>
        </w:numPr>
        <w:snapToGrid/>
        <w:spacing w:before="0" w:beforeLines="0" w:beforeAutospacing="0" w:after="0" w:afterLines="0" w:afterAutospacing="0" w:line="300" w:lineRule="auto"/>
        <w:ind w:left="0" w:leftChars="0" w:right="0" w:rightChars="0" w:firstLine="482" w:firstLineChars="0"/>
        <w:jc w:val="left"/>
        <w:rPr>
          <w:rFonts w:hint="eastAsia" w:ascii="宋体" w:hAnsi="宋体" w:eastAsia="宋体" w:cs="宋体"/>
          <w:b w:val="0"/>
          <w:color w:val="000000"/>
          <w:kern w:val="0"/>
          <w:sz w:val="21"/>
          <w:szCs w:val="21"/>
          <w:highlight w:val="none"/>
          <w:lang w:val="zh-CN" w:eastAsia="zh-CN"/>
        </w:rPr>
      </w:pPr>
      <w:bookmarkStart w:id="85" w:name="_Toc25361"/>
      <w:r>
        <w:rPr>
          <w:rFonts w:hint="eastAsia" w:ascii="宋体" w:hAnsi="宋体" w:eastAsia="宋体" w:cs="宋体"/>
          <w:b w:val="0"/>
          <w:color w:val="000000"/>
          <w:kern w:val="0"/>
          <w:sz w:val="21"/>
          <w:szCs w:val="21"/>
          <w:highlight w:val="none"/>
          <w:lang w:val="zh-CN"/>
        </w:rPr>
        <w:t>日期：                         日期：</w:t>
      </w:r>
      <w:bookmarkEnd w:id="85"/>
      <w:r>
        <w:rPr>
          <w:rFonts w:hint="eastAsia" w:ascii="宋体" w:hAnsi="宋体" w:eastAsia="宋体" w:cs="宋体"/>
          <w:b w:val="0"/>
          <w:color w:val="000000"/>
          <w:kern w:val="0"/>
          <w:sz w:val="21"/>
          <w:szCs w:val="21"/>
          <w:highlight w:val="none"/>
          <w:lang w:val="zh-CN"/>
        </w:rPr>
        <w:t xml:space="preserve">  </w:t>
      </w:r>
    </w:p>
    <w:p w14:paraId="37EAC6E6">
      <w:pPr>
        <w:numPr>
          <w:ilvl w:val="0"/>
          <w:numId w:val="0"/>
        </w:numPr>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br w:type="page"/>
      </w:r>
    </w:p>
    <w:p w14:paraId="7CAC277E">
      <w:pPr>
        <w:pStyle w:val="47"/>
        <w:numPr>
          <w:ilvl w:val="0"/>
          <w:numId w:val="0"/>
        </w:numPr>
        <w:snapToGrid/>
        <w:spacing w:before="100" w:beforeAutospacing="0" w:after="100" w:afterAutospacing="0" w:line="240" w:lineRule="auto"/>
        <w:ind w:left="0" w:leftChars="0" w:right="0" w:rightChars="0" w:firstLine="0" w:firstLineChars="0"/>
        <w:jc w:val="center"/>
        <w:outlineLvl w:val="0"/>
        <w:rPr>
          <w:rFonts w:hint="eastAsia" w:ascii="宋体" w:hAnsi="宋体" w:eastAsia="宋体" w:cs="宋体"/>
          <w:b w:val="0"/>
          <w:color w:val="000000"/>
          <w:sz w:val="21"/>
          <w:szCs w:val="21"/>
          <w:highlight w:val="none"/>
        </w:rPr>
      </w:pPr>
      <w:bookmarkStart w:id="86" w:name="_Toc9311"/>
      <w:r>
        <w:rPr>
          <w:rFonts w:hint="eastAsia" w:ascii="宋体" w:hAnsi="宋体" w:eastAsia="宋体" w:cs="宋体"/>
          <w:b w:val="0"/>
          <w:color w:val="000000"/>
          <w:sz w:val="21"/>
          <w:szCs w:val="21"/>
          <w:highlight w:val="none"/>
        </w:rPr>
        <w:t>第二部分 合同一般条款</w:t>
      </w:r>
      <w:bookmarkEnd w:id="86"/>
    </w:p>
    <w:p w14:paraId="2BB1D7F2">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87" w:name="_Toc487900349"/>
      <w:bookmarkStart w:id="88" w:name="_Toc19614"/>
      <w:bookmarkStart w:id="89" w:name="_Ref467379195"/>
      <w:bookmarkStart w:id="90" w:name="_Ref467378404"/>
      <w:bookmarkStart w:id="91" w:name="_Toc259093669"/>
      <w:bookmarkStart w:id="92" w:name="_Toc28763"/>
      <w:bookmarkStart w:id="93" w:name="_Ref467379214"/>
      <w:bookmarkStart w:id="94" w:name="_Ref467378499"/>
      <w:bookmarkStart w:id="95" w:name="_Toc16917"/>
      <w:bookmarkStart w:id="96" w:name="_Ref467378463"/>
      <w:bookmarkStart w:id="97" w:name="_Toc12313"/>
      <w:bookmarkStart w:id="98" w:name="_Ref467379094"/>
      <w:bookmarkStart w:id="99" w:name="_Ref467379225"/>
      <w:bookmarkStart w:id="100" w:name="_Ref467379101"/>
      <w:bookmarkStart w:id="101" w:name="_Ref467379205"/>
      <w:bookmarkStart w:id="102" w:name="_Toc279701240"/>
      <w:bookmarkStart w:id="103" w:name="_Ref467379109"/>
      <w:r>
        <w:rPr>
          <w:rFonts w:hint="eastAsia" w:ascii="宋体" w:hAnsi="宋体" w:eastAsia="宋体" w:cs="宋体"/>
          <w:b w:val="0"/>
          <w:color w:val="000000"/>
          <w:sz w:val="21"/>
          <w:szCs w:val="21"/>
          <w:highlight w:val="none"/>
        </w:rPr>
        <w:t>2.1 定义</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23F1E48">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本合同中的下列词语应按以下内容进行解释：</w:t>
      </w:r>
    </w:p>
    <w:p w14:paraId="56ECB858">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2.1.1 “合同”系指采购人和中标或成交供应商签订的载明双方当事人所达成的协议，并包括所有的附件、附录和构成合同的其他文件。</w:t>
      </w:r>
    </w:p>
    <w:p w14:paraId="6916635A">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2.1.2 “合同价”系指根据合同约定，中标或成交供应商在完全履行合同义务后，采购人应支付给中标或成交供应商的价格。</w:t>
      </w:r>
    </w:p>
    <w:p w14:paraId="3F0F620E">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2.1.3 “货物”系指中标或成交供应商根据合同约定应向采购人交付的一切各种形态和种类的物品，包括原材料、燃料、设备、机械、仪表、备件、计算机软件、产品等，并包括工具、手册等其他相关资料。</w:t>
      </w:r>
    </w:p>
    <w:p w14:paraId="214CD4DB">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bookmarkStart w:id="104" w:name="_Ref467378840"/>
      <w:r>
        <w:rPr>
          <w:rFonts w:hint="eastAsia" w:ascii="宋体" w:hAnsi="宋体" w:eastAsia="宋体" w:cs="宋体"/>
          <w:color w:val="000000"/>
          <w:sz w:val="21"/>
          <w:szCs w:val="21"/>
          <w:highlight w:val="none"/>
        </w:rPr>
        <w:t>2.1.4 “甲方”系指与中标或成交供应商签署合同的采购人</w:t>
      </w:r>
      <w:bookmarkEnd w:id="104"/>
      <w:r>
        <w:rPr>
          <w:rFonts w:hint="eastAsia" w:ascii="宋体" w:hAnsi="宋体" w:eastAsia="宋体" w:cs="宋体"/>
          <w:color w:val="000000"/>
          <w:sz w:val="21"/>
          <w:szCs w:val="21"/>
          <w:highlight w:val="none"/>
        </w:rPr>
        <w:t>；采购人委托采购代理机构代表其与乙方签订合同的，采购人的授权委托书作为合同附件。</w:t>
      </w:r>
    </w:p>
    <w:p w14:paraId="510847B7">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bookmarkStart w:id="105" w:name="_Ref467379400"/>
      <w:r>
        <w:rPr>
          <w:rFonts w:hint="eastAsia" w:ascii="宋体" w:hAnsi="宋体" w:eastAsia="宋体" w:cs="宋体"/>
          <w:color w:val="000000"/>
          <w:sz w:val="21"/>
          <w:szCs w:val="21"/>
          <w:highlight w:val="none"/>
        </w:rPr>
        <w:t>2.1.5 “乙方”系指根据合同约定交付货物的中标或成交供应商</w:t>
      </w:r>
      <w:bookmarkEnd w:id="105"/>
      <w:r>
        <w:rPr>
          <w:rFonts w:hint="eastAsia" w:ascii="宋体" w:hAnsi="宋体" w:eastAsia="宋体" w:cs="宋体"/>
          <w:color w:val="000000"/>
          <w:sz w:val="21"/>
          <w:szCs w:val="21"/>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670D098">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bookmarkStart w:id="106" w:name="_Ref467379436"/>
      <w:r>
        <w:rPr>
          <w:rFonts w:hint="eastAsia" w:ascii="宋体" w:hAnsi="宋体" w:eastAsia="宋体" w:cs="宋体"/>
          <w:color w:val="000000"/>
          <w:sz w:val="21"/>
          <w:szCs w:val="21"/>
          <w:highlight w:val="none"/>
        </w:rPr>
        <w:t>2.1.6 “现场”系指合同约定货物将要运至或者安装的地点。</w:t>
      </w:r>
      <w:bookmarkEnd w:id="106"/>
    </w:p>
    <w:p w14:paraId="68CD80E0">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07" w:name="_Toc487900350"/>
      <w:bookmarkStart w:id="108" w:name="_Toc279701241"/>
      <w:bookmarkStart w:id="109" w:name="_Toc27635"/>
      <w:bookmarkStart w:id="110" w:name="_Toc27822"/>
      <w:bookmarkStart w:id="111" w:name="_Toc259093670"/>
      <w:bookmarkStart w:id="112" w:name="_Toc32504"/>
      <w:bookmarkStart w:id="113" w:name="_Toc13336"/>
      <w:r>
        <w:rPr>
          <w:rFonts w:hint="eastAsia" w:ascii="宋体" w:hAnsi="宋体" w:eastAsia="宋体" w:cs="宋体"/>
          <w:b w:val="0"/>
          <w:color w:val="000000"/>
          <w:sz w:val="21"/>
          <w:szCs w:val="21"/>
          <w:highlight w:val="none"/>
        </w:rPr>
        <w:t>2.2 技术规范</w:t>
      </w:r>
      <w:bookmarkEnd w:id="107"/>
      <w:bookmarkEnd w:id="108"/>
      <w:bookmarkEnd w:id="109"/>
      <w:bookmarkEnd w:id="110"/>
      <w:bookmarkEnd w:id="111"/>
      <w:bookmarkEnd w:id="112"/>
      <w:bookmarkEnd w:id="113"/>
    </w:p>
    <w:p w14:paraId="524822CA">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3D33C0">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14" w:name="_Toc279701242"/>
      <w:bookmarkStart w:id="115" w:name="_Toc487900351"/>
      <w:bookmarkStart w:id="116" w:name="_Toc27538"/>
      <w:bookmarkStart w:id="117" w:name="_Toc31634"/>
      <w:bookmarkStart w:id="118" w:name="_Toc27853"/>
      <w:bookmarkStart w:id="119" w:name="_Toc259093671"/>
      <w:bookmarkStart w:id="120" w:name="_Toc9829"/>
      <w:r>
        <w:rPr>
          <w:rFonts w:hint="eastAsia" w:ascii="宋体" w:hAnsi="宋体" w:eastAsia="宋体" w:cs="宋体"/>
          <w:b w:val="0"/>
          <w:color w:val="000000"/>
          <w:sz w:val="21"/>
          <w:szCs w:val="21"/>
          <w:highlight w:val="none"/>
        </w:rPr>
        <w:t>2.3 知识产权</w:t>
      </w:r>
      <w:bookmarkEnd w:id="114"/>
      <w:bookmarkEnd w:id="115"/>
      <w:bookmarkEnd w:id="116"/>
      <w:bookmarkEnd w:id="117"/>
      <w:bookmarkEnd w:id="118"/>
      <w:bookmarkEnd w:id="119"/>
      <w:bookmarkEnd w:id="120"/>
    </w:p>
    <w:p w14:paraId="510FA758">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0AD7C4C">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2.3.2具有知识产权的计算机软件等货物的知识产权归属，详见</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sz w:val="21"/>
          <w:szCs w:val="21"/>
          <w:highlight w:val="none"/>
        </w:rPr>
        <w:t>。</w:t>
      </w:r>
    </w:p>
    <w:p w14:paraId="40994165">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21" w:name="_Toc5422"/>
      <w:bookmarkStart w:id="122" w:name="_Toc11932"/>
      <w:bookmarkStart w:id="123" w:name="_Toc4194"/>
      <w:bookmarkStart w:id="124" w:name="_Toc29149"/>
      <w:r>
        <w:rPr>
          <w:rFonts w:hint="eastAsia" w:ascii="宋体" w:hAnsi="宋体" w:eastAsia="宋体" w:cs="宋体"/>
          <w:b w:val="0"/>
          <w:color w:val="000000"/>
          <w:sz w:val="21"/>
          <w:szCs w:val="21"/>
          <w:highlight w:val="none"/>
        </w:rPr>
        <w:t>2.4 包装和装运</w:t>
      </w:r>
      <w:bookmarkEnd w:id="121"/>
      <w:bookmarkEnd w:id="122"/>
      <w:bookmarkEnd w:id="123"/>
      <w:bookmarkEnd w:id="124"/>
    </w:p>
    <w:p w14:paraId="3884359F">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2.4.1除</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sz w:val="21"/>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7692C46">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766DAAE">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25" w:name="_Ref467378541"/>
      <w:bookmarkStart w:id="126" w:name="_Ref467379542"/>
      <w:bookmarkStart w:id="127" w:name="_Ref467379536"/>
      <w:bookmarkStart w:id="128" w:name="_Toc259093674"/>
      <w:bookmarkStart w:id="129" w:name="_Toc279701245"/>
      <w:bookmarkStart w:id="130" w:name="_Toc487900354"/>
      <w:bookmarkStart w:id="131" w:name="_Ref467378591"/>
      <w:bookmarkStart w:id="132" w:name="_Ref467379527"/>
      <w:bookmarkStart w:id="133" w:name="_Toc30272"/>
      <w:bookmarkStart w:id="134" w:name="_Toc6391"/>
      <w:bookmarkStart w:id="135" w:name="_Toc26182"/>
      <w:bookmarkStart w:id="136" w:name="_Toc19074"/>
      <w:r>
        <w:rPr>
          <w:rFonts w:hint="eastAsia" w:ascii="宋体" w:hAnsi="宋体" w:eastAsia="宋体" w:cs="宋体"/>
          <w:b w:val="0"/>
          <w:color w:val="000000"/>
          <w:sz w:val="21"/>
          <w:szCs w:val="21"/>
          <w:highlight w:val="none"/>
        </w:rPr>
        <w:t>2.</w:t>
      </w:r>
      <w:bookmarkEnd w:id="125"/>
      <w:bookmarkEnd w:id="126"/>
      <w:bookmarkEnd w:id="127"/>
      <w:bookmarkEnd w:id="128"/>
      <w:bookmarkEnd w:id="129"/>
      <w:bookmarkEnd w:id="130"/>
      <w:bookmarkEnd w:id="131"/>
      <w:bookmarkEnd w:id="132"/>
      <w:r>
        <w:rPr>
          <w:rFonts w:hint="eastAsia" w:ascii="宋体" w:hAnsi="宋体" w:eastAsia="宋体" w:cs="宋体"/>
          <w:b w:val="0"/>
          <w:color w:val="000000"/>
          <w:sz w:val="21"/>
          <w:szCs w:val="21"/>
          <w:highlight w:val="none"/>
        </w:rPr>
        <w:t>5 履约检查和问题反馈</w:t>
      </w:r>
      <w:bookmarkEnd w:id="133"/>
      <w:bookmarkEnd w:id="134"/>
      <w:bookmarkEnd w:id="135"/>
      <w:bookmarkEnd w:id="136"/>
    </w:p>
    <w:p w14:paraId="3D4B6285">
      <w:pPr>
        <w:numPr>
          <w:ilvl w:val="0"/>
          <w:numId w:val="0"/>
        </w:numPr>
        <w:snapToGrid/>
        <w:spacing w:before="0" w:beforeAutospacing="0" w:after="0" w:afterAutospacing="0" w:line="300" w:lineRule="auto"/>
        <w:ind w:left="0" w:leftChars="0" w:right="0" w:rightChars="0" w:firstLine="482" w:firstLineChars="0"/>
        <w:jc w:val="left"/>
        <w:outlineLvl w:val="0"/>
        <w:rPr>
          <w:rFonts w:hint="eastAsia" w:ascii="宋体" w:hAnsi="宋体" w:eastAsia="宋体" w:cs="宋体"/>
          <w:b/>
          <w:color w:val="000000"/>
          <w:sz w:val="21"/>
          <w:szCs w:val="21"/>
          <w:highlight w:val="none"/>
        </w:rPr>
      </w:pPr>
      <w:bookmarkStart w:id="137" w:name="_Toc29043"/>
      <w:bookmarkStart w:id="138" w:name="_Toc279701248"/>
      <w:bookmarkStart w:id="139" w:name="_Ref467379923"/>
      <w:bookmarkStart w:id="140" w:name="_Ref467379852"/>
      <w:bookmarkStart w:id="141" w:name="_Toc487900358"/>
      <w:bookmarkStart w:id="142" w:name="_Toc259093677"/>
      <w:bookmarkStart w:id="143" w:name="_Ref467379863"/>
      <w:bookmarkStart w:id="144" w:name="_Toc3225"/>
      <w:bookmarkStart w:id="145" w:name="_Toc16110"/>
      <w:bookmarkStart w:id="146" w:name="_Toc774"/>
      <w:r>
        <w:rPr>
          <w:rFonts w:hint="eastAsia" w:ascii="宋体" w:hAnsi="宋体" w:eastAsia="宋体" w:cs="宋体"/>
          <w:b/>
          <w:color w:val="000000"/>
          <w:sz w:val="21"/>
          <w:szCs w:val="21"/>
          <w:highlight w:val="none"/>
        </w:rPr>
        <w:t>2.</w:t>
      </w:r>
      <w:r>
        <w:rPr>
          <w:rFonts w:hint="eastAsia" w:ascii="宋体" w:hAnsi="宋体" w:eastAsia="宋体" w:cs="宋体"/>
          <w:b/>
          <w:color w:val="000000"/>
          <w:sz w:val="21"/>
          <w:szCs w:val="21"/>
          <w:highlight w:val="none"/>
          <w:lang w:val="en-US" w:eastAsia="zh-CN"/>
        </w:rPr>
        <w:t>5</w:t>
      </w:r>
      <w:r>
        <w:rPr>
          <w:rFonts w:hint="eastAsia" w:ascii="宋体" w:hAnsi="宋体" w:eastAsia="宋体" w:cs="宋体"/>
          <w:b/>
          <w:color w:val="000000"/>
          <w:sz w:val="21"/>
          <w:szCs w:val="21"/>
          <w:highlight w:val="none"/>
        </w:rPr>
        <w:t>.1 设备运抵甲方指定地点后，甲方应依据本合同、采购文件及响应文件上的数量、规格签收。如发生所供设备与合同约定不符，甲方有权退货或要求乙方进行更换、补齐。因此造成逾期交货的，按逾期交货承担违约责任。</w:t>
      </w:r>
      <w:bookmarkEnd w:id="137"/>
    </w:p>
    <w:p w14:paraId="1C917D25">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47" w:name="_Toc9850"/>
      <w:r>
        <w:rPr>
          <w:rFonts w:hint="eastAsia" w:ascii="宋体" w:hAnsi="宋体" w:eastAsia="宋体" w:cs="宋体"/>
          <w:b w:val="0"/>
          <w:color w:val="000000"/>
          <w:sz w:val="21"/>
          <w:szCs w:val="21"/>
          <w:highlight w:val="none"/>
        </w:rPr>
        <w:t>2.6 技术资料</w:t>
      </w:r>
      <w:bookmarkEnd w:id="138"/>
      <w:bookmarkEnd w:id="139"/>
      <w:bookmarkEnd w:id="140"/>
      <w:bookmarkEnd w:id="141"/>
      <w:bookmarkEnd w:id="142"/>
      <w:bookmarkEnd w:id="143"/>
      <w:r>
        <w:rPr>
          <w:rFonts w:hint="eastAsia" w:ascii="宋体" w:hAnsi="宋体" w:eastAsia="宋体" w:cs="宋体"/>
          <w:b w:val="0"/>
          <w:color w:val="000000"/>
          <w:sz w:val="21"/>
          <w:szCs w:val="21"/>
          <w:highlight w:val="none"/>
        </w:rPr>
        <w:t>和保密义务</w:t>
      </w:r>
      <w:bookmarkEnd w:id="144"/>
      <w:bookmarkEnd w:id="145"/>
      <w:bookmarkEnd w:id="146"/>
      <w:bookmarkEnd w:id="147"/>
    </w:p>
    <w:p w14:paraId="2AF2C9F0">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2.6.1 乙方有权依据合同约定和项目需要，向甲方了解有关情况，调阅有关资料等，甲方应予积极配合；</w:t>
      </w:r>
    </w:p>
    <w:p w14:paraId="190851D9">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2.6.2 乙方有义务妥善保管和保护由甲方提供的前款信息和资料等；</w:t>
      </w:r>
    </w:p>
    <w:p w14:paraId="2DCDC9B4">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7B4D88">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48" w:name="_Toc7860"/>
      <w:bookmarkStart w:id="149" w:name="_Toc24807"/>
      <w:r>
        <w:rPr>
          <w:rFonts w:hint="eastAsia" w:ascii="宋体" w:hAnsi="宋体" w:eastAsia="宋体" w:cs="宋体"/>
          <w:b w:val="0"/>
          <w:color w:val="000000"/>
          <w:sz w:val="21"/>
          <w:szCs w:val="21"/>
          <w:highlight w:val="none"/>
        </w:rPr>
        <w:t>2.7 质量保证</w:t>
      </w:r>
      <w:bookmarkEnd w:id="148"/>
      <w:bookmarkEnd w:id="149"/>
    </w:p>
    <w:p w14:paraId="78A18E8F">
      <w:pPr>
        <w:pStyle w:val="12"/>
        <w:pageBreakBefore w:val="0"/>
        <w:numPr>
          <w:ilvl w:val="0"/>
          <w:numId w:val="0"/>
        </w:numPr>
        <w:kinsoku/>
        <w:wordWrap/>
        <w:overflowPunct/>
        <w:topLinePunct w:val="0"/>
        <w:autoSpaceDE w:val="0"/>
        <w:autoSpaceDN w:val="0"/>
        <w:bidi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b w:val="0"/>
          <w:bCs w:val="0"/>
          <w:color w:val="000000"/>
          <w:sz w:val="21"/>
          <w:szCs w:val="21"/>
          <w:highlight w:val="none"/>
        </w:rPr>
      </w:pPr>
      <w:bookmarkStart w:id="150" w:name="_Toc17244"/>
      <w:bookmarkStart w:id="151" w:name="_Toc279701252"/>
      <w:bookmarkStart w:id="152" w:name="_Toc259093681"/>
      <w:bookmarkStart w:id="153" w:name="_Toc487900362"/>
      <w:r>
        <w:rPr>
          <w:rFonts w:hint="eastAsia" w:ascii="宋体" w:hAnsi="宋体" w:eastAsia="宋体" w:cs="宋体"/>
          <w:b w:val="0"/>
          <w:bCs w:val="0"/>
          <w:color w:val="000000"/>
          <w:sz w:val="21"/>
          <w:szCs w:val="21"/>
          <w:highlight w:val="none"/>
          <w:lang w:val="en-US" w:eastAsia="zh-CN"/>
        </w:rPr>
        <w:t>2.7.1</w:t>
      </w:r>
      <w:r>
        <w:rPr>
          <w:rFonts w:hint="eastAsia" w:ascii="宋体" w:hAnsi="宋体" w:eastAsia="宋体" w:cs="宋体"/>
          <w:b w:val="0"/>
          <w:bCs w:val="0"/>
          <w:color w:val="000000"/>
          <w:sz w:val="21"/>
          <w:szCs w:val="21"/>
          <w:highlight w:val="none"/>
        </w:rPr>
        <w:t>本合同质保期</w:t>
      </w:r>
      <w:r>
        <w:rPr>
          <w:rFonts w:hint="eastAsia" w:ascii="宋体" w:hAnsi="宋体" w:eastAsia="宋体" w:cs="宋体"/>
          <w:color w:val="000000"/>
          <w:kern w:val="0"/>
          <w:sz w:val="21"/>
          <w:szCs w:val="21"/>
          <w:highlight w:val="none"/>
        </w:rPr>
        <w:t>详见</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
          <w:bCs/>
          <w:i/>
          <w:color w:val="000000"/>
          <w:sz w:val="21"/>
          <w:szCs w:val="21"/>
          <w:highlight w:val="none"/>
          <w:u w:val="single"/>
        </w:rPr>
        <w:t>合同专用条款</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 w:val="0"/>
          <w:bCs w:val="0"/>
          <w:color w:val="000000"/>
          <w:sz w:val="21"/>
          <w:szCs w:val="21"/>
          <w:highlight w:val="none"/>
        </w:rPr>
        <w:t>，从验收合格之日起计算。在质保期内，乙方对由于产品设计、工艺、材料、配套件的缺陷而造成的任何质量问题或故障负责。</w:t>
      </w:r>
    </w:p>
    <w:p w14:paraId="35F3B9DE">
      <w:pPr>
        <w:pageBreakBefore w:val="0"/>
        <w:numPr>
          <w:ilvl w:val="0"/>
          <w:numId w:val="0"/>
        </w:numPr>
        <w:kinsoku/>
        <w:wordWrap/>
        <w:overflowPunct/>
        <w:topLinePunct w:val="0"/>
        <w:autoSpaceDE w:val="0"/>
        <w:autoSpaceDN w:val="0"/>
        <w:bidi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2.7.2</w:t>
      </w:r>
      <w:r>
        <w:rPr>
          <w:rFonts w:hint="eastAsia" w:ascii="宋体" w:hAnsi="宋体" w:eastAsia="宋体" w:cs="宋体"/>
          <w:b w:val="0"/>
          <w:bCs w:val="0"/>
          <w:color w:val="000000"/>
          <w:sz w:val="21"/>
          <w:szCs w:val="21"/>
          <w:highlight w:val="none"/>
        </w:rPr>
        <w:t>由于甲方保管不善或使用不当造成设备短缺、故障或损坏的，由甲方负责。但乙方保证及时给予补齐和修复。</w:t>
      </w:r>
    </w:p>
    <w:p w14:paraId="49940B74">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300" w:lineRule="auto"/>
        <w:ind w:left="0" w:leftChars="0" w:right="0" w:rightChars="0" w:firstLine="482" w:firstLineChars="0"/>
        <w:jc w:val="left"/>
        <w:textAlignment w:val="auto"/>
        <w:rPr>
          <w:rFonts w:hint="eastAsia" w:ascii="宋体" w:hAnsi="宋体" w:eastAsia="宋体" w:cs="宋体"/>
          <w:b w:val="0"/>
          <w:bCs w:val="0"/>
          <w:color w:val="000000"/>
          <w:sz w:val="21"/>
          <w:szCs w:val="21"/>
          <w:highlight w:val="none"/>
          <w:lang w:val="en-US" w:eastAsia="zh-CN" w:bidi="zh-CN"/>
        </w:rPr>
      </w:pPr>
      <w:r>
        <w:rPr>
          <w:rFonts w:hint="eastAsia" w:ascii="宋体" w:hAnsi="宋体" w:eastAsia="宋体" w:cs="宋体"/>
          <w:b w:val="0"/>
          <w:bCs w:val="0"/>
          <w:color w:val="000000"/>
          <w:sz w:val="21"/>
          <w:szCs w:val="21"/>
          <w:highlight w:val="none"/>
          <w:lang w:val="en-US" w:eastAsia="zh-CN" w:bidi="zh-CN"/>
        </w:rPr>
        <w:t>2.7.3售后服务要求详见</w:t>
      </w:r>
      <w:r>
        <w:rPr>
          <w:rFonts w:hint="eastAsia" w:ascii="宋体" w:hAnsi="宋体" w:eastAsia="宋体" w:cs="宋体"/>
          <w:b w:val="0"/>
          <w:bCs w:val="0"/>
          <w:color w:val="000000"/>
          <w:sz w:val="21"/>
          <w:szCs w:val="21"/>
          <w:highlight w:val="none"/>
          <w:u w:val="single"/>
        </w:rPr>
        <w:t xml:space="preserve"> </w:t>
      </w:r>
      <w:r>
        <w:rPr>
          <w:rFonts w:hint="eastAsia" w:ascii="宋体" w:hAnsi="宋体" w:eastAsia="宋体" w:cs="宋体"/>
          <w:b/>
          <w:bCs/>
          <w:color w:val="000000"/>
          <w:sz w:val="21"/>
          <w:szCs w:val="21"/>
          <w:highlight w:val="none"/>
          <w:u w:val="single"/>
        </w:rPr>
        <w:t xml:space="preserve">合同专用条款 </w:t>
      </w:r>
      <w:r>
        <w:rPr>
          <w:rFonts w:hint="eastAsia" w:ascii="宋体" w:hAnsi="宋体" w:eastAsia="宋体" w:cs="宋体"/>
          <w:b w:val="0"/>
          <w:bCs w:val="0"/>
          <w:color w:val="000000"/>
          <w:sz w:val="21"/>
          <w:szCs w:val="21"/>
          <w:highlight w:val="none"/>
          <w:u w:val="single"/>
        </w:rPr>
        <w:t xml:space="preserve"> </w:t>
      </w:r>
      <w:r>
        <w:rPr>
          <w:rFonts w:hint="eastAsia" w:ascii="宋体" w:hAnsi="宋体" w:eastAsia="宋体" w:cs="宋体"/>
          <w:b w:val="0"/>
          <w:bCs w:val="0"/>
          <w:color w:val="000000"/>
          <w:sz w:val="21"/>
          <w:szCs w:val="21"/>
          <w:highlight w:val="none"/>
          <w:u w:val="single"/>
          <w:lang w:eastAsia="zh-CN"/>
        </w:rPr>
        <w:t>。</w:t>
      </w:r>
    </w:p>
    <w:p w14:paraId="6D9F6C40">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54" w:name="_Toc31588"/>
      <w:r>
        <w:rPr>
          <w:rFonts w:hint="eastAsia" w:ascii="宋体" w:hAnsi="宋体" w:eastAsia="宋体" w:cs="宋体"/>
          <w:b w:val="0"/>
          <w:color w:val="000000"/>
          <w:sz w:val="21"/>
          <w:szCs w:val="21"/>
          <w:highlight w:val="none"/>
        </w:rPr>
        <w:t>2.8 货物的风险负担</w:t>
      </w:r>
      <w:bookmarkEnd w:id="150"/>
      <w:bookmarkEnd w:id="154"/>
    </w:p>
    <w:p w14:paraId="655C1239">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货物或者在途货物或者交付给第一承运人后的货物毁损、灭失的风险负担详见</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color w:val="000000"/>
          <w:sz w:val="21"/>
          <w:szCs w:val="21"/>
          <w:highlight w:val="none"/>
        </w:rPr>
        <w:t>。</w:t>
      </w:r>
    </w:p>
    <w:p w14:paraId="29CBB7AC">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55" w:name="_Toc2190"/>
      <w:bookmarkStart w:id="156" w:name="_Toc14055"/>
      <w:r>
        <w:rPr>
          <w:rFonts w:hint="eastAsia" w:ascii="宋体" w:hAnsi="宋体" w:eastAsia="宋体" w:cs="宋体"/>
          <w:b w:val="0"/>
          <w:color w:val="000000"/>
          <w:sz w:val="21"/>
          <w:szCs w:val="21"/>
          <w:highlight w:val="none"/>
        </w:rPr>
        <w:t>2.9 延迟交货</w:t>
      </w:r>
      <w:bookmarkEnd w:id="151"/>
      <w:bookmarkEnd w:id="152"/>
      <w:bookmarkEnd w:id="153"/>
      <w:bookmarkEnd w:id="155"/>
      <w:bookmarkEnd w:id="156"/>
    </w:p>
    <w:p w14:paraId="637EE4CE">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1AF062C">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57" w:name="_Toc7502"/>
      <w:bookmarkStart w:id="158" w:name="_Toc23906"/>
      <w:bookmarkStart w:id="159" w:name="_Toc279701254"/>
      <w:bookmarkStart w:id="160" w:name="_Toc259093683"/>
      <w:bookmarkStart w:id="161" w:name="_Ref467378121"/>
      <w:bookmarkStart w:id="162" w:name="_Toc487900364"/>
      <w:r>
        <w:rPr>
          <w:rFonts w:hint="eastAsia" w:ascii="宋体" w:hAnsi="宋体" w:eastAsia="宋体" w:cs="宋体"/>
          <w:b w:val="0"/>
          <w:color w:val="000000"/>
          <w:sz w:val="21"/>
          <w:szCs w:val="21"/>
          <w:highlight w:val="none"/>
        </w:rPr>
        <w:t>2.10 合同变更</w:t>
      </w:r>
      <w:bookmarkEnd w:id="157"/>
      <w:bookmarkEnd w:id="158"/>
    </w:p>
    <w:p w14:paraId="24D19B3B">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合同继续履行将损害国家利益和社会公共利益的，双方当事人应当以书面形式变更合同。有过错的一方应当承担赔偿责任，双方当事人都有过错的，各自承担相应的责任。</w:t>
      </w:r>
      <w:bookmarkStart w:id="163" w:name="_Toc279701259"/>
      <w:bookmarkStart w:id="164" w:name="_Toc487900369"/>
      <w:bookmarkStart w:id="165" w:name="_Toc259093688"/>
    </w:p>
    <w:p w14:paraId="101EDC52">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66" w:name="_Toc22955"/>
      <w:bookmarkStart w:id="167" w:name="_Toc10366"/>
      <w:bookmarkStart w:id="168" w:name="_Toc15237"/>
      <w:bookmarkStart w:id="169" w:name="_Toc29530"/>
      <w:r>
        <w:rPr>
          <w:rFonts w:hint="eastAsia" w:ascii="宋体" w:hAnsi="宋体" w:eastAsia="宋体" w:cs="宋体"/>
          <w:b w:val="0"/>
          <w:color w:val="000000"/>
          <w:sz w:val="21"/>
          <w:szCs w:val="21"/>
          <w:highlight w:val="none"/>
        </w:rPr>
        <w:t>2.11 合同转让</w:t>
      </w:r>
      <w:bookmarkEnd w:id="163"/>
      <w:bookmarkEnd w:id="164"/>
      <w:bookmarkEnd w:id="165"/>
      <w:r>
        <w:rPr>
          <w:rFonts w:hint="eastAsia" w:ascii="宋体" w:hAnsi="宋体" w:eastAsia="宋体" w:cs="宋体"/>
          <w:b w:val="0"/>
          <w:color w:val="000000"/>
          <w:sz w:val="21"/>
          <w:szCs w:val="21"/>
          <w:highlight w:val="none"/>
        </w:rPr>
        <w:t>和分包</w:t>
      </w:r>
      <w:bookmarkEnd w:id="166"/>
      <w:bookmarkEnd w:id="167"/>
      <w:bookmarkEnd w:id="168"/>
      <w:bookmarkEnd w:id="169"/>
    </w:p>
    <w:p w14:paraId="6D5BE525">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eastAsia="宋体"/>
          <w:lang w:val="en-US" w:eastAsia="zh-CN"/>
        </w:rPr>
        <w:t>本项目</w:t>
      </w:r>
      <w:r>
        <w:rPr>
          <w:rFonts w:hint="eastAsia"/>
        </w:rPr>
        <w:t>不得转让和分包</w:t>
      </w:r>
      <w:r>
        <w:rPr>
          <w:rFonts w:hint="eastAsia" w:ascii="宋体" w:hAnsi="宋体" w:eastAsia="宋体" w:cs="宋体"/>
          <w:color w:val="000000"/>
          <w:sz w:val="21"/>
          <w:szCs w:val="21"/>
          <w:highlight w:val="none"/>
        </w:rPr>
        <w:t>。</w:t>
      </w:r>
    </w:p>
    <w:p w14:paraId="7CB60B38">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70" w:name="_Toc6083"/>
      <w:bookmarkStart w:id="171" w:name="_Toc16508"/>
      <w:bookmarkStart w:id="172" w:name="_Toc14066"/>
      <w:bookmarkStart w:id="173" w:name="_Toc13566"/>
      <w:r>
        <w:rPr>
          <w:rFonts w:hint="eastAsia" w:ascii="宋体" w:hAnsi="宋体" w:eastAsia="宋体" w:cs="宋体"/>
          <w:b w:val="0"/>
          <w:color w:val="000000"/>
          <w:sz w:val="21"/>
          <w:szCs w:val="21"/>
          <w:highlight w:val="none"/>
        </w:rPr>
        <w:t>2.12 不可抗力</w:t>
      </w:r>
      <w:bookmarkEnd w:id="170"/>
      <w:bookmarkEnd w:id="171"/>
      <w:bookmarkEnd w:id="172"/>
      <w:bookmarkEnd w:id="173"/>
    </w:p>
    <w:p w14:paraId="7234D951">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2.12.1如果任何一方遭遇法律规定的不可抗力，致使合同履行受阻时，履行合同的期限应予延长，延长的期限应相当于不可抗力所影响的时间；因不可抗力致使合同有变更必要的，</w:t>
      </w:r>
      <w:r>
        <w:rPr>
          <w:rFonts w:hint="eastAsia" w:ascii="宋体" w:hAnsi="宋体" w:eastAsia="宋体" w:cs="宋体"/>
          <w:b/>
          <w:bCs/>
          <w:color w:val="000000"/>
          <w:sz w:val="21"/>
          <w:szCs w:val="21"/>
          <w:highlight w:val="none"/>
        </w:rPr>
        <w:t>双方当事人</w:t>
      </w:r>
      <w:r>
        <w:rPr>
          <w:rFonts w:hint="eastAsia" w:ascii="宋体" w:hAnsi="宋体" w:eastAsia="宋体" w:cs="宋体"/>
          <w:b/>
          <w:bCs/>
          <w:color w:val="000000"/>
          <w:sz w:val="21"/>
          <w:szCs w:val="21"/>
          <w:highlight w:val="none"/>
          <w:lang w:val="en-US" w:eastAsia="zh-CN"/>
        </w:rPr>
        <w:t>另行约定</w:t>
      </w:r>
      <w:r>
        <w:rPr>
          <w:rFonts w:hint="eastAsia" w:ascii="宋体" w:hAnsi="宋体" w:eastAsia="宋体" w:cs="宋体"/>
          <w:color w:val="000000"/>
          <w:sz w:val="21"/>
          <w:szCs w:val="21"/>
          <w:highlight w:val="none"/>
          <w:lang w:eastAsia="zh-CN"/>
        </w:rPr>
        <w:t>。</w:t>
      </w:r>
    </w:p>
    <w:p w14:paraId="578284AF">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2.12.2 因不可抗力致使不能实现合同目的的，当事人可以解除合同</w:t>
      </w:r>
      <w:r>
        <w:rPr>
          <w:rFonts w:hint="eastAsia" w:ascii="宋体" w:hAnsi="宋体" w:eastAsia="宋体" w:cs="宋体"/>
          <w:color w:val="000000"/>
          <w:sz w:val="21"/>
          <w:szCs w:val="21"/>
          <w:highlight w:val="none"/>
          <w:lang w:eastAsia="zh-CN"/>
        </w:rPr>
        <w:t>。</w:t>
      </w:r>
    </w:p>
    <w:p w14:paraId="2164B634">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74" w:name="_Toc689"/>
      <w:bookmarkStart w:id="175" w:name="_Toc279701255"/>
      <w:bookmarkStart w:id="176" w:name="_Toc259093684"/>
      <w:bookmarkStart w:id="177" w:name="_Toc30676"/>
      <w:bookmarkStart w:id="178" w:name="_Toc487900365"/>
      <w:bookmarkStart w:id="179" w:name="_Toc19592"/>
      <w:bookmarkStart w:id="180" w:name="_Toc6969"/>
      <w:r>
        <w:rPr>
          <w:rFonts w:hint="eastAsia" w:ascii="宋体" w:hAnsi="宋体" w:eastAsia="宋体" w:cs="宋体"/>
          <w:b w:val="0"/>
          <w:color w:val="000000"/>
          <w:sz w:val="21"/>
          <w:szCs w:val="21"/>
          <w:highlight w:val="none"/>
        </w:rPr>
        <w:t>2.13 税费</w:t>
      </w:r>
      <w:bookmarkEnd w:id="174"/>
      <w:bookmarkEnd w:id="175"/>
      <w:bookmarkEnd w:id="176"/>
      <w:bookmarkEnd w:id="177"/>
      <w:bookmarkEnd w:id="178"/>
      <w:bookmarkEnd w:id="179"/>
      <w:bookmarkEnd w:id="180"/>
    </w:p>
    <w:p w14:paraId="50209D3B">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与合同有关的一切税费，均按照中华人民共和国法律的相关规定。</w:t>
      </w:r>
    </w:p>
    <w:p w14:paraId="3FD26C66">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81" w:name="_Toc8298"/>
      <w:bookmarkStart w:id="182" w:name="_Toc487900368"/>
      <w:bookmarkStart w:id="183" w:name="_Toc259093687"/>
      <w:bookmarkStart w:id="184" w:name="_Toc7102"/>
      <w:bookmarkStart w:id="185" w:name="_Toc2413"/>
      <w:bookmarkStart w:id="186" w:name="_Toc16959"/>
      <w:bookmarkStart w:id="187" w:name="_Toc279701258"/>
      <w:r>
        <w:rPr>
          <w:rFonts w:hint="eastAsia" w:ascii="宋体" w:hAnsi="宋体" w:eastAsia="宋体" w:cs="宋体"/>
          <w:b w:val="0"/>
          <w:color w:val="000000"/>
          <w:sz w:val="21"/>
          <w:szCs w:val="21"/>
          <w:highlight w:val="none"/>
        </w:rPr>
        <w:t>2.14乙方破产</w:t>
      </w:r>
      <w:bookmarkEnd w:id="181"/>
      <w:bookmarkEnd w:id="182"/>
      <w:bookmarkEnd w:id="183"/>
      <w:bookmarkEnd w:id="184"/>
      <w:bookmarkEnd w:id="185"/>
      <w:bookmarkEnd w:id="186"/>
      <w:bookmarkEnd w:id="187"/>
    </w:p>
    <w:p w14:paraId="49E2F34A">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64E1F3F">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88" w:name="_Toc15387"/>
      <w:bookmarkStart w:id="189" w:name="_Toc15761"/>
      <w:bookmarkStart w:id="190" w:name="_Toc6134"/>
      <w:bookmarkStart w:id="191" w:name="_Toc29333"/>
      <w:r>
        <w:rPr>
          <w:rFonts w:hint="eastAsia" w:ascii="宋体" w:hAnsi="宋体" w:eastAsia="宋体" w:cs="宋体"/>
          <w:b w:val="0"/>
          <w:color w:val="000000"/>
          <w:sz w:val="21"/>
          <w:szCs w:val="21"/>
          <w:highlight w:val="none"/>
        </w:rPr>
        <w:t>2.15 合同中止、终止</w:t>
      </w:r>
      <w:bookmarkEnd w:id="188"/>
      <w:bookmarkEnd w:id="189"/>
      <w:bookmarkEnd w:id="190"/>
      <w:bookmarkEnd w:id="191"/>
    </w:p>
    <w:p w14:paraId="7ED61CC5">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2.15.1 双方当事人不得擅自中止或者终止合同；</w:t>
      </w:r>
    </w:p>
    <w:p w14:paraId="7BE018DA">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2.15.2合同继续履行将损害国家利益和社会公共利益的，双方当事人应当中止或者终止合同。有过错的一方应当承担赔偿责任，双方当事人都有过错的，各自承担相应的责任。</w:t>
      </w:r>
    </w:p>
    <w:p w14:paraId="2D1B878A">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92" w:name="_Toc11100"/>
      <w:bookmarkStart w:id="193" w:name="_Toc6596"/>
      <w:bookmarkStart w:id="194" w:name="_Toc14563"/>
      <w:bookmarkStart w:id="195" w:name="_Toc1125"/>
      <w:r>
        <w:rPr>
          <w:rFonts w:hint="eastAsia" w:ascii="宋体" w:hAnsi="宋体" w:eastAsia="宋体" w:cs="宋体"/>
          <w:b w:val="0"/>
          <w:color w:val="000000"/>
          <w:sz w:val="21"/>
          <w:szCs w:val="21"/>
          <w:highlight w:val="none"/>
        </w:rPr>
        <w:t>2.16检验和验收</w:t>
      </w:r>
      <w:bookmarkEnd w:id="192"/>
      <w:bookmarkEnd w:id="193"/>
      <w:bookmarkEnd w:id="194"/>
      <w:bookmarkEnd w:id="195"/>
    </w:p>
    <w:p w14:paraId="6DB315EA">
      <w:pPr>
        <w:numPr>
          <w:ilvl w:val="0"/>
          <w:numId w:val="0"/>
        </w:numPr>
        <w:tabs>
          <w:tab w:val="left" w:pos="360"/>
          <w:tab w:val="left" w:pos="540"/>
          <w:tab w:val="left" w:pos="1080"/>
        </w:tabs>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货物的检验和验收</w:t>
      </w:r>
      <w:r>
        <w:rPr>
          <w:rFonts w:hint="eastAsia" w:ascii="宋体" w:hAnsi="宋体" w:eastAsia="宋体" w:cs="宋体"/>
          <w:color w:val="000000"/>
          <w:sz w:val="21"/>
          <w:szCs w:val="21"/>
          <w:highlight w:val="none"/>
        </w:rPr>
        <w:t>详见</w:t>
      </w:r>
      <w:r>
        <w:rPr>
          <w:rFonts w:hint="eastAsia" w:ascii="宋体" w:hAnsi="宋体" w:eastAsia="宋体" w:cs="宋体"/>
          <w:b/>
          <w:i/>
          <w:color w:val="000000"/>
          <w:sz w:val="21"/>
          <w:szCs w:val="21"/>
          <w:highlight w:val="none"/>
          <w:u w:val="single"/>
        </w:rPr>
        <w:t>合同专用条款</w:t>
      </w:r>
      <w:r>
        <w:rPr>
          <w:rFonts w:hint="eastAsia" w:ascii="宋体" w:hAnsi="宋体" w:eastAsia="宋体" w:cs="宋体"/>
          <w:i/>
          <w:color w:val="000000"/>
          <w:sz w:val="21"/>
          <w:szCs w:val="21"/>
          <w:highlight w:val="none"/>
        </w:rPr>
        <w:t>。</w:t>
      </w:r>
    </w:p>
    <w:bookmarkEnd w:id="159"/>
    <w:bookmarkEnd w:id="160"/>
    <w:bookmarkEnd w:id="161"/>
    <w:bookmarkEnd w:id="162"/>
    <w:p w14:paraId="545FC6A4">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196" w:name="_Toc487900372"/>
      <w:bookmarkStart w:id="197" w:name="_Toc18540"/>
      <w:bookmarkStart w:id="198" w:name="_Toc9031"/>
      <w:bookmarkStart w:id="199" w:name="_Toc4355"/>
      <w:bookmarkStart w:id="200" w:name="_Toc30599"/>
      <w:bookmarkStart w:id="201" w:name="_Toc259093691"/>
      <w:bookmarkStart w:id="202" w:name="_Toc279701262"/>
      <w:r>
        <w:rPr>
          <w:rFonts w:hint="eastAsia" w:ascii="宋体" w:hAnsi="宋体" w:eastAsia="宋体" w:cs="宋体"/>
          <w:b w:val="0"/>
          <w:color w:val="000000"/>
          <w:sz w:val="21"/>
          <w:szCs w:val="21"/>
          <w:highlight w:val="none"/>
        </w:rPr>
        <w:t>2.1</w:t>
      </w:r>
      <w:r>
        <w:rPr>
          <w:rFonts w:hint="eastAsia" w:ascii="宋体" w:hAnsi="宋体" w:eastAsia="宋体" w:cs="宋体"/>
          <w:b w:val="0"/>
          <w:color w:val="000000"/>
          <w:sz w:val="21"/>
          <w:szCs w:val="21"/>
          <w:highlight w:val="none"/>
          <w:lang w:val="en-US" w:eastAsia="zh-CN"/>
        </w:rPr>
        <w:t>7</w:t>
      </w:r>
      <w:r>
        <w:rPr>
          <w:rFonts w:hint="eastAsia" w:ascii="宋体" w:hAnsi="宋体" w:eastAsia="宋体" w:cs="宋体"/>
          <w:b w:val="0"/>
          <w:color w:val="000000"/>
          <w:sz w:val="21"/>
          <w:szCs w:val="21"/>
          <w:highlight w:val="none"/>
        </w:rPr>
        <w:t>计量单位</w:t>
      </w:r>
      <w:bookmarkEnd w:id="196"/>
      <w:bookmarkEnd w:id="197"/>
      <w:bookmarkEnd w:id="198"/>
      <w:bookmarkEnd w:id="199"/>
      <w:bookmarkEnd w:id="200"/>
      <w:bookmarkEnd w:id="201"/>
      <w:bookmarkEnd w:id="202"/>
    </w:p>
    <w:p w14:paraId="47058440">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除技术规范中另有规定外,合同的计量单位均使用国家法定计量单位。</w:t>
      </w:r>
    </w:p>
    <w:p w14:paraId="3ABF6801">
      <w:pPr>
        <w:numPr>
          <w:ilvl w:val="0"/>
          <w:numId w:val="0"/>
        </w:numPr>
        <w:snapToGrid/>
        <w:spacing w:before="100" w:beforeAutospacing="0" w:after="100" w:afterAutospacing="0" w:line="240" w:lineRule="auto"/>
        <w:ind w:left="0" w:leftChars="0" w:right="0" w:rightChars="0" w:firstLine="0" w:firstLineChars="0"/>
        <w:jc w:val="left"/>
        <w:outlineLvl w:val="1"/>
        <w:rPr>
          <w:rFonts w:hint="eastAsia" w:ascii="宋体" w:hAnsi="宋体" w:eastAsia="宋体" w:cs="宋体"/>
          <w:b w:val="0"/>
          <w:color w:val="000000"/>
          <w:sz w:val="21"/>
          <w:szCs w:val="21"/>
          <w:highlight w:val="none"/>
        </w:rPr>
      </w:pPr>
      <w:bookmarkStart w:id="203" w:name="_Toc18567"/>
      <w:bookmarkStart w:id="204" w:name="_Toc487900373"/>
      <w:bookmarkStart w:id="205" w:name="_Toc6102"/>
      <w:bookmarkStart w:id="206" w:name="_Toc12773"/>
      <w:bookmarkStart w:id="207" w:name="_Toc10330"/>
      <w:bookmarkStart w:id="208" w:name="_Toc279701263"/>
      <w:bookmarkStart w:id="209" w:name="_Toc259093692"/>
      <w:r>
        <w:rPr>
          <w:rFonts w:hint="eastAsia" w:ascii="宋体" w:hAnsi="宋体" w:eastAsia="宋体" w:cs="宋体"/>
          <w:b w:val="0"/>
          <w:color w:val="000000"/>
          <w:sz w:val="21"/>
          <w:szCs w:val="21"/>
          <w:highlight w:val="none"/>
        </w:rPr>
        <w:t>2.1</w:t>
      </w:r>
      <w:r>
        <w:rPr>
          <w:rFonts w:hint="eastAsia" w:ascii="宋体" w:hAnsi="宋体" w:eastAsia="宋体" w:cs="宋体"/>
          <w:b w:val="0"/>
          <w:color w:val="000000"/>
          <w:sz w:val="21"/>
          <w:szCs w:val="21"/>
          <w:highlight w:val="none"/>
          <w:lang w:val="en-US" w:eastAsia="zh-CN"/>
        </w:rPr>
        <w:t>8</w:t>
      </w:r>
      <w:r>
        <w:rPr>
          <w:rFonts w:hint="eastAsia" w:ascii="宋体" w:hAnsi="宋体" w:eastAsia="宋体" w:cs="宋体"/>
          <w:b w:val="0"/>
          <w:color w:val="000000"/>
          <w:sz w:val="21"/>
          <w:szCs w:val="21"/>
          <w:highlight w:val="none"/>
        </w:rPr>
        <w:t>合同使用的文字和适用的法律</w:t>
      </w:r>
      <w:bookmarkEnd w:id="203"/>
      <w:bookmarkEnd w:id="204"/>
      <w:bookmarkEnd w:id="205"/>
      <w:bookmarkEnd w:id="206"/>
      <w:bookmarkEnd w:id="207"/>
      <w:bookmarkEnd w:id="208"/>
      <w:bookmarkEnd w:id="209"/>
    </w:p>
    <w:p w14:paraId="6F9CE1F9">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2.1</w:t>
      </w:r>
      <w:r>
        <w:rPr>
          <w:rFonts w:hint="eastAsia" w:ascii="宋体" w:hAnsi="宋体" w:eastAsia="宋体" w:cs="宋体"/>
          <w:b w:val="0"/>
          <w:color w:val="000000"/>
          <w:sz w:val="21"/>
          <w:szCs w:val="21"/>
          <w:highlight w:val="none"/>
          <w:lang w:val="en-US" w:eastAsia="zh-CN"/>
        </w:rPr>
        <w:t>8</w:t>
      </w:r>
      <w:r>
        <w:rPr>
          <w:rFonts w:hint="eastAsia" w:ascii="宋体" w:hAnsi="宋体" w:eastAsia="宋体" w:cs="宋体"/>
          <w:b w:val="0"/>
          <w:color w:val="000000"/>
          <w:sz w:val="21"/>
          <w:szCs w:val="21"/>
          <w:highlight w:val="none"/>
        </w:rPr>
        <w:t>.1 合同使用汉语书就、变更和解释；</w:t>
      </w:r>
    </w:p>
    <w:p w14:paraId="1E4450F8">
      <w:pPr>
        <w:numPr>
          <w:ilvl w:val="0"/>
          <w:numId w:val="0"/>
        </w:numPr>
        <w:snapToGrid/>
        <w:spacing w:before="100" w:beforeAutospacing="0" w:after="100" w:afterAutospacing="0" w:line="240" w:lineRule="auto"/>
        <w:ind w:left="0" w:leftChars="0" w:right="0" w:rightChars="0" w:firstLine="0" w:firstLineChars="0"/>
        <w:jc w:val="left"/>
        <w:outlineLvl w:val="2"/>
        <w:rPr>
          <w:rFonts w:hint="eastAsia" w:ascii="宋体" w:hAnsi="宋体" w:eastAsia="宋体" w:cs="宋体"/>
          <w:b w:val="0"/>
          <w:color w:val="000000"/>
          <w:sz w:val="21"/>
          <w:szCs w:val="21"/>
          <w:highlight w:val="none"/>
        </w:rPr>
      </w:pPr>
      <w:r>
        <w:rPr>
          <w:rFonts w:hint="eastAsia" w:ascii="宋体" w:hAnsi="宋体" w:eastAsia="宋体" w:cs="宋体"/>
          <w:b w:val="0"/>
          <w:color w:val="000000"/>
          <w:sz w:val="21"/>
          <w:szCs w:val="21"/>
          <w:highlight w:val="none"/>
        </w:rPr>
        <w:t>2.1</w:t>
      </w:r>
      <w:r>
        <w:rPr>
          <w:rFonts w:hint="eastAsia" w:ascii="宋体" w:hAnsi="宋体" w:eastAsia="宋体" w:cs="宋体"/>
          <w:b w:val="0"/>
          <w:color w:val="000000"/>
          <w:sz w:val="21"/>
          <w:szCs w:val="21"/>
          <w:highlight w:val="none"/>
          <w:lang w:val="en-US" w:eastAsia="zh-CN"/>
        </w:rPr>
        <w:t>8</w:t>
      </w:r>
      <w:r>
        <w:rPr>
          <w:rFonts w:hint="eastAsia" w:ascii="宋体" w:hAnsi="宋体" w:eastAsia="宋体" w:cs="宋体"/>
          <w:b w:val="0"/>
          <w:color w:val="000000"/>
          <w:sz w:val="21"/>
          <w:szCs w:val="21"/>
          <w:highlight w:val="none"/>
        </w:rPr>
        <w:t>.2 合同适用中华人民共和国法律。</w:t>
      </w:r>
    </w:p>
    <w:p w14:paraId="1CD62C11">
      <w:pPr>
        <w:numPr>
          <w:ilvl w:val="0"/>
          <w:numId w:val="0"/>
        </w:numPr>
        <w:adjustRightInd/>
        <w:snapToGrid/>
        <w:spacing w:before="100" w:beforeAutospacing="0" w:after="100" w:afterAutospacing="0" w:line="240" w:lineRule="auto"/>
        <w:ind w:left="0" w:leftChars="0" w:right="0" w:rightChars="0" w:firstLine="0" w:firstLineChars="0"/>
        <w:jc w:val="center"/>
        <w:outlineLvl w:val="0"/>
        <w:rPr>
          <w:rFonts w:hint="eastAsia" w:ascii="宋体" w:hAnsi="宋体" w:eastAsia="宋体" w:cs="宋体"/>
          <w:b w:val="0"/>
          <w:color w:val="000000"/>
          <w:sz w:val="21"/>
          <w:szCs w:val="21"/>
          <w:highlight w:val="none"/>
        </w:rPr>
      </w:pPr>
      <w:r>
        <w:rPr>
          <w:rFonts w:hint="eastAsia" w:ascii="宋体" w:hAnsi="宋体" w:eastAsia="宋体" w:cs="宋体"/>
          <w:b w:val="0"/>
          <w:color w:val="000000"/>
          <w:kern w:val="0"/>
          <w:sz w:val="21"/>
          <w:szCs w:val="21"/>
          <w:highlight w:val="none"/>
        </w:rPr>
        <w:br w:type="page"/>
      </w:r>
      <w:r>
        <w:rPr>
          <w:rFonts w:hint="eastAsia" w:ascii="宋体" w:hAnsi="宋体" w:eastAsia="宋体" w:cs="宋体"/>
          <w:b w:val="0"/>
          <w:color w:val="000000"/>
          <w:sz w:val="21"/>
          <w:szCs w:val="21"/>
          <w:highlight w:val="none"/>
        </w:rPr>
        <w:t xml:space="preserve"> </w:t>
      </w:r>
      <w:bookmarkStart w:id="210" w:name="_Toc1189"/>
      <w:r>
        <w:rPr>
          <w:rFonts w:hint="eastAsia" w:ascii="宋体" w:hAnsi="宋体" w:eastAsia="宋体" w:cs="宋体"/>
          <w:b w:val="0"/>
          <w:color w:val="000000"/>
          <w:sz w:val="21"/>
          <w:szCs w:val="21"/>
          <w:highlight w:val="none"/>
        </w:rPr>
        <w:t>第三部分  合同专用条款</w:t>
      </w:r>
      <w:bookmarkEnd w:id="210"/>
    </w:p>
    <w:p w14:paraId="7906E1BD">
      <w:pPr>
        <w:numPr>
          <w:ilvl w:val="0"/>
          <w:numId w:val="0"/>
        </w:numPr>
        <w:snapToGrid/>
        <w:spacing w:before="0" w:beforeAutospacing="0" w:after="0" w:afterAutospacing="0" w:line="300" w:lineRule="auto"/>
        <w:ind w:left="0" w:leftChars="0" w:right="0" w:rightChars="0" w:firstLine="482"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5"/>
        <w:tblW w:w="92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38"/>
        <w:gridCol w:w="7733"/>
      </w:tblGrid>
      <w:tr w14:paraId="7578D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2B5FA0EE">
            <w:pPr>
              <w:keepNext w:val="0"/>
              <w:keepLines w:val="0"/>
              <w:widowControl/>
              <w:numPr>
                <w:ilvl w:val="0"/>
                <w:numId w:val="0"/>
              </w:numPr>
              <w:suppressLineNumbers w:val="0"/>
              <w:spacing w:before="0" w:beforeAutospacing="0" w:after="0" w:afterAutospacing="0" w:line="360" w:lineRule="exact"/>
              <w:ind w:left="0" w:right="0" w:rightChars="0"/>
              <w:rPr>
                <w:rFonts w:hint="eastAsia" w:ascii="宋体" w:hAnsi="宋体" w:eastAsia="宋体" w:cs="宋体"/>
                <w:bCs/>
                <w:color w:val="000000"/>
                <w:sz w:val="21"/>
                <w:szCs w:val="21"/>
                <w:highlight w:val="none"/>
                <w:u w:val="single"/>
              </w:rPr>
            </w:pPr>
            <w:bookmarkStart w:id="211" w:name="OLE_LINK9" w:colFirst="0" w:colLast="1"/>
            <w:r>
              <w:rPr>
                <w:rFonts w:hint="eastAsia" w:ascii="宋体" w:hAnsi="宋体" w:eastAsia="宋体" w:cs="宋体"/>
                <w:b/>
                <w:bCs/>
                <w:color w:val="000000"/>
                <w:sz w:val="21"/>
                <w:szCs w:val="21"/>
                <w:highlight w:val="none"/>
                <w:u w:val="single"/>
                <w:lang w:val="en-US" w:eastAsia="zh-CN"/>
              </w:rPr>
              <w:t>1.4.1</w:t>
            </w:r>
            <w:r>
              <w:rPr>
                <w:rFonts w:hint="eastAsia" w:ascii="宋体" w:hAnsi="宋体" w:eastAsia="宋体" w:cs="宋体"/>
                <w:b/>
                <w:bCs/>
                <w:color w:val="000000"/>
                <w:sz w:val="21"/>
                <w:szCs w:val="21"/>
                <w:highlight w:val="none"/>
                <w:u w:val="single"/>
              </w:rPr>
              <w:t>履约保证金</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557D78C0">
            <w:pPr>
              <w:pStyle w:val="49"/>
              <w:keepNext w:val="0"/>
              <w:keepLines w:val="0"/>
              <w:pageBreakBefore w:val="0"/>
              <w:numPr>
                <w:ilvl w:val="0"/>
                <w:numId w:val="0"/>
              </w:numPr>
              <w:suppressLineNumbers w:val="0"/>
              <w:kinsoku/>
              <w:wordWrap/>
              <w:overflowPunct/>
              <w:topLinePunct w:val="0"/>
              <w:autoSpaceDE w:val="0"/>
              <w:autoSpaceDN w:val="0"/>
              <w:bidi w:val="0"/>
              <w:snapToGrid/>
              <w:spacing w:before="0" w:beforeAutospacing="0" w:after="0" w:afterAutospacing="0" w:line="460" w:lineRule="exact"/>
              <w:ind w:left="0" w:leftChars="0" w:right="0" w:righ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u w:val="single"/>
              </w:rPr>
              <w:t>是</w:t>
            </w:r>
            <w:r>
              <w:rPr>
                <w:rFonts w:hint="eastAsia" w:ascii="宋体" w:hAnsi="宋体" w:eastAsia="宋体" w:cs="宋体"/>
                <w:color w:val="000000"/>
                <w:sz w:val="21"/>
                <w:szCs w:val="21"/>
                <w:highlight w:val="none"/>
              </w:rPr>
              <w:t>（是/否）需要支付履约保证金。若需要支付履约保证金的，则：</w:t>
            </w:r>
          </w:p>
          <w:p w14:paraId="20A5DB0F">
            <w:pPr>
              <w:pStyle w:val="12"/>
              <w:keepNext w:val="0"/>
              <w:keepLines w:val="0"/>
              <w:pageBreakBefore w:val="0"/>
              <w:widowControl/>
              <w:numPr>
                <w:ilvl w:val="0"/>
                <w:numId w:val="0"/>
              </w:numPr>
              <w:suppressLineNumbers w:val="0"/>
              <w:kinsoku/>
              <w:wordWrap/>
              <w:overflowPunct/>
              <w:topLinePunct w:val="0"/>
              <w:autoSpaceDE w:val="0"/>
              <w:autoSpaceDN w:val="0"/>
              <w:bidi w:val="0"/>
              <w:snapToGrid/>
              <w:spacing w:before="0" w:beforeAutospacing="0" w:afterAutospacing="0" w:line="460" w:lineRule="exact"/>
              <w:ind w:leftChars="0" w:right="0" w:righ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乙方在</w:t>
            </w:r>
            <w:r>
              <w:rPr>
                <w:rFonts w:hint="eastAsia" w:ascii="宋体" w:hAnsi="宋体" w:eastAsia="宋体" w:cs="宋体"/>
                <w:color w:val="000000"/>
                <w:sz w:val="21"/>
                <w:szCs w:val="21"/>
                <w:highlight w:val="none"/>
                <w:lang w:val="en-US" w:eastAsia="zh-CN"/>
              </w:rPr>
              <w:t>合同生效以及具备实施条件后</w:t>
            </w:r>
            <w:r>
              <w:rPr>
                <w:rFonts w:hint="eastAsia" w:ascii="宋体" w:hAnsi="宋体" w:eastAsia="宋体" w:cs="宋体"/>
                <w:color w:val="000000"/>
                <w:sz w:val="21"/>
                <w:szCs w:val="21"/>
                <w:highlight w:val="none"/>
                <w:u w:val="single"/>
                <w:lang w:val="en-US" w:eastAsia="zh-CN"/>
              </w:rPr>
              <w:t>7</w:t>
            </w:r>
            <w:r>
              <w:rPr>
                <w:rFonts w:hint="eastAsia" w:ascii="宋体" w:hAnsi="宋体" w:eastAsia="宋体" w:cs="宋体"/>
                <w:color w:val="000000"/>
                <w:sz w:val="21"/>
                <w:szCs w:val="21"/>
                <w:highlight w:val="none"/>
                <w:lang w:val="en-US" w:eastAsia="zh-CN"/>
              </w:rPr>
              <w:t>个工作日内</w:t>
            </w:r>
            <w:r>
              <w:rPr>
                <w:rFonts w:hint="eastAsia" w:ascii="宋体" w:hAnsi="宋体" w:eastAsia="宋体" w:cs="宋体"/>
                <w:color w:val="000000"/>
                <w:sz w:val="21"/>
                <w:szCs w:val="21"/>
                <w:highlight w:val="none"/>
              </w:rPr>
              <w:t>，支付给甲方合同金额</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b/>
                <w:bCs/>
                <w:i/>
                <w:iCs/>
                <w:color w:val="000000"/>
                <w:sz w:val="21"/>
                <w:szCs w:val="21"/>
                <w:highlight w:val="none"/>
                <w:u w:val="single"/>
                <w:lang w:val="en-US" w:eastAsia="zh-CN"/>
              </w:rPr>
              <w:t>1</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作为履约保证金（接受支票、汇票、本票、履约保函等多种非现金形式）。在合同履行期内乙方违约的，在履约保证金内先扣除乙方应承担的违约金。乙方没有违约或扣除违约金后有剩余的，履约保证金在乙方履约验收合格后</w:t>
            </w:r>
            <w:r>
              <w:rPr>
                <w:rFonts w:hint="eastAsia" w:ascii="宋体" w:hAnsi="宋体" w:eastAsia="宋体" w:cs="宋体"/>
                <w:color w:val="000000"/>
                <w:sz w:val="21"/>
                <w:szCs w:val="21"/>
                <w:highlight w:val="none"/>
                <w:lang w:val="en-US" w:eastAsia="zh-CN"/>
              </w:rPr>
              <w:t>在达到退付条件后5个工作日内</w:t>
            </w:r>
            <w:r>
              <w:rPr>
                <w:rFonts w:hint="eastAsia" w:ascii="宋体" w:hAnsi="宋体" w:eastAsia="宋体" w:cs="宋体"/>
                <w:color w:val="000000"/>
                <w:sz w:val="21"/>
                <w:szCs w:val="21"/>
                <w:highlight w:val="none"/>
              </w:rPr>
              <w:t>无息返还。</w:t>
            </w:r>
          </w:p>
        </w:tc>
      </w:tr>
      <w:tr w14:paraId="29CD91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66C69D8E">
            <w:pPr>
              <w:keepNext w:val="0"/>
              <w:keepLines w:val="0"/>
              <w:widowControl/>
              <w:numPr>
                <w:ilvl w:val="0"/>
                <w:numId w:val="0"/>
              </w:numPr>
              <w:suppressLineNumbers w:val="0"/>
              <w:spacing w:before="0" w:beforeAutospacing="0" w:after="0" w:afterAutospacing="0" w:line="360" w:lineRule="exact"/>
              <w:ind w:left="0" w:right="0" w:rightChars="0"/>
              <w:rPr>
                <w:rFonts w:hint="eastAsia" w:ascii="宋体" w:hAnsi="宋体" w:eastAsia="宋体" w:cs="宋体"/>
                <w:b/>
                <w:bCs/>
                <w:color w:val="000000"/>
                <w:sz w:val="21"/>
                <w:szCs w:val="21"/>
                <w:highlight w:val="none"/>
                <w:u w:val="single"/>
                <w:lang w:val="en-US" w:eastAsia="zh-CN"/>
              </w:rPr>
            </w:pPr>
            <w:bookmarkStart w:id="212" w:name="OLE_LINK10" w:colFirst="0" w:colLast="1"/>
            <w:r>
              <w:rPr>
                <w:rFonts w:hint="eastAsia" w:ascii="宋体" w:hAnsi="宋体" w:eastAsia="宋体" w:cs="宋体"/>
                <w:b/>
                <w:color w:val="000000"/>
                <w:sz w:val="21"/>
                <w:szCs w:val="21"/>
                <w:highlight w:val="none"/>
              </w:rPr>
              <w:t>1.5</w:t>
            </w:r>
            <w:r>
              <w:rPr>
                <w:rFonts w:hint="eastAsia" w:ascii="宋体" w:hAnsi="宋体" w:eastAsia="宋体" w:cs="宋体"/>
                <w:b/>
                <w:bCs/>
                <w:color w:val="000000"/>
                <w:sz w:val="21"/>
                <w:szCs w:val="21"/>
                <w:highlight w:val="none"/>
                <w:u w:val="single"/>
                <w:lang w:val="en-US" w:eastAsia="zh-CN"/>
              </w:rPr>
              <w:t>预付款</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53AC92A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b/>
                <w:bCs/>
                <w:color w:val="000000"/>
                <w:sz w:val="21"/>
                <w:szCs w:val="21"/>
                <w:highlight w:val="none"/>
                <w:u w:val="single"/>
              </w:rPr>
            </w:pPr>
            <w:r>
              <w:rPr>
                <w:rFonts w:hint="eastAsia" w:ascii="宋体" w:hAnsi="宋体" w:eastAsia="宋体" w:cs="宋体"/>
                <w:color w:val="000000"/>
                <w:sz w:val="21"/>
                <w:szCs w:val="21"/>
                <w:highlight w:val="none"/>
                <w:u w:val="single"/>
                <w:lang w:val="en-US" w:eastAsia="zh-CN" w:bidi="zh-CN"/>
              </w:rPr>
              <w:t xml:space="preserve"> 是</w:t>
            </w:r>
            <w:r>
              <w:rPr>
                <w:rFonts w:hint="eastAsia" w:ascii="宋体" w:hAnsi="宋体" w:eastAsia="宋体" w:cs="宋体"/>
                <w:color w:val="000000"/>
                <w:sz w:val="21"/>
                <w:szCs w:val="21"/>
                <w:highlight w:val="none"/>
                <w:lang w:val="en-US" w:eastAsia="zh-CN" w:bidi="zh-CN"/>
              </w:rPr>
              <w:t>（是/否）有预付款，合同生效以及具备实施条件后7个工作日内</w:t>
            </w:r>
            <w:r>
              <w:rPr>
                <w:rFonts w:hint="eastAsia" w:ascii="宋体" w:hAnsi="宋体" w:eastAsia="宋体" w:cs="宋体"/>
                <w:color w:val="000000"/>
                <w:sz w:val="21"/>
                <w:szCs w:val="21"/>
                <w:highlight w:val="none"/>
                <w:lang w:val="zh-CN" w:eastAsia="zh-CN" w:bidi="zh-CN"/>
              </w:rPr>
              <w:t>甲方向乙方支付合同总价的</w:t>
            </w:r>
            <w:r>
              <w:rPr>
                <w:rFonts w:hint="eastAsia" w:ascii="宋体" w:hAnsi="宋体" w:eastAsia="宋体" w:cs="宋体"/>
                <w:color w:val="000000"/>
                <w:sz w:val="21"/>
                <w:szCs w:val="21"/>
                <w:highlight w:val="none"/>
                <w:u w:val="single"/>
                <w:lang w:val="en-US" w:eastAsia="zh-CN" w:bidi="zh-CN"/>
              </w:rPr>
              <w:t>40</w:t>
            </w:r>
            <w:r>
              <w:rPr>
                <w:rFonts w:hint="eastAsia" w:ascii="宋体" w:hAnsi="宋体" w:eastAsia="宋体" w:cs="宋体"/>
                <w:color w:val="000000"/>
                <w:sz w:val="21"/>
                <w:szCs w:val="21"/>
                <w:highlight w:val="none"/>
                <w:lang w:val="en-US" w:eastAsia="zh-CN" w:bidi="zh-CN"/>
              </w:rPr>
              <w:t xml:space="preserve"> </w:t>
            </w:r>
            <w:r>
              <w:rPr>
                <w:rFonts w:hint="eastAsia" w:ascii="宋体" w:hAnsi="宋体" w:eastAsia="宋体" w:cs="宋体"/>
                <w:color w:val="000000"/>
                <w:sz w:val="21"/>
                <w:szCs w:val="21"/>
                <w:highlight w:val="none"/>
                <w:lang w:val="zh-CN" w:eastAsia="zh-CN" w:bidi="zh-CN"/>
              </w:rPr>
              <w:t>%，</w:t>
            </w:r>
            <w:r>
              <w:rPr>
                <w:rFonts w:hint="eastAsia" w:ascii="宋体" w:hAnsi="宋体" w:eastAsia="宋体" w:cs="宋体"/>
                <w:color w:val="000000"/>
                <w:sz w:val="21"/>
                <w:szCs w:val="21"/>
                <w:highlight w:val="none"/>
                <w:lang w:val="en-US" w:eastAsia="zh-CN" w:bidi="zh-CN"/>
              </w:rPr>
              <w:t>计</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u w:val="none"/>
                <w:lang w:val="en-US" w:eastAsia="zh-CN" w:bidi="zh-CN"/>
              </w:rPr>
              <w:t>元</w:t>
            </w:r>
            <w:r>
              <w:rPr>
                <w:rFonts w:hint="eastAsia" w:ascii="宋体" w:hAnsi="宋体" w:eastAsia="宋体" w:cs="宋体"/>
                <w:color w:val="000000"/>
                <w:sz w:val="21"/>
                <w:szCs w:val="21"/>
                <w:highlight w:val="none"/>
                <w:lang w:val="zh-CN" w:eastAsia="zh-CN" w:bidi="zh-CN"/>
              </w:rPr>
              <w:t>作为预付款</w:t>
            </w:r>
            <w:r>
              <w:rPr>
                <w:rFonts w:hint="eastAsia" w:ascii="宋体" w:hAnsi="宋体" w:eastAsia="宋体" w:cs="宋体"/>
                <w:color w:val="000000"/>
                <w:sz w:val="21"/>
                <w:szCs w:val="21"/>
                <w:highlight w:val="none"/>
                <w:lang w:val="en-US" w:eastAsia="zh-CN" w:bidi="zh-CN"/>
              </w:rPr>
              <w:t xml:space="preserve"> </w:t>
            </w:r>
          </w:p>
        </w:tc>
      </w:tr>
      <w:tr w14:paraId="70A23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0DD7636D">
            <w:pPr>
              <w:keepNext w:val="0"/>
              <w:keepLines w:val="0"/>
              <w:widowControl/>
              <w:numPr>
                <w:ilvl w:val="0"/>
                <w:numId w:val="0"/>
              </w:numPr>
              <w:suppressLineNumbers w:val="0"/>
              <w:spacing w:before="0" w:beforeAutospacing="0" w:after="0" w:afterAutospacing="0" w:line="360" w:lineRule="exact"/>
              <w:ind w:left="0" w:right="0" w:rightChars="0"/>
              <w:rPr>
                <w:rFonts w:hint="eastAsia" w:ascii="宋体" w:hAnsi="宋体" w:eastAsia="宋体" w:cs="宋体"/>
                <w:b/>
                <w:bCs/>
                <w:color w:val="000000"/>
                <w:sz w:val="21"/>
                <w:szCs w:val="21"/>
                <w:highlight w:val="none"/>
                <w:u w:val="single"/>
              </w:rPr>
            </w:pPr>
            <w:r>
              <w:rPr>
                <w:rFonts w:hint="eastAsia" w:ascii="宋体" w:hAnsi="宋体" w:eastAsia="宋体" w:cs="宋体"/>
                <w:b/>
                <w:bCs/>
                <w:color w:val="000000"/>
                <w:sz w:val="21"/>
                <w:szCs w:val="21"/>
                <w:highlight w:val="none"/>
                <w:u w:val="single"/>
                <w:lang w:val="en-US" w:eastAsia="zh-CN"/>
              </w:rPr>
              <w:t>1.6资金支付</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64D62F6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b/>
                <w:bCs/>
                <w:color w:val="000000"/>
                <w:sz w:val="21"/>
                <w:szCs w:val="21"/>
                <w:highlight w:val="none"/>
                <w:lang w:val="en-US" w:eastAsia="zh-CN" w:bidi="zh-CN"/>
              </w:rPr>
            </w:pPr>
            <w:r>
              <w:rPr>
                <w:rFonts w:hint="eastAsia" w:ascii="宋体" w:hAnsi="宋体" w:eastAsia="宋体" w:cs="宋体"/>
                <w:b/>
                <w:bCs/>
                <w:color w:val="000000"/>
                <w:sz w:val="21"/>
                <w:szCs w:val="21"/>
                <w:highlight w:val="none"/>
                <w:lang w:val="en-US" w:eastAsia="zh-CN" w:bidi="zh-CN"/>
              </w:rPr>
              <w:t>可以选择以下C</w:t>
            </w:r>
            <w:r>
              <w:rPr>
                <w:rFonts w:hint="eastAsia" w:ascii="宋体" w:hAnsi="宋体" w:eastAsia="宋体" w:cs="宋体"/>
                <w:b/>
                <w:bCs/>
                <w:color w:val="000000"/>
                <w:sz w:val="21"/>
                <w:szCs w:val="21"/>
                <w:highlight w:val="none"/>
                <w:u w:val="none"/>
                <w:lang w:val="en-US" w:eastAsia="zh-CN" w:bidi="zh-CN"/>
              </w:rPr>
              <w:t>支付方式。</w:t>
            </w:r>
            <w:r>
              <w:rPr>
                <w:rFonts w:hint="eastAsia" w:ascii="宋体" w:hAnsi="宋体" w:eastAsia="宋体" w:cs="宋体"/>
                <w:b/>
                <w:bCs/>
                <w:color w:val="000000"/>
                <w:sz w:val="21"/>
                <w:szCs w:val="21"/>
                <w:highlight w:val="none"/>
                <w:lang w:val="en-US" w:eastAsia="zh-CN" w:bidi="zh-CN"/>
              </w:rPr>
              <w:t xml:space="preserve"> </w:t>
            </w:r>
          </w:p>
          <w:p w14:paraId="3F4B303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en-US" w:eastAsia="zh-CN" w:bidi="zh-CN"/>
              </w:rPr>
            </w:pPr>
            <w:r>
              <w:rPr>
                <w:rFonts w:hint="eastAsia" w:ascii="宋体" w:hAnsi="宋体" w:eastAsia="宋体" w:cs="宋体"/>
                <w:b/>
                <w:bCs/>
                <w:color w:val="000000"/>
                <w:sz w:val="21"/>
                <w:szCs w:val="21"/>
                <w:highlight w:val="none"/>
                <w:lang w:val="en-US" w:eastAsia="zh-CN" w:bidi="zh-CN"/>
              </w:rPr>
              <w:sym w:font="Wingdings" w:char="00A8"/>
            </w:r>
            <w:r>
              <w:rPr>
                <w:rFonts w:hint="eastAsia" w:ascii="宋体" w:hAnsi="宋体" w:eastAsia="宋体" w:cs="宋体"/>
                <w:b/>
                <w:bCs/>
                <w:color w:val="000000"/>
                <w:sz w:val="21"/>
                <w:szCs w:val="21"/>
                <w:highlight w:val="none"/>
                <w:lang w:val="en-US" w:eastAsia="zh-CN" w:bidi="zh-CN"/>
              </w:rPr>
              <w:t>A:一次性支付</w:t>
            </w:r>
            <w:r>
              <w:rPr>
                <w:rFonts w:hint="eastAsia" w:ascii="宋体" w:hAnsi="宋体" w:eastAsia="宋体" w:cs="宋体"/>
                <w:color w:val="000000"/>
                <w:sz w:val="21"/>
                <w:szCs w:val="21"/>
                <w:highlight w:val="none"/>
                <w:lang w:val="en-US" w:eastAsia="zh-CN" w:bidi="zh-CN"/>
              </w:rPr>
              <w:t>。</w:t>
            </w:r>
          </w:p>
          <w:p w14:paraId="73DA9CA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en-US" w:eastAsia="zh-CN" w:bidi="zh-CN"/>
              </w:rPr>
            </w:pPr>
            <w:r>
              <w:rPr>
                <w:rFonts w:hint="eastAsia" w:ascii="宋体" w:hAnsi="宋体" w:eastAsia="宋体" w:cs="宋体"/>
                <w:color w:val="000000"/>
                <w:sz w:val="21"/>
                <w:szCs w:val="21"/>
                <w:highlight w:val="none"/>
                <w:lang w:val="en-US" w:eastAsia="zh-CN" w:bidi="zh-CN"/>
              </w:rPr>
              <w:t>到货验收后，根据实际执行数量进行结算，在到货验收合格且收到乙方开具的全额正式发票后15个工作日内一次性支付给乙方。</w:t>
            </w:r>
          </w:p>
          <w:p w14:paraId="2A995DB1">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b/>
                <w:bCs/>
                <w:color w:val="000000"/>
                <w:sz w:val="21"/>
                <w:szCs w:val="21"/>
                <w:highlight w:val="none"/>
                <w:lang w:val="en-US" w:eastAsia="zh-CN" w:bidi="zh-CN"/>
              </w:rPr>
            </w:pPr>
            <w:r>
              <w:rPr>
                <w:rFonts w:hint="eastAsia" w:ascii="宋体" w:hAnsi="宋体" w:eastAsia="宋体" w:cs="宋体"/>
                <w:b/>
                <w:bCs/>
                <w:color w:val="000000"/>
                <w:sz w:val="21"/>
                <w:szCs w:val="21"/>
                <w:highlight w:val="none"/>
                <w:lang w:val="en-US" w:eastAsia="zh-CN" w:bidi="zh-CN"/>
              </w:rPr>
              <w:sym w:font="Wingdings" w:char="00A8"/>
            </w:r>
            <w:r>
              <w:rPr>
                <w:rFonts w:hint="eastAsia" w:ascii="宋体" w:hAnsi="宋体" w:eastAsia="宋体" w:cs="宋体"/>
                <w:b/>
                <w:bCs/>
                <w:color w:val="000000"/>
                <w:sz w:val="21"/>
                <w:szCs w:val="21"/>
                <w:highlight w:val="none"/>
                <w:lang w:val="en-US" w:eastAsia="zh-CN" w:bidi="zh-CN"/>
              </w:rPr>
              <w:t>B:多次性支付。</w:t>
            </w:r>
          </w:p>
          <w:p w14:paraId="13533EF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zh-CN" w:eastAsia="zh-CN" w:bidi="zh-CN"/>
              </w:rPr>
            </w:pPr>
            <w:r>
              <w:rPr>
                <w:rFonts w:hint="eastAsia" w:ascii="宋体" w:hAnsi="宋体" w:eastAsia="宋体" w:cs="宋体"/>
                <w:b/>
                <w:bCs/>
                <w:color w:val="000000"/>
                <w:sz w:val="21"/>
                <w:szCs w:val="21"/>
                <w:highlight w:val="none"/>
                <w:lang w:val="en-US" w:eastAsia="zh-CN" w:bidi="zh-CN"/>
              </w:rPr>
              <w:t>预付款：</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lang w:val="en-US" w:eastAsia="zh-CN" w:bidi="zh-CN"/>
              </w:rPr>
              <w:t>（是/否）有预付款，合同生效以及具备实施条件后7个工作日内</w:t>
            </w:r>
            <w:r>
              <w:rPr>
                <w:rFonts w:hint="eastAsia" w:ascii="宋体" w:hAnsi="宋体" w:eastAsia="宋体" w:cs="宋体"/>
                <w:color w:val="000000"/>
                <w:sz w:val="21"/>
                <w:szCs w:val="21"/>
                <w:highlight w:val="none"/>
                <w:lang w:val="zh-CN" w:eastAsia="zh-CN" w:bidi="zh-CN"/>
              </w:rPr>
              <w:t>甲方向乙方支付合同总价的</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lang w:val="en-US" w:eastAsia="zh-CN" w:bidi="zh-CN"/>
              </w:rPr>
              <w:t xml:space="preserve"> </w:t>
            </w:r>
            <w:r>
              <w:rPr>
                <w:rFonts w:hint="eastAsia" w:ascii="宋体" w:hAnsi="宋体" w:eastAsia="宋体" w:cs="宋体"/>
                <w:color w:val="000000"/>
                <w:sz w:val="21"/>
                <w:szCs w:val="21"/>
                <w:highlight w:val="none"/>
                <w:lang w:val="zh-CN" w:eastAsia="zh-CN" w:bidi="zh-CN"/>
              </w:rPr>
              <w:t>%，</w:t>
            </w:r>
            <w:r>
              <w:rPr>
                <w:rFonts w:hint="eastAsia" w:ascii="宋体" w:hAnsi="宋体" w:eastAsia="宋体" w:cs="宋体"/>
                <w:color w:val="000000"/>
                <w:sz w:val="21"/>
                <w:szCs w:val="21"/>
                <w:highlight w:val="none"/>
                <w:lang w:val="en-US" w:eastAsia="zh-CN" w:bidi="zh-CN"/>
              </w:rPr>
              <w:t>计</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u w:val="none"/>
                <w:lang w:val="en-US" w:eastAsia="zh-CN" w:bidi="zh-CN"/>
              </w:rPr>
              <w:t>元</w:t>
            </w:r>
            <w:r>
              <w:rPr>
                <w:rFonts w:hint="eastAsia" w:ascii="宋体" w:hAnsi="宋体" w:eastAsia="宋体" w:cs="宋体"/>
                <w:color w:val="000000"/>
                <w:sz w:val="21"/>
                <w:szCs w:val="21"/>
                <w:highlight w:val="none"/>
                <w:lang w:val="zh-CN" w:eastAsia="zh-CN" w:bidi="zh-CN"/>
              </w:rPr>
              <w:t>作为预付款；</w:t>
            </w:r>
          </w:p>
          <w:p w14:paraId="1C3E8F2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zh-CN" w:eastAsia="zh-CN" w:bidi="zh-CN"/>
              </w:rPr>
            </w:pPr>
            <w:r>
              <w:rPr>
                <w:rFonts w:hint="eastAsia" w:ascii="宋体" w:hAnsi="宋体" w:eastAsia="宋体" w:cs="宋体"/>
                <w:b/>
                <w:bCs/>
                <w:color w:val="000000"/>
                <w:sz w:val="21"/>
                <w:szCs w:val="21"/>
                <w:highlight w:val="none"/>
                <w:lang w:val="en-US" w:eastAsia="zh-CN" w:bidi="zh-CN"/>
              </w:rPr>
              <w:t>进度款：</w:t>
            </w:r>
            <w:r>
              <w:rPr>
                <w:rFonts w:hint="eastAsia" w:ascii="宋体" w:hAnsi="宋体" w:eastAsia="宋体" w:cs="宋体"/>
                <w:color w:val="000000"/>
                <w:sz w:val="21"/>
                <w:szCs w:val="21"/>
                <w:highlight w:val="none"/>
                <w:u w:val="single"/>
                <w:lang w:val="en-US" w:eastAsia="zh-CN" w:bidi="zh-CN"/>
              </w:rPr>
              <w:t>是</w:t>
            </w:r>
            <w:r>
              <w:rPr>
                <w:rFonts w:hint="eastAsia" w:ascii="宋体" w:hAnsi="宋体" w:eastAsia="宋体" w:cs="宋体"/>
                <w:color w:val="000000"/>
                <w:sz w:val="21"/>
                <w:szCs w:val="21"/>
                <w:highlight w:val="none"/>
                <w:lang w:val="en-US" w:eastAsia="zh-CN" w:bidi="zh-CN"/>
              </w:rPr>
              <w:t>（是/否）有进度款，如有，则</w:t>
            </w:r>
            <w:r>
              <w:rPr>
                <w:rFonts w:hint="eastAsia" w:ascii="宋体" w:hAnsi="宋体" w:eastAsia="宋体" w:cs="宋体"/>
                <w:color w:val="000000"/>
                <w:sz w:val="21"/>
                <w:szCs w:val="21"/>
                <w:highlight w:val="none"/>
                <w:u w:val="single"/>
                <w:lang w:val="en-US" w:eastAsia="zh-CN" w:bidi="zh-CN"/>
              </w:rPr>
              <w:t>全部设备交付使用</w:t>
            </w:r>
            <w:r>
              <w:rPr>
                <w:rFonts w:hint="eastAsia" w:ascii="宋体" w:hAnsi="宋体" w:eastAsia="宋体" w:cs="宋体"/>
                <w:color w:val="000000"/>
                <w:sz w:val="21"/>
                <w:szCs w:val="21"/>
                <w:highlight w:val="none"/>
                <w:lang w:val="zh-CN" w:eastAsia="zh-CN" w:bidi="zh-CN"/>
              </w:rPr>
              <w:t>后，</w:t>
            </w:r>
            <w:r>
              <w:rPr>
                <w:rFonts w:hint="eastAsia" w:ascii="宋体" w:hAnsi="宋体" w:eastAsia="宋体" w:cs="宋体"/>
                <w:color w:val="000000"/>
                <w:sz w:val="21"/>
                <w:szCs w:val="21"/>
                <w:highlight w:val="none"/>
                <w:lang w:val="en-US" w:eastAsia="zh-CN" w:bidi="zh-CN"/>
              </w:rPr>
              <w:t>自收到发票后7个工作日内</w:t>
            </w:r>
            <w:r>
              <w:rPr>
                <w:rFonts w:hint="eastAsia" w:ascii="宋体" w:hAnsi="宋体" w:eastAsia="宋体" w:cs="宋体"/>
                <w:color w:val="000000"/>
                <w:sz w:val="21"/>
                <w:szCs w:val="21"/>
                <w:highlight w:val="none"/>
                <w:lang w:val="zh-CN" w:eastAsia="zh-CN" w:bidi="zh-CN"/>
              </w:rPr>
              <w:t>甲方向乙方支付合同总价的</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lang w:val="zh-CN" w:eastAsia="zh-CN" w:bidi="zh-CN"/>
              </w:rPr>
              <w:t>%，</w:t>
            </w:r>
            <w:r>
              <w:rPr>
                <w:rFonts w:hint="eastAsia" w:ascii="宋体" w:hAnsi="宋体" w:eastAsia="宋体" w:cs="宋体"/>
                <w:color w:val="000000"/>
                <w:sz w:val="21"/>
                <w:szCs w:val="21"/>
                <w:highlight w:val="none"/>
                <w:lang w:val="en-US" w:eastAsia="zh-CN" w:bidi="zh-CN"/>
              </w:rPr>
              <w:t>计</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u w:val="none"/>
                <w:lang w:val="en-US" w:eastAsia="zh-CN" w:bidi="zh-CN"/>
              </w:rPr>
              <w:t>元（可增减）</w:t>
            </w:r>
            <w:r>
              <w:rPr>
                <w:rFonts w:hint="eastAsia" w:ascii="宋体" w:hAnsi="宋体" w:eastAsia="宋体" w:cs="宋体"/>
                <w:color w:val="000000"/>
                <w:sz w:val="21"/>
                <w:szCs w:val="21"/>
                <w:highlight w:val="none"/>
                <w:lang w:val="zh-CN" w:eastAsia="zh-CN" w:bidi="zh-CN"/>
              </w:rPr>
              <w:t>；</w:t>
            </w:r>
          </w:p>
          <w:p w14:paraId="1ECF461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zh-CN" w:eastAsia="zh-CN" w:bidi="zh-CN"/>
              </w:rPr>
            </w:pPr>
            <w:r>
              <w:rPr>
                <w:rFonts w:hint="eastAsia" w:ascii="宋体" w:hAnsi="宋体" w:eastAsia="宋体" w:cs="宋体"/>
                <w:b/>
                <w:bCs/>
                <w:color w:val="000000"/>
                <w:sz w:val="21"/>
                <w:szCs w:val="21"/>
                <w:highlight w:val="none"/>
                <w:lang w:val="en-US" w:eastAsia="zh-CN" w:bidi="zh-CN"/>
              </w:rPr>
              <w:t>尾款：</w:t>
            </w:r>
            <w:r>
              <w:rPr>
                <w:rFonts w:hint="eastAsia" w:ascii="宋体" w:hAnsi="宋体" w:eastAsia="宋体" w:cs="宋体"/>
                <w:color w:val="000000"/>
                <w:sz w:val="21"/>
                <w:szCs w:val="21"/>
                <w:highlight w:val="none"/>
                <w:lang w:val="en-US" w:eastAsia="zh-CN" w:bidi="zh-CN"/>
              </w:rPr>
              <w:t>全部项目验收合格且收到乙方开具的全额正式发票后7个工作日内</w:t>
            </w:r>
            <w:r>
              <w:rPr>
                <w:rFonts w:hint="eastAsia" w:ascii="宋体" w:hAnsi="宋体" w:eastAsia="宋体" w:cs="宋体"/>
                <w:color w:val="000000"/>
                <w:sz w:val="21"/>
                <w:szCs w:val="21"/>
                <w:highlight w:val="none"/>
                <w:lang w:val="zh-CN" w:eastAsia="zh-CN" w:bidi="zh-CN"/>
              </w:rPr>
              <w:t>，甲方向乙方支付剩余合同总价的</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lang w:val="zh-CN" w:eastAsia="zh-CN" w:bidi="zh-CN"/>
              </w:rPr>
              <w:t>%，</w:t>
            </w:r>
            <w:r>
              <w:rPr>
                <w:rFonts w:hint="eastAsia" w:ascii="宋体" w:hAnsi="宋体" w:eastAsia="宋体" w:cs="宋体"/>
                <w:color w:val="000000"/>
                <w:sz w:val="21"/>
                <w:szCs w:val="21"/>
                <w:highlight w:val="none"/>
                <w:lang w:val="en-US" w:eastAsia="zh-CN" w:bidi="zh-CN"/>
              </w:rPr>
              <w:t>计</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u w:val="none"/>
                <w:lang w:val="en-US" w:eastAsia="zh-CN" w:bidi="zh-CN"/>
              </w:rPr>
              <w:t>元</w:t>
            </w:r>
            <w:r>
              <w:rPr>
                <w:rFonts w:hint="eastAsia" w:ascii="宋体" w:hAnsi="宋体" w:eastAsia="宋体" w:cs="宋体"/>
                <w:color w:val="000000"/>
                <w:sz w:val="21"/>
                <w:szCs w:val="21"/>
                <w:highlight w:val="none"/>
                <w:lang w:val="zh-CN" w:eastAsia="zh-CN" w:bidi="zh-CN"/>
              </w:rPr>
              <w:t>。</w:t>
            </w:r>
          </w:p>
          <w:p w14:paraId="3A64E26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b/>
                <w:bCs/>
                <w:color w:val="000000"/>
                <w:sz w:val="21"/>
                <w:szCs w:val="21"/>
                <w:highlight w:val="none"/>
                <w:lang w:val="en-US" w:eastAsia="zh-CN" w:bidi="zh-CN"/>
              </w:rPr>
            </w:pPr>
            <w:r>
              <w:rPr>
                <w:rFonts w:hint="eastAsia" w:ascii="宋体" w:hAnsi="宋体" w:eastAsia="宋体" w:cs="宋体"/>
                <w:b/>
                <w:bCs/>
                <w:color w:val="000000"/>
                <w:sz w:val="21"/>
                <w:szCs w:val="21"/>
                <w:highlight w:val="none"/>
                <w:lang w:val="en-US" w:eastAsia="zh-CN" w:bidi="zh-CN"/>
              </w:rPr>
              <w:sym w:font="Wingdings" w:char="00FE"/>
            </w:r>
            <w:r>
              <w:rPr>
                <w:rFonts w:hint="eastAsia" w:ascii="宋体" w:hAnsi="宋体" w:eastAsia="宋体" w:cs="宋体"/>
                <w:b/>
                <w:bCs/>
                <w:color w:val="000000"/>
                <w:sz w:val="21"/>
                <w:szCs w:val="21"/>
                <w:highlight w:val="none"/>
                <w:lang w:val="en-US" w:eastAsia="zh-CN" w:bidi="zh-CN"/>
              </w:rPr>
              <w:t>C：阶段性支付。</w:t>
            </w:r>
          </w:p>
          <w:p w14:paraId="481F419B">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zh-CN" w:eastAsia="zh-CN" w:bidi="zh-CN"/>
              </w:rPr>
            </w:pPr>
            <w:r>
              <w:rPr>
                <w:rFonts w:hint="eastAsia" w:ascii="宋体" w:hAnsi="宋体" w:eastAsia="宋体" w:cs="宋体"/>
                <w:color w:val="000000"/>
                <w:sz w:val="21"/>
                <w:szCs w:val="21"/>
                <w:highlight w:val="none"/>
                <w:lang w:val="en-US" w:eastAsia="zh-CN" w:bidi="zh-CN"/>
              </w:rPr>
              <w:t>预付款：</w:t>
            </w:r>
            <w:r>
              <w:rPr>
                <w:rFonts w:hint="eastAsia" w:ascii="宋体" w:hAnsi="宋体" w:eastAsia="宋体" w:cs="宋体"/>
                <w:color w:val="000000"/>
                <w:sz w:val="21"/>
                <w:szCs w:val="21"/>
                <w:highlight w:val="none"/>
                <w:u w:val="single"/>
                <w:lang w:val="en-US" w:eastAsia="zh-CN" w:bidi="zh-CN"/>
              </w:rPr>
              <w:t xml:space="preserve"> 是</w:t>
            </w:r>
            <w:r>
              <w:rPr>
                <w:rFonts w:hint="eastAsia" w:ascii="宋体" w:hAnsi="宋体" w:eastAsia="宋体" w:cs="宋体"/>
                <w:color w:val="000000"/>
                <w:sz w:val="21"/>
                <w:szCs w:val="21"/>
                <w:highlight w:val="none"/>
                <w:lang w:val="en-US" w:eastAsia="zh-CN" w:bidi="zh-CN"/>
              </w:rPr>
              <w:t>（是/否）有预付款，合同生效以及具备实施条件后7个工作日内</w:t>
            </w:r>
            <w:r>
              <w:rPr>
                <w:rFonts w:hint="eastAsia" w:ascii="宋体" w:hAnsi="宋体" w:eastAsia="宋体" w:cs="宋体"/>
                <w:color w:val="000000"/>
                <w:sz w:val="21"/>
                <w:szCs w:val="21"/>
                <w:highlight w:val="none"/>
                <w:lang w:val="zh-CN" w:eastAsia="zh-CN" w:bidi="zh-CN"/>
              </w:rPr>
              <w:t>甲方向乙方支付合同总价的</w:t>
            </w:r>
            <w:r>
              <w:rPr>
                <w:rFonts w:hint="eastAsia" w:ascii="宋体" w:hAnsi="宋体" w:eastAsia="宋体" w:cs="宋体"/>
                <w:color w:val="000000"/>
                <w:sz w:val="21"/>
                <w:szCs w:val="21"/>
                <w:highlight w:val="none"/>
                <w:u w:val="single"/>
                <w:lang w:val="en-US" w:eastAsia="zh-CN" w:bidi="zh-CN"/>
              </w:rPr>
              <w:t>40</w:t>
            </w:r>
            <w:r>
              <w:rPr>
                <w:rFonts w:hint="eastAsia" w:ascii="宋体" w:hAnsi="宋体" w:eastAsia="宋体" w:cs="宋体"/>
                <w:color w:val="000000"/>
                <w:sz w:val="21"/>
                <w:szCs w:val="21"/>
                <w:highlight w:val="none"/>
                <w:lang w:val="en-US" w:eastAsia="zh-CN" w:bidi="zh-CN"/>
              </w:rPr>
              <w:t xml:space="preserve"> </w:t>
            </w:r>
            <w:r>
              <w:rPr>
                <w:rFonts w:hint="eastAsia" w:ascii="宋体" w:hAnsi="宋体" w:eastAsia="宋体" w:cs="宋体"/>
                <w:color w:val="000000"/>
                <w:sz w:val="21"/>
                <w:szCs w:val="21"/>
                <w:highlight w:val="none"/>
                <w:lang w:val="zh-CN" w:eastAsia="zh-CN" w:bidi="zh-CN"/>
              </w:rPr>
              <w:t>%，</w:t>
            </w:r>
            <w:r>
              <w:rPr>
                <w:rFonts w:hint="eastAsia" w:ascii="宋体" w:hAnsi="宋体" w:eastAsia="宋体" w:cs="宋体"/>
                <w:color w:val="000000"/>
                <w:sz w:val="21"/>
                <w:szCs w:val="21"/>
                <w:highlight w:val="none"/>
                <w:lang w:val="en-US" w:eastAsia="zh-CN" w:bidi="zh-CN"/>
              </w:rPr>
              <w:t>计</w:t>
            </w:r>
            <w:r>
              <w:rPr>
                <w:rFonts w:hint="eastAsia" w:ascii="宋体" w:hAnsi="宋体" w:eastAsia="宋体" w:cs="宋体"/>
                <w:color w:val="000000"/>
                <w:sz w:val="21"/>
                <w:szCs w:val="21"/>
                <w:highlight w:val="none"/>
                <w:u w:val="single"/>
                <w:lang w:val="en-US" w:eastAsia="zh-CN" w:bidi="zh-CN"/>
              </w:rPr>
              <w:t xml:space="preserve">     </w:t>
            </w:r>
            <w:r>
              <w:rPr>
                <w:rFonts w:hint="eastAsia" w:ascii="宋体" w:hAnsi="宋体" w:eastAsia="宋体" w:cs="宋体"/>
                <w:color w:val="000000"/>
                <w:sz w:val="21"/>
                <w:szCs w:val="21"/>
                <w:highlight w:val="none"/>
                <w:u w:val="none"/>
                <w:lang w:val="en-US" w:eastAsia="zh-CN" w:bidi="zh-CN"/>
              </w:rPr>
              <w:t>元</w:t>
            </w:r>
            <w:r>
              <w:rPr>
                <w:rFonts w:hint="eastAsia" w:ascii="宋体" w:hAnsi="宋体" w:eastAsia="宋体" w:cs="宋体"/>
                <w:color w:val="000000"/>
                <w:sz w:val="21"/>
                <w:szCs w:val="21"/>
                <w:highlight w:val="none"/>
                <w:lang w:val="zh-CN" w:eastAsia="zh-CN" w:bidi="zh-CN"/>
              </w:rPr>
              <w:t>作为预付款；</w:t>
            </w:r>
          </w:p>
          <w:p w14:paraId="219892B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color w:val="000000"/>
                <w:sz w:val="21"/>
                <w:szCs w:val="21"/>
                <w:highlight w:val="none"/>
                <w:lang w:val="en-US" w:eastAsia="zh-CN" w:bidi="zh-CN"/>
              </w:rPr>
            </w:pPr>
            <w:r>
              <w:rPr>
                <w:rFonts w:hint="eastAsia" w:ascii="宋体" w:hAnsi="宋体" w:eastAsia="宋体" w:cs="宋体"/>
                <w:color w:val="000000"/>
                <w:sz w:val="21"/>
                <w:szCs w:val="21"/>
                <w:highlight w:val="none"/>
                <w:lang w:val="en-US" w:eastAsia="zh-CN" w:bidi="zh-CN"/>
              </w:rPr>
              <w:t>其余款项按</w:t>
            </w:r>
            <w:r>
              <w:rPr>
                <w:rFonts w:hint="eastAsia" w:ascii="宋体" w:hAnsi="宋体" w:eastAsia="宋体" w:cs="宋体"/>
                <w:color w:val="000000"/>
                <w:sz w:val="21"/>
                <w:szCs w:val="21"/>
                <w:highlight w:val="none"/>
                <w:u w:val="single"/>
                <w:lang w:val="en-US" w:eastAsia="zh-CN" w:bidi="zh-CN"/>
              </w:rPr>
              <w:t>全部设备交付使用</w:t>
            </w:r>
            <w:r>
              <w:rPr>
                <w:rFonts w:hint="eastAsia" w:ascii="宋体" w:hAnsi="宋体" w:eastAsia="宋体" w:cs="宋体"/>
                <w:color w:val="000000"/>
                <w:sz w:val="21"/>
                <w:szCs w:val="21"/>
                <w:highlight w:val="none"/>
                <w:lang w:val="zh-CN" w:eastAsia="zh-CN" w:bidi="zh-CN"/>
              </w:rPr>
              <w:t>后</w:t>
            </w:r>
            <w:r>
              <w:rPr>
                <w:rFonts w:hint="eastAsia" w:ascii="宋体" w:hAnsi="宋体" w:eastAsia="宋体" w:cs="宋体"/>
                <w:color w:val="000000"/>
                <w:sz w:val="21"/>
                <w:szCs w:val="21"/>
                <w:highlight w:val="none"/>
                <w:u w:val="none"/>
                <w:lang w:val="en-US" w:eastAsia="zh-CN" w:bidi="zh-CN"/>
              </w:rPr>
              <w:t>，</w:t>
            </w:r>
            <w:r>
              <w:rPr>
                <w:rFonts w:hint="eastAsia" w:ascii="宋体" w:hAnsi="宋体" w:eastAsia="宋体" w:cs="宋体"/>
                <w:color w:val="000000"/>
                <w:sz w:val="21"/>
                <w:szCs w:val="21"/>
                <w:highlight w:val="none"/>
                <w:lang w:val="en-US" w:eastAsia="zh-CN" w:bidi="zh-CN"/>
              </w:rPr>
              <w:t>经验收合格且收到乙方开具的全额正式发票后</w:t>
            </w:r>
            <w:r>
              <w:rPr>
                <w:rFonts w:hint="eastAsia" w:ascii="宋体" w:hAnsi="宋体" w:eastAsia="宋体" w:cs="宋体"/>
                <w:color w:val="000000"/>
                <w:sz w:val="21"/>
                <w:szCs w:val="21"/>
                <w:highlight w:val="none"/>
                <w:u w:val="none"/>
                <w:lang w:val="en-US" w:eastAsia="zh-CN" w:bidi="zh-CN"/>
              </w:rPr>
              <w:t>7</w:t>
            </w:r>
            <w:r>
              <w:rPr>
                <w:rFonts w:hint="eastAsia" w:ascii="宋体" w:hAnsi="宋体" w:eastAsia="宋体" w:cs="宋体"/>
                <w:color w:val="000000"/>
                <w:sz w:val="21"/>
                <w:szCs w:val="21"/>
                <w:highlight w:val="none"/>
                <w:lang w:val="en-US" w:eastAsia="zh-CN" w:bidi="zh-CN"/>
              </w:rPr>
              <w:t>个工作日内支付。</w:t>
            </w:r>
          </w:p>
          <w:p w14:paraId="2A32781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60" w:lineRule="exact"/>
              <w:ind w:left="0" w:leftChars="0" w:right="0" w:rightChars="0"/>
              <w:textAlignment w:val="auto"/>
              <w:rPr>
                <w:rFonts w:hint="eastAsia" w:ascii="宋体" w:hAnsi="宋体" w:eastAsia="宋体" w:cs="宋体"/>
                <w:b/>
                <w:bCs/>
                <w:color w:val="000000"/>
                <w:sz w:val="21"/>
                <w:szCs w:val="21"/>
                <w:highlight w:val="none"/>
                <w:u w:val="single"/>
              </w:rPr>
            </w:pPr>
            <w:r>
              <w:rPr>
                <w:rFonts w:hint="eastAsia" w:ascii="宋体" w:hAnsi="宋体" w:eastAsia="宋体" w:cs="宋体"/>
                <w:color w:val="000000"/>
                <w:sz w:val="21"/>
                <w:szCs w:val="21"/>
                <w:highlight w:val="none"/>
                <w:lang w:val="en-US" w:eastAsia="zh-CN" w:bidi="zh-CN"/>
              </w:rPr>
              <w:t xml:space="preserve">特殊约定：无                            </w:t>
            </w:r>
          </w:p>
        </w:tc>
      </w:tr>
      <w:bookmarkEnd w:id="211"/>
      <w:tr w14:paraId="66593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208D77E0">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1.7.1</w:t>
            </w:r>
            <w:r>
              <w:rPr>
                <w:rFonts w:hint="eastAsia" w:ascii="宋体" w:hAnsi="宋体" w:eastAsia="宋体" w:cs="宋体"/>
                <w:b/>
                <w:bCs/>
                <w:color w:val="000000"/>
                <w:sz w:val="21"/>
                <w:szCs w:val="21"/>
                <w:highlight w:val="none"/>
              </w:rPr>
              <w:t>交付时间</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028D526F">
            <w:pPr>
              <w:keepNext w:val="0"/>
              <w:keepLines w:val="0"/>
              <w:widowControl/>
              <w:numPr>
                <w:ilvl w:val="0"/>
                <w:numId w:val="0"/>
              </w:numPr>
              <w:suppressLineNumbers w:val="0"/>
              <w:spacing w:before="0" w:beforeAutospacing="0" w:after="0" w:afterAutospacing="0" w:line="360" w:lineRule="exact"/>
              <w:ind w:left="420" w:leftChars="200" w:right="0" w:righ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bCs/>
                <w:color w:val="000000"/>
                <w:sz w:val="21"/>
                <w:szCs w:val="21"/>
                <w:highlight w:val="none"/>
              </w:rPr>
              <w:t>合同签署后，</w:t>
            </w:r>
            <w:r>
              <w:rPr>
                <w:rFonts w:hint="eastAsia" w:ascii="宋体" w:hAnsi="宋体" w:eastAsia="宋体" w:cs="宋体"/>
                <w:bCs/>
                <w:color w:val="000000"/>
                <w:sz w:val="21"/>
                <w:szCs w:val="21"/>
                <w:highlight w:val="none"/>
                <w:u w:val="single"/>
                <w:lang w:val="en-US" w:eastAsia="zh-CN"/>
              </w:rPr>
              <w:t xml:space="preserve"> 60 </w:t>
            </w:r>
            <w:r>
              <w:rPr>
                <w:rFonts w:hint="eastAsia" w:ascii="宋体" w:hAnsi="宋体" w:eastAsia="宋体" w:cs="宋体"/>
                <w:bCs/>
                <w:color w:val="000000"/>
                <w:sz w:val="21"/>
                <w:szCs w:val="21"/>
                <w:highlight w:val="none"/>
              </w:rPr>
              <w:t>个日历日内交付。</w:t>
            </w:r>
          </w:p>
        </w:tc>
      </w:tr>
      <w:tr w14:paraId="6D104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38E6231D">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Cs/>
                <w:color w:val="000000"/>
                <w:sz w:val="21"/>
                <w:szCs w:val="21"/>
                <w:highlight w:val="none"/>
              </w:rPr>
            </w:pPr>
            <w:r>
              <w:rPr>
                <w:rFonts w:hint="eastAsia" w:ascii="宋体" w:hAnsi="宋体" w:eastAsia="宋体" w:cs="宋体"/>
                <w:b/>
                <w:bCs/>
                <w:color w:val="000000"/>
                <w:sz w:val="21"/>
                <w:szCs w:val="21"/>
                <w:highlight w:val="none"/>
                <w:lang w:val="en-US" w:eastAsia="zh-CN"/>
              </w:rPr>
              <w:t>1.7.2</w:t>
            </w:r>
            <w:r>
              <w:rPr>
                <w:rFonts w:hint="eastAsia" w:ascii="宋体" w:hAnsi="宋体" w:eastAsia="宋体" w:cs="宋体"/>
                <w:b/>
                <w:bCs/>
                <w:color w:val="000000"/>
                <w:sz w:val="21"/>
                <w:szCs w:val="21"/>
                <w:highlight w:val="none"/>
              </w:rPr>
              <w:t>交付地点</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15C98D7E">
            <w:pPr>
              <w:pStyle w:val="8"/>
              <w:keepNext w:val="0"/>
              <w:keepLines w:val="0"/>
              <w:widowControl/>
              <w:numPr>
                <w:ilvl w:val="0"/>
                <w:numId w:val="0"/>
              </w:numPr>
              <w:suppressLineNumbers w:val="0"/>
              <w:spacing w:before="0" w:beforeAutospacing="0" w:after="0" w:afterAutospacing="0" w:line="360" w:lineRule="exact"/>
              <w:ind w:left="420" w:leftChars="200" w:right="0" w:rightChars="0"/>
              <w:rPr>
                <w:rFonts w:hint="eastAsia" w:ascii="宋体" w:hAnsi="宋体" w:eastAsia="宋体" w:cs="宋体"/>
                <w:bCs/>
                <w:color w:val="000000"/>
                <w:sz w:val="21"/>
                <w:szCs w:val="21"/>
                <w:highlight w:val="none"/>
                <w:lang w:val="en-US" w:eastAsia="zh-CN"/>
              </w:rPr>
            </w:pPr>
            <w:r>
              <w:rPr>
                <w:rFonts w:hint="eastAsia" w:ascii="宋体" w:hAnsi="宋体" w:eastAsia="宋体" w:cs="宋体"/>
                <w:i/>
                <w:iCs/>
                <w:color w:val="000000"/>
                <w:sz w:val="21"/>
                <w:szCs w:val="21"/>
                <w:highlight w:val="none"/>
                <w:u w:val="single"/>
                <w:lang w:val="en-US" w:eastAsia="zh-CN"/>
              </w:rPr>
              <w:t>甲方指定地点</w:t>
            </w:r>
          </w:p>
        </w:tc>
      </w:tr>
      <w:tr w14:paraId="0F7CA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718783CB">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1.7.3交付方式</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1B67C7EA">
            <w:pPr>
              <w:pStyle w:val="8"/>
              <w:keepNext w:val="0"/>
              <w:keepLines w:val="0"/>
              <w:widowControl/>
              <w:numPr>
                <w:ilvl w:val="0"/>
                <w:numId w:val="0"/>
              </w:numPr>
              <w:suppressLineNumbers w:val="0"/>
              <w:spacing w:before="0" w:beforeAutospacing="0" w:after="0" w:afterAutospacing="0" w:line="360" w:lineRule="exact"/>
              <w:ind w:left="420" w:leftChars="200" w:right="0" w:rightChars="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现场交付</w:t>
            </w:r>
          </w:p>
        </w:tc>
      </w:tr>
      <w:tr w14:paraId="6E1C6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90"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5E82EC73">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1.8.6违约责任</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698FEC95">
            <w:pPr>
              <w:keepNext w:val="0"/>
              <w:keepLines w:val="0"/>
              <w:pageBreakBefore w:val="0"/>
              <w:widowControl/>
              <w:numPr>
                <w:ilvl w:val="0"/>
                <w:numId w:val="0"/>
              </w:numPr>
              <w:suppressLineNumbers w:val="0"/>
              <w:kinsoku/>
              <w:wordWrap/>
              <w:overflowPunct/>
              <w:topLinePunct w:val="0"/>
              <w:autoSpaceDE w:val="0"/>
              <w:autoSpaceDN w:val="0"/>
              <w:bidi w:val="0"/>
              <w:snapToGrid/>
              <w:spacing w:before="0" w:beforeAutospacing="0" w:after="0" w:afterAutospacing="0" w:line="460" w:lineRule="exact"/>
              <w:ind w:left="0" w:right="0" w:rightChars="0" w:firstLine="472"/>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除不可抗力外，如乙方发生不能按期交货或提供服务、甲方发生中途退货等情况，应及时通知对方。双方本着友好的态度进行协商，妥善解决。如协商无效，按以下</w:t>
            </w:r>
            <w:bookmarkStart w:id="213" w:name="_Hlk144213533"/>
            <w:r>
              <w:rPr>
                <w:rFonts w:hint="eastAsia" w:ascii="宋体" w:hAnsi="宋体" w:eastAsia="宋体" w:cs="宋体"/>
                <w:color w:val="000000"/>
                <w:sz w:val="21"/>
                <w:szCs w:val="21"/>
                <w:highlight w:val="none"/>
              </w:rPr>
              <w:t>约定承担违约责任：</w:t>
            </w:r>
          </w:p>
          <w:bookmarkEnd w:id="213"/>
          <w:p w14:paraId="5DECA1F6">
            <w:pPr>
              <w:keepNext w:val="0"/>
              <w:keepLines w:val="0"/>
              <w:pageBreakBefore w:val="0"/>
              <w:widowControl/>
              <w:numPr>
                <w:ilvl w:val="0"/>
                <w:numId w:val="0"/>
              </w:numPr>
              <w:suppressLineNumbers w:val="0"/>
              <w:kinsoku/>
              <w:wordWrap/>
              <w:overflowPunct/>
              <w:topLinePunct w:val="0"/>
              <w:autoSpaceDE w:val="0"/>
              <w:autoSpaceDN w:val="0"/>
              <w:bidi w:val="0"/>
              <w:snapToGrid/>
              <w:spacing w:before="0" w:beforeAutospacing="0" w:after="0" w:afterAutospacing="0" w:line="460" w:lineRule="exact"/>
              <w:ind w:left="0" w:right="0" w:rightChars="0" w:firstLine="422" w:firstLineChars="200"/>
              <w:textAlignment w:val="auto"/>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逾期交货</w:t>
            </w:r>
            <w:r>
              <w:rPr>
                <w:rFonts w:hint="eastAsia" w:ascii="宋体" w:hAnsi="宋体" w:eastAsia="宋体" w:cs="宋体"/>
                <w:b/>
                <w:bCs/>
                <w:color w:val="000000"/>
                <w:sz w:val="21"/>
                <w:szCs w:val="21"/>
                <w:highlight w:val="none"/>
                <w:lang w:eastAsia="zh-CN"/>
              </w:rPr>
              <w:t>：</w:t>
            </w:r>
            <w:r>
              <w:rPr>
                <w:rFonts w:hint="eastAsia" w:ascii="宋体" w:hAnsi="宋体" w:eastAsia="宋体" w:cs="宋体"/>
                <w:color w:val="000000"/>
                <w:sz w:val="21"/>
                <w:szCs w:val="21"/>
                <w:highlight w:val="none"/>
              </w:rPr>
              <w:t>乙方逾期交货，应向甲方支付违约金。自逾期之日起，每逾期一日违约金按合同总价的</w:t>
            </w:r>
            <w:r>
              <w:rPr>
                <w:rFonts w:hint="eastAsia" w:ascii="宋体" w:hAnsi="宋体" w:eastAsia="宋体" w:cs="宋体"/>
                <w:color w:val="000000"/>
                <w:sz w:val="21"/>
                <w:szCs w:val="21"/>
                <w:highlight w:val="none"/>
                <w:u w:val="single"/>
              </w:rPr>
              <w:t>0.2</w:t>
            </w:r>
            <w:r>
              <w:rPr>
                <w:rFonts w:hint="eastAsia" w:ascii="宋体" w:hAnsi="宋体" w:eastAsia="宋体" w:cs="宋体"/>
                <w:color w:val="000000"/>
                <w:sz w:val="21"/>
                <w:szCs w:val="21"/>
                <w:highlight w:val="none"/>
              </w:rPr>
              <w:t>%计收，逾期违约金最高限额为合同总价的</w:t>
            </w:r>
            <w:r>
              <w:rPr>
                <w:rFonts w:hint="eastAsia" w:ascii="宋体" w:hAnsi="宋体" w:eastAsia="宋体" w:cs="宋体"/>
                <w:color w:val="000000"/>
                <w:sz w:val="21"/>
                <w:szCs w:val="21"/>
                <w:highlight w:val="none"/>
                <w:u w:val="single"/>
              </w:rPr>
              <w:t>2.5</w:t>
            </w:r>
            <w:r>
              <w:rPr>
                <w:rFonts w:hint="eastAsia" w:ascii="宋体" w:hAnsi="宋体" w:eastAsia="宋体" w:cs="宋体"/>
                <w:color w:val="000000"/>
                <w:sz w:val="21"/>
                <w:szCs w:val="21"/>
                <w:highlight w:val="none"/>
              </w:rPr>
              <w:t>%。甲方有权从履约保证金中直接扣除违约金，不足部分直接从货款中抵扣。如违约金达到最高限额时乙方仍不能交货，甲方有权解除合同并按乙方不能交货的违约条款执行。</w:t>
            </w:r>
          </w:p>
          <w:p w14:paraId="5CA7FD2A">
            <w:pPr>
              <w:keepNext w:val="0"/>
              <w:keepLines w:val="0"/>
              <w:pageBreakBefore w:val="0"/>
              <w:widowControl/>
              <w:numPr>
                <w:ilvl w:val="0"/>
                <w:numId w:val="0"/>
              </w:numPr>
              <w:suppressLineNumbers w:val="0"/>
              <w:kinsoku/>
              <w:wordWrap/>
              <w:overflowPunct/>
              <w:topLinePunct w:val="0"/>
              <w:autoSpaceDE w:val="0"/>
              <w:autoSpaceDN w:val="0"/>
              <w:bidi w:val="0"/>
              <w:snapToGrid/>
              <w:spacing w:before="0" w:beforeAutospacing="0" w:after="0" w:afterAutospacing="0" w:line="460" w:lineRule="exact"/>
              <w:ind w:left="0" w:right="0" w:rightChars="0" w:firstLine="422"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rPr>
              <w:t>乙方不能交货或甲方中途退货</w:t>
            </w:r>
            <w:r>
              <w:rPr>
                <w:rFonts w:hint="eastAsia" w:ascii="宋体" w:hAnsi="宋体" w:eastAsia="宋体" w:cs="宋体"/>
                <w:b/>
                <w:bCs/>
                <w:color w:val="000000"/>
                <w:sz w:val="21"/>
                <w:szCs w:val="21"/>
                <w:highlight w:val="none"/>
                <w:u w:val="none"/>
                <w:lang w:eastAsia="zh-CN"/>
              </w:rPr>
              <w:t>：</w:t>
            </w:r>
            <w:r>
              <w:rPr>
                <w:rFonts w:hint="eastAsia" w:ascii="宋体" w:hAnsi="宋体" w:eastAsia="宋体" w:cs="宋体"/>
                <w:color w:val="000000"/>
                <w:sz w:val="21"/>
                <w:szCs w:val="21"/>
                <w:highlight w:val="none"/>
              </w:rPr>
              <w:t>乙方不能交货，甲方有权没收履约保证金</w:t>
            </w:r>
            <w:r>
              <w:rPr>
                <w:rFonts w:hint="eastAsia" w:ascii="宋体" w:hAnsi="宋体" w:eastAsia="宋体" w:cs="宋体"/>
                <w:color w:val="000000"/>
                <w:sz w:val="21"/>
                <w:szCs w:val="21"/>
                <w:highlight w:val="none"/>
                <w:lang w:val="en-US" w:eastAsia="zh-CN"/>
              </w:rPr>
              <w:t>并收回之前已付款项，如个别不能交货，则双方协商根据分项价格进行金额核减</w:t>
            </w:r>
            <w:r>
              <w:rPr>
                <w:rFonts w:hint="eastAsia" w:ascii="宋体" w:hAnsi="宋体" w:eastAsia="宋体" w:cs="宋体"/>
                <w:color w:val="000000"/>
                <w:sz w:val="21"/>
                <w:szCs w:val="21"/>
                <w:highlight w:val="none"/>
              </w:rPr>
              <w:t>。</w:t>
            </w:r>
          </w:p>
          <w:p w14:paraId="07B02C98">
            <w:pPr>
              <w:keepNext w:val="0"/>
              <w:keepLines w:val="0"/>
              <w:pageBreakBefore w:val="0"/>
              <w:widowControl/>
              <w:numPr>
                <w:ilvl w:val="0"/>
                <w:numId w:val="0"/>
              </w:numPr>
              <w:suppressLineNumbers w:val="0"/>
              <w:kinsoku/>
              <w:wordWrap/>
              <w:overflowPunct/>
              <w:topLinePunct w:val="0"/>
              <w:autoSpaceDE w:val="0"/>
              <w:autoSpaceDN w:val="0"/>
              <w:bidi w:val="0"/>
              <w:snapToGrid/>
              <w:spacing w:before="0" w:beforeAutospacing="0" w:after="0" w:afterAutospacing="0" w:line="460" w:lineRule="exact"/>
              <w:ind w:left="0" w:right="0" w:right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甲方无理由中途退货，退还履约保证金，之前已付款项退回事宜双方另行约定。</w:t>
            </w:r>
          </w:p>
        </w:tc>
      </w:tr>
      <w:tr w14:paraId="3B797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07D05FFA">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2.3.2知识产权归属</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79AA0C8C">
            <w:pPr>
              <w:pStyle w:val="8"/>
              <w:keepNext w:val="0"/>
              <w:keepLines w:val="0"/>
              <w:widowControl/>
              <w:numPr>
                <w:ilvl w:val="0"/>
                <w:numId w:val="0"/>
              </w:numPr>
              <w:suppressLineNumbers w:val="0"/>
              <w:spacing w:before="0" w:beforeAutospacing="0" w:after="0" w:afterAutospacing="0" w:line="360" w:lineRule="exact"/>
              <w:ind w:left="420" w:leftChars="200" w:right="0" w:rightChars="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归</w:t>
            </w:r>
            <w:r>
              <w:rPr>
                <w:rFonts w:hint="eastAsia" w:ascii="宋体" w:hAnsi="宋体" w:eastAsia="宋体" w:cs="宋体"/>
                <w:color w:val="000000"/>
                <w:sz w:val="21"/>
                <w:szCs w:val="21"/>
                <w:highlight w:val="none"/>
                <w:u w:val="single"/>
                <w:lang w:val="en-US" w:eastAsia="zh-CN"/>
              </w:rPr>
              <w:t>甲</w:t>
            </w:r>
            <w:r>
              <w:rPr>
                <w:rFonts w:hint="eastAsia" w:ascii="宋体" w:hAnsi="宋体" w:eastAsia="宋体" w:cs="宋体"/>
                <w:color w:val="000000"/>
                <w:sz w:val="21"/>
                <w:szCs w:val="21"/>
                <w:highlight w:val="none"/>
                <w:lang w:val="en-US" w:eastAsia="zh-CN"/>
              </w:rPr>
              <w:t>方所有</w:t>
            </w:r>
          </w:p>
        </w:tc>
      </w:tr>
      <w:tr w14:paraId="569E8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35B748C2">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2.4.1包装和装运要求</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20D09F26">
            <w:pPr>
              <w:pStyle w:val="8"/>
              <w:keepNext w:val="0"/>
              <w:keepLines w:val="0"/>
              <w:widowControl/>
              <w:numPr>
                <w:ilvl w:val="0"/>
                <w:numId w:val="0"/>
              </w:numPr>
              <w:suppressLineNumbers w:val="0"/>
              <w:spacing w:before="0" w:beforeAutospacing="0" w:after="0" w:afterAutospacing="0" w:line="360" w:lineRule="exact"/>
              <w:ind w:left="420" w:leftChars="200" w:right="0" w:rightChars="0"/>
              <w:rPr>
                <w:rFonts w:hint="eastAsia" w:ascii="宋体" w:hAnsi="宋体" w:eastAsia="宋体" w:cs="宋体"/>
                <w:color w:val="000000"/>
                <w:sz w:val="21"/>
                <w:szCs w:val="21"/>
                <w:highlight w:val="none"/>
                <w:lang w:val="en-US" w:eastAsia="zh-CN"/>
              </w:rPr>
            </w:pPr>
            <w:r>
              <w:rPr>
                <w:rFonts w:hint="eastAsia" w:ascii="宋体" w:hAnsi="宋体" w:eastAsia="宋体" w:cs="宋体"/>
                <w:i/>
                <w:iCs/>
                <w:color w:val="000000"/>
                <w:sz w:val="21"/>
                <w:szCs w:val="21"/>
                <w:highlight w:val="none"/>
                <w:u w:val="single"/>
                <w:lang w:val="en-US" w:eastAsia="zh-CN"/>
              </w:rPr>
              <w:t xml:space="preserve">无 </w:t>
            </w:r>
          </w:p>
        </w:tc>
      </w:tr>
      <w:tr w14:paraId="2AD459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28DF47BA">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2.7.1质保期</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426F0F11">
            <w:pPr>
              <w:pStyle w:val="8"/>
              <w:keepNext w:val="0"/>
              <w:keepLines w:val="0"/>
              <w:widowControl/>
              <w:numPr>
                <w:ilvl w:val="0"/>
                <w:numId w:val="0"/>
              </w:numPr>
              <w:suppressLineNumbers w:val="0"/>
              <w:spacing w:before="0" w:beforeAutospacing="0" w:after="0" w:afterAutospacing="0" w:line="360" w:lineRule="exact"/>
              <w:ind w:left="0" w:leftChars="0" w:right="0" w:rightChars="0" w:firstLine="0" w:firstLineChars="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自验收合格之日起项目整体质保至少</w:t>
            </w:r>
            <w:r>
              <w:rPr>
                <w:rFonts w:hint="eastAsia" w:ascii="宋体" w:hAnsi="宋体" w:eastAsia="宋体" w:cs="宋体"/>
                <w:color w:val="000000"/>
                <w:sz w:val="21"/>
                <w:szCs w:val="21"/>
                <w:highlight w:val="none"/>
                <w:u w:val="single"/>
                <w:lang w:val="en-US" w:eastAsia="zh-CN"/>
              </w:rPr>
              <w:t xml:space="preserve"> 3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▲质保不得少于</w:t>
            </w:r>
            <w:r>
              <w:rPr>
                <w:rFonts w:hint="eastAsia" w:ascii="宋体" w:hAnsi="宋体" w:eastAsia="宋体" w:cs="宋体"/>
                <w:color w:val="000000"/>
                <w:sz w:val="21"/>
                <w:szCs w:val="21"/>
                <w:highlight w:val="none"/>
                <w:u w:val="single"/>
                <w:lang w:eastAsia="zh-CN"/>
              </w:rPr>
              <w:t>甲方</w:t>
            </w:r>
            <w:r>
              <w:rPr>
                <w:rFonts w:hint="eastAsia" w:ascii="宋体" w:hAnsi="宋体" w:eastAsia="宋体" w:cs="宋体"/>
                <w:color w:val="000000"/>
                <w:sz w:val="21"/>
                <w:szCs w:val="21"/>
                <w:highlight w:val="none"/>
                <w:u w:val="single"/>
              </w:rPr>
              <w:t>要求</w:t>
            </w:r>
          </w:p>
        </w:tc>
      </w:tr>
      <w:tr w14:paraId="21585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9"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73FDD029">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2.7.3售后服务要求</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4C546E7B">
            <w:pPr>
              <w:pStyle w:val="8"/>
              <w:keepNext w:val="0"/>
              <w:keepLines w:val="0"/>
              <w:widowControl/>
              <w:numPr>
                <w:ilvl w:val="0"/>
                <w:numId w:val="0"/>
              </w:numPr>
              <w:suppressLineNumbers w:val="0"/>
              <w:spacing w:before="0" w:beforeAutospacing="0" w:after="0" w:afterAutospacing="0" w:line="360" w:lineRule="exact"/>
              <w:ind w:left="0" w:right="0" w:rightChars="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详见采购文件</w:t>
            </w:r>
          </w:p>
        </w:tc>
      </w:tr>
      <w:tr w14:paraId="3B8D94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6986FA5D">
            <w:pPr>
              <w:keepNext w:val="0"/>
              <w:keepLines w:val="0"/>
              <w:widowControl/>
              <w:numPr>
                <w:ilvl w:val="0"/>
                <w:numId w:val="0"/>
              </w:numPr>
              <w:suppressLineNumbers w:val="0"/>
              <w:spacing w:before="0" w:beforeAutospacing="0" w:after="0" w:afterAutospacing="0" w:line="240" w:lineRule="auto"/>
              <w:ind w:left="0" w:right="0" w:rightChars="0"/>
              <w:jc w:val="center"/>
              <w:outlineLvl w:val="0"/>
              <w:rPr>
                <w:rFonts w:hint="eastAsia" w:ascii="宋体" w:hAnsi="宋体" w:eastAsia="宋体" w:cs="宋体"/>
                <w:b/>
                <w:bCs/>
                <w:color w:val="000000"/>
                <w:sz w:val="21"/>
                <w:szCs w:val="21"/>
                <w:highlight w:val="none"/>
                <w:lang w:val="en-US" w:eastAsia="zh-CN"/>
              </w:rPr>
            </w:pPr>
            <w:bookmarkStart w:id="214" w:name="_Toc114"/>
            <w:r>
              <w:rPr>
                <w:rFonts w:hint="eastAsia" w:ascii="宋体" w:hAnsi="宋体" w:eastAsia="宋体" w:cs="宋体"/>
                <w:b/>
                <w:color w:val="000000"/>
                <w:sz w:val="21"/>
                <w:szCs w:val="21"/>
                <w:highlight w:val="none"/>
              </w:rPr>
              <w:t>2.8 货物的风险负担</w:t>
            </w:r>
            <w:bookmarkEnd w:id="214"/>
          </w:p>
        </w:tc>
        <w:tc>
          <w:tcPr>
            <w:tcW w:w="7733" w:type="dxa"/>
            <w:tcBorders>
              <w:top w:val="single" w:color="auto" w:sz="4" w:space="0"/>
              <w:left w:val="single" w:color="auto" w:sz="4" w:space="0"/>
              <w:bottom w:val="single" w:color="auto" w:sz="4" w:space="0"/>
              <w:right w:val="single" w:color="auto" w:sz="4" w:space="0"/>
            </w:tcBorders>
            <w:noWrap w:val="0"/>
            <w:vAlign w:val="center"/>
          </w:tcPr>
          <w:p w14:paraId="6D1FF9DA">
            <w:pPr>
              <w:pStyle w:val="8"/>
              <w:keepNext w:val="0"/>
              <w:keepLines w:val="0"/>
              <w:widowControl/>
              <w:numPr>
                <w:ilvl w:val="0"/>
                <w:numId w:val="0"/>
              </w:numPr>
              <w:suppressLineNumbers w:val="0"/>
              <w:spacing w:before="0" w:beforeAutospacing="0" w:after="0" w:afterAutospacing="0" w:line="360" w:lineRule="exact"/>
              <w:ind w:left="420" w:leftChars="200" w:right="0" w:rightChars="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由乙方全部负责</w:t>
            </w:r>
          </w:p>
        </w:tc>
      </w:tr>
      <w:tr w14:paraId="6A346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1C1BBBBC">
            <w:pPr>
              <w:keepNext w:val="0"/>
              <w:keepLines w:val="0"/>
              <w:widowControl/>
              <w:numPr>
                <w:ilvl w:val="0"/>
                <w:numId w:val="0"/>
              </w:numPr>
              <w:suppressLineNumbers w:val="0"/>
              <w:spacing w:before="0" w:beforeAutospacing="0" w:after="0" w:afterAutospacing="0" w:line="360" w:lineRule="exact"/>
              <w:ind w:left="0" w:right="0" w:rightChars="0"/>
              <w:jc w:val="both"/>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2.16</w:t>
            </w:r>
            <w:r>
              <w:rPr>
                <w:rFonts w:hint="eastAsia" w:ascii="宋体" w:hAnsi="宋体" w:eastAsia="宋体" w:cs="宋体"/>
                <w:b/>
                <w:color w:val="000000"/>
                <w:sz w:val="21"/>
                <w:szCs w:val="21"/>
                <w:highlight w:val="none"/>
              </w:rPr>
              <w:t>检验和验收</w:t>
            </w:r>
          </w:p>
        </w:tc>
        <w:tc>
          <w:tcPr>
            <w:tcW w:w="7733" w:type="dxa"/>
            <w:tcBorders>
              <w:top w:val="single" w:color="auto" w:sz="4" w:space="0"/>
              <w:left w:val="single" w:color="auto" w:sz="4" w:space="0"/>
              <w:bottom w:val="single" w:color="auto" w:sz="4" w:space="0"/>
              <w:right w:val="single" w:color="auto" w:sz="4" w:space="0"/>
            </w:tcBorders>
            <w:noWrap w:val="0"/>
            <w:vAlign w:val="center"/>
          </w:tcPr>
          <w:p w14:paraId="0A8E2DB0">
            <w:pPr>
              <w:pStyle w:val="8"/>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bidi="zh-CN"/>
              </w:rPr>
              <w:t>合同履约验收参照温州市政府采购履约验收办法及</w:t>
            </w:r>
            <w:r>
              <w:rPr>
                <w:rFonts w:hint="eastAsia" w:ascii="宋体" w:hAnsi="宋体" w:eastAsia="宋体" w:cs="宋体"/>
                <w:szCs w:val="21"/>
                <w:lang w:eastAsia="zh-CN"/>
              </w:rPr>
              <w:t>温州市职业中等专业学校</w:t>
            </w:r>
            <w:r>
              <w:rPr>
                <w:rFonts w:hint="eastAsia" w:ascii="宋体" w:hAnsi="宋体" w:eastAsia="宋体" w:cs="宋体"/>
                <w:color w:val="000000"/>
                <w:sz w:val="21"/>
                <w:szCs w:val="21"/>
                <w:highlight w:val="none"/>
                <w:lang w:val="en-US" w:eastAsia="zh-CN" w:bidi="zh-CN"/>
              </w:rPr>
              <w:t>验收相关规定执行。合同履约达到验收条件时，乙方向甲方书面发起验收申请，甲方或者其委托的采购代理机构在收到乙方验收申请后五个工作日内启动项目验收。按照采购合同、响应文件、采购文件等约定的质量、数量、技术指标或者服务要求设定验收指标及其标准。未约定的，应当符合国家强制性规定、政策要求、安全标准、行业或企业有关标准等。 项目如需委托代理机构</w:t>
            </w:r>
            <w:r>
              <w:rPr>
                <w:rFonts w:hint="eastAsia" w:ascii="宋体" w:hAnsi="宋体" w:eastAsia="宋体" w:cs="宋体"/>
                <w:color w:val="000000"/>
                <w:kern w:val="0"/>
                <w:sz w:val="21"/>
                <w:szCs w:val="21"/>
                <w:highlight w:val="none"/>
                <w:u w:val="none"/>
                <w:lang w:val="en-US" w:eastAsia="zh-CN" w:bidi="zh-CN"/>
              </w:rPr>
              <w:t>组织履约验收，费用根据采购文件执行。</w:t>
            </w:r>
          </w:p>
        </w:tc>
      </w:tr>
      <w:bookmarkEnd w:id="212"/>
    </w:tbl>
    <w:p w14:paraId="2CE1743B">
      <w:pPr>
        <w:pStyle w:val="23"/>
        <w:jc w:val="left"/>
        <w:rPr>
          <w:rFonts w:hint="eastAsia" w:ascii="宋体" w:hAnsi="宋体" w:eastAsia="宋体" w:cs="宋体"/>
          <w:color w:val="000000"/>
          <w:sz w:val="21"/>
          <w:szCs w:val="21"/>
        </w:rPr>
      </w:pPr>
      <w:bookmarkStart w:id="215" w:name="_Toc8525"/>
      <w:r>
        <w:rPr>
          <w:rFonts w:hint="eastAsia" w:ascii="宋体" w:hAnsi="宋体" w:eastAsia="宋体" w:cs="宋体"/>
          <w:color w:val="000000"/>
          <w:sz w:val="21"/>
          <w:szCs w:val="21"/>
          <w:u w:val="single"/>
        </w:rPr>
        <w:t>注：本合同作为示范文本，具体以中标人与招标人所签定正式合同为准。</w:t>
      </w:r>
      <w:bookmarkEnd w:id="215"/>
    </w:p>
    <w:p w14:paraId="75408C44">
      <w:pPr>
        <w:pStyle w:val="2"/>
        <w:ind w:firstLine="643"/>
        <w:rPr>
          <w:rFonts w:hint="eastAsia" w:ascii="宋体" w:hAnsi="宋体" w:eastAsia="宋体" w:cs="宋体"/>
        </w:rPr>
      </w:pPr>
      <w:r>
        <w:rPr>
          <w:rFonts w:hint="eastAsia" w:ascii="宋体" w:hAnsi="宋体" w:eastAsia="宋体" w:cs="宋体"/>
        </w:rPr>
        <w:br w:type="page"/>
      </w:r>
      <w:bookmarkStart w:id="216" w:name="_Toc12583"/>
      <w:r>
        <w:rPr>
          <w:rFonts w:hint="eastAsia" w:ascii="宋体" w:hAnsi="宋体" w:eastAsia="宋体" w:cs="宋体"/>
        </w:rPr>
        <w:t>第三部分    附件（标项1、标项2、标项3</w:t>
      </w:r>
      <w:r>
        <w:rPr>
          <w:rFonts w:hint="eastAsia" w:ascii="宋体" w:hAnsi="宋体" w:eastAsia="宋体" w:cs="宋体"/>
          <w:lang w:eastAsia="zh-CN"/>
        </w:rPr>
        <w:t>、</w:t>
      </w:r>
      <w:r>
        <w:rPr>
          <w:rFonts w:hint="eastAsia" w:ascii="宋体" w:hAnsi="宋体" w:eastAsia="宋体" w:cs="宋体"/>
          <w:lang w:val="en-US" w:eastAsia="zh-CN"/>
        </w:rPr>
        <w:t>标项4</w:t>
      </w:r>
      <w:r>
        <w:rPr>
          <w:rFonts w:hint="eastAsia" w:ascii="宋体" w:hAnsi="宋体" w:eastAsia="宋体" w:cs="宋体"/>
        </w:rPr>
        <w:t>通用）</w:t>
      </w:r>
      <w:bookmarkEnd w:id="216"/>
    </w:p>
    <w:p w14:paraId="12FF7DF1">
      <w:pPr>
        <w:pStyle w:val="3"/>
        <w:numPr>
          <w:ilvl w:val="0"/>
          <w:numId w:val="22"/>
        </w:numPr>
        <w:bidi w:val="0"/>
        <w:jc w:val="both"/>
        <w:rPr>
          <w:rFonts w:hint="eastAsia"/>
        </w:rPr>
      </w:pPr>
      <w:bookmarkStart w:id="217" w:name="_Toc23754"/>
      <w:r>
        <w:rPr>
          <w:rFonts w:hint="eastAsia"/>
          <w:lang w:eastAsia="zh-CN"/>
        </w:rPr>
        <w:t>资格文件</w:t>
      </w:r>
      <w:bookmarkEnd w:id="217"/>
    </w:p>
    <w:p w14:paraId="3BDD82B9">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（1）有效的法人或者其他组织的营业执照等证明文件，自然人的身份证明（五选一）（页码）</w:t>
      </w:r>
    </w:p>
    <w:p w14:paraId="3BECB4D8">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（2）符合参加政府采购活动应当具备的一般条件的承诺函………………………………（页码）</w:t>
      </w:r>
    </w:p>
    <w:p w14:paraId="02E2A0CF">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val="0"/>
          <w:kern w:val="28"/>
          <w:sz w:val="21"/>
          <w:szCs w:val="21"/>
        </w:rPr>
        <w:t>（3）联合协议</w:t>
      </w:r>
      <w:r>
        <w:rPr>
          <w:rFonts w:hint="eastAsia" w:asciiTheme="minorEastAsia" w:hAnsiTheme="minorEastAsia" w:eastAsiaTheme="minorEastAsia" w:cstheme="minorEastAsia"/>
          <w:sz w:val="21"/>
          <w:szCs w:val="21"/>
        </w:rPr>
        <w:t>…………………………………………………………………………………（页码）</w:t>
      </w:r>
    </w:p>
    <w:p w14:paraId="4B3FCC9C">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（4）落实政府采购政策需满足的资格要求…………………………………………………（页码）</w:t>
      </w:r>
    </w:p>
    <w:p w14:paraId="69996B57">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（5）本项目的特定资格要求…………………………………………………………………（页码）</w:t>
      </w:r>
    </w:p>
    <w:p w14:paraId="3471D58F">
      <w:pPr>
        <w:snapToGrid w:val="0"/>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）法定代表人资格声明书</w:t>
      </w:r>
      <w:r>
        <w:rPr>
          <w:rFonts w:hint="eastAsia" w:asciiTheme="minorEastAsia" w:hAnsiTheme="minorEastAsia" w:eastAsiaTheme="minorEastAsia" w:cstheme="minorEastAsia"/>
          <w:sz w:val="21"/>
          <w:szCs w:val="21"/>
          <w:lang w:val="en-US" w:eastAsia="zh-CN"/>
        </w:rPr>
        <w:t>或法定代表人授权委托书（如为联合体，则联合体牵头人提供即可）</w:t>
      </w:r>
    </w:p>
    <w:p w14:paraId="7949AD22">
      <w:pPr>
        <w:widowControl/>
        <w:adjustRightInd w:val="0"/>
        <w:snapToGrid w:val="0"/>
        <w:ind w:firstLine="420"/>
        <w:jc w:val="left"/>
        <w:rPr>
          <w:rFonts w:hint="eastAsia" w:ascii="宋体" w:hAnsi="宋体" w:eastAsia="宋体" w:cs="宋体"/>
          <w:kern w:val="0"/>
          <w:szCs w:val="21"/>
          <w:lang w:eastAsia="zh-CN"/>
        </w:rPr>
      </w:pPr>
    </w:p>
    <w:p w14:paraId="2CF0271F">
      <w:pPr>
        <w:pStyle w:val="10"/>
        <w:rPr>
          <w:rFonts w:hint="eastAsia"/>
        </w:rPr>
      </w:pPr>
    </w:p>
    <w:p w14:paraId="0502BBBA">
      <w:pPr>
        <w:pStyle w:val="3"/>
        <w:numPr>
          <w:ilvl w:val="0"/>
          <w:numId w:val="22"/>
        </w:numPr>
        <w:bidi w:val="0"/>
        <w:jc w:val="both"/>
        <w:rPr>
          <w:rFonts w:hint="eastAsia"/>
        </w:rPr>
        <w:sectPr>
          <w:headerReference r:id="rId13" w:type="default"/>
          <w:footerReference r:id="rId14" w:type="default"/>
          <w:pgSz w:w="11906" w:h="16838"/>
          <w:pgMar w:top="1440" w:right="1304" w:bottom="1089" w:left="1531" w:header="851" w:footer="992" w:gutter="0"/>
          <w:pgNumType w:fmt="decimal"/>
          <w:cols w:space="720" w:num="1"/>
          <w:docGrid w:linePitch="312" w:charSpace="0"/>
        </w:sectPr>
      </w:pPr>
    </w:p>
    <w:p w14:paraId="770B58F5">
      <w:pPr>
        <w:spacing w:line="360" w:lineRule="auto"/>
        <w:jc w:val="center"/>
        <w:outlineLvl w:val="0"/>
        <w:rPr>
          <w:rFonts w:hint="eastAsia" w:asciiTheme="minorEastAsia" w:hAnsiTheme="minorEastAsia" w:eastAsiaTheme="minorEastAsia" w:cstheme="minorEastAsia"/>
          <w:b/>
          <w:kern w:val="0"/>
          <w:sz w:val="28"/>
          <w:szCs w:val="28"/>
        </w:rPr>
      </w:pPr>
      <w:bookmarkStart w:id="218" w:name="_Toc13585"/>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lang w:val="en-US" w:eastAsia="zh-CN"/>
        </w:rPr>
        <w:t>一</w:t>
      </w:r>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rPr>
        <w:t>有效的法人或者其他组织的营业执照等证明文件，自然人的身份证明（五选一）</w:t>
      </w:r>
      <w:bookmarkEnd w:id="218"/>
    </w:p>
    <w:p w14:paraId="0960B37B"/>
    <w:p w14:paraId="5DD22E8D"/>
    <w:p w14:paraId="6350D241"/>
    <w:p w14:paraId="2E9EEB32">
      <w:pPr>
        <w:pStyle w:val="19"/>
        <w:spacing w:line="360" w:lineRule="auto"/>
        <w:ind w:left="416" w:hanging="416"/>
        <w:rPr>
          <w:rFonts w:hint="eastAsia" w:ascii="宋体" w:hAnsi="宋体" w:cs="宋体"/>
          <w:bCs/>
          <w:spacing w:val="-6"/>
          <w:sz w:val="21"/>
          <w:szCs w:val="21"/>
        </w:rPr>
      </w:pPr>
      <w:r>
        <w:rPr>
          <w:rFonts w:hint="eastAsia" w:ascii="宋体" w:hAnsi="宋体" w:cs="宋体"/>
          <w:bCs/>
          <w:spacing w:val="-6"/>
          <w:sz w:val="21"/>
          <w:szCs w:val="21"/>
        </w:rPr>
        <w:t>说明：</w:t>
      </w:r>
    </w:p>
    <w:p w14:paraId="21B1A001">
      <w:pPr>
        <w:pStyle w:val="19"/>
        <w:spacing w:line="360" w:lineRule="auto"/>
        <w:ind w:left="416" w:hanging="416"/>
        <w:rPr>
          <w:rFonts w:hint="eastAsia" w:ascii="宋体" w:hAnsi="宋体" w:cs="宋体"/>
          <w:bCs/>
          <w:spacing w:val="-6"/>
          <w:sz w:val="21"/>
          <w:szCs w:val="21"/>
        </w:rPr>
      </w:pPr>
      <w:r>
        <w:rPr>
          <w:rFonts w:hint="eastAsia" w:ascii="宋体" w:hAnsi="宋体" w:cs="宋体"/>
          <w:bCs/>
          <w:spacing w:val="-6"/>
          <w:sz w:val="21"/>
          <w:szCs w:val="21"/>
        </w:rPr>
        <w:t>1.如投标人是企业（包括合伙企业），提供有效“企业法人营业执照”或“营业执照”；</w:t>
      </w:r>
    </w:p>
    <w:p w14:paraId="3653FABD">
      <w:pPr>
        <w:pStyle w:val="19"/>
        <w:spacing w:line="360" w:lineRule="auto"/>
        <w:ind w:left="416" w:hanging="416"/>
        <w:rPr>
          <w:rFonts w:hint="eastAsia" w:ascii="宋体" w:hAnsi="宋体" w:cs="宋体"/>
          <w:bCs/>
          <w:spacing w:val="-6"/>
          <w:sz w:val="21"/>
          <w:szCs w:val="21"/>
        </w:rPr>
      </w:pPr>
      <w:r>
        <w:rPr>
          <w:rFonts w:hint="eastAsia" w:ascii="宋体" w:hAnsi="宋体" w:cs="宋体"/>
          <w:bCs/>
          <w:spacing w:val="-6"/>
          <w:sz w:val="21"/>
          <w:szCs w:val="21"/>
        </w:rPr>
        <w:t>2.如投标人是事业单位，提供有效的“事业单位法人证书”；</w:t>
      </w:r>
    </w:p>
    <w:p w14:paraId="4EC6FD3A">
      <w:pPr>
        <w:pStyle w:val="19"/>
        <w:spacing w:line="360" w:lineRule="auto"/>
        <w:ind w:left="416" w:hanging="416"/>
        <w:rPr>
          <w:rFonts w:hint="eastAsia" w:ascii="宋体" w:hAnsi="宋体" w:cs="宋体"/>
          <w:bCs/>
          <w:spacing w:val="-6"/>
          <w:sz w:val="21"/>
          <w:szCs w:val="21"/>
        </w:rPr>
      </w:pPr>
      <w:r>
        <w:rPr>
          <w:rFonts w:hint="eastAsia" w:ascii="宋体" w:hAnsi="宋体" w:cs="宋体"/>
          <w:bCs/>
          <w:spacing w:val="-6"/>
          <w:sz w:val="21"/>
          <w:szCs w:val="21"/>
        </w:rPr>
        <w:t>3.如投标人是非企业专业服务机构的，提供执业许可证等证明文件；</w:t>
      </w:r>
    </w:p>
    <w:p w14:paraId="42ED685F">
      <w:pPr>
        <w:pStyle w:val="19"/>
        <w:spacing w:line="360" w:lineRule="auto"/>
        <w:ind w:left="416" w:hanging="416"/>
        <w:rPr>
          <w:rFonts w:hint="eastAsia" w:ascii="宋体" w:hAnsi="宋体" w:cs="宋体"/>
          <w:bCs/>
          <w:spacing w:val="-6"/>
          <w:sz w:val="21"/>
          <w:szCs w:val="21"/>
        </w:rPr>
      </w:pPr>
      <w:r>
        <w:rPr>
          <w:rFonts w:hint="eastAsia" w:ascii="宋体" w:hAnsi="宋体" w:cs="宋体"/>
          <w:bCs/>
          <w:spacing w:val="-6"/>
          <w:sz w:val="21"/>
          <w:szCs w:val="21"/>
        </w:rPr>
        <w:t>4.如投标人是个体工商户，提供有效的“个体工商户营业执照”；</w:t>
      </w:r>
    </w:p>
    <w:p w14:paraId="28C9D73C">
      <w:pPr>
        <w:pStyle w:val="19"/>
        <w:spacing w:line="360" w:lineRule="auto"/>
        <w:ind w:left="416" w:hanging="416"/>
        <w:rPr>
          <w:rFonts w:hint="eastAsia" w:ascii="宋体" w:hAnsi="宋体" w:cs="宋体"/>
          <w:bCs/>
          <w:spacing w:val="-6"/>
          <w:sz w:val="21"/>
          <w:szCs w:val="21"/>
        </w:rPr>
      </w:pPr>
      <w:r>
        <w:rPr>
          <w:rFonts w:hint="eastAsia" w:ascii="宋体" w:hAnsi="宋体" w:cs="宋体"/>
          <w:bCs/>
          <w:spacing w:val="-6"/>
          <w:sz w:val="21"/>
          <w:szCs w:val="21"/>
        </w:rPr>
        <w:t>5.如投标人是自然人，提供有效的自然人身份证明（居民身份证正反面或公安机关出具的临时居民身份证正反面或港澳台胞证或证照）。</w:t>
      </w:r>
    </w:p>
    <w:p w14:paraId="6252E0A7">
      <w:pPr>
        <w:spacing w:line="360" w:lineRule="auto"/>
        <w:jc w:val="center"/>
        <w:outlineLvl w:val="0"/>
        <w:rPr>
          <w:rFonts w:hint="eastAsia" w:asciiTheme="minorEastAsia" w:hAnsiTheme="minorEastAsia" w:eastAsiaTheme="minorEastAsia" w:cstheme="minorEastAsia"/>
          <w:sz w:val="24"/>
        </w:rPr>
        <w:sectPr>
          <w:pgSz w:w="11906" w:h="16838"/>
          <w:pgMar w:top="1440" w:right="1080" w:bottom="1440" w:left="1080" w:header="851" w:footer="992" w:gutter="0"/>
          <w:cols w:space="720" w:num="1"/>
          <w:titlePg/>
          <w:docGrid w:linePitch="312" w:charSpace="0"/>
        </w:sectPr>
      </w:pPr>
    </w:p>
    <w:p w14:paraId="208147ED">
      <w:pPr>
        <w:spacing w:line="360" w:lineRule="auto"/>
        <w:jc w:val="center"/>
        <w:outlineLvl w:val="0"/>
        <w:rPr>
          <w:rFonts w:hint="eastAsia" w:asciiTheme="minorEastAsia" w:hAnsiTheme="minorEastAsia" w:eastAsiaTheme="minorEastAsia" w:cstheme="minorEastAsia"/>
          <w:b/>
          <w:kern w:val="0"/>
          <w:sz w:val="28"/>
          <w:szCs w:val="28"/>
        </w:rPr>
      </w:pPr>
      <w:bookmarkStart w:id="219" w:name="_Toc21769"/>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lang w:val="en-US" w:eastAsia="zh-CN"/>
        </w:rPr>
        <w:t>二</w:t>
      </w:r>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rPr>
        <w:t>符合参加政府采购活动应当具备的一般条件的承诺函</w:t>
      </w:r>
      <w:bookmarkEnd w:id="219"/>
    </w:p>
    <w:p w14:paraId="1AB12019">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（采购人）、（采购代理机构）</w:t>
      </w:r>
      <w:r>
        <w:rPr>
          <w:rFonts w:hint="eastAsia" w:asciiTheme="minorEastAsia" w:hAnsiTheme="minorEastAsia" w:eastAsiaTheme="minorEastAsia" w:cstheme="minorEastAsia"/>
          <w:sz w:val="21"/>
          <w:szCs w:val="21"/>
        </w:rPr>
        <w:t>：</w:t>
      </w:r>
    </w:p>
    <w:p w14:paraId="1829201F">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我方参与</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（项目名称）【采购编号：</w:t>
      </w:r>
      <w:r>
        <w:rPr>
          <w:rFonts w:hint="eastAsia" w:asciiTheme="minorEastAsia" w:hAnsiTheme="minorEastAsia" w:eastAsiaTheme="minorEastAsia" w:cstheme="minorEastAsia"/>
          <w:sz w:val="21"/>
          <w:szCs w:val="21"/>
          <w:u w:val="single"/>
        </w:rPr>
        <w:t>（</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rPr>
        <w:t>）</w:t>
      </w:r>
      <w:r>
        <w:rPr>
          <w:rFonts w:hint="eastAsia" w:asciiTheme="minorEastAsia" w:hAnsiTheme="minorEastAsia" w:eastAsiaTheme="minorEastAsia" w:cstheme="minorEastAsia"/>
          <w:sz w:val="21"/>
          <w:szCs w:val="21"/>
        </w:rPr>
        <w:t>】政府采购活动，郑重承诺：</w:t>
      </w:r>
    </w:p>
    <w:p w14:paraId="7CC21236">
      <w:pPr>
        <w:snapToGrid w:val="0"/>
        <w:spacing w:line="360" w:lineRule="auto"/>
        <w:ind w:firstLine="315" w:firstLineChars="1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（一）具备《中华人民共和国政府采购法》第二十二条第一款规定的条件：</w:t>
      </w:r>
    </w:p>
    <w:p w14:paraId="3C41905D">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1、具有独立承担民事责任的能力；</w:t>
      </w:r>
    </w:p>
    <w:p w14:paraId="3A4C053F">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2、具有良好的商业信誉和健全的财务会计制度； </w:t>
      </w:r>
    </w:p>
    <w:p w14:paraId="117203FA">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3、具有履行合同所必需的设备和专业技术能力；</w:t>
      </w:r>
    </w:p>
    <w:p w14:paraId="5E0F493D">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4、有依法缴纳税收和社会保障资金的良好记录；</w:t>
      </w:r>
    </w:p>
    <w:p w14:paraId="0B798494">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5、参加政府采购活动前三年内，在经营活动中没有重大违法记录；</w:t>
      </w:r>
    </w:p>
    <w:p w14:paraId="4FDFC5F5">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6、具有法律、行政法规规定的其他条件。</w:t>
      </w:r>
    </w:p>
    <w:p w14:paraId="56BA1794">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（二）未被信用中国（www.creditchina.gov.cn)、中国政府采购网（www.ccgp.gov.cn）列入失信被执行人、重大税收违法案件当事人名单、政府采购严重违法失信行为记录名单。</w:t>
      </w:r>
    </w:p>
    <w:p w14:paraId="3C275EDC">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（三）不存在以下情况：</w:t>
      </w:r>
    </w:p>
    <w:p w14:paraId="4D6EEC72">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1、单位负责人为同一人或者存在直接控股、管理关系的不同供应商参加同一合同项下的政府采购活动的；</w:t>
      </w:r>
    </w:p>
    <w:p w14:paraId="3371B90A">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2、为采购项目提供整体设计、规范编制或者项目管理、监理、检测等服务后再参加该采购项目的其他采购活动的。</w:t>
      </w:r>
    </w:p>
    <w:p w14:paraId="2CD4967E">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本公司对上述承诺的真实性负责。上述承诺如有虚假，将按“提供虚假材料谋取中标、成交”情形，由采购人取消我公司任何资格（投标/中标/签订合同），且由采购人/采购代理机构报告至采购监管部门。“较大数额罚款”认定为200万元以上的罚款，法律、行政法规以及国务院有关部门明确规定相关领域“较大数额罚款”标准高于200万元的，从其规定。</w:t>
      </w:r>
    </w:p>
    <w:p w14:paraId="729E1BCA">
      <w:pPr>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我单位已知晓前述法律规定，对此无任何异议。</w:t>
      </w:r>
    </w:p>
    <w:p w14:paraId="369D012E">
      <w:pPr>
        <w:snapToGrid w:val="0"/>
        <w:spacing w:line="360" w:lineRule="auto"/>
        <w:ind w:firstLine="4830" w:firstLineChars="2300"/>
        <w:rPr>
          <w:rFonts w:hint="eastAsia" w:asciiTheme="minorEastAsia" w:hAnsiTheme="minorEastAsia" w:eastAsiaTheme="minorEastAsia" w:cstheme="minorEastAsia"/>
          <w:kern w:val="0"/>
          <w:sz w:val="21"/>
          <w:szCs w:val="21"/>
          <w:lang w:val="zh-CN"/>
        </w:rPr>
      </w:pPr>
    </w:p>
    <w:p w14:paraId="404311A9">
      <w:pPr>
        <w:snapToGrid w:val="0"/>
        <w:spacing w:line="360" w:lineRule="auto"/>
        <w:ind w:firstLine="4830" w:firstLineChars="23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zh-CN"/>
        </w:rPr>
        <w:t>投标人名称(电子签名)：</w:t>
      </w:r>
    </w:p>
    <w:p w14:paraId="680952F7">
      <w:pPr>
        <w:snapToGrid w:val="0"/>
        <w:spacing w:line="360" w:lineRule="auto"/>
        <w:jc w:val="righ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zh-CN"/>
        </w:rPr>
        <w:t>日期</w:t>
      </w:r>
      <w:r>
        <w:rPr>
          <w:rFonts w:hint="eastAsia" w:asciiTheme="minorEastAsia" w:hAnsiTheme="minorEastAsia" w:eastAsiaTheme="minorEastAsia" w:cstheme="minorEastAsia"/>
          <w:kern w:val="0"/>
          <w:sz w:val="21"/>
          <w:szCs w:val="21"/>
        </w:rPr>
        <w:t xml:space="preserve">：  年  </w:t>
      </w:r>
      <w:r>
        <w:rPr>
          <w:rFonts w:hint="eastAsia" w:asciiTheme="minorEastAsia" w:hAnsiTheme="minorEastAsia" w:eastAsiaTheme="minorEastAsia" w:cstheme="minorEastAsia"/>
          <w:kern w:val="0"/>
          <w:sz w:val="21"/>
          <w:szCs w:val="21"/>
          <w:lang w:val="zh-CN"/>
        </w:rPr>
        <w:t>月</w:t>
      </w:r>
      <w:r>
        <w:rPr>
          <w:rFonts w:hint="eastAsia" w:asciiTheme="minorEastAsia" w:hAnsiTheme="minorEastAsia" w:eastAsiaTheme="minorEastAsia" w:cstheme="minorEastAsia"/>
          <w:kern w:val="0"/>
          <w:sz w:val="21"/>
          <w:szCs w:val="21"/>
        </w:rPr>
        <w:t xml:space="preserve">  </w:t>
      </w:r>
      <w:r>
        <w:rPr>
          <w:rFonts w:hint="eastAsia" w:asciiTheme="minorEastAsia" w:hAnsiTheme="minorEastAsia" w:eastAsiaTheme="minorEastAsia" w:cstheme="minorEastAsia"/>
          <w:kern w:val="0"/>
          <w:sz w:val="21"/>
          <w:szCs w:val="21"/>
          <w:lang w:val="zh-CN"/>
        </w:rPr>
        <w:t>日</w:t>
      </w:r>
    </w:p>
    <w:p w14:paraId="48C0AE03">
      <w:pPr>
        <w:snapToGrid w:val="0"/>
        <w:spacing w:line="360" w:lineRule="auto"/>
        <w:ind w:right="480"/>
        <w:jc w:val="center"/>
        <w:rPr>
          <w:rFonts w:hint="eastAsia" w:asciiTheme="minorEastAsia" w:hAnsiTheme="minorEastAsia" w:eastAsiaTheme="minorEastAsia" w:cstheme="minorEastAsia"/>
          <w:b/>
          <w:kern w:val="0"/>
          <w:sz w:val="32"/>
          <w:szCs w:val="32"/>
        </w:rPr>
      </w:pPr>
    </w:p>
    <w:p w14:paraId="22E09297">
      <w:pPr>
        <w:snapToGrid w:val="0"/>
        <w:spacing w:line="360" w:lineRule="auto"/>
        <w:ind w:right="480"/>
        <w:jc w:val="center"/>
        <w:rPr>
          <w:rFonts w:hint="eastAsia" w:asciiTheme="minorEastAsia" w:hAnsiTheme="minorEastAsia" w:eastAsiaTheme="minorEastAsia" w:cstheme="minorEastAsia"/>
          <w:b/>
          <w:kern w:val="0"/>
          <w:sz w:val="32"/>
          <w:szCs w:val="32"/>
        </w:rPr>
      </w:pPr>
    </w:p>
    <w:p w14:paraId="1C647B1B">
      <w:pPr>
        <w:snapToGrid w:val="0"/>
        <w:spacing w:line="360" w:lineRule="auto"/>
        <w:ind w:right="480"/>
        <w:jc w:val="center"/>
        <w:rPr>
          <w:rFonts w:hint="eastAsia" w:asciiTheme="minorEastAsia" w:hAnsiTheme="minorEastAsia" w:eastAsiaTheme="minorEastAsia" w:cstheme="minorEastAsia"/>
          <w:b/>
          <w:kern w:val="0"/>
          <w:sz w:val="32"/>
          <w:szCs w:val="32"/>
        </w:rPr>
      </w:pPr>
    </w:p>
    <w:p w14:paraId="55D382E3">
      <w:pPr>
        <w:rPr>
          <w:rFonts w:hint="eastAsia" w:asciiTheme="minorEastAsia" w:hAnsiTheme="minorEastAsia" w:eastAsiaTheme="minorEastAsia" w:cstheme="minorEastAsia"/>
        </w:rPr>
      </w:pPr>
    </w:p>
    <w:p w14:paraId="75773C8A">
      <w:pPr>
        <w:spacing w:line="360" w:lineRule="auto"/>
        <w:jc w:val="center"/>
        <w:outlineLvl w:val="0"/>
        <w:rPr>
          <w:rFonts w:hint="eastAsia" w:asciiTheme="minorEastAsia" w:hAnsiTheme="minorEastAsia" w:eastAsiaTheme="minorEastAsia" w:cstheme="minorEastAsia"/>
          <w:b/>
          <w:kern w:val="0"/>
          <w:sz w:val="28"/>
          <w:szCs w:val="28"/>
        </w:rPr>
        <w:sectPr>
          <w:pgSz w:w="11906" w:h="16838"/>
          <w:pgMar w:top="1440" w:right="1080" w:bottom="1440" w:left="1080" w:header="851" w:footer="992" w:gutter="0"/>
          <w:cols w:space="720" w:num="1"/>
          <w:titlePg/>
          <w:docGrid w:linePitch="312" w:charSpace="0"/>
        </w:sectPr>
      </w:pPr>
    </w:p>
    <w:p w14:paraId="2E5134A1">
      <w:pPr>
        <w:spacing w:line="360" w:lineRule="auto"/>
        <w:jc w:val="center"/>
        <w:outlineLvl w:val="0"/>
        <w:rPr>
          <w:rFonts w:hint="eastAsia" w:asciiTheme="minorEastAsia" w:hAnsiTheme="minorEastAsia" w:eastAsiaTheme="minorEastAsia" w:cstheme="minorEastAsia"/>
          <w:b/>
          <w:kern w:val="0"/>
          <w:sz w:val="28"/>
          <w:szCs w:val="28"/>
        </w:rPr>
      </w:pPr>
      <w:bookmarkStart w:id="220" w:name="_Toc9684"/>
      <w:r>
        <w:rPr>
          <w:rFonts w:hint="eastAsia" w:asciiTheme="minorEastAsia" w:hAnsiTheme="minorEastAsia" w:eastAsiaTheme="minorEastAsia" w:cstheme="minorEastAsia"/>
          <w:b/>
          <w:kern w:val="0"/>
          <w:sz w:val="28"/>
          <w:szCs w:val="28"/>
          <w:lang w:eastAsia="zh-CN"/>
        </w:rPr>
        <w:t>（三）</w:t>
      </w:r>
      <w:r>
        <w:rPr>
          <w:rFonts w:hint="eastAsia" w:asciiTheme="minorEastAsia" w:hAnsiTheme="minorEastAsia" w:eastAsiaTheme="minorEastAsia" w:cstheme="minorEastAsia"/>
          <w:b/>
          <w:kern w:val="0"/>
          <w:sz w:val="28"/>
          <w:szCs w:val="28"/>
        </w:rPr>
        <w:t>联合协议（如有）</w:t>
      </w:r>
      <w:bookmarkEnd w:id="220"/>
    </w:p>
    <w:p w14:paraId="45325874">
      <w:pPr>
        <w:snapToGrid w:val="0"/>
        <w:spacing w:line="360" w:lineRule="auto"/>
        <w:ind w:firstLine="785" w:firstLineChars="374"/>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u w:val="single"/>
        </w:rPr>
        <w:t>（联合体所有成员名称）</w:t>
      </w:r>
      <w:r>
        <w:rPr>
          <w:rFonts w:hint="eastAsia" w:asciiTheme="minorEastAsia" w:hAnsiTheme="minorEastAsia" w:eastAsiaTheme="minorEastAsia" w:cstheme="minorEastAsia"/>
          <w:kern w:val="0"/>
          <w:sz w:val="21"/>
          <w:szCs w:val="21"/>
        </w:rPr>
        <w:t>自愿</w:t>
      </w:r>
      <w:r>
        <w:rPr>
          <w:rFonts w:hint="eastAsia" w:asciiTheme="minorEastAsia" w:hAnsiTheme="minorEastAsia" w:eastAsiaTheme="minorEastAsia" w:cstheme="minorEastAsia"/>
          <w:kern w:val="0"/>
          <w:sz w:val="21"/>
          <w:szCs w:val="21"/>
          <w:lang w:val="zh-CN"/>
        </w:rPr>
        <w:t>组成一个联合体，以一个投标人的身份</w:t>
      </w:r>
      <w:r>
        <w:rPr>
          <w:rFonts w:hint="eastAsia" w:asciiTheme="minorEastAsia" w:hAnsiTheme="minorEastAsia" w:eastAsiaTheme="minorEastAsia" w:cstheme="minorEastAsia"/>
          <w:kern w:val="0"/>
          <w:sz w:val="21"/>
          <w:szCs w:val="21"/>
        </w:rPr>
        <w:t>参加</w:t>
      </w:r>
      <w:r>
        <w:rPr>
          <w:rFonts w:hint="eastAsia" w:asciiTheme="minorEastAsia" w:hAnsiTheme="minorEastAsia" w:eastAsiaTheme="minorEastAsia" w:cstheme="minorEastAsia"/>
          <w:sz w:val="21"/>
          <w:szCs w:val="21"/>
        </w:rPr>
        <w:t>（项目名称</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标项</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采购</w:t>
      </w:r>
      <w:r>
        <w:rPr>
          <w:rFonts w:hint="eastAsia" w:asciiTheme="minorEastAsia" w:hAnsiTheme="minorEastAsia" w:eastAsiaTheme="minorEastAsia" w:cstheme="minorEastAsia"/>
          <w:sz w:val="21"/>
          <w:szCs w:val="21"/>
        </w:rPr>
        <w:t>编号：（</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kern w:val="0"/>
          <w:sz w:val="21"/>
          <w:szCs w:val="21"/>
          <w:lang w:val="zh-CN"/>
        </w:rPr>
        <w:t xml:space="preserve">投标。 </w:t>
      </w:r>
    </w:p>
    <w:p w14:paraId="50F5CFDF">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一、各方一致决定，</w:t>
      </w:r>
      <w:r>
        <w:rPr>
          <w:rFonts w:hint="eastAsia" w:asciiTheme="minorEastAsia" w:hAnsiTheme="minorEastAsia" w:eastAsiaTheme="minorEastAsia" w:cstheme="minorEastAsia"/>
          <w:kern w:val="0"/>
          <w:sz w:val="21"/>
          <w:szCs w:val="21"/>
          <w:u w:val="single"/>
        </w:rPr>
        <w:t>（某联合体成员名称）</w:t>
      </w:r>
      <w:r>
        <w:rPr>
          <w:rFonts w:hint="eastAsia" w:asciiTheme="minorEastAsia" w:hAnsiTheme="minorEastAsia" w:eastAsiaTheme="minorEastAsia" w:cstheme="minorEastAsia"/>
          <w:kern w:val="0"/>
          <w:sz w:val="21"/>
          <w:szCs w:val="21"/>
        </w:rPr>
        <w:t>为联合体</w:t>
      </w:r>
      <w:r>
        <w:rPr>
          <w:rFonts w:hint="eastAsia" w:asciiTheme="minorEastAsia" w:hAnsiTheme="minorEastAsia" w:eastAsiaTheme="minorEastAsia" w:cstheme="minorEastAsia"/>
          <w:kern w:val="0"/>
          <w:sz w:val="21"/>
          <w:szCs w:val="21"/>
          <w:lang w:val="zh-CN"/>
        </w:rPr>
        <w:t>牵头人</w:t>
      </w:r>
      <w:r>
        <w:rPr>
          <w:rFonts w:hint="eastAsia" w:asciiTheme="minorEastAsia" w:hAnsiTheme="minorEastAsia" w:eastAsiaTheme="minorEastAsia" w:cstheme="minorEastAsia"/>
          <w:sz w:val="21"/>
          <w:szCs w:val="21"/>
        </w:rPr>
        <w:t>，代表所有联合体成员负责投标和合同实施阶段的主办、协调工作</w:t>
      </w:r>
      <w:r>
        <w:rPr>
          <w:rFonts w:hint="eastAsia" w:asciiTheme="minorEastAsia" w:hAnsiTheme="minorEastAsia" w:eastAsiaTheme="minorEastAsia" w:cstheme="minorEastAsia"/>
          <w:kern w:val="0"/>
          <w:sz w:val="21"/>
          <w:szCs w:val="21"/>
          <w:lang w:val="zh-CN"/>
        </w:rPr>
        <w:t>。</w:t>
      </w:r>
    </w:p>
    <w:p w14:paraId="5C080353">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二、</w:t>
      </w:r>
      <w:r>
        <w:rPr>
          <w:rFonts w:hint="eastAsia" w:asciiTheme="minorEastAsia" w:hAnsiTheme="minorEastAsia" w:eastAsiaTheme="minorEastAsia" w:cstheme="minorEastAsia"/>
          <w:sz w:val="21"/>
          <w:szCs w:val="21"/>
        </w:rPr>
        <w:t>所有联合体成员各方签署授权书，授权书载明的</w:t>
      </w:r>
      <w:r>
        <w:rPr>
          <w:rFonts w:hint="eastAsia" w:asciiTheme="minorEastAsia" w:hAnsiTheme="minorEastAsia" w:eastAsiaTheme="minorEastAsia" w:cstheme="minorEastAsia"/>
          <w:kern w:val="0"/>
          <w:sz w:val="21"/>
          <w:szCs w:val="21"/>
          <w:lang w:val="zh-CN"/>
        </w:rPr>
        <w:t>授权代表根据招标文件规定及投标内容而对采购人、采购代理机构所作的任何合法承诺，包括书面澄清及响应等均对联合投标各方产生约束力。</w:t>
      </w:r>
    </w:p>
    <w:p w14:paraId="00A87D93">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三、本次联合投标中，分工如下：</w:t>
      </w:r>
    </w:p>
    <w:p w14:paraId="5DF387A1">
      <w:pPr>
        <w:snapToGrid w:val="0"/>
        <w:spacing w:line="360" w:lineRule="auto"/>
        <w:ind w:firstLine="576"/>
        <w:rPr>
          <w:rFonts w:hint="eastAsia" w:asciiTheme="minorEastAsia" w:hAnsiTheme="minorEastAsia" w:eastAsiaTheme="minorEastAsia" w:cstheme="minorEastAsia"/>
          <w:kern w:val="0"/>
          <w:sz w:val="21"/>
          <w:szCs w:val="21"/>
          <w:lang w:val="zh-CN"/>
        </w:rPr>
      </w:pPr>
      <w:bookmarkStart w:id="221" w:name="_Hlk101134295"/>
      <w:r>
        <w:rPr>
          <w:rFonts w:hint="eastAsia" w:asciiTheme="minorEastAsia" w:hAnsiTheme="minorEastAsia" w:eastAsiaTheme="minorEastAsia" w:cstheme="minorEastAsia"/>
          <w:kern w:val="0"/>
          <w:sz w:val="21"/>
          <w:szCs w:val="21"/>
          <w:u w:val="single"/>
        </w:rPr>
        <w:t>（联合体成员1）</w:t>
      </w:r>
      <w:r>
        <w:rPr>
          <w:rFonts w:hint="eastAsia" w:asciiTheme="minorEastAsia" w:hAnsiTheme="minorEastAsia" w:eastAsiaTheme="minorEastAsia" w:cstheme="minorEastAsia"/>
          <w:kern w:val="0"/>
          <w:sz w:val="21"/>
          <w:szCs w:val="21"/>
          <w:lang w:val="zh-CN"/>
        </w:rPr>
        <w:t>承担的工作和义务为：；</w:t>
      </w:r>
    </w:p>
    <w:p w14:paraId="14615844">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u w:val="single"/>
        </w:rPr>
        <w:t>（联合体成员2）</w:t>
      </w:r>
      <w:r>
        <w:rPr>
          <w:rFonts w:hint="eastAsia" w:asciiTheme="minorEastAsia" w:hAnsiTheme="minorEastAsia" w:eastAsiaTheme="minorEastAsia" w:cstheme="minorEastAsia"/>
          <w:kern w:val="0"/>
          <w:sz w:val="21"/>
          <w:szCs w:val="21"/>
          <w:lang w:val="zh-CN"/>
        </w:rPr>
        <w:t>承担的工作和义务为：；</w:t>
      </w:r>
    </w:p>
    <w:p w14:paraId="4B940299">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w:t>
      </w:r>
    </w:p>
    <w:bookmarkEnd w:id="221"/>
    <w:p w14:paraId="258B30D7">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四、联合体成员中小企业合同份额。</w:t>
      </w:r>
    </w:p>
    <w:p w14:paraId="0F77779E">
      <w:pPr>
        <w:snapToGrid w:val="0"/>
        <w:spacing w:line="360" w:lineRule="auto"/>
        <w:ind w:firstLine="576"/>
        <w:rPr>
          <w:rFonts w:hint="eastAsia" w:asciiTheme="minorEastAsia" w:hAnsiTheme="minorEastAsia" w:eastAsiaTheme="minorEastAsia" w:cstheme="minorEastAsia"/>
          <w:b/>
          <w:kern w:val="0"/>
          <w:sz w:val="21"/>
          <w:szCs w:val="21"/>
          <w:lang w:val="zh-CN"/>
        </w:rPr>
      </w:pPr>
      <w:r>
        <w:rPr>
          <w:rFonts w:hint="eastAsia" w:asciiTheme="minorEastAsia" w:hAnsiTheme="minorEastAsia" w:eastAsiaTheme="minorEastAsia" w:cstheme="minorEastAsia"/>
          <w:kern w:val="0"/>
          <w:sz w:val="21"/>
          <w:szCs w:val="21"/>
          <w:lang w:val="zh-CN"/>
        </w:rPr>
        <w:t>1、</w:t>
      </w:r>
      <w:r>
        <w:rPr>
          <w:rFonts w:hint="eastAsia" w:asciiTheme="minorEastAsia" w:hAnsiTheme="minorEastAsia" w:eastAsiaTheme="minorEastAsia" w:cstheme="minorEastAsia"/>
          <w:kern w:val="0"/>
          <w:sz w:val="21"/>
          <w:szCs w:val="21"/>
          <w:u w:val="single"/>
        </w:rPr>
        <w:t>（联合体成员X,……）</w:t>
      </w:r>
      <w:r>
        <w:rPr>
          <w:rFonts w:hint="eastAsia" w:asciiTheme="minorEastAsia" w:hAnsiTheme="minorEastAsia" w:eastAsiaTheme="minorEastAsia" w:cstheme="minorEastAsia"/>
          <w:kern w:val="0"/>
          <w:sz w:val="21"/>
          <w:szCs w:val="21"/>
        </w:rPr>
        <w:t>提供的全部货物由小微企业制造，其合同份额占到合同总金额%以上；</w:t>
      </w:r>
      <w:r>
        <w:rPr>
          <w:rFonts w:hint="eastAsia" w:asciiTheme="minorEastAsia" w:hAnsiTheme="minorEastAsia" w:eastAsiaTheme="minorEastAsia" w:cstheme="minorEastAsia"/>
          <w:kern w:val="0"/>
          <w:sz w:val="21"/>
          <w:szCs w:val="21"/>
          <w:lang w:val="zh-CN"/>
        </w:rPr>
        <w:t>……。</w:t>
      </w:r>
      <w:r>
        <w:rPr>
          <w:rFonts w:hint="eastAsia" w:asciiTheme="minorEastAsia" w:hAnsiTheme="minorEastAsia" w:eastAsiaTheme="minorEastAsia" w:cstheme="minorEastAsia"/>
          <w:b/>
          <w:kern w:val="0"/>
          <w:sz w:val="21"/>
          <w:szCs w:val="21"/>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Theme="minorEastAsia" w:hAnsiTheme="minorEastAsia" w:eastAsiaTheme="minorEastAsia" w:cstheme="minorEastAsia"/>
          <w:b/>
          <w:sz w:val="21"/>
          <w:szCs w:val="21"/>
        </w:rPr>
        <w:t>拟享受以上价格扣除政策的，填写有关内容。</w:t>
      </w:r>
      <w:r>
        <w:rPr>
          <w:rFonts w:hint="eastAsia" w:asciiTheme="minorEastAsia" w:hAnsiTheme="minorEastAsia" w:eastAsiaTheme="minorEastAsia" w:cstheme="minorEastAsia"/>
          <w:b/>
          <w:kern w:val="0"/>
          <w:sz w:val="21"/>
          <w:szCs w:val="21"/>
          <w:lang w:val="zh-CN"/>
        </w:rPr>
        <w:t>）</w:t>
      </w:r>
    </w:p>
    <w:p w14:paraId="6E18ACA6">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sz w:val="21"/>
          <w:szCs w:val="21"/>
        </w:rPr>
        <w:t>2、中小企业合同金额达到%，其中小微企业合同金额达到%</w:t>
      </w:r>
      <w:r>
        <w:rPr>
          <w:rFonts w:hint="eastAsia" w:asciiTheme="minorEastAsia" w:hAnsiTheme="minorEastAsia" w:eastAsiaTheme="minorEastAsia" w:cstheme="minorEastAsia"/>
          <w:kern w:val="0"/>
          <w:sz w:val="21"/>
          <w:szCs w:val="21"/>
          <w:lang w:val="zh-CN"/>
        </w:rPr>
        <w:t>。</w:t>
      </w:r>
      <w:r>
        <w:rPr>
          <w:rFonts w:hint="eastAsia" w:asciiTheme="minorEastAsia" w:hAnsiTheme="minorEastAsia" w:eastAsiaTheme="minorEastAsia" w:cstheme="minorEastAsia"/>
          <w:b/>
          <w:bCs/>
          <w:kern w:val="0"/>
          <w:sz w:val="21"/>
          <w:szCs w:val="21"/>
          <w:lang w:val="zh-CN"/>
        </w:rPr>
        <w:t>（</w:t>
      </w:r>
      <w:r>
        <w:rPr>
          <w:rFonts w:hint="eastAsia" w:asciiTheme="minorEastAsia" w:hAnsiTheme="minorEastAsia" w:eastAsiaTheme="minorEastAsia" w:cstheme="minorEastAsia"/>
          <w:b/>
          <w:bCs/>
          <w:sz w:val="21"/>
          <w:szCs w:val="21"/>
        </w:rPr>
        <w:t>要求以联合体形式参加的项目或采购包，供应商按招标文件第一部分招标公告申请人的资格要求中规定的联合协议中中小企业、小微企业合同金额应当达到的比例要求填写。</w:t>
      </w:r>
      <w:r>
        <w:rPr>
          <w:rFonts w:hint="eastAsia" w:asciiTheme="minorEastAsia" w:hAnsiTheme="minorEastAsia" w:eastAsiaTheme="minorEastAsia" w:cstheme="minorEastAsia"/>
          <w:b/>
          <w:bCs/>
          <w:kern w:val="0"/>
          <w:sz w:val="21"/>
          <w:szCs w:val="21"/>
          <w:lang w:val="zh-CN"/>
        </w:rPr>
        <w:t>）</w:t>
      </w:r>
    </w:p>
    <w:p w14:paraId="6CD5D89F">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五、如果中标，</w:t>
      </w:r>
      <w:r>
        <w:rPr>
          <w:rFonts w:hint="eastAsia" w:asciiTheme="minorEastAsia" w:hAnsiTheme="minorEastAsia" w:eastAsiaTheme="minorEastAsia" w:cstheme="minorEastAsia"/>
          <w:sz w:val="21"/>
          <w:szCs w:val="21"/>
        </w:rPr>
        <w:t>联合体各成员方共同与采购人签订合同，并就采购合同约定的事项对采购人承担连带责任。</w:t>
      </w:r>
    </w:p>
    <w:p w14:paraId="57CEDB93">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六、有关本次联合投标的其他事宜：</w:t>
      </w:r>
    </w:p>
    <w:p w14:paraId="25B24184">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1、联合体各方不再单独参加或者与其他供应商另外组成联合体参加同一合同项下的政府采购活动。</w:t>
      </w:r>
    </w:p>
    <w:p w14:paraId="49B7788A">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2、联合体中有同类资质的各方按照联合体分工承担相同工作的，按照资质等级较低的供应商确定资质等级。</w:t>
      </w:r>
    </w:p>
    <w:p w14:paraId="4D57ECE2">
      <w:pPr>
        <w:snapToGrid w:val="0"/>
        <w:spacing w:line="360" w:lineRule="auto"/>
        <w:ind w:firstLine="576"/>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3、本协议提交采购人、采购代理机构后，联合体各方不得以任何形式对上述内容进行修改或撤销。</w:t>
      </w:r>
    </w:p>
    <w:p w14:paraId="01D1BC38">
      <w:pPr>
        <w:snapToGrid w:val="0"/>
        <w:spacing w:line="360" w:lineRule="auto"/>
        <w:ind w:firstLine="4410" w:firstLineChars="2100"/>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联合体成员名称(电子签名/公章)：</w:t>
      </w:r>
    </w:p>
    <w:p w14:paraId="3895E092">
      <w:pPr>
        <w:snapToGrid w:val="0"/>
        <w:spacing w:line="360" w:lineRule="auto"/>
        <w:ind w:firstLine="4410" w:firstLineChars="2100"/>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联合体成员名称(电子签名/公章)：</w:t>
      </w:r>
    </w:p>
    <w:p w14:paraId="25BDD772">
      <w:pPr>
        <w:snapToGrid w:val="0"/>
        <w:spacing w:line="360" w:lineRule="auto"/>
        <w:ind w:right="960"/>
        <w:jc w:val="center"/>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 xml:space="preserve">                   ……</w:t>
      </w:r>
    </w:p>
    <w:p w14:paraId="40995680">
      <w:pPr>
        <w:snapToGrid w:val="0"/>
        <w:spacing w:line="360" w:lineRule="auto"/>
        <w:jc w:val="right"/>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日期：  年  月   日</w:t>
      </w:r>
    </w:p>
    <w:p w14:paraId="2AAC559E">
      <w:pPr>
        <w:spacing w:line="360" w:lineRule="auto"/>
        <w:ind w:right="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注：按本格式和要求提供。</w:t>
      </w:r>
    </w:p>
    <w:p w14:paraId="5B9169BA">
      <w:pPr>
        <w:spacing w:line="360" w:lineRule="auto"/>
        <w:jc w:val="center"/>
        <w:outlineLvl w:val="0"/>
        <w:rPr>
          <w:rFonts w:hint="eastAsia" w:asciiTheme="minorEastAsia" w:hAnsiTheme="minorEastAsia" w:eastAsiaTheme="minorEastAsia" w:cstheme="minorEastAsia"/>
          <w:b/>
          <w:kern w:val="0"/>
          <w:sz w:val="28"/>
          <w:szCs w:val="28"/>
        </w:rPr>
      </w:pPr>
      <w:bookmarkStart w:id="222" w:name="_Toc263"/>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lang w:val="en-US" w:eastAsia="zh-CN"/>
        </w:rPr>
        <w:t>四</w:t>
      </w:r>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rPr>
        <w:t>落实政府采购政策需满足的资格要求</w:t>
      </w:r>
      <w:bookmarkEnd w:id="222"/>
    </w:p>
    <w:p w14:paraId="7491F1BD">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（根据招标公告落实政府采购政策需满足的资格要求选择提供相应的材料；未要求的，无需提供）</w:t>
      </w:r>
    </w:p>
    <w:p w14:paraId="1DF3D274">
      <w:pPr>
        <w:snapToGrid w:val="0"/>
        <w:spacing w:before="50" w:after="50" w:line="360" w:lineRule="auto"/>
        <w:ind w:firstLine="413" w:firstLineChars="196"/>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A</w:t>
      </w:r>
      <w:r>
        <w:rPr>
          <w:rFonts w:hint="eastAsia" w:asciiTheme="minorEastAsia" w:hAnsiTheme="minorEastAsia" w:eastAsiaTheme="minorEastAsia" w:cstheme="minorEastAsia"/>
          <w:sz w:val="21"/>
          <w:szCs w:val="21"/>
        </w:rPr>
        <w:t xml:space="preserve">.专门面向中小企业，货物全部由符合政策要求的中小企业（或小微企业）制造的，提供相应的中小企业声明函。 </w:t>
      </w:r>
    </w:p>
    <w:p w14:paraId="2DDD6A1C">
      <w:pPr>
        <w:widowControl/>
        <w:spacing w:line="360" w:lineRule="auto"/>
        <w:ind w:firstLine="480"/>
        <w:jc w:val="left"/>
        <w:rPr>
          <w:rFonts w:hint="eastAsia" w:asciiTheme="minorEastAsia" w:hAnsiTheme="minorEastAsia" w:eastAsiaTheme="minorEastAsia" w:cstheme="minorEastAsia"/>
          <w:sz w:val="21"/>
          <w:szCs w:val="21"/>
        </w:rPr>
      </w:pPr>
    </w:p>
    <w:p w14:paraId="223C6FF8">
      <w:pPr>
        <w:widowControl/>
        <w:spacing w:line="360" w:lineRule="auto"/>
        <w:ind w:firstLine="413" w:firstLineChars="196"/>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B.</w:t>
      </w:r>
      <w:r>
        <w:rPr>
          <w:rFonts w:hint="eastAsia" w:asciiTheme="minorEastAsia" w:hAnsiTheme="minorEastAsia" w:eastAsiaTheme="minorEastAsia" w:cstheme="minorEastAsia"/>
          <w:sz w:val="21"/>
          <w:szCs w:val="21"/>
        </w:rPr>
        <w:t>要求以联合体形式参加的，提供联合协议和中小企业声明函，联合协议中中小企业合同金额应当达到招标公告载明的比例；如果供应商本身提供所有标的均由中小企业制造的，</w:t>
      </w:r>
      <w:r>
        <w:rPr>
          <w:rFonts w:hint="eastAsia" w:asciiTheme="minorEastAsia" w:hAnsiTheme="minorEastAsia" w:eastAsiaTheme="minorEastAsia" w:cstheme="minorEastAsia"/>
          <w:spacing w:val="8"/>
          <w:kern w:val="0"/>
          <w:sz w:val="21"/>
          <w:szCs w:val="21"/>
        </w:rPr>
        <w:t>并相应达到了前述比例要求，</w:t>
      </w:r>
      <w:r>
        <w:rPr>
          <w:rFonts w:hint="eastAsia" w:asciiTheme="minorEastAsia" w:hAnsiTheme="minorEastAsia" w:eastAsiaTheme="minorEastAsia" w:cstheme="minorEastAsia"/>
          <w:sz w:val="21"/>
          <w:szCs w:val="21"/>
        </w:rPr>
        <w:t>视同符合了资格条件，无需再与其他中小企业组成联合体参加政府采购活动，无需提供联合协议。</w:t>
      </w:r>
    </w:p>
    <w:p w14:paraId="03A02EA0">
      <w:pPr>
        <w:snapToGrid w:val="0"/>
        <w:spacing w:before="50" w:after="50" w:line="360" w:lineRule="auto"/>
        <w:jc w:val="center"/>
        <w:rPr>
          <w:rFonts w:hint="eastAsia" w:asciiTheme="minorEastAsia" w:hAnsiTheme="minorEastAsia" w:eastAsiaTheme="minorEastAsia" w:cstheme="minorEastAsia"/>
          <w:sz w:val="21"/>
          <w:szCs w:val="21"/>
        </w:rPr>
      </w:pPr>
    </w:p>
    <w:p w14:paraId="563DB859">
      <w:pPr>
        <w:widowControl/>
        <w:spacing w:line="360" w:lineRule="auto"/>
        <w:ind w:left="150"/>
        <w:jc w:val="center"/>
        <w:rPr>
          <w:rFonts w:hint="eastAsia" w:asciiTheme="minorEastAsia" w:hAnsiTheme="minorEastAsia" w:eastAsiaTheme="minorEastAsia" w:cstheme="minorEastAsia"/>
          <w:b/>
          <w:kern w:val="0"/>
          <w:sz w:val="32"/>
          <w:szCs w:val="32"/>
          <w:lang w:eastAsia="zh-CN"/>
        </w:rPr>
      </w:pPr>
      <w:r>
        <w:rPr>
          <w:rFonts w:hint="eastAsia" w:asciiTheme="minorEastAsia" w:hAnsiTheme="minorEastAsia" w:eastAsiaTheme="minorEastAsia" w:cstheme="minorEastAsia"/>
          <w:b/>
          <w:sz w:val="21"/>
          <w:szCs w:val="21"/>
          <w:lang w:val="en-US" w:eastAsia="zh-CN"/>
        </w:rPr>
        <w:t xml:space="preserve"> </w:t>
      </w:r>
    </w:p>
    <w:p w14:paraId="18D6192F">
      <w:pPr>
        <w:spacing w:line="360" w:lineRule="auto"/>
        <w:jc w:val="center"/>
        <w:outlineLvl w:val="0"/>
        <w:rPr>
          <w:rFonts w:hint="eastAsia" w:asciiTheme="minorEastAsia" w:hAnsiTheme="minorEastAsia" w:eastAsiaTheme="minorEastAsia" w:cstheme="minorEastAsia"/>
          <w:b/>
          <w:kern w:val="0"/>
          <w:sz w:val="28"/>
          <w:szCs w:val="28"/>
        </w:rPr>
      </w:pPr>
      <w:bookmarkStart w:id="223" w:name="_Toc10149"/>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lang w:val="en-US" w:eastAsia="zh-CN"/>
        </w:rPr>
        <w:t>五</w:t>
      </w:r>
      <w:r>
        <w:rPr>
          <w:rFonts w:hint="eastAsia" w:asciiTheme="minorEastAsia" w:hAnsiTheme="minorEastAsia" w:eastAsiaTheme="minorEastAsia" w:cstheme="minorEastAsia"/>
          <w:b/>
          <w:kern w:val="0"/>
          <w:sz w:val="28"/>
          <w:szCs w:val="28"/>
          <w:lang w:eastAsia="zh-CN"/>
        </w:rPr>
        <w:t>）</w:t>
      </w:r>
      <w:r>
        <w:rPr>
          <w:rFonts w:hint="eastAsia" w:asciiTheme="minorEastAsia" w:hAnsiTheme="minorEastAsia" w:eastAsiaTheme="minorEastAsia" w:cstheme="minorEastAsia"/>
          <w:b/>
          <w:kern w:val="0"/>
          <w:sz w:val="28"/>
          <w:szCs w:val="28"/>
        </w:rPr>
        <w:t>本项目的特定资格要求</w:t>
      </w:r>
      <w:bookmarkEnd w:id="223"/>
    </w:p>
    <w:p w14:paraId="6890D44C">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1"/>
          <w:szCs w:val="21"/>
        </w:rPr>
        <w:t>（根据招标公告本项目的特定资格要求提供相应的材料；未要求的，无需提供）</w:t>
      </w:r>
    </w:p>
    <w:p w14:paraId="3FB75269">
      <w:pPr>
        <w:pStyle w:val="3"/>
        <w:keepNext/>
        <w:keepLines/>
        <w:numPr>
          <w:ilvl w:val="0"/>
          <w:numId w:val="0"/>
        </w:numPr>
        <w:kinsoku w:val="0"/>
        <w:autoSpaceDE w:val="0"/>
        <w:autoSpaceDN w:val="0"/>
        <w:bidi w:val="0"/>
        <w:adjustRightInd w:val="0"/>
        <w:snapToGrid w:val="0"/>
        <w:spacing w:before="260" w:beforeLines="0" w:after="260" w:afterLines="0" w:line="360" w:lineRule="auto"/>
        <w:jc w:val="both"/>
        <w:textAlignment w:val="baseline"/>
        <w:outlineLvl w:val="1"/>
        <w:rPr>
          <w:rFonts w:hint="eastAsia"/>
        </w:rPr>
        <w:sectPr>
          <w:pgSz w:w="11906" w:h="16838"/>
          <w:pgMar w:top="1440" w:right="1304" w:bottom="1089" w:left="1531" w:header="851" w:footer="992" w:gutter="0"/>
          <w:pgNumType w:fmt="decimal"/>
          <w:cols w:space="720" w:num="1"/>
          <w:docGrid w:linePitch="312" w:charSpace="0"/>
        </w:sectPr>
      </w:pPr>
    </w:p>
    <w:p w14:paraId="12213E5C">
      <w:pPr>
        <w:pStyle w:val="11"/>
        <w:spacing w:line="600" w:lineRule="exact"/>
        <w:ind w:firstLine="422"/>
        <w:jc w:val="center"/>
        <w:rPr>
          <w:rFonts w:hint="eastAsia" w:asciiTheme="minorEastAsia" w:hAnsiTheme="minorEastAsia" w:eastAsiaTheme="minorEastAsia" w:cstheme="minorEastAsia"/>
          <w:b/>
          <w:snapToGrid w:val="0"/>
          <w:color w:val="000000"/>
          <w:kern w:val="0"/>
          <w:sz w:val="28"/>
          <w:szCs w:val="28"/>
          <w:lang w:val="en-US" w:eastAsia="zh-CN" w:bidi="ar-SA"/>
        </w:rPr>
      </w:pPr>
      <w:r>
        <w:rPr>
          <w:rFonts w:hint="eastAsia" w:asciiTheme="minorEastAsia" w:hAnsiTheme="minorEastAsia" w:eastAsiaTheme="minorEastAsia" w:cstheme="minorEastAsia"/>
          <w:b/>
          <w:snapToGrid w:val="0"/>
          <w:color w:val="000000"/>
          <w:kern w:val="0"/>
          <w:sz w:val="28"/>
          <w:szCs w:val="28"/>
          <w:lang w:val="en-US" w:eastAsia="zh-CN" w:bidi="ar-SA"/>
        </w:rPr>
        <w:t>（六-1）法定代表人资格声明书</w:t>
      </w:r>
    </w:p>
    <w:p w14:paraId="6E54CF82">
      <w:pPr>
        <w:pStyle w:val="11"/>
        <w:spacing w:line="240" w:lineRule="auto"/>
        <w:ind w:firstLine="0" w:firstLineChars="0"/>
        <w:rPr>
          <w:rFonts w:hint="eastAsia" w:ascii="宋体" w:hAnsi="宋体" w:eastAsia="宋体" w:cs="宋体"/>
          <w:snapToGrid w:val="0"/>
          <w:kern w:val="0"/>
          <w:sz w:val="21"/>
          <w:szCs w:val="21"/>
        </w:rPr>
      </w:pPr>
    </w:p>
    <w:p w14:paraId="4BE140A3">
      <w:pPr>
        <w:pStyle w:val="11"/>
        <w:spacing w:line="240" w:lineRule="auto"/>
        <w:ind w:firstLine="0" w:firstLineChars="0"/>
        <w:rPr>
          <w:rFonts w:hint="eastAsia" w:ascii="宋体" w:hAnsi="宋体" w:eastAsia="宋体" w:cs="宋体"/>
          <w:snapToGrid w:val="0"/>
          <w:kern w:val="0"/>
          <w:sz w:val="21"/>
          <w:szCs w:val="21"/>
          <w:u w:val="single"/>
          <w:lang w:eastAsia="zh-CN"/>
        </w:rPr>
      </w:pPr>
      <w:r>
        <w:rPr>
          <w:rFonts w:hint="eastAsia" w:cs="宋体"/>
          <w:snapToGrid w:val="0"/>
          <w:kern w:val="0"/>
          <w:sz w:val="21"/>
          <w:szCs w:val="21"/>
          <w:u w:val="single"/>
          <w:lang w:eastAsia="zh-CN"/>
        </w:rPr>
        <w:t>温州市职业中等专业学校</w:t>
      </w:r>
    </w:p>
    <w:p w14:paraId="50B4DD23">
      <w:pPr>
        <w:pStyle w:val="11"/>
        <w:spacing w:line="240" w:lineRule="auto"/>
        <w:ind w:firstLine="0" w:firstLineChars="0"/>
        <w:rPr>
          <w:rFonts w:hint="eastAsia" w:ascii="宋体" w:hAnsi="宋体" w:eastAsia="宋体" w:cs="宋体"/>
          <w:b/>
          <w:bCs/>
          <w:snapToGrid w:val="0"/>
          <w:kern w:val="0"/>
          <w:sz w:val="36"/>
        </w:rPr>
      </w:pPr>
      <w:r>
        <w:rPr>
          <w:rFonts w:hint="eastAsia" w:cs="宋体"/>
          <w:snapToGrid w:val="0"/>
          <w:kern w:val="0"/>
          <w:sz w:val="21"/>
          <w:szCs w:val="21"/>
          <w:u w:val="single"/>
          <w:lang w:eastAsia="zh-CN"/>
        </w:rPr>
        <w:t>温州得恒项目管理咨询有限公司</w:t>
      </w:r>
      <w:r>
        <w:rPr>
          <w:rFonts w:hint="eastAsia" w:ascii="宋体" w:hAnsi="宋体" w:eastAsia="宋体" w:cs="宋体"/>
          <w:snapToGrid w:val="0"/>
          <w:kern w:val="0"/>
          <w:sz w:val="21"/>
          <w:szCs w:val="21"/>
        </w:rPr>
        <w:t xml:space="preserve"> ：</w:t>
      </w:r>
    </w:p>
    <w:p w14:paraId="7F7DE155">
      <w:pPr>
        <w:pStyle w:val="11"/>
        <w:spacing w:line="600" w:lineRule="exact"/>
        <w:ind w:firstLine="630" w:firstLineChars="30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 xml:space="preserve">我 </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（姓名）系</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（供应商名称）的法定代表人，身份证号：</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 xml:space="preserve">联系电话 </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电子邮箱</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 xml:space="preserve"> 。</w:t>
      </w:r>
    </w:p>
    <w:p w14:paraId="09639229">
      <w:pPr>
        <w:pStyle w:val="11"/>
        <w:spacing w:line="600" w:lineRule="exact"/>
        <w:ind w:firstLine="42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特此证明</w:t>
      </w:r>
    </w:p>
    <w:p w14:paraId="64AD1245">
      <w:pPr>
        <w:pStyle w:val="11"/>
        <w:spacing w:line="600" w:lineRule="exact"/>
        <w:ind w:firstLine="42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供应商：(盖章)</w:t>
      </w:r>
    </w:p>
    <w:p w14:paraId="24FE0EE5">
      <w:pPr>
        <w:pStyle w:val="11"/>
        <w:spacing w:line="600" w:lineRule="exact"/>
        <w:ind w:firstLine="42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日期：</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年</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月</w:t>
      </w:r>
      <w:r>
        <w:rPr>
          <w:rFonts w:hint="eastAsia" w:ascii="宋体" w:hAnsi="宋体" w:eastAsia="宋体" w:cs="宋体"/>
          <w:snapToGrid w:val="0"/>
          <w:kern w:val="0"/>
          <w:sz w:val="21"/>
          <w:szCs w:val="21"/>
          <w:u w:val="single"/>
        </w:rPr>
        <w:t xml:space="preserve">     </w:t>
      </w:r>
      <w:r>
        <w:rPr>
          <w:rFonts w:hint="eastAsia" w:ascii="宋体" w:hAnsi="宋体" w:eastAsia="宋体" w:cs="宋体"/>
          <w:snapToGrid w:val="0"/>
          <w:kern w:val="0"/>
          <w:sz w:val="21"/>
          <w:szCs w:val="21"/>
        </w:rPr>
        <w:t>日</w:t>
      </w:r>
    </w:p>
    <w:p w14:paraId="60364CB4">
      <w:pPr>
        <w:adjustRightInd w:val="0"/>
        <w:ind w:firstLine="422"/>
        <w:rPr>
          <w:rFonts w:hint="eastAsia" w:ascii="宋体" w:hAnsi="宋体" w:eastAsia="宋体" w:cs="宋体"/>
          <w:snapToGrid w:val="0"/>
          <w:kern w:val="0"/>
          <w:szCs w:val="21"/>
        </w:rPr>
      </w:pPr>
      <w:r>
        <w:rPr>
          <w:rFonts w:hint="eastAsia" w:ascii="宋体" w:hAnsi="宋体" w:eastAsia="宋体" w:cs="宋体"/>
          <w:b/>
          <w:bCs/>
        </w:rPr>
        <w:t>特别提醒：供应商应保证法定代表人的联系方式（如手机号码、电子邮箱等）正确并保持畅通</w:t>
      </w:r>
    </w:p>
    <w:p w14:paraId="43486DB8">
      <w:pPr>
        <w:adjustRightInd w:val="0"/>
        <w:ind w:firstLine="422"/>
        <w:rPr>
          <w:rFonts w:hint="eastAsia" w:ascii="宋体" w:hAnsi="宋体" w:eastAsia="宋体" w:cs="宋体"/>
          <w:b/>
          <w:szCs w:val="21"/>
        </w:rPr>
      </w:pPr>
      <w:r>
        <w:rPr>
          <w:rFonts w:hint="eastAsia" w:ascii="宋体" w:hAnsi="宋体" w:eastAsia="宋体" w:cs="宋体"/>
          <w:b/>
          <w:szCs w:val="21"/>
        </w:rPr>
        <w:t>附：</w:t>
      </w:r>
    </w:p>
    <w:tbl>
      <w:tblPr>
        <w:tblStyle w:val="25"/>
        <w:tblpPr w:leftFromText="180" w:rightFromText="180" w:vertAnchor="text" w:horzAnchor="page" w:tblpX="2749" w:tblpY="497"/>
        <w:tblOverlap w:val="never"/>
        <w:tblW w:w="7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0"/>
      </w:tblGrid>
      <w:tr w14:paraId="6D8C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trPr>
        <w:tc>
          <w:tcPr>
            <w:tcW w:w="7180" w:type="dxa"/>
            <w:vAlign w:val="center"/>
          </w:tcPr>
          <w:p w14:paraId="3CE1CF44">
            <w:pPr>
              <w:keepNext w:val="0"/>
              <w:keepLines w:val="0"/>
              <w:widowControl/>
              <w:suppressLineNumbers w:val="0"/>
              <w:spacing w:before="0" w:beforeAutospacing="0" w:after="0" w:afterAutospacing="0" w:line="380" w:lineRule="exact"/>
              <w:ind w:left="0" w:right="0" w:firstLine="562"/>
              <w:jc w:val="center"/>
              <w:rPr>
                <w:rFonts w:hint="eastAsia" w:ascii="宋体" w:hAnsi="宋体" w:eastAsia="宋体" w:cs="宋体"/>
                <w:b/>
                <w:sz w:val="28"/>
                <w:szCs w:val="28"/>
              </w:rPr>
            </w:pPr>
            <w:r>
              <w:rPr>
                <w:rFonts w:hint="eastAsia" w:ascii="宋体" w:hAnsi="宋体" w:eastAsia="宋体" w:cs="宋体"/>
                <w:b/>
                <w:sz w:val="28"/>
                <w:szCs w:val="28"/>
              </w:rPr>
              <w:t>法定代表人身份证复印件</w:t>
            </w:r>
          </w:p>
          <w:p w14:paraId="7DF01BCA">
            <w:pPr>
              <w:keepNext w:val="0"/>
              <w:keepLines w:val="0"/>
              <w:widowControl/>
              <w:suppressLineNumbers w:val="0"/>
              <w:spacing w:before="0" w:beforeAutospacing="0" w:after="0" w:afterAutospacing="0" w:line="380" w:lineRule="exact"/>
              <w:ind w:left="0" w:right="0" w:firstLine="562"/>
              <w:jc w:val="center"/>
              <w:rPr>
                <w:rFonts w:hint="eastAsia" w:ascii="宋体" w:hAnsi="宋体" w:eastAsia="宋体" w:cs="宋体"/>
                <w:b/>
                <w:bCs/>
                <w:sz w:val="28"/>
              </w:rPr>
            </w:pPr>
          </w:p>
        </w:tc>
      </w:tr>
    </w:tbl>
    <w:p w14:paraId="1C9C4BA8">
      <w:pPr>
        <w:adjustRightInd w:val="0"/>
        <w:ind w:firstLine="422"/>
        <w:rPr>
          <w:rFonts w:hint="eastAsia" w:ascii="宋体" w:hAnsi="宋体" w:eastAsia="宋体" w:cs="宋体"/>
          <w:b/>
          <w:szCs w:val="21"/>
        </w:rPr>
      </w:pPr>
    </w:p>
    <w:p w14:paraId="2C2F624F">
      <w:pPr>
        <w:pStyle w:val="9"/>
        <w:ind w:firstLine="420"/>
        <w:rPr>
          <w:rFonts w:hint="eastAsia" w:ascii="宋体" w:hAnsi="宋体" w:eastAsia="宋体" w:cs="宋体"/>
        </w:rPr>
      </w:pPr>
    </w:p>
    <w:p w14:paraId="758623F4">
      <w:pPr>
        <w:pStyle w:val="10"/>
        <w:ind w:firstLine="321"/>
        <w:rPr>
          <w:rFonts w:hint="eastAsia" w:ascii="宋体" w:hAnsi="宋体" w:eastAsia="宋体" w:cs="宋体"/>
        </w:rPr>
        <w:sectPr>
          <w:pgSz w:w="11906" w:h="16838"/>
          <w:pgMar w:top="1440" w:right="1304" w:bottom="1089" w:left="1531" w:header="851" w:footer="992" w:gutter="0"/>
          <w:pgNumType w:fmt="decimal"/>
          <w:cols w:space="720" w:num="1"/>
          <w:docGrid w:linePitch="312" w:charSpace="0"/>
        </w:sectPr>
      </w:pPr>
    </w:p>
    <w:p w14:paraId="0462B531">
      <w:pPr>
        <w:pStyle w:val="4"/>
        <w:ind w:firstLine="482"/>
        <w:jc w:val="center"/>
        <w:rPr>
          <w:rFonts w:hint="eastAsia" w:ascii="宋体" w:hAnsi="宋体" w:eastAsia="宋体" w:cs="宋体"/>
          <w:b w:val="0"/>
          <w:bCs w:val="0"/>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六-2</w:t>
      </w:r>
      <w:r>
        <w:rPr>
          <w:rFonts w:hint="eastAsia" w:ascii="宋体" w:hAnsi="宋体" w:eastAsia="宋体" w:cs="宋体"/>
          <w:sz w:val="28"/>
          <w:szCs w:val="28"/>
        </w:rPr>
        <w:t>）法定代表人授权委托书（法定代表人为供应商代表时，可不提供</w:t>
      </w:r>
      <w:r>
        <w:rPr>
          <w:rFonts w:hint="eastAsia" w:ascii="宋体" w:hAnsi="宋体" w:eastAsia="宋体" w:cs="宋体"/>
          <w:sz w:val="21"/>
          <w:szCs w:val="21"/>
        </w:rPr>
        <w:t>）</w:t>
      </w:r>
    </w:p>
    <w:p w14:paraId="4234B38F">
      <w:pPr>
        <w:spacing w:line="460" w:lineRule="exact"/>
        <w:ind w:firstLine="643"/>
        <w:jc w:val="center"/>
        <w:rPr>
          <w:rFonts w:hint="eastAsia" w:ascii="宋体" w:hAnsi="宋体" w:eastAsia="宋体" w:cs="宋体"/>
          <w:b/>
          <w:bCs/>
          <w:sz w:val="32"/>
          <w:szCs w:val="32"/>
        </w:rPr>
      </w:pPr>
    </w:p>
    <w:p w14:paraId="44DCD3C3">
      <w:pPr>
        <w:spacing w:line="460" w:lineRule="exact"/>
        <w:ind w:firstLine="420"/>
        <w:rPr>
          <w:rFonts w:hint="eastAsia" w:ascii="宋体" w:hAnsi="宋体" w:eastAsia="宋体" w:cs="宋体"/>
          <w:szCs w:val="21"/>
          <w:u w:val="single"/>
          <w:lang w:eastAsia="zh-CN"/>
        </w:rPr>
      </w:pPr>
      <w:r>
        <w:rPr>
          <w:rFonts w:hint="eastAsia" w:ascii="宋体" w:hAnsi="宋体" w:eastAsia="宋体" w:cs="宋体"/>
          <w:szCs w:val="21"/>
          <w:u w:val="single"/>
          <w:lang w:eastAsia="zh-CN"/>
        </w:rPr>
        <w:t>温州市职业中等专业学校</w:t>
      </w:r>
    </w:p>
    <w:p w14:paraId="5190570E">
      <w:pPr>
        <w:spacing w:line="460" w:lineRule="exact"/>
        <w:ind w:firstLine="420"/>
        <w:rPr>
          <w:rFonts w:hint="eastAsia" w:ascii="宋体" w:hAnsi="宋体" w:eastAsia="宋体" w:cs="宋体"/>
          <w:szCs w:val="21"/>
        </w:rPr>
      </w:pPr>
      <w:r>
        <w:rPr>
          <w:rFonts w:hint="eastAsia" w:ascii="宋体" w:hAnsi="宋体" w:eastAsia="宋体" w:cs="宋体"/>
          <w:szCs w:val="21"/>
          <w:u w:val="single"/>
          <w:lang w:eastAsia="zh-CN"/>
        </w:rPr>
        <w:t>温州得恒项目管理咨询有限公司</w:t>
      </w:r>
      <w:r>
        <w:rPr>
          <w:rFonts w:hint="eastAsia" w:ascii="宋体" w:hAnsi="宋体" w:eastAsia="宋体" w:cs="宋体"/>
          <w:szCs w:val="21"/>
          <w:u w:val="single"/>
        </w:rPr>
        <w:t xml:space="preserve"> </w:t>
      </w:r>
      <w:r>
        <w:rPr>
          <w:rFonts w:hint="eastAsia" w:ascii="宋体" w:hAnsi="宋体" w:eastAsia="宋体" w:cs="宋体"/>
          <w:szCs w:val="21"/>
        </w:rPr>
        <w:t>：</w:t>
      </w:r>
    </w:p>
    <w:p w14:paraId="17C33913">
      <w:pPr>
        <w:spacing w:line="460" w:lineRule="exact"/>
        <w:ind w:firstLine="420"/>
        <w:rPr>
          <w:rFonts w:hint="eastAsia" w:ascii="宋体" w:hAnsi="宋体" w:eastAsia="宋体" w:cs="宋体"/>
          <w:szCs w:val="21"/>
          <w:u w:val="single"/>
        </w:rPr>
      </w:pPr>
    </w:p>
    <w:p w14:paraId="00FF0294">
      <w:pPr>
        <w:spacing w:line="460" w:lineRule="exact"/>
        <w:ind w:firstLine="525" w:firstLineChars="250"/>
        <w:rPr>
          <w:rFonts w:hint="eastAsia"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rPr>
        <w:t>（供应商全称）法定代表人</w:t>
      </w:r>
      <w:r>
        <w:rPr>
          <w:rFonts w:hint="eastAsia" w:ascii="宋体" w:hAnsi="宋体" w:eastAsia="宋体" w:cs="宋体"/>
          <w:szCs w:val="21"/>
          <w:u w:val="single"/>
        </w:rPr>
        <w:t xml:space="preserve">            </w:t>
      </w:r>
      <w:r>
        <w:rPr>
          <w:rFonts w:hint="eastAsia" w:ascii="宋体" w:hAnsi="宋体" w:eastAsia="宋体" w:cs="宋体"/>
          <w:szCs w:val="21"/>
        </w:rPr>
        <w:t>授权</w:t>
      </w:r>
      <w:r>
        <w:rPr>
          <w:rFonts w:hint="eastAsia" w:ascii="宋体" w:hAnsi="宋体" w:eastAsia="宋体" w:cs="宋体"/>
          <w:szCs w:val="21"/>
          <w:u w:val="single"/>
        </w:rPr>
        <w:t xml:space="preserve">           </w:t>
      </w:r>
      <w:r>
        <w:rPr>
          <w:rFonts w:hint="eastAsia" w:ascii="宋体" w:hAnsi="宋体" w:eastAsia="宋体" w:cs="宋体"/>
          <w:szCs w:val="21"/>
        </w:rPr>
        <w:t>（全权代表姓名）为全权代表，参加贵处组织的</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lang w:eastAsia="zh-CN"/>
        </w:rPr>
        <w:t>项目</w:t>
      </w:r>
      <w:r>
        <w:rPr>
          <w:rFonts w:hint="eastAsia" w:ascii="宋体" w:hAnsi="宋体" w:eastAsia="宋体" w:cs="宋体"/>
          <w:szCs w:val="21"/>
          <w:u w:val="single"/>
        </w:rPr>
        <w:t>（</w:t>
      </w:r>
      <w:r>
        <w:rPr>
          <w:rFonts w:hint="eastAsia" w:ascii="宋体" w:hAnsi="宋体" w:eastAsia="宋体" w:cs="宋体"/>
          <w:szCs w:val="21"/>
          <w:u w:val="single"/>
          <w:lang w:val="en-US" w:eastAsia="zh-CN"/>
        </w:rPr>
        <w:t xml:space="preserve">标项    </w:t>
      </w:r>
      <w:r>
        <w:rPr>
          <w:rFonts w:hint="eastAsia" w:ascii="宋体" w:hAnsi="宋体" w:eastAsia="宋体" w:cs="宋体"/>
          <w:szCs w:val="21"/>
          <w:u w:val="single"/>
        </w:rPr>
        <w:t>）</w:t>
      </w:r>
      <w:r>
        <w:rPr>
          <w:rFonts w:hint="eastAsia" w:ascii="宋体" w:hAnsi="宋体" w:eastAsia="宋体" w:cs="宋体"/>
          <w:szCs w:val="21"/>
        </w:rPr>
        <w:t>（项目编号</w:t>
      </w:r>
      <w:r>
        <w:rPr>
          <w:rFonts w:hint="eastAsia" w:ascii="宋体" w:hAnsi="宋体" w:eastAsia="宋体" w:cs="宋体"/>
          <w:szCs w:val="21"/>
          <w:u w:val="single"/>
        </w:rPr>
        <w:t xml:space="preserve">       </w:t>
      </w:r>
      <w:r>
        <w:rPr>
          <w:rFonts w:hint="eastAsia" w:ascii="宋体" w:hAnsi="宋体" w:eastAsia="宋体" w:cs="宋体"/>
          <w:szCs w:val="21"/>
        </w:rPr>
        <w:t>）的招标活动，全权代表我方处理招标活动中的一切事宜。</w:t>
      </w:r>
    </w:p>
    <w:p w14:paraId="1CD021EE">
      <w:pPr>
        <w:spacing w:line="460" w:lineRule="exact"/>
        <w:ind w:firstLine="420"/>
        <w:rPr>
          <w:rFonts w:hint="eastAsia" w:ascii="宋体" w:hAnsi="宋体" w:eastAsia="宋体" w:cs="宋体"/>
          <w:szCs w:val="21"/>
        </w:rPr>
      </w:pPr>
    </w:p>
    <w:p w14:paraId="54F975A7">
      <w:pPr>
        <w:spacing w:line="460" w:lineRule="exact"/>
        <w:ind w:firstLine="420"/>
        <w:rPr>
          <w:rFonts w:hint="eastAsia" w:ascii="宋体" w:hAnsi="宋体" w:eastAsia="宋体" w:cs="宋体"/>
          <w:szCs w:val="21"/>
        </w:rPr>
      </w:pPr>
      <w:r>
        <w:rPr>
          <w:rFonts w:hint="eastAsia" w:ascii="宋体" w:hAnsi="宋体" w:eastAsia="宋体" w:cs="宋体"/>
          <w:szCs w:val="21"/>
        </w:rPr>
        <w:t xml:space="preserve">          </w:t>
      </w:r>
    </w:p>
    <w:p w14:paraId="5CF1F9D7">
      <w:pPr>
        <w:spacing w:line="460" w:lineRule="exact"/>
        <w:ind w:firstLine="3895" w:firstLineChars="1855"/>
        <w:rPr>
          <w:rFonts w:hint="eastAsia" w:ascii="宋体" w:hAnsi="宋体" w:eastAsia="宋体" w:cs="宋体"/>
          <w:szCs w:val="21"/>
        </w:rPr>
      </w:pPr>
      <w:r>
        <w:rPr>
          <w:rFonts w:hint="eastAsia" w:ascii="宋体" w:hAnsi="宋体" w:eastAsia="宋体" w:cs="宋体"/>
          <w:szCs w:val="21"/>
        </w:rPr>
        <w:t>法定代表人(签字或盖章)：</w:t>
      </w:r>
    </w:p>
    <w:p w14:paraId="16C247A1">
      <w:pPr>
        <w:spacing w:line="460" w:lineRule="exact"/>
        <w:ind w:firstLine="420"/>
        <w:jc w:val="center"/>
        <w:rPr>
          <w:rFonts w:hint="eastAsia" w:ascii="宋体" w:hAnsi="宋体" w:eastAsia="宋体" w:cs="宋体"/>
          <w:szCs w:val="21"/>
        </w:rPr>
      </w:pPr>
      <w:r>
        <w:rPr>
          <w:rFonts w:hint="eastAsia" w:ascii="宋体" w:hAnsi="宋体" w:eastAsia="宋体" w:cs="宋体"/>
          <w:szCs w:val="21"/>
        </w:rPr>
        <w:t>供应商全称（公章）：</w:t>
      </w:r>
    </w:p>
    <w:p w14:paraId="60483B73">
      <w:pPr>
        <w:spacing w:line="240" w:lineRule="auto"/>
        <w:ind w:firstLine="0" w:firstLineChars="0"/>
        <w:rPr>
          <w:rFonts w:hint="eastAsia" w:ascii="宋体" w:hAnsi="宋体" w:eastAsia="宋体" w:cs="宋体"/>
          <w:szCs w:val="21"/>
        </w:rPr>
      </w:pPr>
      <w:r>
        <w:rPr>
          <w:rFonts w:hint="eastAsia" w:ascii="宋体" w:hAnsi="宋体" w:eastAsia="宋体" w:cs="宋体"/>
          <w:szCs w:val="21"/>
        </w:rPr>
        <w:t xml:space="preserve">                                   日期：     年    月   日</w:t>
      </w:r>
    </w:p>
    <w:p w14:paraId="7802C679">
      <w:pPr>
        <w:spacing w:line="460" w:lineRule="exact"/>
        <w:ind w:firstLine="420"/>
        <w:rPr>
          <w:rFonts w:hint="eastAsia" w:ascii="宋体" w:hAnsi="宋体" w:eastAsia="宋体" w:cs="宋体"/>
          <w:szCs w:val="21"/>
        </w:rPr>
      </w:pPr>
    </w:p>
    <w:p w14:paraId="26673BC7">
      <w:pPr>
        <w:spacing w:line="460" w:lineRule="exact"/>
        <w:ind w:firstLine="420"/>
        <w:rPr>
          <w:rFonts w:hint="eastAsia" w:ascii="宋体" w:hAnsi="宋体" w:eastAsia="宋体" w:cs="宋体"/>
          <w:szCs w:val="21"/>
        </w:rPr>
      </w:pPr>
      <w:r>
        <w:rPr>
          <w:rFonts w:hint="eastAsia" w:ascii="宋体" w:hAnsi="宋体" w:eastAsia="宋体" w:cs="宋体"/>
          <w:szCs w:val="21"/>
        </w:rPr>
        <w:t>附：</w:t>
      </w:r>
    </w:p>
    <w:tbl>
      <w:tblPr>
        <w:tblStyle w:val="2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318"/>
        <w:gridCol w:w="2318"/>
        <w:gridCol w:w="2327"/>
      </w:tblGrid>
      <w:tr w14:paraId="1AD6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center"/>
          </w:tcPr>
          <w:p w14:paraId="7F60547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授权代表姓名</w:t>
            </w:r>
          </w:p>
        </w:tc>
        <w:tc>
          <w:tcPr>
            <w:tcW w:w="2318" w:type="dxa"/>
            <w:vAlign w:val="center"/>
          </w:tcPr>
          <w:p w14:paraId="71A70A7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p>
        </w:tc>
        <w:tc>
          <w:tcPr>
            <w:tcW w:w="2318" w:type="dxa"/>
            <w:vAlign w:val="center"/>
          </w:tcPr>
          <w:p w14:paraId="4765FEF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手机号码</w:t>
            </w:r>
          </w:p>
        </w:tc>
        <w:tc>
          <w:tcPr>
            <w:tcW w:w="2327" w:type="dxa"/>
            <w:vAlign w:val="top"/>
          </w:tcPr>
          <w:p w14:paraId="4B50C370">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Cs w:val="21"/>
              </w:rPr>
            </w:pPr>
          </w:p>
        </w:tc>
      </w:tr>
      <w:tr w14:paraId="1EBB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center"/>
          </w:tcPr>
          <w:p w14:paraId="268A0DB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电子邮箱</w:t>
            </w:r>
          </w:p>
        </w:tc>
        <w:tc>
          <w:tcPr>
            <w:tcW w:w="2318" w:type="dxa"/>
            <w:vAlign w:val="center"/>
          </w:tcPr>
          <w:p w14:paraId="7C63B1E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p>
        </w:tc>
        <w:tc>
          <w:tcPr>
            <w:tcW w:w="2318" w:type="dxa"/>
            <w:vAlign w:val="center"/>
          </w:tcPr>
          <w:p w14:paraId="6D7B36B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详细通讯地址</w:t>
            </w:r>
          </w:p>
        </w:tc>
        <w:tc>
          <w:tcPr>
            <w:tcW w:w="2327" w:type="dxa"/>
            <w:vAlign w:val="top"/>
          </w:tcPr>
          <w:p w14:paraId="2226236C">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Cs w:val="21"/>
              </w:rPr>
            </w:pPr>
          </w:p>
        </w:tc>
      </w:tr>
      <w:tr w14:paraId="7D23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dxa"/>
            <w:vAlign w:val="center"/>
          </w:tcPr>
          <w:p w14:paraId="779997E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r>
              <w:rPr>
                <w:rFonts w:hint="eastAsia" w:ascii="宋体" w:hAnsi="宋体" w:eastAsia="宋体" w:cs="宋体"/>
                <w:szCs w:val="21"/>
              </w:rPr>
              <w:t>职务</w:t>
            </w:r>
          </w:p>
        </w:tc>
        <w:tc>
          <w:tcPr>
            <w:tcW w:w="2318" w:type="dxa"/>
            <w:vAlign w:val="center"/>
          </w:tcPr>
          <w:p w14:paraId="5AE0883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Cs w:val="21"/>
              </w:rPr>
            </w:pPr>
          </w:p>
        </w:tc>
        <w:tc>
          <w:tcPr>
            <w:tcW w:w="2318" w:type="dxa"/>
            <w:vAlign w:val="center"/>
          </w:tcPr>
          <w:p w14:paraId="013FCECB">
            <w:pPr>
              <w:keepNext w:val="0"/>
              <w:keepLines w:val="0"/>
              <w:widowControl/>
              <w:suppressLineNumbers w:val="0"/>
              <w:spacing w:before="0" w:beforeAutospacing="0" w:after="0" w:afterAutospacing="0" w:line="460" w:lineRule="exact"/>
              <w:ind w:left="0" w:right="0" w:firstLine="420"/>
              <w:rPr>
                <w:rFonts w:hint="eastAsia" w:ascii="宋体" w:hAnsi="宋体" w:eastAsia="宋体" w:cs="宋体"/>
                <w:szCs w:val="21"/>
              </w:rPr>
            </w:pPr>
            <w:r>
              <w:rPr>
                <w:rFonts w:hint="eastAsia" w:ascii="宋体" w:hAnsi="宋体" w:eastAsia="宋体" w:cs="宋体"/>
                <w:szCs w:val="21"/>
              </w:rPr>
              <w:t>邮政编码</w:t>
            </w:r>
          </w:p>
        </w:tc>
        <w:tc>
          <w:tcPr>
            <w:tcW w:w="2327" w:type="dxa"/>
            <w:vAlign w:val="top"/>
          </w:tcPr>
          <w:p w14:paraId="5AF3078D">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Cs w:val="21"/>
              </w:rPr>
            </w:pPr>
          </w:p>
        </w:tc>
      </w:tr>
    </w:tbl>
    <w:p w14:paraId="0B488C5E">
      <w:pPr>
        <w:spacing w:line="460" w:lineRule="exact"/>
        <w:ind w:firstLine="211" w:firstLineChars="100"/>
        <w:rPr>
          <w:rFonts w:hint="eastAsia" w:ascii="宋体" w:hAnsi="宋体" w:eastAsia="宋体" w:cs="宋体"/>
          <w:szCs w:val="21"/>
        </w:rPr>
      </w:pPr>
      <w:r>
        <w:rPr>
          <w:rFonts w:hint="eastAsia" w:ascii="宋体" w:hAnsi="宋体" w:eastAsia="宋体" w:cs="宋体"/>
          <w:b/>
          <w:bCs/>
        </w:rPr>
        <w:t>特别提醒：供应商应保证授权代表的联系方式（如手机号码、电子邮箱等）正确并保持畅通；</w:t>
      </w:r>
    </w:p>
    <w:tbl>
      <w:tblPr>
        <w:tblStyle w:val="25"/>
        <w:tblpPr w:leftFromText="180" w:rightFromText="180" w:vertAnchor="text" w:horzAnchor="page" w:tblpX="2749" w:tblpY="497"/>
        <w:tblOverlap w:val="never"/>
        <w:tblW w:w="7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0"/>
      </w:tblGrid>
      <w:tr w14:paraId="0303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7" w:hRule="atLeast"/>
        </w:trPr>
        <w:tc>
          <w:tcPr>
            <w:tcW w:w="7180" w:type="dxa"/>
            <w:vAlign w:val="center"/>
          </w:tcPr>
          <w:p w14:paraId="7063382C">
            <w:pPr>
              <w:keepNext w:val="0"/>
              <w:keepLines w:val="0"/>
              <w:widowControl/>
              <w:suppressLineNumbers w:val="0"/>
              <w:spacing w:before="0" w:beforeAutospacing="0" w:after="0" w:afterAutospacing="0" w:line="380" w:lineRule="exact"/>
              <w:ind w:left="0" w:right="0" w:firstLine="562"/>
              <w:jc w:val="center"/>
              <w:rPr>
                <w:rFonts w:hint="eastAsia" w:ascii="宋体" w:hAnsi="宋体" w:eastAsia="宋体" w:cs="宋体"/>
                <w:b/>
                <w:sz w:val="28"/>
                <w:szCs w:val="28"/>
              </w:rPr>
            </w:pPr>
            <w:r>
              <w:rPr>
                <w:rFonts w:hint="eastAsia" w:ascii="宋体" w:hAnsi="宋体" w:eastAsia="宋体" w:cs="宋体"/>
                <w:b/>
                <w:sz w:val="28"/>
                <w:szCs w:val="28"/>
              </w:rPr>
              <w:t>授权代表身份证复印件</w:t>
            </w:r>
          </w:p>
          <w:p w14:paraId="1EADB89D">
            <w:pPr>
              <w:keepNext w:val="0"/>
              <w:keepLines w:val="0"/>
              <w:widowControl/>
              <w:suppressLineNumbers w:val="0"/>
              <w:spacing w:before="0" w:beforeAutospacing="0" w:after="0" w:afterAutospacing="0" w:line="380" w:lineRule="exact"/>
              <w:ind w:left="0" w:right="0" w:firstLine="562"/>
              <w:jc w:val="center"/>
              <w:rPr>
                <w:rFonts w:hint="eastAsia" w:ascii="宋体" w:hAnsi="宋体" w:eastAsia="宋体" w:cs="宋体"/>
                <w:b/>
                <w:bCs/>
                <w:sz w:val="28"/>
              </w:rPr>
            </w:pPr>
          </w:p>
        </w:tc>
      </w:tr>
    </w:tbl>
    <w:p w14:paraId="346810F1">
      <w:pPr>
        <w:pStyle w:val="10"/>
        <w:ind w:firstLine="321"/>
        <w:rPr>
          <w:rFonts w:hint="eastAsia" w:ascii="宋体" w:hAnsi="宋体" w:eastAsia="宋体" w:cs="宋体"/>
        </w:rPr>
        <w:sectPr>
          <w:pgSz w:w="11906" w:h="16838"/>
          <w:pgMar w:top="1440" w:right="1304" w:bottom="1089" w:left="1531" w:header="851" w:footer="992" w:gutter="0"/>
          <w:pgNumType w:fmt="decimal"/>
          <w:cols w:space="720" w:num="1"/>
          <w:docGrid w:linePitch="312" w:charSpace="0"/>
        </w:sectPr>
      </w:pPr>
    </w:p>
    <w:p w14:paraId="78267954">
      <w:pPr>
        <w:pStyle w:val="3"/>
        <w:numPr>
          <w:ilvl w:val="0"/>
          <w:numId w:val="22"/>
        </w:numPr>
        <w:bidi w:val="0"/>
        <w:jc w:val="both"/>
        <w:rPr>
          <w:rFonts w:hint="eastAsia"/>
        </w:rPr>
      </w:pPr>
      <w:bookmarkStart w:id="224" w:name="_Toc32134"/>
      <w:r>
        <w:rPr>
          <w:rFonts w:hint="eastAsia"/>
          <w:lang w:eastAsia="zh-CN"/>
        </w:rPr>
        <w:t>商务技术文件</w:t>
      </w:r>
      <w:bookmarkEnd w:id="224"/>
    </w:p>
    <w:p w14:paraId="7C3F72B4">
      <w:pPr>
        <w:pStyle w:val="10"/>
        <w:spacing w:after="0" w:line="240" w:lineRule="auto"/>
        <w:ind w:firstLine="0" w:firstLineChars="0"/>
        <w:rPr>
          <w:rFonts w:hint="eastAsia" w:ascii="宋体" w:hAnsi="宋体" w:eastAsia="宋体" w:cs="宋体"/>
          <w:sz w:val="24"/>
          <w:szCs w:val="24"/>
        </w:rPr>
      </w:pPr>
      <w:r>
        <w:rPr>
          <w:rFonts w:hint="eastAsia" w:ascii="宋体" w:hAnsi="宋体" w:eastAsia="宋体" w:cs="宋体"/>
          <w:sz w:val="24"/>
          <w:szCs w:val="24"/>
          <w:lang w:eastAsia="zh-CN"/>
        </w:rPr>
        <w:t>采购文件</w:t>
      </w:r>
      <w:r>
        <w:rPr>
          <w:rFonts w:hint="eastAsia" w:ascii="宋体" w:hAnsi="宋体" w:eastAsia="宋体" w:cs="宋体"/>
          <w:sz w:val="24"/>
          <w:szCs w:val="24"/>
        </w:rPr>
        <w:t>仅提供部分格式，供应商根据</w:t>
      </w:r>
      <w:r>
        <w:rPr>
          <w:rFonts w:hint="eastAsia" w:ascii="宋体" w:hAnsi="宋体" w:eastAsia="宋体" w:cs="宋体"/>
          <w:sz w:val="24"/>
          <w:szCs w:val="24"/>
          <w:lang w:eastAsia="zh-CN"/>
        </w:rPr>
        <w:t>采购文件</w:t>
      </w:r>
      <w:r>
        <w:rPr>
          <w:rFonts w:hint="eastAsia" w:ascii="宋体" w:hAnsi="宋体" w:eastAsia="宋体" w:cs="宋体"/>
          <w:sz w:val="24"/>
          <w:szCs w:val="24"/>
        </w:rPr>
        <w:t>的需求自行编制，建议供应商自行编制目录索引，注明评标细则项目所在响应文件页码，本</w:t>
      </w:r>
      <w:r>
        <w:rPr>
          <w:rFonts w:hint="eastAsia" w:ascii="宋体" w:hAnsi="宋体" w:eastAsia="宋体" w:cs="宋体"/>
          <w:sz w:val="24"/>
          <w:szCs w:val="24"/>
          <w:lang w:eastAsia="zh-CN"/>
        </w:rPr>
        <w:t>采购文件</w:t>
      </w:r>
      <w:r>
        <w:rPr>
          <w:rFonts w:hint="eastAsia" w:ascii="宋体" w:hAnsi="宋体" w:eastAsia="宋体" w:cs="宋体"/>
          <w:sz w:val="24"/>
          <w:szCs w:val="24"/>
        </w:rPr>
        <w:t>提供部分格式如下：</w:t>
      </w:r>
    </w:p>
    <w:p w14:paraId="402E925E">
      <w:pPr>
        <w:pStyle w:val="37"/>
        <w:ind w:firstLine="480"/>
        <w:rPr>
          <w:rFonts w:hint="eastAsia" w:ascii="宋体" w:hAnsi="宋体" w:eastAsia="宋体" w:cs="宋体"/>
          <w:szCs w:val="21"/>
        </w:rPr>
      </w:pPr>
      <w:r>
        <w:rPr>
          <w:rFonts w:hint="eastAsia" w:ascii="宋体" w:hAnsi="宋体" w:eastAsia="宋体" w:cs="宋体"/>
          <w:sz w:val="24"/>
        </w:rPr>
        <w:br w:type="page"/>
      </w:r>
    </w:p>
    <w:p w14:paraId="7D78034E">
      <w:pPr>
        <w:pStyle w:val="4"/>
        <w:numPr>
          <w:ilvl w:val="0"/>
          <w:numId w:val="23"/>
        </w:numPr>
        <w:ind w:firstLine="562"/>
        <w:jc w:val="center"/>
        <w:rPr>
          <w:rFonts w:hint="eastAsia" w:ascii="宋体" w:hAnsi="宋体" w:eastAsia="宋体" w:cs="宋体"/>
          <w:sz w:val="21"/>
          <w:szCs w:val="21"/>
        </w:rPr>
      </w:pPr>
      <w:r>
        <w:rPr>
          <w:rFonts w:hint="eastAsia" w:ascii="宋体" w:hAnsi="宋体" w:eastAsia="宋体" w:cs="宋体"/>
          <w:sz w:val="28"/>
          <w:szCs w:val="28"/>
          <w:lang w:val="en-US" w:eastAsia="zh-CN"/>
        </w:rPr>
        <w:t>投 标</w:t>
      </w:r>
      <w:r>
        <w:rPr>
          <w:rFonts w:hint="eastAsia" w:ascii="宋体" w:hAnsi="宋体" w:eastAsia="宋体" w:cs="宋体"/>
          <w:sz w:val="28"/>
          <w:szCs w:val="28"/>
        </w:rPr>
        <w:t xml:space="preserve"> 函</w:t>
      </w:r>
    </w:p>
    <w:p w14:paraId="367F63EC">
      <w:pPr>
        <w:spacing w:line="480" w:lineRule="auto"/>
        <w:ind w:firstLine="420"/>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single"/>
        </w:rPr>
        <w:t xml:space="preserve">  （采购人名称）</w:t>
      </w:r>
    </w:p>
    <w:p w14:paraId="2AB0B6A1">
      <w:pPr>
        <w:numPr>
          <w:ilvl w:val="0"/>
          <w:numId w:val="24"/>
        </w:numPr>
        <w:spacing w:line="480" w:lineRule="auto"/>
        <w:ind w:firstLine="420"/>
        <w:rPr>
          <w:rFonts w:hint="eastAsia" w:ascii="宋体" w:hAnsi="宋体" w:eastAsia="宋体" w:cs="宋体"/>
          <w:sz w:val="21"/>
          <w:szCs w:val="21"/>
        </w:rPr>
      </w:pPr>
      <w:r>
        <w:rPr>
          <w:rFonts w:hint="eastAsia" w:ascii="宋体" w:hAnsi="宋体" w:eastAsia="宋体" w:cs="宋体"/>
          <w:sz w:val="21"/>
          <w:szCs w:val="21"/>
        </w:rPr>
        <w:t>我方自愿参加贵方组织的</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u w:val="single"/>
          <w:lang w:eastAsia="zh-CN"/>
        </w:rPr>
        <w:t>项目（</w:t>
      </w:r>
      <w:r>
        <w:rPr>
          <w:rFonts w:hint="eastAsia" w:ascii="宋体" w:hAnsi="宋体" w:eastAsia="宋体" w:cs="宋体"/>
          <w:bCs/>
          <w:color w:val="000000"/>
          <w:sz w:val="21"/>
          <w:szCs w:val="21"/>
          <w:u w:val="single"/>
          <w:lang w:val="en-US" w:eastAsia="zh-CN"/>
        </w:rPr>
        <w:t xml:space="preserve">标项    </w:t>
      </w:r>
      <w:r>
        <w:rPr>
          <w:rFonts w:hint="eastAsia" w:ascii="宋体" w:hAnsi="宋体" w:eastAsia="宋体" w:cs="宋体"/>
          <w:bCs/>
          <w:color w:val="000000"/>
          <w:sz w:val="21"/>
          <w:szCs w:val="21"/>
          <w:u w:val="single"/>
          <w:lang w:eastAsia="zh-CN"/>
        </w:rPr>
        <w:t>）</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sz w:val="21"/>
          <w:szCs w:val="21"/>
        </w:rPr>
        <w:t>（采购编号：____ ）的投标，并按</w:t>
      </w:r>
      <w:r>
        <w:rPr>
          <w:rFonts w:hint="eastAsia" w:ascii="宋体" w:hAnsi="宋体" w:eastAsia="宋体" w:cs="宋体"/>
          <w:sz w:val="21"/>
          <w:szCs w:val="21"/>
          <w:lang w:eastAsia="zh-CN"/>
        </w:rPr>
        <w:t>采购文件</w:t>
      </w:r>
      <w:r>
        <w:rPr>
          <w:rFonts w:hint="eastAsia" w:ascii="宋体" w:hAnsi="宋体" w:eastAsia="宋体" w:cs="宋体"/>
          <w:sz w:val="21"/>
          <w:szCs w:val="21"/>
        </w:rPr>
        <w:t>的要求在</w:t>
      </w:r>
      <w:r>
        <w:rPr>
          <w:rFonts w:hint="eastAsia" w:ascii="宋体" w:hAnsi="宋体" w:eastAsia="宋体" w:cs="宋体"/>
          <w:sz w:val="21"/>
          <w:szCs w:val="21"/>
          <w:lang w:val="en-US" w:eastAsia="zh-CN"/>
        </w:rPr>
        <w:t>投标</w:t>
      </w:r>
      <w:r>
        <w:rPr>
          <w:rFonts w:hint="eastAsia" w:ascii="宋体" w:hAnsi="宋体" w:eastAsia="宋体" w:cs="宋体"/>
          <w:sz w:val="21"/>
          <w:szCs w:val="21"/>
        </w:rPr>
        <w:t>截止时间前将生成的“电子响应文件”上传递交至“政府采购云平台”。</w:t>
      </w:r>
    </w:p>
    <w:p w14:paraId="0AD60E8F">
      <w:pPr>
        <w:pStyle w:val="9"/>
        <w:numPr>
          <w:ilvl w:val="0"/>
          <w:numId w:val="24"/>
        </w:numPr>
        <w:spacing w:line="480" w:lineRule="auto"/>
        <w:ind w:firstLine="420"/>
        <w:rPr>
          <w:rFonts w:hint="eastAsia" w:ascii="宋体" w:hAnsi="宋体" w:eastAsia="宋体" w:cs="宋体"/>
          <w:sz w:val="21"/>
          <w:szCs w:val="21"/>
        </w:rPr>
      </w:pPr>
      <w:r>
        <w:rPr>
          <w:rFonts w:hint="eastAsia" w:ascii="宋体" w:hAnsi="宋体" w:eastAsia="宋体" w:cs="宋体"/>
          <w:sz w:val="21"/>
          <w:szCs w:val="21"/>
        </w:rPr>
        <w:t>我方完全理解并接受</w:t>
      </w:r>
      <w:r>
        <w:rPr>
          <w:rFonts w:hint="eastAsia" w:ascii="宋体" w:hAnsi="宋体" w:eastAsia="宋体" w:cs="宋体"/>
          <w:sz w:val="21"/>
          <w:szCs w:val="21"/>
          <w:lang w:eastAsia="zh-CN"/>
        </w:rPr>
        <w:t>采购文件</w:t>
      </w:r>
      <w:r>
        <w:rPr>
          <w:rFonts w:hint="eastAsia" w:ascii="宋体" w:hAnsi="宋体" w:eastAsia="宋体" w:cs="宋体"/>
          <w:sz w:val="21"/>
          <w:szCs w:val="21"/>
        </w:rPr>
        <w:t>（包括修改补充文件）的各项规定和要求，不再对</w:t>
      </w:r>
      <w:r>
        <w:rPr>
          <w:rFonts w:hint="eastAsia" w:ascii="宋体" w:hAnsi="宋体" w:eastAsia="宋体" w:cs="宋体"/>
          <w:sz w:val="21"/>
          <w:szCs w:val="21"/>
          <w:lang w:eastAsia="zh-CN"/>
        </w:rPr>
        <w:t>采购文件</w:t>
      </w:r>
      <w:r>
        <w:rPr>
          <w:rFonts w:hint="eastAsia" w:ascii="宋体" w:hAnsi="宋体" w:eastAsia="宋体" w:cs="宋体"/>
          <w:sz w:val="21"/>
          <w:szCs w:val="21"/>
        </w:rPr>
        <w:t>的合理性、合法性等相关内容提出质疑或投诉。</w:t>
      </w:r>
    </w:p>
    <w:p w14:paraId="590038C8">
      <w:pPr>
        <w:spacing w:line="480" w:lineRule="auto"/>
        <w:ind w:firstLine="420"/>
        <w:rPr>
          <w:rFonts w:hint="eastAsia" w:ascii="宋体" w:hAnsi="宋体" w:eastAsia="宋体" w:cs="宋体"/>
          <w:sz w:val="21"/>
          <w:szCs w:val="21"/>
        </w:rPr>
      </w:pPr>
      <w:r>
        <w:rPr>
          <w:rFonts w:hint="eastAsia" w:ascii="宋体" w:hAnsi="宋体" w:eastAsia="宋体" w:cs="宋体"/>
          <w:sz w:val="21"/>
          <w:szCs w:val="21"/>
        </w:rPr>
        <w:t>三、我方己完全明白</w:t>
      </w:r>
      <w:r>
        <w:rPr>
          <w:rFonts w:hint="eastAsia" w:ascii="宋体" w:hAnsi="宋体" w:eastAsia="宋体" w:cs="宋体"/>
          <w:sz w:val="21"/>
          <w:szCs w:val="21"/>
          <w:lang w:eastAsia="zh-CN"/>
        </w:rPr>
        <w:t>采购文件</w:t>
      </w:r>
      <w:r>
        <w:rPr>
          <w:rFonts w:hint="eastAsia" w:ascii="宋体" w:hAnsi="宋体" w:eastAsia="宋体" w:cs="宋体"/>
          <w:sz w:val="21"/>
          <w:szCs w:val="21"/>
        </w:rPr>
        <w:t>的所有条款要求，并重申以下几点：</w:t>
      </w:r>
    </w:p>
    <w:p w14:paraId="543D32B5">
      <w:pPr>
        <w:spacing w:line="480" w:lineRule="auto"/>
        <w:ind w:left="359" w:leftChars="171" w:firstLine="420"/>
        <w:rPr>
          <w:rFonts w:hint="eastAsia" w:ascii="宋体" w:hAnsi="宋体" w:eastAsia="宋体" w:cs="宋体"/>
          <w:sz w:val="21"/>
          <w:szCs w:val="21"/>
        </w:rPr>
      </w:pPr>
      <w:r>
        <w:rPr>
          <w:rFonts w:hint="eastAsia" w:ascii="宋体" w:hAnsi="宋体" w:eastAsia="宋体" w:cs="宋体"/>
          <w:sz w:val="21"/>
          <w:szCs w:val="21"/>
        </w:rPr>
        <w:t>（一）本</w:t>
      </w:r>
      <w:r>
        <w:rPr>
          <w:rFonts w:hint="eastAsia" w:ascii="宋体" w:hAnsi="宋体" w:eastAsia="宋体" w:cs="宋体"/>
          <w:sz w:val="21"/>
          <w:szCs w:val="21"/>
          <w:lang w:eastAsia="zh-CN"/>
        </w:rPr>
        <w:t>电子响应文件</w:t>
      </w:r>
      <w:r>
        <w:rPr>
          <w:rFonts w:hint="eastAsia" w:ascii="宋体" w:hAnsi="宋体" w:eastAsia="宋体" w:cs="宋体"/>
          <w:sz w:val="21"/>
          <w:szCs w:val="21"/>
        </w:rPr>
        <w:t>的有效期自投标截止日起 90 天内有效，如成交，有效期将延至合同终止日为止；</w:t>
      </w:r>
    </w:p>
    <w:p w14:paraId="7D3C3FF9">
      <w:pPr>
        <w:spacing w:line="480" w:lineRule="auto"/>
        <w:ind w:left="359" w:leftChars="171" w:firstLine="420"/>
        <w:rPr>
          <w:rFonts w:hint="eastAsia" w:ascii="宋体" w:hAnsi="宋体" w:eastAsia="宋体" w:cs="宋体"/>
          <w:sz w:val="21"/>
          <w:szCs w:val="21"/>
        </w:rPr>
      </w:pPr>
      <w:r>
        <w:rPr>
          <w:rFonts w:hint="eastAsia" w:ascii="宋体" w:hAnsi="宋体" w:eastAsia="宋体" w:cs="宋体"/>
          <w:sz w:val="21"/>
          <w:szCs w:val="21"/>
        </w:rPr>
        <w:t>（二）我方已详细研究了</w:t>
      </w:r>
      <w:r>
        <w:rPr>
          <w:rFonts w:hint="eastAsia" w:ascii="宋体" w:hAnsi="宋体" w:eastAsia="宋体" w:cs="宋体"/>
          <w:sz w:val="21"/>
          <w:szCs w:val="21"/>
          <w:lang w:eastAsia="zh-CN"/>
        </w:rPr>
        <w:t>采购文件</w:t>
      </w:r>
      <w:r>
        <w:rPr>
          <w:rFonts w:hint="eastAsia" w:ascii="宋体" w:hAnsi="宋体" w:eastAsia="宋体" w:cs="宋体"/>
          <w:sz w:val="21"/>
          <w:szCs w:val="21"/>
        </w:rPr>
        <w:t>的所有内容包括修改书（如有）和所有已提供的参考资料以及有关附件，我方完全理解并同意放弃在此方面提出含糊意见或误解的一切权力；</w:t>
      </w:r>
    </w:p>
    <w:p w14:paraId="1FCE62D3">
      <w:pPr>
        <w:spacing w:line="480" w:lineRule="auto"/>
        <w:ind w:left="359" w:leftChars="171" w:firstLine="420"/>
        <w:rPr>
          <w:rFonts w:hint="eastAsia" w:ascii="宋体" w:hAnsi="宋体" w:eastAsia="宋体" w:cs="宋体"/>
          <w:sz w:val="21"/>
          <w:szCs w:val="21"/>
        </w:rPr>
      </w:pPr>
      <w:r>
        <w:rPr>
          <w:rFonts w:hint="eastAsia" w:ascii="宋体" w:hAnsi="宋体" w:eastAsia="宋体" w:cs="宋体"/>
          <w:sz w:val="21"/>
          <w:szCs w:val="21"/>
        </w:rPr>
        <w:t>（三）我方明白并愿意在规定的开标时间之后，不得在投标有效期内撤回投标；</w:t>
      </w:r>
    </w:p>
    <w:p w14:paraId="13F32DB2">
      <w:pPr>
        <w:spacing w:line="480" w:lineRule="auto"/>
        <w:ind w:left="359" w:leftChars="171" w:firstLine="420"/>
        <w:rPr>
          <w:rFonts w:hint="eastAsia" w:ascii="宋体" w:hAnsi="宋体" w:eastAsia="宋体" w:cs="宋体"/>
          <w:sz w:val="21"/>
          <w:szCs w:val="21"/>
        </w:rPr>
      </w:pPr>
      <w:r>
        <w:rPr>
          <w:rFonts w:hint="eastAsia" w:ascii="宋体" w:hAnsi="宋体" w:eastAsia="宋体" w:cs="宋体"/>
          <w:sz w:val="21"/>
          <w:szCs w:val="21"/>
        </w:rPr>
        <w:t>（四）我方同意提供按照贵方可能要求的与投标有关的一切数据或资料，并保证我方向贵方提交的所有投标文件、资料都是准确的和真实的；</w:t>
      </w:r>
    </w:p>
    <w:p w14:paraId="7B3C401C">
      <w:pPr>
        <w:spacing w:line="480" w:lineRule="auto"/>
        <w:ind w:left="359" w:leftChars="171" w:firstLine="420"/>
        <w:rPr>
          <w:rFonts w:hint="eastAsia" w:ascii="宋体" w:hAnsi="宋体" w:eastAsia="宋体" w:cs="宋体"/>
          <w:sz w:val="21"/>
          <w:szCs w:val="21"/>
        </w:rPr>
      </w:pPr>
      <w:r>
        <w:rPr>
          <w:rFonts w:hint="eastAsia" w:ascii="宋体" w:hAnsi="宋体" w:eastAsia="宋体" w:cs="宋体"/>
          <w:sz w:val="21"/>
          <w:szCs w:val="21"/>
        </w:rPr>
        <w:t>（五）我方理解贵方不一定接受最低报价。</w:t>
      </w:r>
    </w:p>
    <w:p w14:paraId="56D31F78">
      <w:pPr>
        <w:spacing w:line="480" w:lineRule="auto"/>
        <w:ind w:left="359" w:leftChars="171" w:firstLine="420"/>
        <w:rPr>
          <w:rFonts w:hint="eastAsia" w:ascii="宋体" w:hAnsi="宋体" w:eastAsia="宋体" w:cs="宋体"/>
          <w:sz w:val="21"/>
          <w:szCs w:val="21"/>
        </w:rPr>
      </w:pPr>
      <w:r>
        <w:rPr>
          <w:rFonts w:hint="eastAsia" w:ascii="宋体" w:hAnsi="宋体" w:eastAsia="宋体" w:cs="宋体"/>
          <w:sz w:val="21"/>
          <w:szCs w:val="21"/>
        </w:rPr>
        <w:t>（六）我方如果成交，将保证履行</w:t>
      </w:r>
      <w:r>
        <w:rPr>
          <w:rFonts w:hint="eastAsia" w:ascii="宋体" w:hAnsi="宋体" w:eastAsia="宋体" w:cs="宋体"/>
          <w:sz w:val="21"/>
          <w:szCs w:val="21"/>
          <w:lang w:eastAsia="zh-CN"/>
        </w:rPr>
        <w:t>采购文件</w:t>
      </w:r>
      <w:r>
        <w:rPr>
          <w:rFonts w:hint="eastAsia" w:ascii="宋体" w:hAnsi="宋体" w:eastAsia="宋体" w:cs="宋体"/>
          <w:sz w:val="21"/>
          <w:szCs w:val="21"/>
        </w:rPr>
        <w:t>以及</w:t>
      </w:r>
      <w:r>
        <w:rPr>
          <w:rFonts w:hint="eastAsia" w:ascii="宋体" w:hAnsi="宋体" w:eastAsia="宋体" w:cs="宋体"/>
          <w:sz w:val="21"/>
          <w:szCs w:val="21"/>
          <w:lang w:eastAsia="zh-CN"/>
        </w:rPr>
        <w:t>采购文件</w:t>
      </w:r>
      <w:r>
        <w:rPr>
          <w:rFonts w:hint="eastAsia" w:ascii="宋体" w:hAnsi="宋体" w:eastAsia="宋体" w:cs="宋体"/>
          <w:sz w:val="21"/>
          <w:szCs w:val="21"/>
        </w:rPr>
        <w:t>修改书（如有）中的全部责任和义务，按质、按量、按期完成《合同书》中的全部任务。</w:t>
      </w:r>
    </w:p>
    <w:p w14:paraId="3A558EA5">
      <w:pPr>
        <w:pStyle w:val="9"/>
        <w:spacing w:line="480" w:lineRule="auto"/>
        <w:ind w:firstLine="840" w:firstLineChars="400"/>
        <w:rPr>
          <w:rFonts w:hint="eastAsia" w:ascii="宋体" w:hAnsi="宋体" w:eastAsia="宋体" w:cs="宋体"/>
          <w:sz w:val="21"/>
          <w:szCs w:val="21"/>
        </w:rPr>
      </w:pPr>
      <w:r>
        <w:rPr>
          <w:rFonts w:hint="eastAsia" w:ascii="宋体" w:hAnsi="宋体" w:eastAsia="宋体" w:cs="宋体"/>
          <w:sz w:val="21"/>
          <w:szCs w:val="21"/>
        </w:rPr>
        <w:t>（七）以上事项如有虚假或隐瞒，我方愿意承担一切后果，并不再寻求任何旨在减轻或免除法律责任的辩解，并对招标采购单位因此引起的损失予以赔偿</w:t>
      </w:r>
    </w:p>
    <w:p w14:paraId="3BF7C28F">
      <w:pPr>
        <w:spacing w:line="480" w:lineRule="auto"/>
        <w:ind w:left="315" w:firstLine="420"/>
        <w:rPr>
          <w:rFonts w:hint="eastAsia" w:ascii="宋体" w:hAnsi="宋体" w:eastAsia="宋体" w:cs="宋体"/>
          <w:sz w:val="21"/>
          <w:szCs w:val="21"/>
        </w:rPr>
      </w:pPr>
      <w:r>
        <w:rPr>
          <w:rFonts w:hint="eastAsia" w:ascii="宋体" w:hAnsi="宋体" w:eastAsia="宋体" w:cs="宋体"/>
          <w:sz w:val="21"/>
          <w:szCs w:val="21"/>
        </w:rPr>
        <w:t>四、所有与本投标有关的函件请发往下列地址：</w:t>
      </w:r>
    </w:p>
    <w:p w14:paraId="5A5EA9C2">
      <w:pPr>
        <w:ind w:firstLine="420"/>
        <w:rPr>
          <w:rFonts w:hint="eastAsia" w:ascii="宋体" w:hAnsi="宋体" w:eastAsia="宋体" w:cs="宋体"/>
          <w:sz w:val="21"/>
          <w:szCs w:val="21"/>
        </w:rPr>
      </w:pPr>
      <w:r>
        <w:rPr>
          <w:rFonts w:hint="eastAsia" w:ascii="宋体" w:hAnsi="宋体" w:eastAsia="宋体" w:cs="宋体"/>
          <w:sz w:val="21"/>
          <w:szCs w:val="21"/>
        </w:rPr>
        <w:t xml:space="preserve">   地址</w:t>
      </w:r>
      <w:r>
        <w:rPr>
          <w:rFonts w:hint="eastAsia" w:ascii="宋体" w:hAnsi="宋体" w:eastAsia="宋体" w:cs="宋体"/>
          <w:sz w:val="21"/>
          <w:szCs w:val="21"/>
          <w:u w:val="single"/>
        </w:rPr>
        <w:t xml:space="preserve">                                </w:t>
      </w:r>
    </w:p>
    <w:p w14:paraId="35BC1E75">
      <w:pPr>
        <w:ind w:firstLine="420"/>
        <w:rPr>
          <w:rFonts w:hint="eastAsia" w:ascii="宋体" w:hAnsi="宋体" w:eastAsia="宋体" w:cs="宋体"/>
          <w:sz w:val="21"/>
          <w:szCs w:val="21"/>
        </w:rPr>
      </w:pPr>
      <w:r>
        <w:rPr>
          <w:rFonts w:hint="eastAsia" w:ascii="宋体" w:hAnsi="宋体" w:eastAsia="宋体" w:cs="宋体"/>
          <w:sz w:val="21"/>
          <w:szCs w:val="21"/>
        </w:rPr>
        <w:t xml:space="preserve">   电话</w:t>
      </w:r>
      <w:r>
        <w:rPr>
          <w:rFonts w:hint="eastAsia" w:ascii="宋体" w:hAnsi="宋体" w:eastAsia="宋体" w:cs="宋体"/>
          <w:sz w:val="21"/>
          <w:szCs w:val="21"/>
          <w:u w:val="single"/>
        </w:rPr>
        <w:t xml:space="preserve">                                </w:t>
      </w:r>
    </w:p>
    <w:p w14:paraId="7D8A668D">
      <w:pPr>
        <w:ind w:firstLine="420"/>
        <w:rPr>
          <w:rFonts w:hint="eastAsia" w:ascii="宋体" w:hAnsi="宋体" w:eastAsia="宋体" w:cs="宋体"/>
          <w:sz w:val="21"/>
          <w:szCs w:val="21"/>
        </w:rPr>
      </w:pPr>
      <w:r>
        <w:rPr>
          <w:rFonts w:hint="eastAsia" w:ascii="宋体" w:hAnsi="宋体" w:eastAsia="宋体" w:cs="宋体"/>
          <w:sz w:val="21"/>
          <w:szCs w:val="21"/>
        </w:rPr>
        <w:t xml:space="preserve">   供应商名称</w:t>
      </w:r>
      <w:r>
        <w:rPr>
          <w:rFonts w:hint="eastAsia" w:ascii="宋体" w:hAnsi="宋体" w:eastAsia="宋体" w:cs="宋体"/>
          <w:sz w:val="21"/>
          <w:szCs w:val="21"/>
          <w:u w:val="single"/>
        </w:rPr>
        <w:t xml:space="preserve">                          </w:t>
      </w:r>
    </w:p>
    <w:p w14:paraId="70E00749">
      <w:pPr>
        <w:ind w:firstLine="420"/>
        <w:rPr>
          <w:rFonts w:hint="eastAsia" w:ascii="宋体" w:hAnsi="宋体" w:eastAsia="宋体" w:cs="宋体"/>
          <w:sz w:val="21"/>
          <w:szCs w:val="21"/>
        </w:rPr>
      </w:pPr>
      <w:r>
        <w:rPr>
          <w:rFonts w:hint="eastAsia" w:ascii="宋体" w:hAnsi="宋体" w:eastAsia="宋体" w:cs="宋体"/>
          <w:sz w:val="21"/>
          <w:szCs w:val="21"/>
        </w:rPr>
        <w:t xml:space="preserve">   公章</w:t>
      </w:r>
      <w:r>
        <w:rPr>
          <w:rFonts w:hint="eastAsia" w:ascii="宋体" w:hAnsi="宋体" w:eastAsia="宋体" w:cs="宋体"/>
          <w:sz w:val="21"/>
          <w:szCs w:val="21"/>
          <w:u w:val="single"/>
        </w:rPr>
        <w:t xml:space="preserve">                                </w:t>
      </w:r>
    </w:p>
    <w:p w14:paraId="5796460D">
      <w:pPr>
        <w:ind w:firstLine="420"/>
        <w:rPr>
          <w:rFonts w:hint="eastAsia" w:ascii="宋体" w:hAnsi="宋体" w:eastAsia="宋体" w:cs="宋体"/>
          <w:sz w:val="21"/>
          <w:szCs w:val="21"/>
          <w:u w:val="single"/>
        </w:rPr>
      </w:pPr>
      <w:r>
        <w:rPr>
          <w:rFonts w:hint="eastAsia" w:ascii="宋体" w:hAnsi="宋体" w:eastAsia="宋体" w:cs="宋体"/>
          <w:sz w:val="21"/>
          <w:szCs w:val="21"/>
        </w:rPr>
        <w:t xml:space="preserve"> 日期</w:t>
      </w:r>
      <w:r>
        <w:rPr>
          <w:rFonts w:hint="eastAsia" w:ascii="宋体" w:hAnsi="宋体" w:eastAsia="宋体" w:cs="宋体"/>
          <w:sz w:val="21"/>
          <w:szCs w:val="21"/>
          <w:u w:val="single"/>
        </w:rPr>
        <w:t xml:space="preserve">                               </w:t>
      </w:r>
    </w:p>
    <w:p w14:paraId="4E046CDD">
      <w:pPr>
        <w:pStyle w:val="4"/>
        <w:ind w:firstLine="422"/>
        <w:jc w:val="center"/>
        <w:rPr>
          <w:rFonts w:hint="eastAsia" w:ascii="宋体" w:hAnsi="宋体" w:eastAsia="宋体" w:cs="宋体"/>
          <w:b/>
          <w:sz w:val="36"/>
          <w:szCs w:val="36"/>
        </w:rPr>
      </w:pPr>
      <w:r>
        <w:rPr>
          <w:rFonts w:hint="eastAsia" w:ascii="宋体" w:hAnsi="宋体" w:eastAsia="宋体" w:cs="宋体"/>
          <w:b/>
          <w:bCs/>
          <w:kern w:val="2"/>
          <w:sz w:val="28"/>
          <w:szCs w:val="28"/>
          <w:lang w:val="en-US" w:eastAsia="zh-CN" w:bidi="ar-SA"/>
        </w:rPr>
        <w:br w:type="page"/>
      </w:r>
      <w:r>
        <w:rPr>
          <w:rFonts w:hint="eastAsia" w:ascii="宋体" w:hAnsi="宋体" w:eastAsia="宋体" w:cs="宋体"/>
          <w:b/>
          <w:bCs/>
          <w:kern w:val="2"/>
          <w:sz w:val="28"/>
          <w:szCs w:val="28"/>
          <w:lang w:val="en-US" w:eastAsia="zh-CN" w:bidi="ar-SA"/>
        </w:rPr>
        <w:t xml:space="preserve"> </w:t>
      </w:r>
      <w:r>
        <w:rPr>
          <w:rFonts w:hint="eastAsia" w:ascii="宋体" w:hAnsi="宋体" w:eastAsia="宋体" w:cs="宋体"/>
          <w:sz w:val="28"/>
          <w:szCs w:val="28"/>
          <w:lang w:val="en-US" w:eastAsia="zh-CN"/>
        </w:rPr>
        <w:t>（二）</w:t>
      </w:r>
      <w:r>
        <w:rPr>
          <w:rFonts w:hint="eastAsia" w:ascii="宋体" w:hAnsi="宋体" w:eastAsia="宋体" w:cs="宋体"/>
          <w:b/>
          <w:sz w:val="36"/>
          <w:szCs w:val="36"/>
        </w:rPr>
        <w:t>商务技术标方案</w:t>
      </w:r>
    </w:p>
    <w:p w14:paraId="1DFD0AE6">
      <w:pPr>
        <w:pStyle w:val="13"/>
        <w:spacing w:line="400" w:lineRule="exact"/>
        <w:ind w:right="440" w:firstLine="440"/>
        <w:jc w:val="left"/>
        <w:rPr>
          <w:rFonts w:hint="eastAsia" w:ascii="宋体" w:hAnsi="宋体" w:eastAsia="宋体" w:cs="宋体"/>
          <w:szCs w:val="21"/>
        </w:rPr>
      </w:pPr>
      <w:r>
        <w:rPr>
          <w:rFonts w:hint="eastAsia" w:ascii="宋体" w:hAnsi="宋体" w:eastAsia="宋体" w:cs="宋体"/>
          <w:sz w:val="22"/>
          <w:szCs w:val="22"/>
        </w:rPr>
        <w:t xml:space="preserve">  根据评分细则，格式自拟</w:t>
      </w:r>
    </w:p>
    <w:p w14:paraId="00BE523D">
      <w:pPr>
        <w:spacing w:line="380" w:lineRule="exact"/>
        <w:ind w:firstLine="420"/>
        <w:rPr>
          <w:rFonts w:hint="eastAsia" w:ascii="宋体" w:hAnsi="宋体" w:eastAsia="宋体" w:cs="宋体"/>
          <w:b/>
          <w:bCs/>
          <w:sz w:val="28"/>
          <w:szCs w:val="28"/>
          <w:lang w:eastAsia="zh-CN"/>
        </w:rPr>
      </w:pPr>
      <w:r>
        <w:rPr>
          <w:rFonts w:hint="eastAsia" w:ascii="宋体" w:hAnsi="宋体" w:eastAsia="宋体" w:cs="宋体"/>
          <w:szCs w:val="21"/>
        </w:rPr>
        <w:br w:type="page"/>
      </w:r>
      <w:r>
        <w:rPr>
          <w:rFonts w:hint="eastAsia" w:ascii="宋体" w:hAnsi="宋体" w:eastAsia="宋体" w:cs="宋体"/>
          <w:b/>
          <w:bCs/>
          <w:sz w:val="28"/>
          <w:szCs w:val="28"/>
          <w:lang w:val="en-US" w:eastAsia="zh-CN"/>
        </w:rPr>
        <w:t xml:space="preserve">  </w:t>
      </w:r>
    </w:p>
    <w:p w14:paraId="04CC9451">
      <w:pPr>
        <w:spacing w:line="380" w:lineRule="exact"/>
        <w:ind w:firstLine="420"/>
        <w:jc w:val="center"/>
        <w:rPr>
          <w:rFonts w:hint="eastAsia" w:ascii="宋体" w:hAnsi="宋体" w:eastAsia="宋体" w:cs="宋体"/>
          <w:sz w:val="28"/>
          <w:szCs w:val="36"/>
          <w:highlight w:val="none"/>
        </w:rPr>
      </w:pPr>
      <w:r>
        <w:rPr>
          <w:rFonts w:hint="eastAsia" w:ascii="宋体" w:hAnsi="宋体" w:eastAsia="宋体" w:cs="宋体"/>
          <w:sz w:val="28"/>
          <w:szCs w:val="28"/>
          <w:lang w:val="en-US" w:eastAsia="zh-CN"/>
        </w:rPr>
        <w:t>（三）</w:t>
      </w:r>
      <w:r>
        <w:rPr>
          <w:rFonts w:hint="eastAsia" w:ascii="宋体" w:hAnsi="宋体" w:eastAsia="宋体" w:cs="宋体"/>
          <w:sz w:val="28"/>
          <w:szCs w:val="36"/>
          <w:highlight w:val="none"/>
        </w:rPr>
        <w:t>法定代表人诚信投标承诺书</w:t>
      </w:r>
    </w:p>
    <w:p w14:paraId="77638BF2">
      <w:pPr>
        <w:spacing w:line="360" w:lineRule="auto"/>
        <w:rPr>
          <w:rFonts w:hint="eastAsia" w:ascii="宋体" w:hAnsi="宋体" w:eastAsia="宋体" w:cs="宋体"/>
          <w:sz w:val="21"/>
          <w:szCs w:val="21"/>
          <w:highlight w:val="none"/>
        </w:rPr>
      </w:pPr>
    </w:p>
    <w:p w14:paraId="517589FB">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本人以企业法定代表人的身份郑重承诺：</w:t>
      </w:r>
    </w:p>
    <w:p w14:paraId="739589F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将遵循公开、公平、公正和诚信信用的原则参加</w:t>
      </w:r>
      <w:r>
        <w:rPr>
          <w:rFonts w:hint="eastAsia" w:ascii="宋体" w:hAnsi="宋体" w:eastAsia="宋体" w:cs="宋体"/>
          <w:sz w:val="21"/>
          <w:szCs w:val="21"/>
          <w:highlight w:val="none"/>
          <w:u w:val="single"/>
        </w:rPr>
        <w:t xml:space="preserve">                项目</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lang w:val="en-US" w:eastAsia="zh-CN"/>
        </w:rPr>
        <w:t xml:space="preserve">标项   </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rPr>
        <w:t>（招标编号：         ）</w:t>
      </w:r>
      <w:r>
        <w:rPr>
          <w:rFonts w:hint="eastAsia" w:ascii="宋体" w:hAnsi="宋体" w:eastAsia="宋体" w:cs="宋体"/>
          <w:sz w:val="21"/>
          <w:szCs w:val="21"/>
          <w:highlight w:val="none"/>
        </w:rPr>
        <w:t>的投标：</w:t>
      </w:r>
    </w:p>
    <w:p w14:paraId="18798D72">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一、杜绝以收取管理费等形式的一切挂靠、违法转包、分包行为；并选派有丰富经验、无不良行为记录的在项目管理人员、技术人员，严格按采购文件、投标文件及合同等要求保证拟派人员的到岗率。</w:t>
      </w:r>
    </w:p>
    <w:p w14:paraId="5B36E3B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二、投标文件所提供的一切材料都是真实、有效、合法的。</w:t>
      </w:r>
    </w:p>
    <w:p w14:paraId="6FC5B3C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三、不与其他供应商相互串通投标报价，不排挤其他供应商的公平竞争，不损害采购人或其他供应商的合法权益。</w:t>
      </w:r>
    </w:p>
    <w:p w14:paraId="3DBCB5A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四、不与采购人或采购代理机构串通投标，不损害国家利益，社会公共利益或其他人的合法权益。</w:t>
      </w:r>
    </w:p>
    <w:p w14:paraId="327EF99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五、不向采购人或者评标委员会成员行贿以牟取中标。</w:t>
      </w:r>
    </w:p>
    <w:p w14:paraId="61CBB95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六、不以其他人名义投标或者以其他方式弄虚作假，骗取中标。</w:t>
      </w:r>
    </w:p>
    <w:p w14:paraId="06218DF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七、不在开标后进行虚假恶意投诉。</w:t>
      </w:r>
    </w:p>
    <w:p w14:paraId="444E451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八、我单位没有被政府机关列入失信被执行人名单、重大税收违法案件当事人名单、政府采购严重违法失信行为记录名单的情形。</w:t>
      </w:r>
    </w:p>
    <w:p w14:paraId="78ADA95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九、没有被各地、各级财政部门禁止参加政府采购活动且在限制期限内。</w:t>
      </w:r>
    </w:p>
    <w:p w14:paraId="5638688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本公司若有违反本承诺内容的行为，愿意承担法律责任，包括不限于：取消中标资格；愿意接受相关行政主管部门作出的处罚；给采购人造成损失的，依法承担相应的赔偿责任。</w:t>
      </w:r>
    </w:p>
    <w:p w14:paraId="5B3591CA">
      <w:pPr>
        <w:spacing w:line="360" w:lineRule="auto"/>
        <w:ind w:right="1120" w:firstLine="2835" w:firstLineChars="1350"/>
        <w:rPr>
          <w:rFonts w:hint="eastAsia" w:ascii="宋体" w:hAnsi="宋体" w:eastAsia="宋体" w:cs="宋体"/>
          <w:sz w:val="21"/>
          <w:szCs w:val="21"/>
          <w:highlight w:val="none"/>
        </w:rPr>
      </w:pPr>
    </w:p>
    <w:p w14:paraId="6286FE7D">
      <w:pPr>
        <w:spacing w:line="360" w:lineRule="auto"/>
        <w:ind w:right="1120" w:firstLine="2835" w:firstLineChars="135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法定代表人（签字或签章）：</w:t>
      </w:r>
    </w:p>
    <w:p w14:paraId="3940F1A5">
      <w:pPr>
        <w:spacing w:line="360" w:lineRule="auto"/>
        <w:ind w:right="1120" w:firstLine="2835" w:firstLineChars="1350"/>
        <w:rPr>
          <w:rFonts w:hint="eastAsia" w:ascii="宋体" w:hAnsi="宋体" w:eastAsia="宋体" w:cs="宋体"/>
          <w:sz w:val="21"/>
          <w:szCs w:val="21"/>
          <w:highlight w:val="none"/>
        </w:rPr>
      </w:pPr>
      <w:r>
        <w:rPr>
          <w:rFonts w:hint="eastAsia" w:ascii="宋体" w:hAnsi="宋体" w:eastAsia="宋体" w:cs="宋体"/>
          <w:sz w:val="21"/>
          <w:szCs w:val="21"/>
          <w:highlight w:val="none"/>
        </w:rPr>
        <w:t>供应商（盖章）</w:t>
      </w:r>
    </w:p>
    <w:p w14:paraId="173D488B">
      <w:pPr>
        <w:spacing w:line="360" w:lineRule="auto"/>
        <w:ind w:right="1120" w:firstLine="2835" w:firstLineChars="1350"/>
        <w:rPr>
          <w:rFonts w:hint="eastAsia" w:ascii="宋体" w:hAnsi="宋体" w:eastAsia="宋体" w:cs="宋体"/>
          <w:sz w:val="21"/>
          <w:szCs w:val="21"/>
          <w:highlight w:val="none"/>
        </w:rPr>
      </w:pPr>
      <w:r>
        <w:rPr>
          <w:rFonts w:hint="eastAsia" w:ascii="宋体" w:hAnsi="宋体" w:eastAsia="宋体" w:cs="宋体"/>
          <w:sz w:val="21"/>
          <w:szCs w:val="21"/>
          <w:highlight w:val="none"/>
        </w:rPr>
        <w:t>承诺书签署日期：         年  月  日</w:t>
      </w:r>
    </w:p>
    <w:p w14:paraId="13F84DA3">
      <w:pPr>
        <w:spacing w:line="360" w:lineRule="auto"/>
        <w:ind w:right="1120" w:firstLine="3248" w:firstLineChars="1547"/>
        <w:jc w:val="center"/>
        <w:rPr>
          <w:rFonts w:hint="eastAsia" w:ascii="宋体" w:hAnsi="宋体" w:eastAsia="宋体" w:cs="宋体"/>
          <w:sz w:val="21"/>
          <w:szCs w:val="21"/>
          <w:highlight w:val="none"/>
        </w:rPr>
      </w:pPr>
    </w:p>
    <w:p w14:paraId="7334812E">
      <w:pPr>
        <w:spacing w:line="360" w:lineRule="auto"/>
        <w:ind w:right="1120"/>
        <w:jc w:val="both"/>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u w:val="single"/>
        </w:rPr>
        <w:t>▲备注：供应商必须提供本承诺书，不提供按无效投标处理。</w:t>
      </w:r>
    </w:p>
    <w:p w14:paraId="34575A0C">
      <w:pPr>
        <w:spacing w:line="360" w:lineRule="auto"/>
        <w:ind w:right="-2" w:firstLine="7000" w:firstLineChars="2500"/>
        <w:rPr>
          <w:rFonts w:hint="eastAsia" w:ascii="宋体" w:hAnsi="宋体" w:eastAsia="宋体" w:cs="宋体"/>
          <w:sz w:val="21"/>
          <w:szCs w:val="21"/>
          <w:highlight w:val="none"/>
        </w:rPr>
      </w:pPr>
      <w:r>
        <w:rPr>
          <w:rFonts w:hint="eastAsia" w:ascii="宋体" w:hAnsi="宋体" w:eastAsia="宋体" w:cs="宋体"/>
          <w:sz w:val="28"/>
          <w:szCs w:val="28"/>
        </w:rPr>
        <w:br w:type="page"/>
      </w:r>
    </w:p>
    <w:p w14:paraId="56B620D9">
      <w:pPr>
        <w:pStyle w:val="10"/>
        <w:rPr>
          <w:rFonts w:hint="eastAsia"/>
        </w:rPr>
        <w:sectPr>
          <w:pgSz w:w="11906" w:h="16838"/>
          <w:pgMar w:top="1440" w:right="1304" w:bottom="1089" w:left="1531" w:header="851" w:footer="992" w:gutter="0"/>
          <w:pgNumType w:fmt="decimal"/>
          <w:cols w:space="720" w:num="1"/>
          <w:docGrid w:linePitch="312" w:charSpace="0"/>
        </w:sectPr>
      </w:pPr>
    </w:p>
    <w:p w14:paraId="42A72766">
      <w:pPr>
        <w:spacing w:line="400" w:lineRule="exact"/>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sz w:val="28"/>
          <w:szCs w:val="28"/>
          <w:lang w:val="en-US" w:eastAsia="zh-CN"/>
        </w:rPr>
        <w:t>（四）</w:t>
      </w:r>
      <w:r>
        <w:rPr>
          <w:rFonts w:hint="eastAsia" w:ascii="宋体" w:hAnsi="宋体" w:eastAsia="宋体" w:cs="宋体"/>
          <w:b/>
          <w:color w:val="000000"/>
          <w:sz w:val="28"/>
          <w:szCs w:val="28"/>
          <w:highlight w:val="none"/>
        </w:rPr>
        <w:t>采购需求偏离表</w:t>
      </w:r>
    </w:p>
    <w:p w14:paraId="123717B1">
      <w:pPr>
        <w:pStyle w:val="12"/>
        <w:spacing w:after="0" w:line="400" w:lineRule="exact"/>
        <w:ind w:left="0" w:leftChars="0" w:right="1470"/>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 xml:space="preserve">项目名称（标项    ）：                     </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000000"/>
          <w:sz w:val="21"/>
          <w:szCs w:val="21"/>
          <w:highlight w:val="none"/>
        </w:rPr>
        <w:t xml:space="preserve">               项目编号：                  </w:t>
      </w:r>
    </w:p>
    <w:tbl>
      <w:tblPr>
        <w:tblStyle w:val="25"/>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6"/>
        <w:gridCol w:w="3219"/>
        <w:gridCol w:w="1822"/>
        <w:gridCol w:w="2092"/>
      </w:tblGrid>
      <w:tr w14:paraId="0527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33F038AF">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b/>
                <w:color w:val="000000"/>
                <w:spacing w:val="-6"/>
                <w:sz w:val="21"/>
                <w:szCs w:val="21"/>
                <w:highlight w:val="none"/>
              </w:rPr>
            </w:pPr>
            <w:r>
              <w:rPr>
                <w:rFonts w:hint="eastAsia" w:ascii="宋体" w:hAnsi="宋体" w:eastAsia="宋体" w:cs="宋体"/>
                <w:b/>
                <w:color w:val="000000"/>
                <w:spacing w:val="-6"/>
                <w:sz w:val="21"/>
                <w:szCs w:val="21"/>
                <w:highlight w:val="none"/>
              </w:rPr>
              <w:t>序号</w:t>
            </w:r>
          </w:p>
        </w:tc>
        <w:tc>
          <w:tcPr>
            <w:tcW w:w="1656" w:type="dxa"/>
            <w:noWrap w:val="0"/>
            <w:vAlign w:val="center"/>
          </w:tcPr>
          <w:p w14:paraId="4535088D">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b/>
                <w:color w:val="000000"/>
                <w:spacing w:val="-6"/>
                <w:sz w:val="21"/>
                <w:szCs w:val="21"/>
                <w:highlight w:val="none"/>
              </w:rPr>
            </w:pPr>
            <w:r>
              <w:rPr>
                <w:rFonts w:hint="eastAsia" w:ascii="宋体" w:hAnsi="宋体" w:eastAsia="宋体" w:cs="宋体"/>
                <w:b/>
                <w:color w:val="000000"/>
                <w:spacing w:val="-6"/>
                <w:sz w:val="21"/>
                <w:szCs w:val="21"/>
                <w:highlight w:val="none"/>
                <w:lang w:eastAsia="zh-CN"/>
              </w:rPr>
              <w:t>采购文件</w:t>
            </w:r>
            <w:r>
              <w:rPr>
                <w:rFonts w:hint="eastAsia" w:ascii="宋体" w:hAnsi="宋体" w:eastAsia="宋体" w:cs="宋体"/>
                <w:b/>
                <w:color w:val="000000"/>
                <w:spacing w:val="-6"/>
                <w:sz w:val="21"/>
                <w:szCs w:val="21"/>
                <w:highlight w:val="none"/>
              </w:rPr>
              <w:t>要求</w:t>
            </w:r>
          </w:p>
        </w:tc>
        <w:tc>
          <w:tcPr>
            <w:tcW w:w="3219" w:type="dxa"/>
            <w:noWrap w:val="0"/>
            <w:vAlign w:val="center"/>
          </w:tcPr>
          <w:p w14:paraId="3160F5F6">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b/>
                <w:color w:val="000000"/>
                <w:spacing w:val="-6"/>
                <w:sz w:val="21"/>
                <w:szCs w:val="21"/>
                <w:highlight w:val="none"/>
              </w:rPr>
            </w:pPr>
            <w:r>
              <w:rPr>
                <w:rFonts w:hint="eastAsia" w:ascii="宋体" w:hAnsi="宋体" w:eastAsia="宋体" w:cs="宋体"/>
                <w:b/>
                <w:color w:val="000000"/>
                <w:spacing w:val="-6"/>
                <w:sz w:val="21"/>
                <w:szCs w:val="21"/>
                <w:highlight w:val="none"/>
              </w:rPr>
              <w:t>投标文件对应规范</w:t>
            </w:r>
          </w:p>
        </w:tc>
        <w:tc>
          <w:tcPr>
            <w:tcW w:w="1822" w:type="dxa"/>
            <w:noWrap w:val="0"/>
            <w:vAlign w:val="center"/>
          </w:tcPr>
          <w:p w14:paraId="3C41AD55">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b/>
                <w:color w:val="000000"/>
                <w:spacing w:val="-6"/>
                <w:sz w:val="21"/>
                <w:szCs w:val="21"/>
                <w:highlight w:val="none"/>
              </w:rPr>
            </w:pPr>
            <w:r>
              <w:rPr>
                <w:rFonts w:hint="eastAsia" w:ascii="宋体" w:hAnsi="宋体" w:eastAsia="宋体" w:cs="宋体"/>
                <w:b/>
                <w:color w:val="000000"/>
                <w:spacing w:val="-6"/>
                <w:sz w:val="21"/>
                <w:szCs w:val="21"/>
                <w:highlight w:val="none"/>
              </w:rPr>
              <w:t>是否偏离</w:t>
            </w:r>
          </w:p>
          <w:p w14:paraId="3BE54738">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b/>
                <w:color w:val="000000"/>
                <w:spacing w:val="-6"/>
                <w:sz w:val="21"/>
                <w:szCs w:val="21"/>
                <w:highlight w:val="none"/>
              </w:rPr>
            </w:pPr>
            <w:r>
              <w:rPr>
                <w:rFonts w:hint="eastAsia" w:ascii="宋体" w:hAnsi="宋体" w:eastAsia="宋体" w:cs="宋体"/>
                <w:b/>
                <w:color w:val="000000"/>
                <w:spacing w:val="-6"/>
                <w:sz w:val="21"/>
                <w:szCs w:val="21"/>
                <w:highlight w:val="none"/>
              </w:rPr>
              <w:t>（提供说明）</w:t>
            </w:r>
          </w:p>
        </w:tc>
        <w:tc>
          <w:tcPr>
            <w:tcW w:w="2092" w:type="dxa"/>
            <w:noWrap w:val="0"/>
            <w:vAlign w:val="center"/>
          </w:tcPr>
          <w:p w14:paraId="049766A4">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b/>
                <w:color w:val="000000"/>
                <w:spacing w:val="-6"/>
                <w:sz w:val="21"/>
                <w:szCs w:val="21"/>
                <w:highlight w:val="none"/>
              </w:rPr>
            </w:pPr>
            <w:r>
              <w:rPr>
                <w:rFonts w:hint="eastAsia" w:ascii="宋体" w:hAnsi="宋体" w:eastAsia="宋体" w:cs="宋体"/>
                <w:b/>
                <w:color w:val="000000"/>
                <w:spacing w:val="-6"/>
                <w:sz w:val="21"/>
                <w:szCs w:val="21"/>
                <w:highlight w:val="none"/>
              </w:rPr>
              <w:t>要求提供的证明材料页码</w:t>
            </w:r>
          </w:p>
        </w:tc>
      </w:tr>
      <w:tr w14:paraId="72DE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40" w:type="dxa"/>
            <w:gridSpan w:val="5"/>
            <w:noWrap w:val="0"/>
            <w:vAlign w:val="center"/>
          </w:tcPr>
          <w:p w14:paraId="5E716955">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商务要求</w:t>
            </w:r>
          </w:p>
        </w:tc>
      </w:tr>
      <w:tr w14:paraId="5814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5C5EE0D6">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2C051E70">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4053D8C6">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4972301E">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5FDEAFC2">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33E1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0482E878">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74410663">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70407C68">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6C2D4148">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7847309F">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63DB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3CE5BF37">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1DC5810D">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2C7F638E">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0C68F515">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4FDCDC0B">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39C1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71CC210E">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5FE08258">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444CFED0">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64ABB940">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465090A3">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4277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40" w:type="dxa"/>
            <w:gridSpan w:val="5"/>
            <w:noWrap w:val="0"/>
            <w:vAlign w:val="center"/>
          </w:tcPr>
          <w:p w14:paraId="3FD316FD">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技术要求</w:t>
            </w:r>
          </w:p>
        </w:tc>
      </w:tr>
      <w:tr w14:paraId="4FE1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351B5EA1">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color w:val="000000"/>
                <w:spacing w:val="-6"/>
                <w:sz w:val="21"/>
                <w:szCs w:val="21"/>
                <w:highlight w:val="none"/>
              </w:rPr>
            </w:pPr>
          </w:p>
        </w:tc>
        <w:tc>
          <w:tcPr>
            <w:tcW w:w="1656" w:type="dxa"/>
            <w:noWrap w:val="0"/>
            <w:vAlign w:val="center"/>
          </w:tcPr>
          <w:p w14:paraId="1A1E84FD">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color w:val="000000"/>
                <w:spacing w:val="-6"/>
                <w:sz w:val="21"/>
                <w:szCs w:val="21"/>
                <w:highlight w:val="none"/>
              </w:rPr>
            </w:pPr>
          </w:p>
        </w:tc>
        <w:tc>
          <w:tcPr>
            <w:tcW w:w="3219" w:type="dxa"/>
            <w:noWrap w:val="0"/>
            <w:vAlign w:val="center"/>
          </w:tcPr>
          <w:p w14:paraId="5B4687BA">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00BA4C29">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22B5F265">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1A45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6124FD13">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2C10BEB6">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3AE9E330">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20B6D65E">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1AE2CBD4">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054F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34F57DCD">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10F48AC1">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4E6C9342">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65BACEA2">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454799B9">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r w14:paraId="5773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6EAA221A">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656" w:type="dxa"/>
            <w:noWrap w:val="0"/>
            <w:vAlign w:val="center"/>
          </w:tcPr>
          <w:p w14:paraId="6C97DDD1">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3219" w:type="dxa"/>
            <w:noWrap w:val="0"/>
            <w:vAlign w:val="center"/>
          </w:tcPr>
          <w:p w14:paraId="43CF7483">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1822" w:type="dxa"/>
            <w:noWrap w:val="0"/>
            <w:vAlign w:val="center"/>
          </w:tcPr>
          <w:p w14:paraId="57318ECF">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c>
          <w:tcPr>
            <w:tcW w:w="2092" w:type="dxa"/>
            <w:noWrap w:val="0"/>
            <w:vAlign w:val="center"/>
          </w:tcPr>
          <w:p w14:paraId="6C0D59BF">
            <w:pPr>
              <w:keepNext w:val="0"/>
              <w:keepLines w:val="0"/>
              <w:widowControl/>
              <w:suppressLineNumbers w:val="0"/>
              <w:snapToGrid w:val="0"/>
              <w:spacing w:before="0" w:beforeAutospacing="0" w:after="0" w:afterAutospacing="0" w:line="400" w:lineRule="exact"/>
              <w:ind w:left="0" w:right="0"/>
              <w:jc w:val="center"/>
              <w:rPr>
                <w:rFonts w:hint="eastAsia" w:ascii="宋体" w:hAnsi="宋体" w:eastAsia="宋体" w:cs="宋体"/>
                <w:color w:val="000000"/>
                <w:spacing w:val="-6"/>
                <w:sz w:val="21"/>
                <w:szCs w:val="21"/>
                <w:highlight w:val="none"/>
              </w:rPr>
            </w:pPr>
          </w:p>
        </w:tc>
      </w:tr>
    </w:tbl>
    <w:p w14:paraId="0B4B3184">
      <w:pPr>
        <w:adjustRightInd w:val="0"/>
        <w:snapToGrid w:val="0"/>
        <w:spacing w:line="400" w:lineRule="exact"/>
        <w:jc w:val="left"/>
        <w:rPr>
          <w:rFonts w:hint="eastAsia" w:ascii="宋体" w:hAnsi="宋体" w:eastAsia="宋体" w:cs="宋体"/>
          <w:b/>
          <w:bCs/>
          <w:color w:val="000000"/>
          <w:spacing w:val="-6"/>
          <w:sz w:val="21"/>
          <w:szCs w:val="21"/>
          <w:highlight w:val="none"/>
        </w:rPr>
      </w:pPr>
      <w:r>
        <w:rPr>
          <w:rFonts w:hint="eastAsia" w:ascii="宋体" w:hAnsi="宋体" w:eastAsia="宋体" w:cs="宋体"/>
          <w:b/>
          <w:bCs/>
          <w:color w:val="000000"/>
          <w:spacing w:val="-6"/>
          <w:sz w:val="21"/>
          <w:szCs w:val="21"/>
          <w:highlight w:val="none"/>
        </w:rPr>
        <w:t>注意：</w:t>
      </w:r>
    </w:p>
    <w:p w14:paraId="6260BEAA">
      <w:pPr>
        <w:numPr>
          <w:ilvl w:val="0"/>
          <w:numId w:val="25"/>
        </w:numPr>
        <w:adjustRightInd w:val="0"/>
        <w:snapToGrid w:val="0"/>
        <w:spacing w:line="400" w:lineRule="exact"/>
        <w:jc w:val="left"/>
        <w:rPr>
          <w:rFonts w:hint="eastAsia" w:ascii="宋体" w:hAnsi="宋体" w:eastAsia="宋体" w:cs="宋体"/>
          <w:b/>
          <w:bCs/>
          <w:color w:val="000000"/>
          <w:spacing w:val="-6"/>
          <w:sz w:val="21"/>
          <w:szCs w:val="21"/>
          <w:highlight w:val="none"/>
        </w:rPr>
      </w:pPr>
      <w:r>
        <w:rPr>
          <w:rFonts w:hint="eastAsia" w:ascii="宋体" w:hAnsi="宋体" w:eastAsia="宋体" w:cs="宋体"/>
          <w:b/>
          <w:bCs/>
          <w:color w:val="000000"/>
          <w:spacing w:val="-6"/>
          <w:sz w:val="21"/>
          <w:szCs w:val="21"/>
          <w:highlight w:val="none"/>
        </w:rPr>
        <w:t>逐项按照采购文件要求填写响应规格；如不填写或留空，则视为完全响应采购文件的要求，自行承担投标响应风险。</w:t>
      </w:r>
    </w:p>
    <w:p w14:paraId="6E3C0384">
      <w:pPr>
        <w:numPr>
          <w:ilvl w:val="0"/>
          <w:numId w:val="25"/>
        </w:numPr>
        <w:adjustRightInd w:val="0"/>
        <w:snapToGrid w:val="0"/>
        <w:spacing w:line="400" w:lineRule="exact"/>
        <w:jc w:val="left"/>
        <w:rPr>
          <w:rFonts w:hint="eastAsia" w:ascii="宋体" w:hAnsi="宋体" w:eastAsia="宋体" w:cs="宋体"/>
          <w:b/>
          <w:bCs/>
          <w:color w:val="000000"/>
          <w:spacing w:val="-6"/>
          <w:sz w:val="21"/>
          <w:szCs w:val="21"/>
          <w:highlight w:val="none"/>
        </w:rPr>
      </w:pPr>
      <w:r>
        <w:rPr>
          <w:rFonts w:hint="eastAsia" w:ascii="宋体" w:hAnsi="宋体" w:eastAsia="宋体" w:cs="宋体"/>
          <w:b/>
          <w:bCs/>
          <w:color w:val="000000"/>
          <w:spacing w:val="-6"/>
          <w:sz w:val="21"/>
          <w:szCs w:val="21"/>
          <w:highlight w:val="none"/>
        </w:rPr>
        <w:t>偏离说明是指对</w:t>
      </w:r>
      <w:r>
        <w:rPr>
          <w:rFonts w:hint="eastAsia" w:ascii="宋体" w:hAnsi="宋体" w:eastAsia="宋体" w:cs="宋体"/>
          <w:b/>
          <w:bCs/>
          <w:color w:val="000000"/>
          <w:spacing w:val="-6"/>
          <w:sz w:val="21"/>
          <w:szCs w:val="21"/>
          <w:highlight w:val="none"/>
          <w:lang w:eastAsia="zh-CN"/>
        </w:rPr>
        <w:t>采购文件</w:t>
      </w:r>
      <w:r>
        <w:rPr>
          <w:rFonts w:hint="eastAsia" w:ascii="宋体" w:hAnsi="宋体" w:eastAsia="宋体" w:cs="宋体"/>
          <w:b/>
          <w:bCs/>
          <w:color w:val="000000"/>
          <w:spacing w:val="-6"/>
          <w:sz w:val="21"/>
          <w:szCs w:val="21"/>
          <w:highlight w:val="none"/>
        </w:rPr>
        <w:t>要求存在不同之处的解释说明。偏离系指：正偏离（高于采购需求）、负偏离（低于采购需求或未按采购需求提供相应证明材料的）、无偏离（满足采购需求）；</w:t>
      </w:r>
    </w:p>
    <w:p w14:paraId="73551FD6">
      <w:pPr>
        <w:numPr>
          <w:ilvl w:val="0"/>
          <w:numId w:val="25"/>
        </w:numPr>
        <w:adjustRightInd w:val="0"/>
        <w:snapToGrid w:val="0"/>
        <w:spacing w:line="400" w:lineRule="exact"/>
        <w:jc w:val="left"/>
        <w:rPr>
          <w:rFonts w:hint="eastAsia" w:ascii="宋体" w:hAnsi="宋体" w:eastAsia="宋体" w:cs="宋体"/>
          <w:b/>
          <w:bCs/>
          <w:color w:val="000000"/>
          <w:spacing w:val="-6"/>
          <w:sz w:val="21"/>
          <w:szCs w:val="21"/>
          <w:highlight w:val="none"/>
        </w:rPr>
      </w:pPr>
      <w:r>
        <w:rPr>
          <w:rFonts w:hint="eastAsia" w:ascii="宋体" w:hAnsi="宋体" w:eastAsia="宋体" w:cs="宋体"/>
          <w:b/>
          <w:bCs/>
          <w:color w:val="000000"/>
          <w:spacing w:val="-6"/>
          <w:sz w:val="21"/>
          <w:szCs w:val="21"/>
          <w:highlight w:val="none"/>
        </w:rPr>
        <w:t>建议投标人准备采购需求中要求的证明材料（如证书、检测报告等）条目索引，要求清晰提供的证明材料（如证书、检测报告等），由不清晰或者模糊造成无法判断证明材料是否符合要求的风险由投标人自行承担。</w:t>
      </w:r>
    </w:p>
    <w:p w14:paraId="611BEB37">
      <w:pPr>
        <w:numPr>
          <w:ilvl w:val="0"/>
          <w:numId w:val="25"/>
        </w:numPr>
        <w:adjustRightInd w:val="0"/>
        <w:snapToGrid w:val="0"/>
        <w:spacing w:line="400" w:lineRule="exact"/>
        <w:jc w:val="left"/>
        <w:rPr>
          <w:rFonts w:hint="eastAsia" w:ascii="宋体" w:hAnsi="宋体" w:eastAsia="宋体" w:cs="宋体"/>
          <w:b/>
          <w:bCs/>
          <w:color w:val="000000"/>
          <w:spacing w:val="-6"/>
          <w:sz w:val="21"/>
          <w:szCs w:val="21"/>
          <w:highlight w:val="none"/>
        </w:rPr>
      </w:pPr>
      <w:r>
        <w:rPr>
          <w:rFonts w:hint="eastAsia" w:ascii="宋体" w:hAnsi="宋体" w:eastAsia="宋体" w:cs="宋体"/>
          <w:b/>
          <w:bCs/>
          <w:color w:val="000000"/>
          <w:spacing w:val="-6"/>
          <w:sz w:val="21"/>
          <w:szCs w:val="21"/>
          <w:highlight w:val="none"/>
        </w:rPr>
        <w:t>投标人保证：除采购需求偏离表列出的偏离外，投标人响应采购文件的全部要求。</w:t>
      </w:r>
    </w:p>
    <w:p w14:paraId="2C650726">
      <w:pPr>
        <w:widowControl/>
        <w:spacing w:line="400" w:lineRule="exact"/>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 xml:space="preserve">    5.</w:t>
      </w:r>
      <w:r>
        <w:rPr>
          <w:rFonts w:hint="eastAsia" w:ascii="宋体" w:hAnsi="宋体" w:eastAsia="宋体" w:cs="宋体"/>
          <w:b/>
          <w:bCs/>
          <w:sz w:val="21"/>
          <w:szCs w:val="21"/>
          <w:lang w:val="en-US"/>
        </w:rPr>
        <w:t>投标供应商应仔细检查投标文件中是否出现前后矛盾、不一致的地方，如在评审时发现前后矛盾、不一致的地方，评标委员会有权以不利于投标供应商的数据进行评审；在签订合同及实际供货（或提供服务）时以有利于采购人的数据为准。</w:t>
      </w:r>
    </w:p>
    <w:p w14:paraId="6B528C3C">
      <w:pPr>
        <w:widowControl/>
        <w:spacing w:line="400" w:lineRule="exact"/>
        <w:rPr>
          <w:rFonts w:hint="eastAsia" w:ascii="宋体" w:hAnsi="宋体" w:eastAsia="宋体" w:cs="宋体"/>
          <w:color w:val="000000"/>
          <w:kern w:val="0"/>
          <w:sz w:val="21"/>
          <w:szCs w:val="21"/>
          <w:highlight w:val="none"/>
          <w:u w:val="single"/>
        </w:rPr>
      </w:pPr>
      <w:r>
        <w:rPr>
          <w:rFonts w:hint="eastAsia" w:ascii="宋体" w:hAnsi="宋体" w:eastAsia="宋体" w:cs="宋体"/>
          <w:color w:val="000000"/>
          <w:kern w:val="0"/>
          <w:sz w:val="21"/>
          <w:szCs w:val="21"/>
          <w:highlight w:val="none"/>
        </w:rPr>
        <w:t>投标人全称(电子签章或公章)：</w:t>
      </w:r>
    </w:p>
    <w:p w14:paraId="4DF33210">
      <w:pPr>
        <w:widowControl/>
        <w:spacing w:line="400" w:lineRule="exac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法定代表人或授权代表(签字或盖章)：</w:t>
      </w:r>
    </w:p>
    <w:p w14:paraId="7436D110">
      <w:pPr>
        <w:snapToGrid w:val="0"/>
        <w:spacing w:line="400" w:lineRule="exact"/>
        <w:jc w:val="left"/>
        <w:rPr>
          <w:rFonts w:hint="eastAsia" w:ascii="宋体" w:hAnsi="宋体" w:eastAsia="宋体" w:cs="宋体"/>
          <w:color w:val="000000"/>
          <w:kern w:val="0"/>
          <w:sz w:val="21"/>
          <w:szCs w:val="21"/>
          <w:highlight w:val="none"/>
        </w:rPr>
        <w:sectPr>
          <w:pgSz w:w="11906" w:h="16838"/>
          <w:pgMar w:top="1440" w:right="1304" w:bottom="1089" w:left="1531" w:header="851" w:footer="992" w:gutter="0"/>
          <w:pgNumType w:fmt="decimal"/>
          <w:cols w:space="720" w:num="1"/>
          <w:docGrid w:linePitch="312" w:charSpace="0"/>
        </w:sectPr>
      </w:pPr>
      <w:r>
        <w:rPr>
          <w:rFonts w:hint="eastAsia" w:ascii="宋体" w:hAnsi="宋体" w:eastAsia="宋体" w:cs="宋体"/>
          <w:color w:val="000000"/>
          <w:kern w:val="0"/>
          <w:sz w:val="21"/>
          <w:szCs w:val="21"/>
          <w:highlight w:val="none"/>
        </w:rPr>
        <w:t>日期：    年    月    日</w:t>
      </w:r>
    </w:p>
    <w:p w14:paraId="4C88AF24">
      <w:pPr>
        <w:spacing w:line="500" w:lineRule="exact"/>
        <w:ind w:firstLine="560"/>
        <w:jc w:val="left"/>
        <w:rPr>
          <w:rFonts w:hint="eastAsia" w:ascii="宋体" w:hAnsi="宋体" w:eastAsia="宋体" w:cs="宋体"/>
          <w:b/>
          <w:bCs/>
          <w:sz w:val="24"/>
        </w:rPr>
      </w:pPr>
      <w:r>
        <w:rPr>
          <w:rFonts w:hint="eastAsia" w:ascii="宋体" w:hAnsi="宋体" w:eastAsia="宋体" w:cs="宋体"/>
          <w:b/>
          <w:bCs/>
          <w:sz w:val="24"/>
          <w:lang w:val="en-US" w:eastAsia="zh-CN"/>
        </w:rPr>
        <w:t xml:space="preserve"> </w:t>
      </w:r>
      <w:r>
        <w:rPr>
          <w:rFonts w:hint="eastAsia" w:ascii="宋体" w:hAnsi="宋体" w:eastAsia="宋体" w:cs="宋体"/>
          <w:b/>
          <w:bCs/>
          <w:sz w:val="24"/>
        </w:rPr>
        <w:t xml:space="preserve">                       </w:t>
      </w:r>
    </w:p>
    <w:p w14:paraId="5FCEFC5B">
      <w:pPr>
        <w:spacing w:line="500" w:lineRule="exact"/>
        <w:ind w:firstLine="482"/>
        <w:jc w:val="center"/>
        <w:rPr>
          <w:rFonts w:hint="eastAsia" w:ascii="宋体" w:hAnsi="宋体" w:eastAsia="宋体" w:cs="宋体"/>
          <w:b/>
          <w:bCs/>
          <w:sz w:val="24"/>
        </w:rPr>
      </w:pPr>
      <w:r>
        <w:rPr>
          <w:rFonts w:hint="eastAsia" w:ascii="宋体" w:hAnsi="宋体" w:eastAsia="宋体" w:cs="宋体"/>
          <w:sz w:val="28"/>
          <w:szCs w:val="28"/>
          <w:lang w:val="en-US" w:eastAsia="zh-CN"/>
        </w:rPr>
        <w:t>（五）</w:t>
      </w:r>
      <w:r>
        <w:rPr>
          <w:rFonts w:hint="eastAsia" w:ascii="宋体" w:hAnsi="宋体" w:eastAsia="宋体" w:cs="宋体"/>
          <w:b/>
          <w:bCs/>
          <w:sz w:val="24"/>
        </w:rPr>
        <w:t>货物供货清单</w:t>
      </w:r>
    </w:p>
    <w:p w14:paraId="087CAD52">
      <w:pPr>
        <w:ind w:left="-139" w:leftChars="-66" w:firstLine="207" w:firstLineChars="99"/>
        <w:rPr>
          <w:rFonts w:hint="eastAsia" w:ascii="宋体" w:hAnsi="宋体" w:eastAsia="宋体" w:cs="宋体"/>
          <w:b/>
          <w:bCs/>
          <w:szCs w:val="21"/>
        </w:rPr>
      </w:pPr>
      <w:r>
        <w:rPr>
          <w:rFonts w:hint="eastAsia" w:ascii="宋体" w:hAnsi="宋体" w:eastAsia="宋体" w:cs="宋体"/>
          <w:bCs/>
          <w:szCs w:val="21"/>
        </w:rPr>
        <w:t>项目名称</w:t>
      </w:r>
      <w:r>
        <w:rPr>
          <w:rFonts w:hint="eastAsia" w:ascii="宋体" w:hAnsi="宋体" w:eastAsia="宋体" w:cs="宋体"/>
          <w:b/>
          <w:color w:val="000000"/>
          <w:sz w:val="21"/>
          <w:szCs w:val="21"/>
          <w:highlight w:val="none"/>
        </w:rPr>
        <w:t>（标项    ）</w:t>
      </w:r>
      <w:r>
        <w:rPr>
          <w:rFonts w:hint="eastAsia" w:ascii="宋体" w:hAnsi="宋体" w:eastAsia="宋体" w:cs="宋体"/>
          <w:bCs/>
          <w:szCs w:val="21"/>
        </w:rPr>
        <w:t>：                                                 项目编号：</w:t>
      </w:r>
    </w:p>
    <w:tbl>
      <w:tblPr>
        <w:tblStyle w:val="25"/>
        <w:tblW w:w="94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6"/>
        <w:gridCol w:w="1250"/>
        <w:gridCol w:w="950"/>
        <w:gridCol w:w="861"/>
        <w:gridCol w:w="827"/>
        <w:gridCol w:w="1237"/>
        <w:gridCol w:w="1379"/>
        <w:gridCol w:w="1440"/>
        <w:gridCol w:w="711"/>
      </w:tblGrid>
      <w:tr w14:paraId="60E10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noWrap w:val="0"/>
            <w:vAlign w:val="center"/>
          </w:tcPr>
          <w:p w14:paraId="0767DFE4">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0CC1B46">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66C401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制造商</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1D481F59">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产地</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07F566D8">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品牌</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0CAD35BE">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规格型号</w:t>
            </w:r>
          </w:p>
        </w:tc>
        <w:tc>
          <w:tcPr>
            <w:tcW w:w="1379" w:type="dxa"/>
            <w:tcBorders>
              <w:top w:val="single" w:color="auto" w:sz="4" w:space="0"/>
              <w:left w:val="single" w:color="auto" w:sz="4" w:space="0"/>
              <w:bottom w:val="single" w:color="auto" w:sz="4" w:space="0"/>
              <w:right w:val="single" w:color="auto" w:sz="4" w:space="0"/>
            </w:tcBorders>
            <w:noWrap w:val="0"/>
            <w:vAlign w:val="center"/>
          </w:tcPr>
          <w:p w14:paraId="43836DF9">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单位及数量</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228E3DC">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性能及指标</w:t>
            </w:r>
          </w:p>
        </w:tc>
        <w:tc>
          <w:tcPr>
            <w:tcW w:w="711" w:type="dxa"/>
            <w:tcBorders>
              <w:top w:val="single" w:color="auto" w:sz="4" w:space="0"/>
              <w:left w:val="single" w:color="auto" w:sz="4" w:space="0"/>
              <w:bottom w:val="single" w:color="auto" w:sz="4" w:space="0"/>
            </w:tcBorders>
            <w:noWrap w:val="0"/>
            <w:vAlign w:val="center"/>
          </w:tcPr>
          <w:p w14:paraId="0F7FF5C4">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w:t>
            </w:r>
          </w:p>
        </w:tc>
      </w:tr>
      <w:tr w14:paraId="7F2E0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noWrap w:val="0"/>
            <w:vAlign w:val="center"/>
          </w:tcPr>
          <w:p w14:paraId="24D1D6D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6DEACF1">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p w14:paraId="09290780">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2D38995A">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61" w:type="dxa"/>
            <w:tcBorders>
              <w:top w:val="single" w:color="auto" w:sz="4" w:space="0"/>
              <w:left w:val="single" w:color="auto" w:sz="4" w:space="0"/>
              <w:bottom w:val="single" w:color="auto" w:sz="4" w:space="0"/>
              <w:right w:val="single" w:color="auto" w:sz="4" w:space="0"/>
            </w:tcBorders>
            <w:noWrap w:val="0"/>
            <w:vAlign w:val="center"/>
          </w:tcPr>
          <w:p w14:paraId="71AF05F6">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4AB0601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14:paraId="0A955FF0">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2D51FEA0">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6E1369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11" w:type="dxa"/>
            <w:tcBorders>
              <w:top w:val="single" w:color="auto" w:sz="4" w:space="0"/>
              <w:left w:val="single" w:color="auto" w:sz="4" w:space="0"/>
              <w:bottom w:val="single" w:color="auto" w:sz="4" w:space="0"/>
            </w:tcBorders>
            <w:noWrap w:val="0"/>
            <w:vAlign w:val="center"/>
          </w:tcPr>
          <w:p w14:paraId="747747E7">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14:paraId="4B065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noWrap w:val="0"/>
            <w:vAlign w:val="center"/>
          </w:tcPr>
          <w:p w14:paraId="6A396DD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88AD489">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33C6ED55">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61" w:type="dxa"/>
            <w:tcBorders>
              <w:top w:val="single" w:color="auto" w:sz="4" w:space="0"/>
              <w:left w:val="single" w:color="auto" w:sz="4" w:space="0"/>
              <w:bottom w:val="single" w:color="auto" w:sz="4" w:space="0"/>
              <w:right w:val="single" w:color="auto" w:sz="4" w:space="0"/>
            </w:tcBorders>
            <w:noWrap w:val="0"/>
            <w:vAlign w:val="center"/>
          </w:tcPr>
          <w:p w14:paraId="7D8FB8B8">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11DC385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14:paraId="048616A1">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6740FADC">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C1647D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11" w:type="dxa"/>
            <w:tcBorders>
              <w:top w:val="single" w:color="auto" w:sz="4" w:space="0"/>
              <w:left w:val="single" w:color="auto" w:sz="4" w:space="0"/>
              <w:bottom w:val="single" w:color="auto" w:sz="4" w:space="0"/>
            </w:tcBorders>
            <w:noWrap w:val="0"/>
            <w:vAlign w:val="center"/>
          </w:tcPr>
          <w:p w14:paraId="71E376D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14:paraId="54096A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noWrap w:val="0"/>
            <w:vAlign w:val="center"/>
          </w:tcPr>
          <w:p w14:paraId="77A520CB">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BDFED5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6EFEC835">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61" w:type="dxa"/>
            <w:tcBorders>
              <w:top w:val="single" w:color="auto" w:sz="4" w:space="0"/>
              <w:left w:val="single" w:color="auto" w:sz="4" w:space="0"/>
              <w:bottom w:val="single" w:color="auto" w:sz="4" w:space="0"/>
              <w:right w:val="single" w:color="auto" w:sz="4" w:space="0"/>
            </w:tcBorders>
            <w:noWrap w:val="0"/>
            <w:vAlign w:val="center"/>
          </w:tcPr>
          <w:p w14:paraId="3E234D9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2AE639E4">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14:paraId="357B48C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130CD8E8">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63DA64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11" w:type="dxa"/>
            <w:tcBorders>
              <w:top w:val="single" w:color="auto" w:sz="4" w:space="0"/>
              <w:left w:val="single" w:color="auto" w:sz="4" w:space="0"/>
              <w:bottom w:val="single" w:color="auto" w:sz="4" w:space="0"/>
            </w:tcBorders>
            <w:noWrap w:val="0"/>
            <w:vAlign w:val="center"/>
          </w:tcPr>
          <w:p w14:paraId="3B5D743C">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14:paraId="5ACDC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noWrap w:val="0"/>
            <w:vAlign w:val="center"/>
          </w:tcPr>
          <w:p w14:paraId="2ADCEC3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45E4E17">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43CC4CFB">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61" w:type="dxa"/>
            <w:tcBorders>
              <w:top w:val="single" w:color="auto" w:sz="4" w:space="0"/>
              <w:left w:val="single" w:color="auto" w:sz="4" w:space="0"/>
              <w:bottom w:val="single" w:color="auto" w:sz="4" w:space="0"/>
              <w:right w:val="single" w:color="auto" w:sz="4" w:space="0"/>
            </w:tcBorders>
            <w:noWrap w:val="0"/>
            <w:vAlign w:val="center"/>
          </w:tcPr>
          <w:p w14:paraId="6F7CD22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1C74059B">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14:paraId="5432C217">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79C81C1E">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D7DAAB5">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11" w:type="dxa"/>
            <w:tcBorders>
              <w:top w:val="single" w:color="auto" w:sz="4" w:space="0"/>
              <w:left w:val="single" w:color="auto" w:sz="4" w:space="0"/>
              <w:bottom w:val="single" w:color="auto" w:sz="4" w:space="0"/>
            </w:tcBorders>
            <w:noWrap w:val="0"/>
            <w:vAlign w:val="center"/>
          </w:tcPr>
          <w:p w14:paraId="50B3BF4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14:paraId="1F5C6D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noWrap w:val="0"/>
            <w:vAlign w:val="center"/>
          </w:tcPr>
          <w:p w14:paraId="51A83A4B">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826672E">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50" w:type="dxa"/>
            <w:tcBorders>
              <w:top w:val="single" w:color="auto" w:sz="4" w:space="0"/>
              <w:left w:val="single" w:color="auto" w:sz="4" w:space="0"/>
              <w:bottom w:val="single" w:color="auto" w:sz="4" w:space="0"/>
              <w:right w:val="single" w:color="auto" w:sz="4" w:space="0"/>
            </w:tcBorders>
            <w:noWrap w:val="0"/>
            <w:vAlign w:val="center"/>
          </w:tcPr>
          <w:p w14:paraId="012AB587">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61" w:type="dxa"/>
            <w:tcBorders>
              <w:top w:val="single" w:color="auto" w:sz="4" w:space="0"/>
              <w:left w:val="single" w:color="auto" w:sz="4" w:space="0"/>
              <w:bottom w:val="single" w:color="auto" w:sz="4" w:space="0"/>
              <w:right w:val="single" w:color="auto" w:sz="4" w:space="0"/>
            </w:tcBorders>
            <w:noWrap w:val="0"/>
            <w:vAlign w:val="center"/>
          </w:tcPr>
          <w:p w14:paraId="41A39F19">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2D0F9936">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14:paraId="2DE689AD">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14:paraId="429EF0B9">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B1BF9A3">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11" w:type="dxa"/>
            <w:tcBorders>
              <w:top w:val="single" w:color="auto" w:sz="4" w:space="0"/>
              <w:left w:val="single" w:color="auto" w:sz="4" w:space="0"/>
              <w:bottom w:val="single" w:color="auto" w:sz="4" w:space="0"/>
            </w:tcBorders>
            <w:noWrap w:val="0"/>
            <w:vAlign w:val="center"/>
          </w:tcPr>
          <w:p w14:paraId="472E55F2">
            <w:pPr>
              <w:keepNext w:val="0"/>
              <w:keepLines w:val="0"/>
              <w:widowControl/>
              <w:suppressLineNumbers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bl>
    <w:p w14:paraId="5AC28CE6">
      <w:pPr>
        <w:ind w:left="531" w:leftChars="253" w:firstLine="3901" w:firstLineChars="1858"/>
        <w:rPr>
          <w:rFonts w:hint="eastAsia" w:ascii="宋体" w:hAnsi="宋体" w:eastAsia="宋体" w:cs="宋体"/>
          <w:szCs w:val="21"/>
        </w:rPr>
      </w:pPr>
      <w:r>
        <w:rPr>
          <w:rFonts w:hint="eastAsia" w:ascii="宋体" w:hAnsi="宋体" w:eastAsia="宋体" w:cs="宋体"/>
          <w:szCs w:val="21"/>
        </w:rPr>
        <w:t>供应商名称（盖章）：</w:t>
      </w:r>
    </w:p>
    <w:p w14:paraId="0363E508">
      <w:pPr>
        <w:ind w:left="531" w:leftChars="253" w:firstLine="3901" w:firstLineChars="1858"/>
        <w:rPr>
          <w:rFonts w:hint="eastAsia" w:ascii="宋体" w:hAnsi="宋体" w:eastAsia="宋体" w:cs="宋体"/>
          <w:szCs w:val="21"/>
        </w:rPr>
      </w:pPr>
      <w:r>
        <w:rPr>
          <w:rFonts w:hint="eastAsia" w:ascii="宋体" w:hAnsi="宋体" w:eastAsia="宋体" w:cs="宋体"/>
          <w:szCs w:val="21"/>
        </w:rPr>
        <w:t>法定代表人（负责人）或授权代表（签名或盖章）：</w:t>
      </w:r>
    </w:p>
    <w:p w14:paraId="4A123965">
      <w:pPr>
        <w:tabs>
          <w:tab w:val="left" w:pos="0"/>
        </w:tabs>
        <w:adjustRightInd w:val="0"/>
        <w:snapToGrid w:val="0"/>
        <w:ind w:firstLine="4515" w:firstLineChars="2150"/>
        <w:rPr>
          <w:rFonts w:hint="eastAsia" w:ascii="宋体" w:hAnsi="宋体" w:eastAsia="宋体" w:cs="宋体"/>
          <w:szCs w:val="21"/>
        </w:rPr>
      </w:pPr>
      <w:r>
        <w:rPr>
          <w:rFonts w:hint="eastAsia" w:ascii="宋体" w:hAnsi="宋体" w:eastAsia="宋体" w:cs="宋体"/>
          <w:szCs w:val="21"/>
        </w:rPr>
        <w:t>日          期：  年  月  日</w:t>
      </w:r>
    </w:p>
    <w:p w14:paraId="2949DB69">
      <w:pPr>
        <w:spacing w:line="500" w:lineRule="exact"/>
        <w:ind w:firstLine="560"/>
        <w:jc w:val="left"/>
        <w:rPr>
          <w:rFonts w:hint="eastAsia" w:ascii="宋体" w:hAnsi="宋体" w:eastAsia="宋体" w:cs="宋体"/>
          <w:b/>
          <w:bCs/>
          <w:sz w:val="24"/>
          <w:lang w:eastAsia="zh-CN"/>
        </w:rPr>
      </w:pPr>
      <w:r>
        <w:rPr>
          <w:rFonts w:hint="eastAsia" w:ascii="宋体" w:hAnsi="宋体" w:eastAsia="宋体" w:cs="宋体"/>
          <w:sz w:val="28"/>
          <w:szCs w:val="28"/>
        </w:rPr>
        <w:br w:type="page"/>
      </w:r>
      <w:r>
        <w:rPr>
          <w:rFonts w:hint="eastAsia" w:ascii="宋体" w:hAnsi="宋体" w:eastAsia="宋体" w:cs="宋体"/>
          <w:b/>
          <w:bCs/>
          <w:sz w:val="24"/>
          <w:lang w:val="en-US" w:eastAsia="zh-CN"/>
        </w:rPr>
        <w:t xml:space="preserve"> </w:t>
      </w:r>
    </w:p>
    <w:p w14:paraId="61A7BA99">
      <w:pPr>
        <w:spacing w:line="460" w:lineRule="atLeast"/>
        <w:ind w:firstLine="482"/>
        <w:jc w:val="center"/>
        <w:rPr>
          <w:rFonts w:hint="eastAsia" w:ascii="宋体" w:hAnsi="宋体" w:eastAsia="宋体" w:cs="宋体"/>
          <w:b/>
          <w:sz w:val="24"/>
        </w:rPr>
      </w:pPr>
      <w:r>
        <w:rPr>
          <w:rFonts w:hint="eastAsia" w:ascii="宋体" w:hAnsi="宋体" w:eastAsia="宋体" w:cs="宋体"/>
          <w:sz w:val="28"/>
          <w:szCs w:val="28"/>
          <w:lang w:val="en-US" w:eastAsia="zh-CN"/>
        </w:rPr>
        <w:t>（六）</w:t>
      </w:r>
      <w:r>
        <w:rPr>
          <w:rFonts w:hint="eastAsia" w:ascii="宋体" w:hAnsi="宋体" w:eastAsia="宋体" w:cs="宋体"/>
          <w:b/>
          <w:sz w:val="24"/>
        </w:rPr>
        <w:t>常用材料、零配件及备品备件报价清单</w:t>
      </w:r>
    </w:p>
    <w:p w14:paraId="6C6D2CBA">
      <w:pPr>
        <w:pStyle w:val="13"/>
        <w:snapToGrid w:val="0"/>
        <w:spacing w:line="288" w:lineRule="auto"/>
        <w:ind w:firstLine="440"/>
        <w:rPr>
          <w:rFonts w:hint="eastAsia" w:ascii="宋体" w:hAnsi="宋体" w:eastAsia="宋体" w:cs="宋体"/>
          <w:kern w:val="0"/>
          <w:sz w:val="21"/>
          <w:szCs w:val="21"/>
        </w:rPr>
      </w:pPr>
      <w:r>
        <w:rPr>
          <w:rFonts w:hint="eastAsia" w:ascii="宋体" w:hAnsi="宋体" w:eastAsia="宋体" w:cs="宋体"/>
          <w:kern w:val="0"/>
          <w:sz w:val="21"/>
          <w:szCs w:val="21"/>
        </w:rPr>
        <w:t>项目名称</w:t>
      </w:r>
      <w:r>
        <w:rPr>
          <w:rFonts w:hint="eastAsia" w:ascii="宋体" w:hAnsi="宋体" w:eastAsia="宋体" w:cs="宋体"/>
          <w:b/>
          <w:color w:val="000000"/>
          <w:sz w:val="21"/>
          <w:szCs w:val="21"/>
          <w:highlight w:val="none"/>
        </w:rPr>
        <w:t>（标项    ）</w:t>
      </w:r>
      <w:r>
        <w:rPr>
          <w:rFonts w:hint="eastAsia" w:ascii="宋体" w:hAnsi="宋体" w:eastAsia="宋体" w:cs="宋体"/>
          <w:kern w:val="0"/>
          <w:sz w:val="21"/>
          <w:szCs w:val="21"/>
        </w:rPr>
        <w:t xml:space="preserve">：                                             项目编号：                  </w:t>
      </w:r>
    </w:p>
    <w:p w14:paraId="19B99AC3">
      <w:pPr>
        <w:pStyle w:val="13"/>
        <w:snapToGrid w:val="0"/>
        <w:spacing w:line="288" w:lineRule="auto"/>
        <w:ind w:firstLine="416"/>
        <w:jc w:val="right"/>
        <w:rPr>
          <w:rFonts w:hint="eastAsia" w:ascii="宋体" w:hAnsi="宋体" w:eastAsia="宋体" w:cs="宋体"/>
          <w:kern w:val="0"/>
          <w:sz w:val="21"/>
          <w:szCs w:val="21"/>
        </w:rPr>
      </w:pPr>
      <w:r>
        <w:rPr>
          <w:rFonts w:hint="eastAsia" w:ascii="宋体" w:hAnsi="宋体" w:eastAsia="宋体" w:cs="宋体"/>
          <w:spacing w:val="-6"/>
          <w:sz w:val="21"/>
          <w:szCs w:val="21"/>
        </w:rPr>
        <w:t>金额单位：人民币（元）</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676"/>
        <w:gridCol w:w="944"/>
        <w:gridCol w:w="767"/>
        <w:gridCol w:w="622"/>
        <w:gridCol w:w="1178"/>
        <w:gridCol w:w="641"/>
        <w:gridCol w:w="641"/>
        <w:gridCol w:w="1176"/>
        <w:gridCol w:w="1284"/>
        <w:gridCol w:w="623"/>
      </w:tblGrid>
      <w:tr w14:paraId="4A1C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7FFD2C6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序号</w:t>
            </w:r>
          </w:p>
        </w:tc>
        <w:tc>
          <w:tcPr>
            <w:tcW w:w="364" w:type="pct"/>
            <w:noWrap w:val="0"/>
            <w:vAlign w:val="center"/>
          </w:tcPr>
          <w:p w14:paraId="111C899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名称</w:t>
            </w:r>
          </w:p>
        </w:tc>
        <w:tc>
          <w:tcPr>
            <w:tcW w:w="508" w:type="pct"/>
            <w:noWrap w:val="0"/>
            <w:vAlign w:val="center"/>
          </w:tcPr>
          <w:p w14:paraId="0B672408">
            <w:pPr>
              <w:pStyle w:val="50"/>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snapToGrid w:val="0"/>
                <w:sz w:val="21"/>
                <w:szCs w:val="21"/>
              </w:rPr>
            </w:pPr>
            <w:r>
              <w:rPr>
                <w:rFonts w:hint="eastAsia" w:ascii="宋体" w:hAnsi="宋体" w:eastAsia="宋体" w:cs="宋体"/>
                <w:snapToGrid w:val="0"/>
                <w:sz w:val="21"/>
                <w:szCs w:val="21"/>
              </w:rPr>
              <w:t>制造商</w:t>
            </w:r>
          </w:p>
        </w:tc>
        <w:tc>
          <w:tcPr>
            <w:tcW w:w="413" w:type="pct"/>
            <w:noWrap w:val="0"/>
            <w:vAlign w:val="center"/>
          </w:tcPr>
          <w:p w14:paraId="51A5B044">
            <w:pPr>
              <w:pStyle w:val="50"/>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snapToGrid w:val="0"/>
                <w:sz w:val="21"/>
                <w:szCs w:val="21"/>
              </w:rPr>
            </w:pPr>
            <w:r>
              <w:rPr>
                <w:rFonts w:hint="eastAsia" w:ascii="宋体" w:hAnsi="宋体" w:eastAsia="宋体" w:cs="宋体"/>
                <w:snapToGrid w:val="0"/>
                <w:sz w:val="21"/>
                <w:szCs w:val="21"/>
              </w:rPr>
              <w:t>产地</w:t>
            </w:r>
          </w:p>
        </w:tc>
        <w:tc>
          <w:tcPr>
            <w:tcW w:w="335" w:type="pct"/>
            <w:noWrap w:val="0"/>
            <w:vAlign w:val="center"/>
          </w:tcPr>
          <w:p w14:paraId="09A5BC25">
            <w:pPr>
              <w:pStyle w:val="50"/>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snapToGrid w:val="0"/>
                <w:sz w:val="21"/>
                <w:szCs w:val="21"/>
              </w:rPr>
            </w:pPr>
            <w:r>
              <w:rPr>
                <w:rFonts w:hint="eastAsia" w:ascii="宋体" w:hAnsi="宋体" w:eastAsia="宋体" w:cs="宋体"/>
                <w:snapToGrid w:val="0"/>
                <w:sz w:val="21"/>
                <w:szCs w:val="21"/>
              </w:rPr>
              <w:t>品牌</w:t>
            </w:r>
          </w:p>
        </w:tc>
        <w:tc>
          <w:tcPr>
            <w:tcW w:w="634" w:type="pct"/>
            <w:noWrap w:val="0"/>
            <w:vAlign w:val="center"/>
          </w:tcPr>
          <w:p w14:paraId="17AD1285">
            <w:pPr>
              <w:pStyle w:val="50"/>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snapToGrid w:val="0"/>
                <w:sz w:val="21"/>
                <w:szCs w:val="21"/>
              </w:rPr>
            </w:pPr>
            <w:r>
              <w:rPr>
                <w:rFonts w:hint="eastAsia" w:ascii="宋体" w:hAnsi="宋体" w:eastAsia="宋体" w:cs="宋体"/>
                <w:snapToGrid w:val="0"/>
                <w:sz w:val="21"/>
                <w:szCs w:val="21"/>
              </w:rPr>
              <w:t>型号规格</w:t>
            </w:r>
          </w:p>
        </w:tc>
        <w:tc>
          <w:tcPr>
            <w:tcW w:w="345" w:type="pct"/>
            <w:noWrap w:val="0"/>
            <w:vAlign w:val="center"/>
          </w:tcPr>
          <w:p w14:paraId="77C95F0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单位</w:t>
            </w:r>
          </w:p>
        </w:tc>
        <w:tc>
          <w:tcPr>
            <w:tcW w:w="345" w:type="pct"/>
            <w:noWrap w:val="0"/>
            <w:vAlign w:val="center"/>
          </w:tcPr>
          <w:p w14:paraId="0CA482D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数量</w:t>
            </w:r>
          </w:p>
        </w:tc>
        <w:tc>
          <w:tcPr>
            <w:tcW w:w="633" w:type="pct"/>
            <w:noWrap w:val="0"/>
            <w:vAlign w:val="center"/>
          </w:tcPr>
          <w:p w14:paraId="0651965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单价（元）</w:t>
            </w:r>
          </w:p>
        </w:tc>
        <w:tc>
          <w:tcPr>
            <w:tcW w:w="691" w:type="pct"/>
            <w:noWrap w:val="0"/>
            <w:vAlign w:val="center"/>
          </w:tcPr>
          <w:p w14:paraId="2B8E2DC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总价（元）</w:t>
            </w:r>
          </w:p>
        </w:tc>
        <w:tc>
          <w:tcPr>
            <w:tcW w:w="335" w:type="pct"/>
            <w:noWrap w:val="0"/>
            <w:vAlign w:val="center"/>
          </w:tcPr>
          <w:p w14:paraId="1FBBB6C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备注</w:t>
            </w:r>
          </w:p>
        </w:tc>
      </w:tr>
      <w:tr w14:paraId="0FCF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0548B3D1">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6D7EA0B9">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06080D4E">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0616EB4B">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34E5BEFA">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1FD2F04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74E4BC2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679D85D6">
            <w:pPr>
              <w:pStyle w:val="17"/>
              <w:keepNext w:val="0"/>
              <w:keepLines w:val="0"/>
              <w:widowControl/>
              <w:suppressLineNumbers w:val="0"/>
              <w:pBdr>
                <w:bottom w:val="none" w:color="auto" w:sz="0" w:space="0"/>
              </w:pBdr>
              <w:tabs>
                <w:tab w:val="left" w:pos="420"/>
              </w:tabs>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3" w:type="pct"/>
            <w:noWrap w:val="0"/>
            <w:vAlign w:val="center"/>
          </w:tcPr>
          <w:p w14:paraId="03CAEFE1">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7936FB8C">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649826D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036B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181EFD82">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54B53EC1">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5E856FE6">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2385F5C1">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0ACBD906">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6973D39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19DAB00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3EE6305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1489A7B8">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4E97E5B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72E98617">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2B56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2DBFE3C2">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481A40D0">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5DA7185A">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054A862E">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46C1BC4E">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54F94BF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1067238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1BDFAFF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2531937D">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2188CAF9">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470A30E7">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694E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369E7DBD">
            <w:pPr>
              <w:pStyle w:val="14"/>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7108D689">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66F701B6">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1BD050BA">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2C9E557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2BFC972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6846B83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42BBA6F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419A522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182F9E2C">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34DA434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5BD2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3502ACE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3F2AEDFE">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5448C25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01E0AA07">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7F423633">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6605165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5A706B8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69485A0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2824DAA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6119F98A">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4BB61D0D">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5C58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537EA11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19B7047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1C21FE7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4945240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6F2910A3">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0E3BC2A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1AEE080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5270434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54F34A0E">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269490DA">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7489A140">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605D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63EE0B4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34126DC1">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508" w:type="pct"/>
            <w:noWrap w:val="0"/>
            <w:vAlign w:val="center"/>
          </w:tcPr>
          <w:p w14:paraId="09E312F8">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1891A24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6501BF5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73EB91E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7453263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0A2C0BE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2BCD07A5">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2EDD6FCF">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6BC36C0E">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r w14:paraId="0423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2" w:type="pct"/>
            <w:noWrap w:val="0"/>
            <w:vAlign w:val="center"/>
          </w:tcPr>
          <w:p w14:paraId="63DE1D01">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64" w:type="pct"/>
            <w:noWrap w:val="0"/>
            <w:vAlign w:val="center"/>
          </w:tcPr>
          <w:p w14:paraId="558D088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kern w:val="0"/>
                <w:sz w:val="21"/>
                <w:szCs w:val="21"/>
              </w:rPr>
            </w:pPr>
          </w:p>
        </w:tc>
        <w:tc>
          <w:tcPr>
            <w:tcW w:w="508" w:type="pct"/>
            <w:noWrap w:val="0"/>
            <w:vAlign w:val="center"/>
          </w:tcPr>
          <w:p w14:paraId="48F522AF">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413" w:type="pct"/>
            <w:noWrap w:val="0"/>
            <w:vAlign w:val="center"/>
          </w:tcPr>
          <w:p w14:paraId="10AFDD1D">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7888CE84">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34" w:type="pct"/>
            <w:noWrap w:val="0"/>
            <w:vAlign w:val="center"/>
          </w:tcPr>
          <w:p w14:paraId="686A674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4FEA0B5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345" w:type="pct"/>
            <w:noWrap w:val="0"/>
            <w:vAlign w:val="center"/>
          </w:tcPr>
          <w:p w14:paraId="6041742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kern w:val="0"/>
                <w:sz w:val="21"/>
                <w:szCs w:val="21"/>
              </w:rPr>
            </w:pPr>
          </w:p>
        </w:tc>
        <w:tc>
          <w:tcPr>
            <w:tcW w:w="633" w:type="pct"/>
            <w:noWrap w:val="0"/>
            <w:vAlign w:val="center"/>
          </w:tcPr>
          <w:p w14:paraId="21DC247F">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691" w:type="pct"/>
            <w:noWrap w:val="0"/>
            <w:vAlign w:val="center"/>
          </w:tcPr>
          <w:p w14:paraId="6BD6CE20">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c>
          <w:tcPr>
            <w:tcW w:w="335" w:type="pct"/>
            <w:noWrap w:val="0"/>
            <w:vAlign w:val="center"/>
          </w:tcPr>
          <w:p w14:paraId="22F52852">
            <w:pPr>
              <w:keepNext w:val="0"/>
              <w:keepLines w:val="0"/>
              <w:widowControl/>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snapToGrid w:val="0"/>
                <w:kern w:val="0"/>
                <w:sz w:val="21"/>
                <w:szCs w:val="21"/>
              </w:rPr>
            </w:pPr>
          </w:p>
        </w:tc>
      </w:tr>
    </w:tbl>
    <w:p w14:paraId="2168232D">
      <w:pPr>
        <w:numPr>
          <w:ilvl w:val="0"/>
          <w:numId w:val="26"/>
        </w:numPr>
        <w:ind w:firstLine="442"/>
        <w:rPr>
          <w:rFonts w:hint="eastAsia" w:ascii="宋体" w:hAnsi="宋体" w:eastAsia="宋体" w:cs="宋体"/>
          <w:b/>
          <w:bCs/>
          <w:sz w:val="21"/>
          <w:szCs w:val="21"/>
        </w:rPr>
      </w:pPr>
      <w:r>
        <w:rPr>
          <w:rFonts w:hint="eastAsia" w:ascii="宋体" w:hAnsi="宋体" w:eastAsia="宋体" w:cs="宋体"/>
          <w:b/>
          <w:bCs/>
          <w:sz w:val="21"/>
          <w:szCs w:val="21"/>
        </w:rPr>
        <w:t>此表仅提供了表格形式，供应商应根据需要准备足够数量的表格来填写。</w:t>
      </w:r>
    </w:p>
    <w:p w14:paraId="4FCDD381">
      <w:pPr>
        <w:numPr>
          <w:ilvl w:val="0"/>
          <w:numId w:val="26"/>
        </w:numPr>
        <w:ind w:firstLine="442"/>
        <w:rPr>
          <w:rFonts w:hint="eastAsia" w:ascii="宋体" w:hAnsi="宋体" w:eastAsia="宋体" w:cs="宋体"/>
          <w:b/>
          <w:bCs/>
          <w:sz w:val="21"/>
          <w:szCs w:val="21"/>
        </w:rPr>
      </w:pPr>
      <w:r>
        <w:rPr>
          <w:rFonts w:hint="eastAsia" w:ascii="宋体" w:hAnsi="宋体" w:eastAsia="宋体" w:cs="宋体"/>
          <w:b/>
          <w:bCs/>
          <w:sz w:val="21"/>
          <w:szCs w:val="21"/>
        </w:rPr>
        <w:t>供应商不按此要求填写此项内容，不纳入评分范围。</w:t>
      </w:r>
    </w:p>
    <w:p w14:paraId="56A0CD54">
      <w:pPr>
        <w:ind w:left="531" w:leftChars="253" w:firstLine="3901" w:firstLineChars="1858"/>
        <w:rPr>
          <w:rFonts w:hint="eastAsia" w:ascii="宋体" w:hAnsi="宋体" w:eastAsia="宋体" w:cs="宋体"/>
          <w:sz w:val="21"/>
          <w:szCs w:val="21"/>
        </w:rPr>
      </w:pPr>
    </w:p>
    <w:p w14:paraId="62087200">
      <w:pPr>
        <w:ind w:left="531" w:leftChars="253" w:firstLine="3901" w:firstLineChars="1858"/>
        <w:rPr>
          <w:rFonts w:hint="eastAsia" w:ascii="宋体" w:hAnsi="宋体" w:eastAsia="宋体" w:cs="宋体"/>
          <w:sz w:val="21"/>
          <w:szCs w:val="21"/>
        </w:rPr>
      </w:pPr>
      <w:r>
        <w:rPr>
          <w:rFonts w:hint="eastAsia" w:ascii="宋体" w:hAnsi="宋体" w:eastAsia="宋体" w:cs="宋体"/>
          <w:sz w:val="21"/>
          <w:szCs w:val="21"/>
        </w:rPr>
        <w:t>供应商名称（盖章）：</w:t>
      </w:r>
    </w:p>
    <w:p w14:paraId="298E3F6A">
      <w:pPr>
        <w:ind w:left="531" w:leftChars="253" w:firstLine="3901" w:firstLineChars="1858"/>
        <w:rPr>
          <w:rFonts w:hint="eastAsia" w:ascii="宋体" w:hAnsi="宋体" w:eastAsia="宋体" w:cs="宋体"/>
          <w:sz w:val="21"/>
          <w:szCs w:val="21"/>
        </w:rPr>
      </w:pPr>
      <w:r>
        <w:rPr>
          <w:rFonts w:hint="eastAsia" w:ascii="宋体" w:hAnsi="宋体" w:eastAsia="宋体" w:cs="宋体"/>
          <w:sz w:val="21"/>
          <w:szCs w:val="21"/>
        </w:rPr>
        <w:t>法定代表人或授权代表（签名或盖章）：</w:t>
      </w:r>
    </w:p>
    <w:p w14:paraId="20B25DC4">
      <w:pPr>
        <w:ind w:left="531" w:leftChars="253" w:firstLine="3901" w:firstLineChars="1858"/>
        <w:rPr>
          <w:rFonts w:hint="eastAsia" w:ascii="宋体" w:hAnsi="宋体" w:eastAsia="宋体" w:cs="宋体"/>
          <w:sz w:val="21"/>
          <w:szCs w:val="21"/>
        </w:rPr>
      </w:pPr>
      <w:r>
        <w:rPr>
          <w:rFonts w:hint="eastAsia" w:ascii="宋体" w:hAnsi="宋体" w:eastAsia="宋体" w:cs="宋体"/>
          <w:sz w:val="21"/>
          <w:szCs w:val="21"/>
        </w:rPr>
        <w:t>日          期：  年  月  日</w:t>
      </w:r>
    </w:p>
    <w:p w14:paraId="04E0C27D">
      <w:pPr>
        <w:ind w:left="-359" w:leftChars="-171" w:firstLine="482"/>
        <w:rPr>
          <w:rFonts w:hint="eastAsia" w:ascii="宋体" w:hAnsi="宋体" w:eastAsia="宋体" w:cs="宋体"/>
          <w:b/>
          <w:bCs/>
          <w:sz w:val="21"/>
          <w:szCs w:val="21"/>
        </w:rPr>
        <w:sectPr>
          <w:headerReference r:id="rId15" w:type="default"/>
          <w:footerReference r:id="rId16" w:type="default"/>
          <w:pgSz w:w="11906" w:h="16838"/>
          <w:pgMar w:top="1418" w:right="1418" w:bottom="1418" w:left="1418" w:header="851" w:footer="992" w:gutter="0"/>
          <w:pgNumType w:fmt="decimal"/>
          <w:cols w:space="720" w:num="1"/>
          <w:docGrid w:type="lines" w:linePitch="312" w:charSpace="0"/>
        </w:sectPr>
      </w:pPr>
    </w:p>
    <w:p w14:paraId="2E7C4B6D">
      <w:pPr>
        <w:spacing w:line="460" w:lineRule="atLeast"/>
        <w:ind w:firstLine="482"/>
        <w:jc w:val="center"/>
        <w:rPr>
          <w:rFonts w:hint="eastAsia" w:ascii="宋体" w:hAnsi="宋体" w:eastAsia="宋体" w:cs="宋体"/>
          <w:b/>
          <w:sz w:val="24"/>
        </w:rPr>
      </w:pPr>
      <w:r>
        <w:rPr>
          <w:rFonts w:hint="eastAsia" w:ascii="宋体" w:hAnsi="宋体" w:eastAsia="宋体" w:cs="宋体"/>
          <w:b/>
          <w:bCs/>
          <w:sz w:val="24"/>
          <w:lang w:val="en-US" w:eastAsia="zh-CN"/>
        </w:rPr>
        <w:t xml:space="preserve"> </w:t>
      </w:r>
      <w:r>
        <w:rPr>
          <w:rFonts w:hint="eastAsia" w:ascii="宋体" w:hAnsi="宋体" w:eastAsia="宋体" w:cs="宋体"/>
          <w:sz w:val="28"/>
          <w:szCs w:val="28"/>
          <w:lang w:val="en-US" w:eastAsia="zh-CN"/>
        </w:rPr>
        <w:t>（七）</w:t>
      </w:r>
      <w:r>
        <w:rPr>
          <w:rFonts w:hint="eastAsia" w:ascii="宋体" w:hAnsi="宋体" w:eastAsia="宋体" w:cs="宋体"/>
          <w:b/>
          <w:sz w:val="24"/>
        </w:rPr>
        <w:t>免费提供的备品备件和专用工具清单</w:t>
      </w:r>
    </w:p>
    <w:p w14:paraId="34AE95EE">
      <w:pPr>
        <w:ind w:left="-357" w:leftChars="-170" w:firstLine="308" w:firstLineChars="147"/>
        <w:rPr>
          <w:rFonts w:hint="eastAsia" w:ascii="宋体" w:hAnsi="宋体" w:eastAsia="宋体" w:cs="宋体"/>
          <w:bCs/>
          <w:sz w:val="21"/>
          <w:szCs w:val="21"/>
        </w:rPr>
      </w:pPr>
      <w:r>
        <w:rPr>
          <w:rFonts w:hint="eastAsia" w:ascii="宋体" w:hAnsi="宋体" w:eastAsia="宋体" w:cs="宋体"/>
          <w:bCs/>
          <w:sz w:val="21"/>
          <w:szCs w:val="21"/>
        </w:rPr>
        <w:t>项目名称</w:t>
      </w:r>
      <w:r>
        <w:rPr>
          <w:rFonts w:hint="eastAsia" w:ascii="宋体" w:hAnsi="宋体" w:eastAsia="宋体" w:cs="宋体"/>
          <w:b/>
          <w:color w:val="000000"/>
          <w:sz w:val="21"/>
          <w:szCs w:val="21"/>
          <w:highlight w:val="none"/>
        </w:rPr>
        <w:t>（标项    ）</w:t>
      </w:r>
      <w:r>
        <w:rPr>
          <w:rFonts w:hint="eastAsia" w:ascii="宋体" w:hAnsi="宋体" w:eastAsia="宋体" w:cs="宋体"/>
          <w:bCs/>
          <w:sz w:val="21"/>
          <w:szCs w:val="21"/>
        </w:rPr>
        <w:t>：                                                       项目编号：</w:t>
      </w:r>
    </w:p>
    <w:tbl>
      <w:tblPr>
        <w:tblStyle w:val="25"/>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28"/>
        <w:gridCol w:w="1470"/>
        <w:gridCol w:w="2205"/>
        <w:gridCol w:w="2636"/>
      </w:tblGrid>
      <w:tr w14:paraId="137F49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6B62B0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328" w:type="dxa"/>
            <w:noWrap w:val="0"/>
            <w:vAlign w:val="center"/>
          </w:tcPr>
          <w:p w14:paraId="5F384A4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名  称</w:t>
            </w:r>
          </w:p>
        </w:tc>
        <w:tc>
          <w:tcPr>
            <w:tcW w:w="1470" w:type="dxa"/>
            <w:noWrap w:val="0"/>
            <w:vAlign w:val="center"/>
          </w:tcPr>
          <w:p w14:paraId="40D6323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2205" w:type="dxa"/>
            <w:noWrap w:val="0"/>
            <w:vAlign w:val="center"/>
          </w:tcPr>
          <w:p w14:paraId="5DA7459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2636" w:type="dxa"/>
            <w:noWrap w:val="0"/>
            <w:vAlign w:val="center"/>
          </w:tcPr>
          <w:p w14:paraId="068C156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55F98C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6E4769D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3B3E501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22F8CD6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3FC87B1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54A7287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091BAE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755CE6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5FE823F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735EDFD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0769864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59B0D7A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2D186F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276064B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75471F5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209FCBA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267E4C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58CA93B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64B7CD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12FCC46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41D6B5E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4A58CD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50DA49A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78934E1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461837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3E074BE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4B7E292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73A0ECF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7B44912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0A00970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3C2620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7D7F3E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2CC1769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1EE7F18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7E806D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56FAEA0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3ED205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69A8DE8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5000FB1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11E28AF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4068B20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45EE947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r w14:paraId="2A567C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noWrap w:val="0"/>
            <w:vAlign w:val="center"/>
          </w:tcPr>
          <w:p w14:paraId="07BB794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328" w:type="dxa"/>
            <w:noWrap w:val="0"/>
            <w:vAlign w:val="center"/>
          </w:tcPr>
          <w:p w14:paraId="4A7AE2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70" w:type="dxa"/>
            <w:noWrap w:val="0"/>
            <w:vAlign w:val="center"/>
          </w:tcPr>
          <w:p w14:paraId="6E0553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205" w:type="dxa"/>
            <w:noWrap w:val="0"/>
            <w:vAlign w:val="center"/>
          </w:tcPr>
          <w:p w14:paraId="2A3FC78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2636" w:type="dxa"/>
            <w:noWrap w:val="0"/>
            <w:vAlign w:val="center"/>
          </w:tcPr>
          <w:p w14:paraId="1A588CA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r>
    </w:tbl>
    <w:p w14:paraId="1EE5FF86">
      <w:pPr>
        <w:ind w:firstLine="440"/>
        <w:jc w:val="left"/>
        <w:rPr>
          <w:rFonts w:hint="eastAsia" w:ascii="宋体" w:hAnsi="宋体" w:eastAsia="宋体" w:cs="宋体"/>
          <w:bCs/>
          <w:sz w:val="21"/>
          <w:szCs w:val="21"/>
        </w:rPr>
      </w:pPr>
      <w:r>
        <w:rPr>
          <w:rFonts w:hint="eastAsia" w:ascii="宋体" w:hAnsi="宋体" w:eastAsia="宋体" w:cs="宋体"/>
          <w:bCs/>
          <w:sz w:val="21"/>
          <w:szCs w:val="21"/>
        </w:rPr>
        <w:t>注：</w:t>
      </w:r>
      <w:r>
        <w:rPr>
          <w:rFonts w:hint="eastAsia" w:ascii="宋体" w:hAnsi="宋体" w:eastAsia="宋体" w:cs="宋体"/>
          <w:sz w:val="21"/>
          <w:szCs w:val="21"/>
        </w:rPr>
        <w:t>供应商</w:t>
      </w:r>
      <w:r>
        <w:rPr>
          <w:rFonts w:hint="eastAsia" w:ascii="宋体" w:hAnsi="宋体" w:eastAsia="宋体" w:cs="宋体"/>
          <w:bCs/>
          <w:sz w:val="21"/>
          <w:szCs w:val="21"/>
        </w:rPr>
        <w:t xml:space="preserve">可按以上表格形式进行复制。 </w:t>
      </w:r>
    </w:p>
    <w:p w14:paraId="131C676E">
      <w:pPr>
        <w:ind w:firstLine="5040" w:firstLineChars="2400"/>
        <w:rPr>
          <w:rFonts w:hint="eastAsia" w:ascii="宋体" w:hAnsi="宋体" w:eastAsia="宋体" w:cs="宋体"/>
          <w:sz w:val="21"/>
          <w:szCs w:val="21"/>
        </w:rPr>
      </w:pPr>
    </w:p>
    <w:p w14:paraId="71861E12">
      <w:pPr>
        <w:ind w:left="531" w:leftChars="253" w:firstLine="3901" w:firstLineChars="1858"/>
        <w:rPr>
          <w:rFonts w:hint="eastAsia" w:ascii="宋体" w:hAnsi="宋体" w:eastAsia="宋体" w:cs="宋体"/>
          <w:sz w:val="21"/>
          <w:szCs w:val="21"/>
        </w:rPr>
      </w:pPr>
      <w:r>
        <w:rPr>
          <w:rFonts w:hint="eastAsia" w:ascii="宋体" w:hAnsi="宋体" w:eastAsia="宋体" w:cs="宋体"/>
          <w:sz w:val="21"/>
          <w:szCs w:val="21"/>
        </w:rPr>
        <w:t>供应商名称（盖章）：</w:t>
      </w:r>
    </w:p>
    <w:p w14:paraId="231A5F74">
      <w:pPr>
        <w:ind w:left="531" w:leftChars="253" w:firstLine="3901" w:firstLineChars="1858"/>
        <w:rPr>
          <w:rFonts w:hint="eastAsia" w:ascii="宋体" w:hAnsi="宋体" w:eastAsia="宋体" w:cs="宋体"/>
          <w:sz w:val="21"/>
          <w:szCs w:val="21"/>
        </w:rPr>
      </w:pPr>
      <w:r>
        <w:rPr>
          <w:rFonts w:hint="eastAsia" w:ascii="宋体" w:hAnsi="宋体" w:eastAsia="宋体" w:cs="宋体"/>
          <w:sz w:val="21"/>
          <w:szCs w:val="21"/>
        </w:rPr>
        <w:t>法定代表人或授权代表（签名或盖章）：</w:t>
      </w:r>
    </w:p>
    <w:p w14:paraId="4ACE3F7C">
      <w:pPr>
        <w:ind w:left="531" w:leftChars="253" w:firstLine="3901" w:firstLineChars="1858"/>
        <w:rPr>
          <w:rFonts w:hint="eastAsia" w:ascii="宋体" w:hAnsi="宋体" w:eastAsia="宋体" w:cs="宋体"/>
          <w:sz w:val="21"/>
          <w:szCs w:val="21"/>
        </w:rPr>
      </w:pPr>
      <w:r>
        <w:rPr>
          <w:rFonts w:hint="eastAsia" w:ascii="宋体" w:hAnsi="宋体" w:eastAsia="宋体" w:cs="宋体"/>
          <w:sz w:val="21"/>
          <w:szCs w:val="21"/>
        </w:rPr>
        <w:t>日          期：  年  月  日</w:t>
      </w:r>
    </w:p>
    <w:p w14:paraId="357FE491">
      <w:pPr>
        <w:ind w:firstLine="442"/>
        <w:rPr>
          <w:rFonts w:hint="eastAsia" w:ascii="宋体" w:hAnsi="宋体" w:eastAsia="宋体" w:cs="宋体"/>
          <w:b/>
          <w:bCs/>
          <w:sz w:val="22"/>
          <w:szCs w:val="22"/>
        </w:rPr>
      </w:pPr>
      <w:r>
        <w:rPr>
          <w:rFonts w:hint="eastAsia" w:ascii="宋体" w:hAnsi="宋体" w:eastAsia="宋体" w:cs="宋体"/>
          <w:b/>
          <w:bCs/>
          <w:sz w:val="22"/>
          <w:szCs w:val="22"/>
        </w:rPr>
        <w:t xml:space="preserve"> </w:t>
      </w:r>
    </w:p>
    <w:p w14:paraId="399654C7">
      <w:pPr>
        <w:ind w:firstLine="442"/>
        <w:rPr>
          <w:rFonts w:hint="eastAsia" w:ascii="宋体" w:hAnsi="宋体" w:eastAsia="宋体" w:cs="宋体"/>
          <w:b/>
          <w:bCs/>
          <w:sz w:val="22"/>
          <w:szCs w:val="22"/>
          <w:lang w:eastAsia="zh-CN"/>
        </w:rPr>
      </w:pPr>
      <w:r>
        <w:rPr>
          <w:rFonts w:hint="eastAsia" w:ascii="宋体" w:hAnsi="宋体" w:eastAsia="宋体" w:cs="宋体"/>
          <w:b/>
          <w:bCs/>
          <w:sz w:val="22"/>
          <w:szCs w:val="22"/>
        </w:rPr>
        <w:br w:type="page"/>
      </w:r>
      <w:r>
        <w:rPr>
          <w:rFonts w:hint="eastAsia" w:ascii="宋体" w:hAnsi="宋体" w:eastAsia="宋体" w:cs="宋体"/>
          <w:b/>
          <w:bCs/>
          <w:sz w:val="22"/>
          <w:szCs w:val="22"/>
          <w:lang w:val="en-US" w:eastAsia="zh-CN"/>
        </w:rPr>
        <w:t xml:space="preserve"> </w:t>
      </w:r>
    </w:p>
    <w:p w14:paraId="1972C9EC">
      <w:pPr>
        <w:ind w:firstLine="482"/>
        <w:jc w:val="center"/>
        <w:rPr>
          <w:rFonts w:hint="eastAsia" w:ascii="宋体" w:hAnsi="宋体" w:eastAsia="宋体" w:cs="宋体"/>
          <w:b/>
          <w:bCs/>
          <w:sz w:val="24"/>
        </w:rPr>
      </w:pPr>
      <w:r>
        <w:rPr>
          <w:rFonts w:hint="eastAsia" w:ascii="宋体" w:hAnsi="宋体" w:eastAsia="宋体" w:cs="宋体"/>
          <w:sz w:val="28"/>
          <w:szCs w:val="28"/>
          <w:lang w:val="en-US" w:eastAsia="zh-CN"/>
        </w:rPr>
        <w:t>（八）</w:t>
      </w:r>
      <w:r>
        <w:rPr>
          <w:rFonts w:hint="eastAsia" w:ascii="宋体" w:hAnsi="宋体" w:eastAsia="宋体" w:cs="宋体"/>
          <w:b/>
          <w:bCs/>
          <w:sz w:val="24"/>
        </w:rPr>
        <w:t>质保期后保修价格、耗材价格、主要配件价格清单</w:t>
      </w:r>
    </w:p>
    <w:p w14:paraId="51EC900F">
      <w:pPr>
        <w:ind w:left="-357" w:leftChars="-170" w:firstLine="308" w:firstLineChars="147"/>
        <w:rPr>
          <w:rFonts w:hint="eastAsia" w:ascii="宋体" w:hAnsi="宋体" w:eastAsia="宋体" w:cs="宋体"/>
          <w:bCs/>
          <w:sz w:val="21"/>
          <w:szCs w:val="21"/>
        </w:rPr>
      </w:pPr>
      <w:r>
        <w:rPr>
          <w:rFonts w:hint="eastAsia" w:ascii="宋体" w:hAnsi="宋体" w:eastAsia="宋体" w:cs="宋体"/>
          <w:bCs/>
          <w:sz w:val="21"/>
          <w:szCs w:val="21"/>
        </w:rPr>
        <w:t>项目名称</w:t>
      </w:r>
      <w:r>
        <w:rPr>
          <w:rFonts w:hint="eastAsia" w:ascii="宋体" w:hAnsi="宋体" w:eastAsia="宋体" w:cs="宋体"/>
          <w:b/>
          <w:color w:val="000000"/>
          <w:sz w:val="21"/>
          <w:szCs w:val="21"/>
          <w:highlight w:val="none"/>
        </w:rPr>
        <w:t>（标项    ）</w:t>
      </w:r>
      <w:r>
        <w:rPr>
          <w:rFonts w:hint="eastAsia" w:ascii="宋体" w:hAnsi="宋体" w:eastAsia="宋体" w:cs="宋体"/>
          <w:bCs/>
          <w:sz w:val="21"/>
          <w:szCs w:val="21"/>
        </w:rPr>
        <w:t>：                                                       项目编号：</w:t>
      </w:r>
    </w:p>
    <w:tbl>
      <w:tblPr>
        <w:tblStyle w:val="25"/>
        <w:tblW w:w="9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3342"/>
        <w:gridCol w:w="2450"/>
        <w:gridCol w:w="2032"/>
      </w:tblGrid>
      <w:tr w14:paraId="259F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center"/>
          </w:tcPr>
          <w:p w14:paraId="2B826854">
            <w:pPr>
              <w:keepNext w:val="0"/>
              <w:keepLines w:val="0"/>
              <w:widowControl/>
              <w:suppressLineNumbers w:val="0"/>
              <w:spacing w:before="0" w:beforeAutospacing="0" w:after="0" w:afterAutospacing="0"/>
              <w:ind w:left="0" w:right="0" w:firstLine="440"/>
              <w:jc w:val="center"/>
              <w:rPr>
                <w:rFonts w:hint="eastAsia" w:ascii="宋体" w:hAnsi="宋体" w:eastAsia="宋体" w:cs="宋体"/>
                <w:sz w:val="21"/>
                <w:szCs w:val="21"/>
              </w:rPr>
            </w:pPr>
            <w:r>
              <w:rPr>
                <w:rFonts w:hint="eastAsia" w:ascii="宋体" w:hAnsi="宋体" w:eastAsia="宋体" w:cs="宋体"/>
                <w:sz w:val="21"/>
                <w:szCs w:val="21"/>
              </w:rPr>
              <w:t>类型</w:t>
            </w:r>
          </w:p>
        </w:tc>
        <w:tc>
          <w:tcPr>
            <w:tcW w:w="3342" w:type="dxa"/>
            <w:noWrap w:val="0"/>
            <w:vAlign w:val="center"/>
          </w:tcPr>
          <w:p w14:paraId="68311A50">
            <w:pPr>
              <w:keepNext w:val="0"/>
              <w:keepLines w:val="0"/>
              <w:widowControl/>
              <w:suppressLineNumbers w:val="0"/>
              <w:spacing w:before="0" w:beforeAutospacing="0" w:after="0" w:afterAutospacing="0"/>
              <w:ind w:left="0" w:right="0" w:firstLine="440"/>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2450" w:type="dxa"/>
            <w:noWrap w:val="0"/>
            <w:vAlign w:val="center"/>
          </w:tcPr>
          <w:p w14:paraId="482EAA9E">
            <w:pPr>
              <w:keepNext w:val="0"/>
              <w:keepLines w:val="0"/>
              <w:widowControl/>
              <w:suppressLineNumbers w:val="0"/>
              <w:spacing w:before="0" w:beforeAutospacing="0" w:after="0" w:afterAutospacing="0"/>
              <w:ind w:left="0" w:right="0" w:firstLine="440"/>
              <w:jc w:val="center"/>
              <w:rPr>
                <w:rFonts w:hint="eastAsia" w:ascii="宋体" w:hAnsi="宋体" w:eastAsia="宋体" w:cs="宋体"/>
                <w:sz w:val="21"/>
                <w:szCs w:val="21"/>
              </w:rPr>
            </w:pPr>
            <w:r>
              <w:rPr>
                <w:rFonts w:hint="eastAsia" w:ascii="宋体" w:hAnsi="宋体" w:eastAsia="宋体" w:cs="宋体"/>
                <w:sz w:val="21"/>
                <w:szCs w:val="21"/>
              </w:rPr>
              <w:t>型号（编号）</w:t>
            </w:r>
          </w:p>
        </w:tc>
        <w:tc>
          <w:tcPr>
            <w:tcW w:w="2032" w:type="dxa"/>
            <w:noWrap w:val="0"/>
            <w:vAlign w:val="center"/>
          </w:tcPr>
          <w:p w14:paraId="632013E2">
            <w:pPr>
              <w:keepNext w:val="0"/>
              <w:keepLines w:val="0"/>
              <w:widowControl/>
              <w:suppressLineNumbers w:val="0"/>
              <w:spacing w:before="0" w:beforeAutospacing="0" w:after="0" w:afterAutospacing="0"/>
              <w:ind w:left="0" w:right="0" w:firstLine="440"/>
              <w:jc w:val="center"/>
              <w:rPr>
                <w:rFonts w:hint="eastAsia" w:ascii="宋体" w:hAnsi="宋体" w:eastAsia="宋体" w:cs="宋体"/>
                <w:sz w:val="21"/>
                <w:szCs w:val="21"/>
              </w:rPr>
            </w:pPr>
            <w:r>
              <w:rPr>
                <w:rFonts w:hint="eastAsia" w:ascii="宋体" w:hAnsi="宋体" w:eastAsia="宋体" w:cs="宋体"/>
                <w:sz w:val="21"/>
                <w:szCs w:val="21"/>
              </w:rPr>
              <w:t>单价（元）</w:t>
            </w:r>
          </w:p>
        </w:tc>
      </w:tr>
      <w:tr w14:paraId="221B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443929E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4DDA243C">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0968DAE7">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2A4CDF5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46CA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58088F35">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078B62DE">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67D377EE">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0655F0C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7EFF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467EA872">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70E09C16">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662C6EF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2CF03848">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0DF3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75ED309E">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4C437484">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3AFFF7D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7D660D30">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0A53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6F50FD5C">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59402D63">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787CB2CC">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4F00F936">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35EC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70A2F872">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55FFFEB0">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718ED043">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72344425">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35F0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51403334">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7438F138">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69CC652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7D50F2D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6B42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2F3573BC">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073B935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1DC2C5CE">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3C106959">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51E8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77D55FCA">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5EA17E11">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111D3C5C">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29FBEECC">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656A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60D69242">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41F8AB63">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2398BF9D">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55C91789">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5EA9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3896A844">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4228679D">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63E621D6">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6494288A">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6259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4ACC8157">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7F8DD318">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282CB454">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44D30BF5">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74FD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2EE60832">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469D75B4">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0B5C62E4">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760793BB">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5912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79CF1AAA">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692567C6">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1A1F25B6">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581ED9A5">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337D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7112E0E8">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11CC933E">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228C2949">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5BDCA196">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7963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4FF09E72">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58F57197">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61CE61BF">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178F1BB8">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216F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7FF480C3">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68CD082F">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28EA0BCE">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5BC60EC0">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1418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38D4316A">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0509AE82">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54B92599">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1BBE10CD">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r w14:paraId="317D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9" w:type="dxa"/>
            <w:noWrap w:val="0"/>
            <w:vAlign w:val="top"/>
          </w:tcPr>
          <w:p w14:paraId="44F35743">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3342" w:type="dxa"/>
            <w:noWrap w:val="0"/>
            <w:vAlign w:val="top"/>
          </w:tcPr>
          <w:p w14:paraId="2A57C8E9">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450" w:type="dxa"/>
            <w:noWrap w:val="0"/>
            <w:vAlign w:val="top"/>
          </w:tcPr>
          <w:p w14:paraId="062F611F">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c>
          <w:tcPr>
            <w:tcW w:w="2032" w:type="dxa"/>
            <w:noWrap w:val="0"/>
            <w:vAlign w:val="top"/>
          </w:tcPr>
          <w:p w14:paraId="665ADD07">
            <w:pPr>
              <w:keepNext w:val="0"/>
              <w:keepLines w:val="0"/>
              <w:widowControl/>
              <w:suppressLineNumbers w:val="0"/>
              <w:spacing w:before="0" w:beforeAutospacing="0" w:after="0" w:afterAutospacing="0"/>
              <w:ind w:left="0" w:right="0" w:firstLine="440"/>
              <w:rPr>
                <w:rFonts w:hint="eastAsia" w:ascii="宋体" w:hAnsi="宋体" w:eastAsia="宋体" w:cs="宋体"/>
                <w:sz w:val="21"/>
                <w:szCs w:val="21"/>
              </w:rPr>
            </w:pPr>
          </w:p>
        </w:tc>
      </w:tr>
    </w:tbl>
    <w:p w14:paraId="10AD7877">
      <w:pPr>
        <w:numPr>
          <w:ilvl w:val="0"/>
          <w:numId w:val="26"/>
        </w:numPr>
        <w:ind w:firstLine="442"/>
        <w:rPr>
          <w:rFonts w:hint="eastAsia" w:ascii="宋体" w:hAnsi="宋体" w:eastAsia="宋体" w:cs="宋体"/>
          <w:b/>
          <w:bCs/>
          <w:sz w:val="21"/>
          <w:szCs w:val="21"/>
        </w:rPr>
      </w:pPr>
      <w:r>
        <w:rPr>
          <w:rFonts w:hint="eastAsia" w:ascii="宋体" w:hAnsi="宋体" w:eastAsia="宋体" w:cs="宋体"/>
          <w:b/>
          <w:bCs/>
          <w:sz w:val="21"/>
          <w:szCs w:val="21"/>
        </w:rPr>
        <w:t>此表仅提供了表格形式，供应商应根据需要准备足够数量的表格来填写。</w:t>
      </w:r>
    </w:p>
    <w:p w14:paraId="63902E62">
      <w:pPr>
        <w:numPr>
          <w:ilvl w:val="0"/>
          <w:numId w:val="26"/>
        </w:numPr>
        <w:ind w:firstLine="442"/>
        <w:rPr>
          <w:rFonts w:hint="eastAsia" w:ascii="宋体" w:hAnsi="宋体" w:eastAsia="宋体" w:cs="宋体"/>
          <w:b/>
          <w:bCs/>
          <w:sz w:val="21"/>
          <w:szCs w:val="21"/>
        </w:rPr>
      </w:pPr>
      <w:r>
        <w:rPr>
          <w:rFonts w:hint="eastAsia" w:ascii="宋体" w:hAnsi="宋体" w:eastAsia="宋体" w:cs="宋体"/>
          <w:b/>
          <w:bCs/>
          <w:sz w:val="21"/>
          <w:szCs w:val="21"/>
        </w:rPr>
        <w:t>供应商不按此要求填写此项内容，不纳入评分范围。</w:t>
      </w:r>
    </w:p>
    <w:p w14:paraId="59E8BA5B">
      <w:pPr>
        <w:tabs>
          <w:tab w:val="left" w:pos="840"/>
          <w:tab w:val="left" w:pos="5400"/>
        </w:tabs>
        <w:adjustRightInd w:val="0"/>
        <w:snapToGrid w:val="0"/>
        <w:spacing w:line="400" w:lineRule="exact"/>
        <w:ind w:left="5846" w:leftChars="2384" w:hanging="840" w:hangingChars="400"/>
        <w:rPr>
          <w:rFonts w:hint="eastAsia" w:ascii="宋体" w:hAnsi="宋体" w:eastAsia="宋体" w:cs="宋体"/>
          <w:sz w:val="21"/>
          <w:szCs w:val="21"/>
        </w:rPr>
      </w:pPr>
    </w:p>
    <w:p w14:paraId="3B773E91">
      <w:pPr>
        <w:tabs>
          <w:tab w:val="left" w:pos="840"/>
          <w:tab w:val="left" w:pos="5400"/>
        </w:tabs>
        <w:adjustRightInd w:val="0"/>
        <w:snapToGrid w:val="0"/>
        <w:spacing w:line="400" w:lineRule="exact"/>
        <w:ind w:left="5846" w:leftChars="2384" w:hanging="840" w:hangingChars="400"/>
        <w:rPr>
          <w:rFonts w:hint="eastAsia" w:ascii="宋体" w:hAnsi="宋体" w:eastAsia="宋体" w:cs="宋体"/>
          <w:sz w:val="21"/>
          <w:szCs w:val="21"/>
        </w:rPr>
      </w:pPr>
      <w:r>
        <w:rPr>
          <w:rFonts w:hint="eastAsia" w:ascii="宋体" w:hAnsi="宋体" w:eastAsia="宋体" w:cs="宋体"/>
          <w:sz w:val="21"/>
          <w:szCs w:val="21"/>
        </w:rPr>
        <w:t>供应商全称（盖章）：</w:t>
      </w:r>
    </w:p>
    <w:p w14:paraId="6F30595D">
      <w:pPr>
        <w:tabs>
          <w:tab w:val="left" w:pos="840"/>
          <w:tab w:val="left" w:pos="5400"/>
        </w:tabs>
        <w:adjustRightInd w:val="0"/>
        <w:snapToGrid w:val="0"/>
        <w:spacing w:line="400" w:lineRule="exact"/>
        <w:ind w:left="420" w:leftChars="200" w:firstLine="4410" w:firstLineChars="2100"/>
        <w:rPr>
          <w:rFonts w:hint="eastAsia" w:ascii="宋体" w:hAnsi="宋体" w:eastAsia="宋体" w:cs="宋体"/>
          <w:sz w:val="21"/>
          <w:szCs w:val="21"/>
        </w:rPr>
      </w:pPr>
      <w:r>
        <w:rPr>
          <w:rFonts w:hint="eastAsia" w:ascii="宋体" w:hAnsi="宋体" w:eastAsia="宋体" w:cs="宋体"/>
          <w:sz w:val="21"/>
          <w:szCs w:val="21"/>
        </w:rPr>
        <w:t>法定代表人或授权代表（签字或盖章）：</w:t>
      </w:r>
    </w:p>
    <w:p w14:paraId="140E7DC2">
      <w:pPr>
        <w:tabs>
          <w:tab w:val="left" w:pos="840"/>
          <w:tab w:val="left" w:pos="5400"/>
        </w:tabs>
        <w:adjustRightInd w:val="0"/>
        <w:snapToGrid w:val="0"/>
        <w:spacing w:line="400" w:lineRule="exact"/>
        <w:ind w:left="420" w:leftChars="200" w:firstLine="4410" w:firstLineChars="2100"/>
        <w:rPr>
          <w:rFonts w:hint="eastAsia" w:ascii="宋体" w:hAnsi="宋体" w:eastAsia="宋体" w:cs="宋体"/>
          <w:sz w:val="21"/>
          <w:szCs w:val="21"/>
        </w:rPr>
      </w:pPr>
      <w:r>
        <w:rPr>
          <w:rFonts w:hint="eastAsia" w:ascii="宋体" w:hAnsi="宋体" w:eastAsia="宋体" w:cs="宋体"/>
          <w:sz w:val="21"/>
          <w:szCs w:val="21"/>
        </w:rPr>
        <w:t>日          期：  年  月  日</w:t>
      </w:r>
    </w:p>
    <w:p w14:paraId="271EA845">
      <w:pPr>
        <w:ind w:firstLine="480"/>
        <w:jc w:val="left"/>
        <w:rPr>
          <w:rFonts w:hint="eastAsia" w:ascii="宋体" w:hAnsi="宋体" w:eastAsia="宋体" w:cs="宋体"/>
          <w:sz w:val="24"/>
        </w:rPr>
      </w:pPr>
    </w:p>
    <w:p w14:paraId="7663A778">
      <w:pPr>
        <w:ind w:firstLine="480"/>
        <w:jc w:val="left"/>
        <w:rPr>
          <w:rFonts w:hint="eastAsia" w:ascii="宋体" w:hAnsi="宋体" w:eastAsia="宋体" w:cs="宋体"/>
          <w:sz w:val="24"/>
        </w:rPr>
        <w:sectPr>
          <w:pgSz w:w="11906" w:h="16838"/>
          <w:pgMar w:top="1134" w:right="1134" w:bottom="1134" w:left="1134" w:header="851" w:footer="992" w:gutter="0"/>
          <w:pgNumType w:fmt="decimal"/>
          <w:cols w:space="720" w:num="1"/>
          <w:docGrid w:linePitch="312" w:charSpace="0"/>
        </w:sectPr>
      </w:pPr>
    </w:p>
    <w:p w14:paraId="6169168A">
      <w:pPr>
        <w:spacing w:line="460" w:lineRule="atLeast"/>
        <w:ind w:firstLine="482"/>
        <w:jc w:val="center"/>
        <w:rPr>
          <w:rFonts w:hint="eastAsia" w:ascii="宋体" w:hAnsi="宋体" w:eastAsia="宋体" w:cs="宋体"/>
          <w:b/>
          <w:sz w:val="24"/>
        </w:rPr>
      </w:pPr>
      <w:r>
        <w:rPr>
          <w:rFonts w:hint="eastAsia" w:ascii="宋体" w:hAnsi="宋体" w:eastAsia="宋体" w:cs="宋体"/>
          <w:sz w:val="24"/>
          <w:lang w:val="en-US" w:eastAsia="zh-CN"/>
        </w:rPr>
        <w:t xml:space="preserve"> </w:t>
      </w:r>
      <w:r>
        <w:rPr>
          <w:rFonts w:hint="eastAsia" w:ascii="宋体" w:hAnsi="宋体" w:eastAsia="宋体" w:cs="宋体"/>
          <w:sz w:val="28"/>
          <w:szCs w:val="28"/>
          <w:lang w:val="en-US" w:eastAsia="zh-CN"/>
        </w:rPr>
        <w:t>（九）</w:t>
      </w:r>
      <w:r>
        <w:rPr>
          <w:rFonts w:hint="eastAsia" w:ascii="宋体" w:hAnsi="宋体" w:eastAsia="宋体" w:cs="宋体"/>
          <w:b/>
          <w:sz w:val="24"/>
        </w:rPr>
        <w:t>供应商已完成的类似业绩</w:t>
      </w:r>
    </w:p>
    <w:p w14:paraId="1FBDE3F9">
      <w:pPr>
        <w:spacing w:line="460" w:lineRule="exact"/>
        <w:ind w:firstLine="0" w:firstLineChars="0"/>
        <w:rPr>
          <w:rFonts w:hint="eastAsia" w:ascii="宋体" w:hAnsi="宋体" w:eastAsia="宋体" w:cs="宋体"/>
          <w:b/>
          <w:bCs/>
          <w:szCs w:val="21"/>
        </w:rPr>
      </w:pPr>
      <w:r>
        <w:rPr>
          <w:rFonts w:hint="eastAsia" w:ascii="宋体" w:hAnsi="宋体" w:eastAsia="宋体" w:cs="宋体"/>
          <w:b/>
          <w:szCs w:val="21"/>
        </w:rPr>
        <w:t>采购名称</w:t>
      </w:r>
      <w:r>
        <w:rPr>
          <w:rFonts w:hint="eastAsia" w:ascii="宋体" w:hAnsi="宋体" w:eastAsia="宋体" w:cs="宋体"/>
          <w:b/>
          <w:color w:val="000000"/>
          <w:sz w:val="21"/>
          <w:szCs w:val="21"/>
          <w:highlight w:val="none"/>
        </w:rPr>
        <w:t>（标项    ）</w:t>
      </w:r>
      <w:r>
        <w:rPr>
          <w:rFonts w:hint="eastAsia" w:ascii="宋体" w:hAnsi="宋体" w:eastAsia="宋体" w:cs="宋体"/>
          <w:b/>
          <w:szCs w:val="21"/>
        </w:rPr>
        <w:t>：</w:t>
      </w:r>
      <w:r>
        <w:rPr>
          <w:rFonts w:hint="eastAsia" w:ascii="宋体" w:hAnsi="宋体" w:eastAsia="宋体" w:cs="宋体"/>
          <w:b/>
          <w:szCs w:val="21"/>
          <w:lang w:val="en-US" w:eastAsia="zh-CN"/>
        </w:rPr>
        <w:t xml:space="preserve"> </w:t>
      </w:r>
      <w:r>
        <w:rPr>
          <w:rFonts w:hint="eastAsia" w:ascii="宋体" w:hAnsi="宋体" w:eastAsia="宋体" w:cs="宋体"/>
          <w:b/>
          <w:szCs w:val="21"/>
        </w:rPr>
        <w:t xml:space="preserve">                     采购编号：</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006"/>
        <w:gridCol w:w="2100"/>
        <w:gridCol w:w="1785"/>
        <w:gridCol w:w="1365"/>
        <w:gridCol w:w="1354"/>
      </w:tblGrid>
      <w:tr w14:paraId="399C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FFFFFF"/>
            <w:noWrap w:val="0"/>
            <w:vAlign w:val="center"/>
          </w:tcPr>
          <w:p w14:paraId="6026EACF">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b/>
                <w:bCs/>
                <w:szCs w:val="21"/>
              </w:rPr>
            </w:pPr>
            <w:r>
              <w:rPr>
                <w:rFonts w:hint="eastAsia" w:ascii="宋体" w:hAnsi="宋体" w:eastAsia="宋体" w:cs="宋体"/>
                <w:b/>
                <w:bCs/>
                <w:szCs w:val="21"/>
              </w:rPr>
              <w:t>序号</w:t>
            </w:r>
          </w:p>
        </w:tc>
        <w:tc>
          <w:tcPr>
            <w:tcW w:w="2006" w:type="dxa"/>
            <w:shd w:val="clear" w:color="auto" w:fill="FFFFFF"/>
            <w:noWrap w:val="0"/>
            <w:vAlign w:val="center"/>
          </w:tcPr>
          <w:p w14:paraId="73AF6AA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Cs w:val="21"/>
              </w:rPr>
            </w:pPr>
            <w:r>
              <w:rPr>
                <w:rFonts w:hint="eastAsia" w:ascii="宋体" w:hAnsi="宋体" w:eastAsia="宋体" w:cs="宋体"/>
                <w:b/>
                <w:bCs/>
                <w:szCs w:val="21"/>
              </w:rPr>
              <w:t>采购名称</w:t>
            </w:r>
          </w:p>
        </w:tc>
        <w:tc>
          <w:tcPr>
            <w:tcW w:w="2100" w:type="dxa"/>
            <w:shd w:val="clear" w:color="auto" w:fill="FFFFFF"/>
            <w:noWrap w:val="0"/>
            <w:vAlign w:val="center"/>
          </w:tcPr>
          <w:p w14:paraId="19AD092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Cs w:val="21"/>
              </w:rPr>
            </w:pPr>
            <w:r>
              <w:rPr>
                <w:rFonts w:hint="eastAsia" w:ascii="宋体" w:hAnsi="宋体" w:eastAsia="宋体" w:cs="宋体"/>
                <w:b/>
                <w:bCs/>
                <w:szCs w:val="21"/>
              </w:rPr>
              <w:t>用户单位</w:t>
            </w:r>
          </w:p>
        </w:tc>
        <w:tc>
          <w:tcPr>
            <w:tcW w:w="1785" w:type="dxa"/>
            <w:shd w:val="clear" w:color="auto" w:fill="FFFFFF"/>
            <w:noWrap w:val="0"/>
            <w:vAlign w:val="center"/>
          </w:tcPr>
          <w:p w14:paraId="39EEFDA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Cs w:val="21"/>
              </w:rPr>
            </w:pPr>
            <w:r>
              <w:rPr>
                <w:rFonts w:hint="eastAsia" w:ascii="宋体" w:hAnsi="宋体" w:eastAsia="宋体" w:cs="宋体"/>
                <w:b/>
                <w:bCs/>
                <w:szCs w:val="21"/>
              </w:rPr>
              <w:t>合同金额</w:t>
            </w:r>
          </w:p>
        </w:tc>
        <w:tc>
          <w:tcPr>
            <w:tcW w:w="1365" w:type="dxa"/>
            <w:shd w:val="clear" w:color="auto" w:fill="FFFFFF"/>
            <w:noWrap w:val="0"/>
            <w:vAlign w:val="center"/>
          </w:tcPr>
          <w:p w14:paraId="0ECF8E4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Cs w:val="21"/>
              </w:rPr>
            </w:pPr>
            <w:r>
              <w:rPr>
                <w:rFonts w:hint="eastAsia" w:ascii="宋体" w:hAnsi="宋体" w:eastAsia="宋体" w:cs="宋体"/>
                <w:b/>
                <w:bCs/>
                <w:szCs w:val="21"/>
              </w:rPr>
              <w:t>合同日期</w:t>
            </w:r>
          </w:p>
        </w:tc>
        <w:tc>
          <w:tcPr>
            <w:tcW w:w="1354" w:type="dxa"/>
            <w:shd w:val="clear" w:color="auto" w:fill="FFFFFF"/>
            <w:noWrap w:val="0"/>
            <w:vAlign w:val="center"/>
          </w:tcPr>
          <w:p w14:paraId="31D27C2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szCs w:val="21"/>
              </w:rPr>
            </w:pPr>
            <w:r>
              <w:rPr>
                <w:rFonts w:hint="eastAsia" w:ascii="宋体" w:hAnsi="宋体" w:eastAsia="宋体" w:cs="宋体"/>
                <w:b/>
                <w:bCs/>
                <w:szCs w:val="21"/>
              </w:rPr>
              <w:t>联系方式</w:t>
            </w:r>
          </w:p>
        </w:tc>
      </w:tr>
      <w:tr w14:paraId="1F18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5DED3E41">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4CDD58B7">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58731574">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09A81D52">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6177F6F9">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35F67FA9">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6086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626143EC">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4766E6EB">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67F439A0">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368303A4">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0E3381E5">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4F052A3A">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5ABF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517C8B60">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3B6072C9">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101D7A3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0E0BA45B">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5E719BC8">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1BE61969">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0805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0EE1E7F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33B84639">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72E92FCA">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1B5CA99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0413C62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489CB48C">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55DD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4936AFE5">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0852B7B2">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7900F48A">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204A7FB5">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1212CFD0">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0795E549">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7EAF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5410C118">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590C20EB">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4146D66E">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41C5D16E">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2E7FE493">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3C1FD3A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336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3E2933B2">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55DF0F3D">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03F6F535">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5935E5A2">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3A2E9695">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57638728">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3746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37E13B4A">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69AEC054">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57513F9B">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09311A3B">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514F8C7A">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37F700E1">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2894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42C9B1A4">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3A5DEE5C">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1B033133">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155E0CF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701F0D23">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77994B31">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79CE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46D7155D">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6317343C">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43354103">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229E5762">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111403ED">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6662C8E0">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r w14:paraId="64A5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noWrap w:val="0"/>
            <w:vAlign w:val="center"/>
          </w:tcPr>
          <w:p w14:paraId="0734B278">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006" w:type="dxa"/>
            <w:noWrap w:val="0"/>
            <w:vAlign w:val="center"/>
          </w:tcPr>
          <w:p w14:paraId="6B86CFD6">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2100" w:type="dxa"/>
            <w:noWrap w:val="0"/>
            <w:vAlign w:val="center"/>
          </w:tcPr>
          <w:p w14:paraId="1898DAD1">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785" w:type="dxa"/>
            <w:noWrap w:val="0"/>
            <w:vAlign w:val="center"/>
          </w:tcPr>
          <w:p w14:paraId="24CA58FB">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65" w:type="dxa"/>
            <w:noWrap w:val="0"/>
            <w:vAlign w:val="center"/>
          </w:tcPr>
          <w:p w14:paraId="01EE7E6C">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c>
          <w:tcPr>
            <w:tcW w:w="1354" w:type="dxa"/>
            <w:noWrap w:val="0"/>
            <w:vAlign w:val="center"/>
          </w:tcPr>
          <w:p w14:paraId="68F4C08A">
            <w:pPr>
              <w:keepNext w:val="0"/>
              <w:keepLines w:val="0"/>
              <w:widowControl/>
              <w:suppressLineNumbers w:val="0"/>
              <w:spacing w:before="0" w:beforeAutospacing="0" w:after="0" w:afterAutospacing="0" w:line="380" w:lineRule="exact"/>
              <w:ind w:left="0" w:right="0" w:firstLine="422"/>
              <w:jc w:val="center"/>
              <w:rPr>
                <w:rFonts w:hint="eastAsia" w:ascii="宋体" w:hAnsi="宋体" w:eastAsia="宋体" w:cs="宋体"/>
                <w:b/>
                <w:bCs/>
                <w:szCs w:val="21"/>
              </w:rPr>
            </w:pPr>
          </w:p>
        </w:tc>
      </w:tr>
    </w:tbl>
    <w:p w14:paraId="120EBBEE">
      <w:pPr>
        <w:spacing w:line="460" w:lineRule="exact"/>
        <w:ind w:firstLine="517" w:firstLineChars="245"/>
        <w:rPr>
          <w:rFonts w:hint="eastAsia" w:ascii="宋体" w:hAnsi="宋体" w:eastAsia="宋体" w:cs="宋体"/>
          <w:b/>
          <w:bCs/>
          <w:szCs w:val="21"/>
        </w:rPr>
      </w:pPr>
      <w:r>
        <w:rPr>
          <w:rFonts w:hint="eastAsia" w:ascii="宋体" w:hAnsi="宋体" w:eastAsia="宋体" w:cs="宋体"/>
          <w:b/>
          <w:bCs/>
          <w:szCs w:val="21"/>
        </w:rPr>
        <w:t>注：1、投标供应商可按此表格式复制；</w:t>
      </w:r>
    </w:p>
    <w:p w14:paraId="605B6C07">
      <w:pPr>
        <w:numPr>
          <w:ilvl w:val="0"/>
          <w:numId w:val="27"/>
        </w:numPr>
        <w:spacing w:line="460" w:lineRule="exact"/>
        <w:ind w:firstLine="936" w:firstLineChars="444"/>
        <w:rPr>
          <w:rFonts w:hint="eastAsia" w:ascii="宋体" w:hAnsi="宋体" w:eastAsia="宋体" w:cs="宋体"/>
          <w:szCs w:val="21"/>
        </w:rPr>
      </w:pPr>
      <w:r>
        <w:rPr>
          <w:rFonts w:hint="eastAsia" w:ascii="宋体" w:hAnsi="宋体" w:eastAsia="宋体" w:cs="宋体"/>
          <w:b/>
          <w:bCs/>
          <w:szCs w:val="21"/>
        </w:rPr>
        <w:t>时间以合同签订时间为准；</w:t>
      </w:r>
    </w:p>
    <w:p w14:paraId="69667DF2">
      <w:pPr>
        <w:pStyle w:val="31"/>
        <w:ind w:firstLine="422"/>
        <w:rPr>
          <w:rFonts w:hint="eastAsia" w:ascii="宋体" w:hAnsi="宋体" w:eastAsia="宋体" w:cs="宋体"/>
          <w:szCs w:val="21"/>
        </w:rPr>
      </w:pPr>
      <w:r>
        <w:rPr>
          <w:rFonts w:hint="eastAsia" w:ascii="宋体" w:hAnsi="宋体" w:eastAsia="宋体" w:cs="宋体"/>
          <w:b/>
          <w:bCs/>
          <w:szCs w:val="21"/>
        </w:rPr>
        <w:t xml:space="preserve">     3、若合同不能明确体现业绩特征的，还须提供原项目业主出具的书面证明材料（加盖原业主公章），否则不予认可。</w:t>
      </w:r>
    </w:p>
    <w:p w14:paraId="507B1044">
      <w:pPr>
        <w:spacing w:line="380" w:lineRule="exact"/>
        <w:ind w:firstLine="420"/>
        <w:rPr>
          <w:rFonts w:hint="eastAsia" w:ascii="宋体" w:hAnsi="宋体" w:eastAsia="宋体" w:cs="宋体"/>
          <w:szCs w:val="21"/>
        </w:rPr>
      </w:pPr>
    </w:p>
    <w:p w14:paraId="497B8A6D">
      <w:pPr>
        <w:spacing w:line="380" w:lineRule="exact"/>
        <w:ind w:firstLine="4200" w:firstLineChars="2000"/>
        <w:rPr>
          <w:rFonts w:hint="eastAsia" w:ascii="宋体" w:hAnsi="宋体" w:eastAsia="宋体" w:cs="宋体"/>
          <w:szCs w:val="21"/>
        </w:rPr>
      </w:pPr>
      <w:r>
        <w:rPr>
          <w:rFonts w:hint="eastAsia" w:ascii="宋体" w:hAnsi="宋体" w:eastAsia="宋体" w:cs="宋体"/>
          <w:szCs w:val="21"/>
        </w:rPr>
        <w:t>投标供应商全称（盖章）：</w:t>
      </w:r>
    </w:p>
    <w:p w14:paraId="092A8E07">
      <w:pPr>
        <w:spacing w:line="380" w:lineRule="exact"/>
        <w:ind w:firstLine="4200" w:firstLineChars="2000"/>
        <w:rPr>
          <w:rFonts w:hint="eastAsia" w:ascii="宋体" w:hAnsi="宋体" w:eastAsia="宋体" w:cs="宋体"/>
          <w:szCs w:val="21"/>
        </w:rPr>
      </w:pPr>
      <w:r>
        <w:rPr>
          <w:rFonts w:hint="eastAsia" w:ascii="宋体" w:hAnsi="宋体" w:eastAsia="宋体" w:cs="宋体"/>
          <w:szCs w:val="21"/>
        </w:rPr>
        <w:t>法定代表人或授权代表（签字或盖章）：</w:t>
      </w:r>
    </w:p>
    <w:p w14:paraId="65E90CCE">
      <w:pPr>
        <w:tabs>
          <w:tab w:val="left" w:pos="1620"/>
        </w:tabs>
        <w:ind w:firstLine="420"/>
        <w:jc w:val="right"/>
        <w:rPr>
          <w:rFonts w:hint="eastAsia" w:ascii="宋体" w:hAnsi="宋体" w:eastAsia="宋体" w:cs="宋体"/>
          <w:szCs w:val="21"/>
        </w:rPr>
      </w:pPr>
      <w:r>
        <w:rPr>
          <w:rFonts w:hint="eastAsia" w:ascii="宋体" w:hAnsi="宋体" w:eastAsia="宋体" w:cs="宋体"/>
          <w:szCs w:val="21"/>
        </w:rPr>
        <w:t xml:space="preserve">日  期：  年  月 日 </w:t>
      </w:r>
    </w:p>
    <w:p w14:paraId="430B4499">
      <w:pPr>
        <w:pStyle w:val="13"/>
        <w:spacing w:line="400" w:lineRule="atLeast"/>
        <w:ind w:left="1" w:firstLine="420"/>
        <w:rPr>
          <w:rFonts w:hint="eastAsia" w:ascii="宋体" w:hAnsi="宋体" w:eastAsia="宋体" w:cs="宋体"/>
          <w:sz w:val="24"/>
          <w:szCs w:val="24"/>
          <w:lang w:eastAsia="zh-CN"/>
        </w:rPr>
      </w:pPr>
      <w:r>
        <w:rPr>
          <w:rFonts w:hint="eastAsia" w:ascii="宋体" w:hAnsi="宋体" w:eastAsia="宋体" w:cs="宋体"/>
          <w:szCs w:val="21"/>
        </w:rPr>
        <w:br w:type="page"/>
      </w:r>
      <w:r>
        <w:rPr>
          <w:rFonts w:hint="eastAsia" w:hAnsi="宋体" w:cs="宋体"/>
          <w:b/>
          <w:kern w:val="2"/>
          <w:sz w:val="24"/>
          <w:szCs w:val="24"/>
          <w:lang w:val="en-US" w:eastAsia="zh-CN" w:bidi="ar-SA"/>
        </w:rPr>
        <w:t xml:space="preserve"> </w:t>
      </w:r>
      <w:r>
        <w:rPr>
          <w:rFonts w:hint="eastAsia" w:ascii="宋体" w:hAnsi="宋体" w:eastAsia="宋体" w:cs="宋体"/>
          <w:sz w:val="24"/>
          <w:szCs w:val="24"/>
          <w:lang w:val="en-US" w:eastAsia="zh-CN"/>
        </w:rPr>
        <w:t xml:space="preserve"> </w:t>
      </w:r>
    </w:p>
    <w:p w14:paraId="6FFCCA7C">
      <w:pPr>
        <w:spacing w:line="400" w:lineRule="exact"/>
        <w:ind w:firstLine="482"/>
        <w:rPr>
          <w:rFonts w:hint="eastAsia" w:ascii="宋体" w:hAnsi="宋体" w:eastAsia="宋体" w:cs="宋体"/>
          <w:b/>
          <w:sz w:val="24"/>
          <w:lang w:eastAsia="zh-CN"/>
        </w:rPr>
      </w:pPr>
      <w:r>
        <w:rPr>
          <w:rFonts w:hint="eastAsia" w:ascii="宋体" w:hAnsi="宋体" w:eastAsia="宋体" w:cs="宋体"/>
          <w:b/>
          <w:sz w:val="24"/>
          <w:lang w:val="en-US" w:eastAsia="zh-CN"/>
        </w:rPr>
        <w:t xml:space="preserve"> </w:t>
      </w:r>
    </w:p>
    <w:p w14:paraId="168C1846">
      <w:pPr>
        <w:spacing w:line="460" w:lineRule="atLeast"/>
        <w:ind w:firstLine="482"/>
        <w:jc w:val="center"/>
        <w:rPr>
          <w:rFonts w:hint="eastAsia" w:ascii="宋体" w:hAnsi="宋体" w:eastAsia="宋体" w:cs="宋体"/>
          <w:b/>
          <w:sz w:val="24"/>
        </w:rPr>
      </w:pPr>
      <w:r>
        <w:rPr>
          <w:rFonts w:hint="eastAsia" w:ascii="宋体" w:hAnsi="宋体" w:eastAsia="宋体" w:cs="宋体"/>
          <w:sz w:val="28"/>
          <w:szCs w:val="28"/>
          <w:lang w:val="en-US" w:eastAsia="zh-CN"/>
        </w:rPr>
        <w:t>（十）</w:t>
      </w:r>
      <w:r>
        <w:rPr>
          <w:rFonts w:hint="eastAsia" w:ascii="宋体" w:hAnsi="宋体" w:eastAsia="宋体" w:cs="宋体"/>
          <w:b/>
          <w:sz w:val="24"/>
        </w:rPr>
        <w:t>节能、环保产品证明材料（如有）</w:t>
      </w:r>
    </w:p>
    <w:p w14:paraId="49637794">
      <w:pPr>
        <w:spacing w:line="360" w:lineRule="exact"/>
        <w:ind w:firstLine="422"/>
        <w:jc w:val="left"/>
        <w:rPr>
          <w:rFonts w:hint="eastAsia" w:ascii="宋体" w:hAnsi="宋体" w:eastAsia="宋体" w:cs="宋体"/>
          <w:b/>
          <w:sz w:val="21"/>
          <w:szCs w:val="21"/>
        </w:rPr>
      </w:pPr>
      <w:r>
        <w:rPr>
          <w:rFonts w:hint="eastAsia" w:ascii="宋体" w:hAnsi="宋体" w:eastAsia="宋体" w:cs="宋体"/>
          <w:b/>
          <w:sz w:val="21"/>
          <w:szCs w:val="21"/>
        </w:rPr>
        <w:t>说明：</w:t>
      </w:r>
    </w:p>
    <w:p w14:paraId="1C375622">
      <w:pPr>
        <w:spacing w:line="360" w:lineRule="exact"/>
        <w:ind w:firstLine="422"/>
        <w:jc w:val="left"/>
        <w:rPr>
          <w:rFonts w:hint="eastAsia" w:ascii="宋体" w:hAnsi="宋体" w:eastAsia="宋体" w:cs="宋体"/>
          <w:b/>
          <w:sz w:val="21"/>
          <w:szCs w:val="21"/>
        </w:rPr>
      </w:pPr>
      <w:r>
        <w:rPr>
          <w:rFonts w:hint="eastAsia" w:ascii="宋体" w:hAnsi="宋体" w:eastAsia="宋体" w:cs="宋体"/>
          <w:b/>
          <w:sz w:val="21"/>
          <w:szCs w:val="21"/>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市场监管总局关于调整优化节能产品、环境标志产品政府采购执行机制的通知财库〔2019〕9号文件要求，投标人所投产品如属于节能产品政府采购品目清单或环境标志产品政府采购品目清单内的（详见：</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"http://www.ccgp.gov.cn/zcfg/mof/201903/t20190330_11833800.htm" \t "http://www.ccgp.gov.cn/jnhb/jnhbqd/_blank" \o "关于印发环境标志产品政府采购品目清单的通知（财库〔2019〕18号）" </w:instrText>
      </w:r>
      <w:r>
        <w:rPr>
          <w:rFonts w:hint="eastAsia" w:ascii="宋体" w:hAnsi="宋体" w:eastAsia="宋体" w:cs="宋体"/>
          <w:sz w:val="21"/>
          <w:szCs w:val="21"/>
        </w:rPr>
        <w:fldChar w:fldCharType="separate"/>
      </w:r>
      <w:r>
        <w:rPr>
          <w:rFonts w:hint="eastAsia" w:ascii="宋体" w:hAnsi="宋体" w:eastAsia="宋体" w:cs="宋体"/>
          <w:b/>
          <w:sz w:val="21"/>
          <w:szCs w:val="21"/>
        </w:rPr>
        <w:t>关于印发环境标志产品政府采购品目清单的通知（财库〔2019〕18号）</w:t>
      </w:r>
      <w:r>
        <w:rPr>
          <w:rFonts w:hint="eastAsia" w:ascii="宋体" w:hAnsi="宋体" w:eastAsia="宋体" w:cs="宋体"/>
          <w:b/>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"http://www.ccgp.gov.cn/zcfg/mof/201903/t20190330_11833800.htm" </w:instrText>
      </w:r>
      <w:r>
        <w:rPr>
          <w:rFonts w:hint="eastAsia" w:ascii="宋体" w:hAnsi="宋体" w:eastAsia="宋体" w:cs="宋体"/>
          <w:sz w:val="21"/>
          <w:szCs w:val="21"/>
        </w:rPr>
        <w:fldChar w:fldCharType="separate"/>
      </w:r>
      <w:r>
        <w:rPr>
          <w:rFonts w:hint="eastAsia" w:ascii="宋体" w:hAnsi="宋体" w:eastAsia="宋体" w:cs="宋体"/>
          <w:b/>
          <w:sz w:val="21"/>
          <w:szCs w:val="21"/>
        </w:rPr>
        <w:t>http://www.ccgp.gov.cn/zcfg/mof/201903/t20190330_11833800.htm</w:t>
      </w:r>
      <w:r>
        <w:rPr>
          <w:rFonts w:hint="eastAsia" w:ascii="宋体" w:hAnsi="宋体" w:eastAsia="宋体" w:cs="宋体"/>
          <w:b/>
          <w:sz w:val="21"/>
          <w:szCs w:val="21"/>
        </w:rPr>
        <w:fldChar w:fldCharType="end"/>
      </w:r>
      <w:r>
        <w:rPr>
          <w:rFonts w:hint="eastAsia" w:ascii="宋体" w:hAnsi="宋体" w:eastAsia="宋体" w:cs="宋体"/>
          <w:b/>
          <w:sz w:val="21"/>
          <w:szCs w:val="21"/>
        </w:rPr>
        <w:t>和</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"http://www.ccgp.gov.cn/zcfg/mof/201904/t20190403_11849836.htm" \t "http://www.ccgp.gov.cn/jnhb/jnhbqd/_blank" \o "关于印发节能产品政府采购品目清单的通知（财库〔2019〕19号）" </w:instrText>
      </w:r>
      <w:r>
        <w:rPr>
          <w:rFonts w:hint="eastAsia" w:ascii="宋体" w:hAnsi="宋体" w:eastAsia="宋体" w:cs="宋体"/>
          <w:sz w:val="21"/>
          <w:szCs w:val="21"/>
        </w:rPr>
        <w:fldChar w:fldCharType="separate"/>
      </w:r>
      <w:r>
        <w:rPr>
          <w:rFonts w:hint="eastAsia" w:ascii="宋体" w:hAnsi="宋体" w:eastAsia="宋体" w:cs="宋体"/>
          <w:b/>
          <w:sz w:val="21"/>
          <w:szCs w:val="21"/>
        </w:rPr>
        <w:t>关于印发节能产品政府采购品目清单的通知（财库〔2019〕19号）</w:t>
      </w:r>
      <w:r>
        <w:rPr>
          <w:rFonts w:hint="eastAsia" w:ascii="宋体" w:hAnsi="宋体" w:eastAsia="宋体" w:cs="宋体"/>
          <w:b/>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"http://www.ccgp.gov.cn/zcfg/mof/201904/t20190403_11849836.htm" </w:instrText>
      </w:r>
      <w:r>
        <w:rPr>
          <w:rFonts w:hint="eastAsia" w:ascii="宋体" w:hAnsi="宋体" w:eastAsia="宋体" w:cs="宋体"/>
          <w:sz w:val="21"/>
          <w:szCs w:val="21"/>
        </w:rPr>
        <w:fldChar w:fldCharType="separate"/>
      </w:r>
      <w:r>
        <w:rPr>
          <w:rFonts w:hint="eastAsia" w:ascii="宋体" w:hAnsi="宋体" w:eastAsia="宋体" w:cs="宋体"/>
          <w:b/>
          <w:sz w:val="21"/>
          <w:szCs w:val="21"/>
        </w:rPr>
        <w:t>http://www.ccgp.gov.cn/zcfg/mof/201904/t20190403_11849836.htm</w:t>
      </w:r>
      <w:r>
        <w:rPr>
          <w:rFonts w:hint="eastAsia" w:ascii="宋体" w:hAnsi="宋体" w:eastAsia="宋体" w:cs="宋体"/>
          <w:b/>
          <w:sz w:val="21"/>
          <w:szCs w:val="21"/>
        </w:rPr>
        <w:fldChar w:fldCharType="end"/>
      </w:r>
      <w:r>
        <w:rPr>
          <w:rFonts w:hint="eastAsia" w:ascii="宋体" w:hAnsi="宋体" w:eastAsia="宋体" w:cs="宋体"/>
          <w:b/>
          <w:sz w:val="21"/>
          <w:szCs w:val="21"/>
        </w:rPr>
        <w:t>），投标人提供投标产品经国家确定的认证机构（市场监管总局关于发布参与实施政府采购节能产品、环境标志产品认证机构名录的公告（2019年第16号）http://www.ccgp.gov.cn/zcfg/bwfile/201904/t20190403_11853998.htm）出具的处于有效期之内的节能产品、环境标志产品认证证书”；</w:t>
      </w:r>
    </w:p>
    <w:p w14:paraId="0DB2CCBB">
      <w:pPr>
        <w:spacing w:line="360" w:lineRule="exact"/>
        <w:ind w:firstLine="420"/>
        <w:jc w:val="left"/>
        <w:rPr>
          <w:rFonts w:hint="eastAsia" w:ascii="宋体" w:hAnsi="宋体" w:eastAsia="宋体" w:cs="宋体"/>
          <w:sz w:val="21"/>
          <w:szCs w:val="21"/>
          <w:u w:val="single"/>
        </w:rPr>
      </w:pPr>
      <w:r>
        <w:rPr>
          <w:rFonts w:hint="eastAsia" w:ascii="宋体" w:hAnsi="宋体" w:eastAsia="宋体" w:cs="宋体"/>
          <w:sz w:val="21"/>
          <w:szCs w:val="21"/>
          <w:u w:val="single"/>
        </w:rPr>
        <w:t>▲注：采购需求中要求提供的产品属于节能产品政府采购品目清单中强制采购的，投标人须提供该清单内产品，并按上款要求提供节能产品认证证书，否则其投标无效。</w:t>
      </w:r>
    </w:p>
    <w:p w14:paraId="2A97395A">
      <w:pPr>
        <w:spacing w:line="360" w:lineRule="exact"/>
        <w:ind w:firstLine="422"/>
        <w:jc w:val="left"/>
        <w:rPr>
          <w:rFonts w:hint="eastAsia" w:ascii="宋体" w:hAnsi="宋体" w:eastAsia="宋体" w:cs="宋体"/>
          <w:b/>
          <w:sz w:val="21"/>
          <w:szCs w:val="21"/>
        </w:rPr>
      </w:pPr>
      <w:r>
        <w:rPr>
          <w:rFonts w:hint="eastAsia" w:ascii="宋体" w:hAnsi="宋体" w:eastAsia="宋体" w:cs="宋体"/>
          <w:b/>
          <w:sz w:val="21"/>
          <w:szCs w:val="21"/>
        </w:rPr>
        <w:t>2、评审小组成员审查此项只根据投标文件本身的内容，不再寻求其他的外部证据。</w:t>
      </w:r>
    </w:p>
    <w:p w14:paraId="74F3EC34">
      <w:pPr>
        <w:spacing w:line="400" w:lineRule="exact"/>
        <w:ind w:firstLine="422"/>
        <w:jc w:val="center"/>
        <w:rPr>
          <w:rFonts w:hint="eastAsia" w:ascii="宋体" w:hAnsi="宋体" w:eastAsia="宋体" w:cs="宋体"/>
          <w:b/>
          <w:sz w:val="21"/>
          <w:szCs w:val="21"/>
        </w:rPr>
      </w:pPr>
      <w:r>
        <w:rPr>
          <w:rFonts w:hint="eastAsia" w:ascii="宋体" w:hAnsi="宋体" w:eastAsia="宋体" w:cs="宋体"/>
          <w:b/>
          <w:sz w:val="21"/>
          <w:szCs w:val="21"/>
        </w:rPr>
        <w:t>附表</w:t>
      </w:r>
    </w:p>
    <w:p w14:paraId="0EE3EA9A">
      <w:pPr>
        <w:ind w:firstLine="420"/>
        <w:rPr>
          <w:rFonts w:hint="eastAsia" w:ascii="宋体" w:hAnsi="宋体" w:eastAsia="宋体" w:cs="宋体"/>
          <w:sz w:val="21"/>
          <w:szCs w:val="21"/>
        </w:rPr>
      </w:pPr>
      <w:r>
        <w:rPr>
          <w:rFonts w:hint="eastAsia" w:ascii="宋体" w:hAnsi="宋体" w:eastAsia="宋体" w:cs="宋体"/>
          <w:sz w:val="21"/>
          <w:szCs w:val="21"/>
        </w:rPr>
        <w:t>（1）投标产品中节能产品明细清单</w:t>
      </w:r>
    </w:p>
    <w:tbl>
      <w:tblPr>
        <w:tblStyle w:val="25"/>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41"/>
        <w:gridCol w:w="1342"/>
        <w:gridCol w:w="1342"/>
        <w:gridCol w:w="1342"/>
        <w:gridCol w:w="1920"/>
        <w:gridCol w:w="764"/>
        <w:gridCol w:w="764"/>
      </w:tblGrid>
      <w:tr w14:paraId="630C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1F156FE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制造商</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4E2346C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品牌</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FE0063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产品名称、规格型号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2BBCF47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节能产品认证证书编号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6E269B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节能产品认证证书有效截止日期</w:t>
            </w:r>
          </w:p>
        </w:tc>
        <w:tc>
          <w:tcPr>
            <w:tcW w:w="1920" w:type="dxa"/>
            <w:tcBorders>
              <w:top w:val="single" w:color="auto" w:sz="4" w:space="0"/>
              <w:left w:val="single" w:color="auto" w:sz="4" w:space="0"/>
              <w:bottom w:val="single" w:color="auto" w:sz="4" w:space="0"/>
              <w:right w:val="single" w:color="auto" w:sz="4" w:space="0"/>
            </w:tcBorders>
            <w:noWrap w:val="0"/>
            <w:vAlign w:val="center"/>
          </w:tcPr>
          <w:p w14:paraId="736F18C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产品所在节能产品政府采购品目清单品目序号</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5D0F1D3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认证机构</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001C486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数量</w:t>
            </w:r>
          </w:p>
        </w:tc>
      </w:tr>
      <w:tr w14:paraId="16C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63EB505B">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38A75BC">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680C6ED">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2C54D918">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96DC82A">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272ABAD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201C6296">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60CD8F57">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14:paraId="5A04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73145908">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0D28949">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9F2F5F4">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CF86C1">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AB9981E">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50BF818F">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214D5ABE">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4673FACE">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bl>
    <w:p w14:paraId="2E5CE163">
      <w:pPr>
        <w:ind w:firstLine="420"/>
        <w:rPr>
          <w:rFonts w:hint="eastAsia" w:ascii="宋体" w:hAnsi="宋体" w:eastAsia="宋体" w:cs="宋体"/>
          <w:sz w:val="21"/>
          <w:szCs w:val="21"/>
        </w:rPr>
      </w:pPr>
    </w:p>
    <w:p w14:paraId="3080772B">
      <w:pPr>
        <w:ind w:firstLine="420"/>
        <w:rPr>
          <w:rFonts w:hint="eastAsia" w:ascii="宋体" w:hAnsi="宋体" w:eastAsia="宋体" w:cs="宋体"/>
          <w:sz w:val="21"/>
          <w:szCs w:val="21"/>
        </w:rPr>
      </w:pPr>
      <w:r>
        <w:rPr>
          <w:rFonts w:hint="eastAsia" w:ascii="宋体" w:hAnsi="宋体" w:eastAsia="宋体" w:cs="宋体"/>
          <w:sz w:val="21"/>
          <w:szCs w:val="21"/>
        </w:rPr>
        <w:t>（2）投标产品中环保产品明细清单</w:t>
      </w:r>
    </w:p>
    <w:tbl>
      <w:tblPr>
        <w:tblStyle w:val="25"/>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6"/>
        <w:gridCol w:w="1222"/>
        <w:gridCol w:w="1362"/>
        <w:gridCol w:w="1550"/>
        <w:gridCol w:w="2000"/>
        <w:gridCol w:w="700"/>
        <w:gridCol w:w="700"/>
      </w:tblGrid>
      <w:tr w14:paraId="0684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987FCA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制造商</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B11849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品牌</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6EEEAF3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产品名称、规格型号</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955F9E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环境标志产品认证证书编号</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194B378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环境标志产品认证证书有效截止日期</w:t>
            </w:r>
          </w:p>
        </w:tc>
        <w:tc>
          <w:tcPr>
            <w:tcW w:w="2000" w:type="dxa"/>
            <w:tcBorders>
              <w:top w:val="single" w:color="auto" w:sz="4" w:space="0"/>
              <w:left w:val="single" w:color="auto" w:sz="4" w:space="0"/>
              <w:bottom w:val="single" w:color="auto" w:sz="4" w:space="0"/>
              <w:right w:val="single" w:color="auto" w:sz="4" w:space="0"/>
            </w:tcBorders>
            <w:noWrap w:val="0"/>
            <w:vAlign w:val="center"/>
          </w:tcPr>
          <w:p w14:paraId="71954D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产品所在环境标志产品政府采购品目清单品目序号</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160C7DA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认证机构</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CE98E7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数量</w:t>
            </w:r>
          </w:p>
        </w:tc>
      </w:tr>
      <w:tr w14:paraId="064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2B797552">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7EC9C584">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707FC3C9">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68C24A2">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E289A49">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6DE9E1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041AF0F">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603EE6EC">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14:paraId="49BB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67C87F68">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348EA50C">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33620200">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2401E6A9">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2DB7CB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769C07A2">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661B2F32">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C067B3A">
            <w:pPr>
              <w:keepNext w:val="0"/>
              <w:keepLines w:val="0"/>
              <w:widowControl/>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bl>
    <w:p w14:paraId="4E8B9C76">
      <w:pPr>
        <w:ind w:firstLine="440"/>
        <w:rPr>
          <w:rFonts w:hint="eastAsia" w:ascii="宋体" w:hAnsi="宋体" w:eastAsia="宋体" w:cs="宋体"/>
          <w:sz w:val="21"/>
          <w:szCs w:val="21"/>
        </w:rPr>
      </w:pPr>
    </w:p>
    <w:p w14:paraId="66A2E57F">
      <w:pPr>
        <w:ind w:firstLine="440"/>
        <w:rPr>
          <w:rFonts w:hint="eastAsia" w:ascii="宋体" w:hAnsi="宋体" w:eastAsia="宋体" w:cs="宋体"/>
          <w:b/>
          <w:sz w:val="21"/>
          <w:szCs w:val="21"/>
        </w:rPr>
      </w:pPr>
      <w:r>
        <w:rPr>
          <w:rFonts w:hint="eastAsia" w:ascii="宋体" w:hAnsi="宋体" w:eastAsia="宋体" w:cs="宋体"/>
          <w:sz w:val="21"/>
          <w:szCs w:val="21"/>
        </w:rPr>
        <w:t>备注：节能产品、环境标志产品认证证书附后</w:t>
      </w:r>
    </w:p>
    <w:p w14:paraId="0215D4F3">
      <w:pPr>
        <w:snapToGrid w:val="0"/>
        <w:spacing w:line="400" w:lineRule="exact"/>
        <w:jc w:val="left"/>
        <w:rPr>
          <w:rFonts w:hint="eastAsia" w:ascii="宋体" w:hAnsi="宋体" w:eastAsia="宋体" w:cs="宋体"/>
          <w:color w:val="000000"/>
          <w:kern w:val="0"/>
          <w:sz w:val="21"/>
          <w:szCs w:val="21"/>
          <w:highlight w:val="none"/>
        </w:rPr>
        <w:sectPr>
          <w:pgSz w:w="11906" w:h="16838"/>
          <w:pgMar w:top="1440" w:right="1304" w:bottom="1089" w:left="1531" w:header="851" w:footer="992" w:gutter="0"/>
          <w:pgNumType w:fmt="decimal"/>
          <w:cols w:space="720" w:num="1"/>
          <w:docGrid w:linePitch="312" w:charSpace="0"/>
        </w:sectPr>
      </w:pPr>
    </w:p>
    <w:p w14:paraId="3AE07E7A">
      <w:pPr>
        <w:spacing w:line="400" w:lineRule="exact"/>
        <w:jc w:val="center"/>
        <w:rPr>
          <w:rFonts w:hint="eastAsia" w:ascii="宋体" w:hAnsi="宋体" w:eastAsia="宋体" w:cs="宋体"/>
          <w:b/>
          <w:color w:val="000000"/>
          <w:spacing w:val="-6"/>
          <w:sz w:val="28"/>
          <w:szCs w:val="28"/>
          <w:highlight w:val="none"/>
        </w:rPr>
      </w:pP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sz w:val="28"/>
          <w:szCs w:val="28"/>
          <w:lang w:val="en-US" w:eastAsia="zh-CN"/>
        </w:rPr>
        <w:t>（十一）</w:t>
      </w:r>
      <w:r>
        <w:rPr>
          <w:rFonts w:hint="eastAsia" w:ascii="宋体" w:hAnsi="宋体" w:eastAsia="宋体" w:cs="宋体"/>
          <w:b/>
          <w:color w:val="000000"/>
          <w:spacing w:val="-6"/>
          <w:sz w:val="28"/>
          <w:szCs w:val="28"/>
          <w:highlight w:val="none"/>
        </w:rPr>
        <w:t>投标</w:t>
      </w:r>
      <w:r>
        <w:rPr>
          <w:rFonts w:hint="eastAsia" w:ascii="宋体" w:hAnsi="宋体" w:eastAsia="宋体" w:cs="宋体"/>
          <w:b/>
          <w:bCs/>
          <w:color w:val="000000"/>
          <w:sz w:val="28"/>
          <w:szCs w:val="28"/>
          <w:highlight w:val="none"/>
        </w:rPr>
        <w:t>产品</w:t>
      </w:r>
      <w:r>
        <w:rPr>
          <w:rFonts w:hint="eastAsia" w:ascii="宋体" w:hAnsi="宋体" w:eastAsia="宋体" w:cs="宋体"/>
          <w:b/>
          <w:color w:val="000000"/>
          <w:spacing w:val="-6"/>
          <w:sz w:val="28"/>
          <w:szCs w:val="28"/>
          <w:highlight w:val="none"/>
        </w:rPr>
        <w:t>技术支持材料</w:t>
      </w:r>
    </w:p>
    <w:p w14:paraId="37F562B4">
      <w:pPr>
        <w:spacing w:line="400" w:lineRule="exact"/>
        <w:rPr>
          <w:rFonts w:hint="eastAsia" w:ascii="宋体" w:hAnsi="宋体" w:eastAsia="宋体" w:cs="宋体"/>
          <w:b/>
          <w:color w:val="000000"/>
          <w:spacing w:val="-6"/>
          <w:sz w:val="24"/>
          <w:highlight w:val="none"/>
        </w:rPr>
      </w:pPr>
    </w:p>
    <w:p w14:paraId="6A91B03A">
      <w:pPr>
        <w:spacing w:line="400" w:lineRule="exact"/>
        <w:rPr>
          <w:rFonts w:hint="eastAsia" w:ascii="宋体" w:hAnsi="宋体" w:eastAsia="宋体" w:cs="宋体"/>
          <w:b/>
          <w:color w:val="000000"/>
          <w:spacing w:val="-6"/>
          <w:sz w:val="24"/>
          <w:highlight w:val="none"/>
        </w:rPr>
      </w:pPr>
    </w:p>
    <w:p w14:paraId="180C2B43">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说明：</w:t>
      </w:r>
    </w:p>
    <w:p w14:paraId="1E6F0F43">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1.投标人提供技术支持资料以证明其对技术指标的应答；</w:t>
      </w:r>
    </w:p>
    <w:p w14:paraId="1639FCF6">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2.技术支持资料应是制造商公开发布的印刷资料（彩页、Datasheet）或由有关政府部门或检测机构合法出具的文件或报告；</w:t>
      </w:r>
    </w:p>
    <w:p w14:paraId="3EC68E39">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3.不符合上述要求的资料，可被视为是无效的技术支持资料；</w:t>
      </w:r>
    </w:p>
    <w:p w14:paraId="539F5951">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4.如上述资料之间存在不一致的，以有关政府部门或检测机构合法出具的文件或报告为准；</w:t>
      </w:r>
    </w:p>
    <w:p w14:paraId="39481A56">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5.若对技术指标的应答无技术支持资料证明，评审小组可不予承认，并可认为该应答不符合招标文件要求，</w:t>
      </w:r>
      <w:r>
        <w:rPr>
          <w:rFonts w:hint="eastAsia" w:ascii="宋体" w:hAnsi="宋体" w:eastAsia="宋体" w:cs="宋体"/>
          <w:b/>
          <w:bCs/>
          <w:color w:val="000000"/>
          <w:spacing w:val="-6"/>
          <w:sz w:val="24"/>
          <w:highlight w:val="none"/>
        </w:rPr>
        <w:t>将作出不利于投标人的技术评审，其后果将由投标人自行承担</w:t>
      </w:r>
      <w:r>
        <w:rPr>
          <w:rFonts w:hint="eastAsia" w:ascii="宋体" w:hAnsi="宋体" w:eastAsia="宋体" w:cs="宋体"/>
          <w:b/>
          <w:color w:val="000000"/>
          <w:spacing w:val="-6"/>
          <w:sz w:val="24"/>
          <w:highlight w:val="none"/>
        </w:rPr>
        <w:t>；</w:t>
      </w:r>
    </w:p>
    <w:p w14:paraId="196E111F">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pacing w:val="-6"/>
          <w:sz w:val="24"/>
          <w:highlight w:val="none"/>
        </w:rPr>
        <w:t>6.投标人可提供同等于或优于招标文件要求的产品和服务。</w:t>
      </w:r>
    </w:p>
    <w:p w14:paraId="61609AE0">
      <w:pPr>
        <w:spacing w:line="400" w:lineRule="exact"/>
        <w:rPr>
          <w:rFonts w:hint="eastAsia" w:ascii="宋体" w:hAnsi="宋体" w:eastAsia="宋体" w:cs="宋体"/>
          <w:b/>
          <w:color w:val="000000"/>
          <w:spacing w:val="-6"/>
          <w:sz w:val="24"/>
          <w:highlight w:val="none"/>
        </w:rPr>
      </w:pPr>
      <w:r>
        <w:rPr>
          <w:rFonts w:hint="eastAsia" w:ascii="宋体" w:hAnsi="宋体" w:eastAsia="宋体" w:cs="宋体"/>
          <w:b/>
          <w:color w:val="000000"/>
          <w:sz w:val="24"/>
          <w:szCs w:val="24"/>
          <w:highlight w:val="none"/>
        </w:rPr>
        <w:t>7.</w:t>
      </w:r>
      <w:r>
        <w:rPr>
          <w:rFonts w:hint="eastAsia" w:ascii="宋体" w:hAnsi="宋体" w:eastAsia="宋体" w:cs="宋体"/>
          <w:b/>
          <w:color w:val="000000"/>
          <w:spacing w:val="-6"/>
          <w:sz w:val="24"/>
          <w:highlight w:val="none"/>
        </w:rPr>
        <w:t>投标人不得提供虚假材料（包括伪造、变造证书、合同等）谋取中标、成交。投标人投标（响应）产品规格型号与官网公布的产品规格型号一致，但技术参数不一致的，应当在投标（响应）文件中阐述技术参数不一致的原因，以及通过何种技术路线来实现投标（响应）产品技术参数。</w:t>
      </w:r>
    </w:p>
    <w:p w14:paraId="177C0BD6">
      <w:pPr>
        <w:pStyle w:val="13"/>
        <w:rPr>
          <w:rFonts w:hint="eastAsia"/>
        </w:rPr>
      </w:pPr>
    </w:p>
    <w:p w14:paraId="3103AA62">
      <w:pPr>
        <w:pStyle w:val="10"/>
        <w:rPr>
          <w:rFonts w:hint="eastAsia"/>
        </w:rPr>
        <w:sectPr>
          <w:pgSz w:w="11906" w:h="16838"/>
          <w:pgMar w:top="1440" w:right="1304" w:bottom="1089" w:left="1531" w:header="851" w:footer="992" w:gutter="0"/>
          <w:pgNumType w:fmt="decimal"/>
          <w:cols w:space="720" w:num="1"/>
          <w:docGrid w:linePitch="312" w:charSpace="0"/>
        </w:sectPr>
      </w:pPr>
    </w:p>
    <w:p w14:paraId="29910D1C">
      <w:pPr>
        <w:pStyle w:val="10"/>
        <w:rPr>
          <w:rFonts w:hint="eastAsia"/>
        </w:rPr>
      </w:pPr>
    </w:p>
    <w:p w14:paraId="415F9363">
      <w:pPr>
        <w:pStyle w:val="3"/>
        <w:numPr>
          <w:ilvl w:val="0"/>
          <w:numId w:val="24"/>
        </w:numPr>
        <w:bidi w:val="0"/>
        <w:rPr>
          <w:rFonts w:hint="eastAsia"/>
        </w:rPr>
      </w:pPr>
      <w:bookmarkStart w:id="225" w:name="_Toc4246"/>
      <w:r>
        <w:rPr>
          <w:rFonts w:hint="eastAsia"/>
          <w:lang w:eastAsia="zh-CN"/>
        </w:rPr>
        <w:t>报价文件</w:t>
      </w:r>
      <w:bookmarkEnd w:id="225"/>
    </w:p>
    <w:p w14:paraId="6B25FB86">
      <w:pPr>
        <w:pStyle w:val="11"/>
        <w:numPr>
          <w:ilvl w:val="0"/>
          <w:numId w:val="28"/>
        </w:numPr>
        <w:spacing w:line="240" w:lineRule="auto"/>
        <w:ind w:firstLine="0" w:firstLineChars="0"/>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开标报价一览表</w:t>
      </w:r>
    </w:p>
    <w:p w14:paraId="18A082EB">
      <w:pPr>
        <w:pStyle w:val="10"/>
        <w:numPr>
          <w:ilvl w:val="0"/>
          <w:numId w:val="28"/>
        </w:numPr>
        <w:ind w:left="0" w:leftChars="0" w:firstLine="0" w:firstLineChars="0"/>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中小企业注明材料</w:t>
      </w:r>
    </w:p>
    <w:p w14:paraId="11A560F5">
      <w:pPr>
        <w:pStyle w:val="4"/>
        <w:ind w:firstLine="422"/>
        <w:rPr>
          <w:rFonts w:hint="eastAsia" w:ascii="宋体" w:hAnsi="宋体" w:eastAsia="宋体" w:cs="宋体"/>
          <w:sz w:val="21"/>
          <w:szCs w:val="21"/>
        </w:rPr>
        <w:sectPr>
          <w:pgSz w:w="11906" w:h="16838"/>
          <w:pgMar w:top="1440" w:right="1304" w:bottom="1089" w:left="1531" w:header="851" w:footer="992" w:gutter="0"/>
          <w:pgNumType w:fmt="decimal"/>
          <w:cols w:space="720" w:num="1"/>
          <w:docGrid w:linePitch="312" w:charSpace="0"/>
        </w:sectPr>
      </w:pPr>
      <w:r>
        <w:rPr>
          <w:rFonts w:hint="eastAsia" w:ascii="宋体" w:hAnsi="宋体" w:eastAsia="宋体" w:cs="宋体"/>
          <w:sz w:val="21"/>
          <w:szCs w:val="21"/>
        </w:rPr>
        <w:t xml:space="preserve"> </w:t>
      </w:r>
    </w:p>
    <w:p w14:paraId="2CE6CC46">
      <w:pPr>
        <w:autoSpaceDE w:val="0"/>
        <w:autoSpaceDN w:val="0"/>
        <w:adjustRightInd w:val="0"/>
        <w:spacing w:line="440" w:lineRule="atLeast"/>
        <w:ind w:firstLine="482"/>
        <w:jc w:val="center"/>
        <w:rPr>
          <w:rFonts w:hint="eastAsia" w:ascii="宋体" w:hAnsi="宋体" w:eastAsia="宋体" w:cs="宋体"/>
          <w:b/>
          <w:bCs/>
          <w:sz w:val="28"/>
          <w:szCs w:val="28"/>
          <w:lang w:val="zh-CN"/>
        </w:rPr>
      </w:pPr>
      <w:r>
        <w:rPr>
          <w:rFonts w:hint="eastAsia" w:ascii="宋体" w:hAnsi="宋体" w:eastAsia="宋体" w:cs="宋体"/>
          <w:sz w:val="28"/>
          <w:szCs w:val="28"/>
          <w:lang w:val="en-US" w:eastAsia="zh-CN"/>
        </w:rPr>
        <w:t xml:space="preserve"> （一）</w:t>
      </w:r>
      <w:r>
        <w:rPr>
          <w:rFonts w:hint="eastAsia" w:ascii="宋体" w:hAnsi="宋体" w:eastAsia="宋体" w:cs="宋体"/>
          <w:b/>
          <w:bCs/>
          <w:sz w:val="28"/>
          <w:szCs w:val="28"/>
          <w:lang w:val="en-US" w:eastAsia="zh-CN"/>
        </w:rPr>
        <w:t>开标</w:t>
      </w:r>
      <w:r>
        <w:rPr>
          <w:rFonts w:hint="eastAsia" w:ascii="宋体" w:hAnsi="宋体" w:eastAsia="宋体" w:cs="宋体"/>
          <w:b/>
          <w:bCs/>
          <w:sz w:val="28"/>
          <w:szCs w:val="28"/>
          <w:lang w:val="zh-CN"/>
        </w:rPr>
        <w:t>报价一览表</w:t>
      </w:r>
    </w:p>
    <w:p w14:paraId="31D203D0">
      <w:pPr>
        <w:pStyle w:val="9"/>
        <w:ind w:firstLine="422"/>
        <w:rPr>
          <w:rFonts w:hint="eastAsia" w:ascii="宋体" w:hAnsi="宋体" w:eastAsia="宋体" w:cs="宋体"/>
          <w:b/>
          <w:bCs/>
          <w:szCs w:val="21"/>
          <w:lang w:val="zh-CN"/>
        </w:rPr>
      </w:pPr>
    </w:p>
    <w:p w14:paraId="75ECA946">
      <w:pPr>
        <w:spacing w:line="400" w:lineRule="exact"/>
        <w:jc w:val="left"/>
        <w:rPr>
          <w:rFonts w:hint="eastAsia" w:ascii="宋体" w:hAnsi="宋体" w:eastAsia="宋体" w:cs="宋体"/>
          <w:color w:val="000000"/>
          <w:sz w:val="22"/>
          <w:highlight w:val="none"/>
        </w:rPr>
      </w:pPr>
      <w:r>
        <w:rPr>
          <w:rFonts w:hint="eastAsia" w:ascii="宋体" w:hAnsi="宋体" w:eastAsia="宋体" w:cs="宋体"/>
          <w:b/>
          <w:sz w:val="21"/>
          <w:szCs w:val="21"/>
          <w:highlight w:val="none"/>
        </w:rPr>
        <w:t>项目名称</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标项</w:t>
      </w:r>
      <w:r>
        <w:rPr>
          <w:rFonts w:hint="eastAsia" w:ascii="宋体" w:hAnsi="宋体" w:eastAsia="宋体" w:cs="宋体"/>
          <w:b/>
          <w:sz w:val="21"/>
          <w:szCs w:val="21"/>
          <w:highlight w:val="none"/>
          <w:u w:val="single"/>
          <w:lang w:val="en-US" w:eastAsia="zh-CN"/>
        </w:rPr>
        <w:t xml:space="preserve">   </w:t>
      </w:r>
      <w:r>
        <w:rPr>
          <w:rFonts w:hint="eastAsia" w:ascii="宋体" w:hAnsi="宋体" w:eastAsia="宋体" w:cs="宋体"/>
          <w:b/>
          <w:sz w:val="21"/>
          <w:szCs w:val="21"/>
          <w:highlight w:val="none"/>
          <w:lang w:eastAsia="zh-CN"/>
        </w:rPr>
        <w:t>）</w:t>
      </w:r>
      <w:r>
        <w:rPr>
          <w:rFonts w:hint="eastAsia" w:ascii="宋体" w:hAnsi="宋体" w:eastAsia="宋体" w:cs="宋体"/>
          <w:bCs/>
          <w:szCs w:val="21"/>
          <w:lang w:val="zh-CN"/>
        </w:rPr>
        <w:t>：</w:t>
      </w:r>
      <w:r>
        <w:rPr>
          <w:rFonts w:hint="eastAsia" w:ascii="宋体" w:hAnsi="宋体" w:eastAsia="宋体" w:cs="宋体"/>
          <w:bCs/>
          <w:szCs w:val="21"/>
          <w:lang w:val="en-US" w:eastAsia="zh-CN"/>
        </w:rPr>
        <w:t xml:space="preserve">   </w:t>
      </w:r>
      <w:r>
        <w:rPr>
          <w:rFonts w:hint="eastAsia" w:ascii="宋体" w:hAnsi="宋体" w:eastAsia="宋体" w:cs="宋体"/>
          <w:bCs/>
          <w:szCs w:val="21"/>
          <w:lang w:val="zh-CN"/>
        </w:rPr>
        <w:t xml:space="preserve">  </w:t>
      </w:r>
      <w:r>
        <w:rPr>
          <w:rFonts w:hint="eastAsia" w:ascii="宋体" w:hAnsi="宋体" w:eastAsia="宋体" w:cs="宋体"/>
          <w:bCs/>
          <w:szCs w:val="21"/>
          <w:lang w:val="en-US" w:eastAsia="zh-CN"/>
        </w:rPr>
        <w:t xml:space="preserve">   </w:t>
      </w:r>
      <w:r>
        <w:rPr>
          <w:rFonts w:hint="eastAsia" w:ascii="宋体" w:hAnsi="宋体" w:eastAsia="宋体" w:cs="宋体"/>
          <w:bCs/>
          <w:szCs w:val="21"/>
          <w:lang w:val="zh-CN"/>
        </w:rPr>
        <w:t xml:space="preserve">   采购编号：          报价单位：</w:t>
      </w:r>
      <w:r>
        <w:rPr>
          <w:rFonts w:hint="eastAsia" w:ascii="宋体" w:hAnsi="宋体" w:eastAsia="宋体" w:cs="宋体"/>
          <w:bCs/>
          <w:szCs w:val="21"/>
          <w:u w:val="single"/>
          <w:lang w:val="zh-CN"/>
        </w:rPr>
        <w:t>人民币元</w:t>
      </w:r>
      <w:r>
        <w:rPr>
          <w:rFonts w:hint="eastAsia" w:ascii="宋体" w:hAnsi="宋体" w:eastAsia="宋体" w:cs="宋体"/>
          <w:color w:val="000000"/>
          <w:sz w:val="22"/>
          <w:highlight w:val="none"/>
        </w:rPr>
        <w:t xml:space="preserve">               </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9"/>
        <w:gridCol w:w="1161"/>
        <w:gridCol w:w="1976"/>
        <w:gridCol w:w="619"/>
        <w:gridCol w:w="979"/>
        <w:gridCol w:w="1250"/>
        <w:gridCol w:w="1980"/>
      </w:tblGrid>
      <w:tr w14:paraId="07F3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83" w:type="pct"/>
            <w:vAlign w:val="center"/>
          </w:tcPr>
          <w:p w14:paraId="128B2AE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486" w:type="pct"/>
            <w:vAlign w:val="center"/>
          </w:tcPr>
          <w:p w14:paraId="7FF8ADF6">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632" w:type="pct"/>
          </w:tcPr>
          <w:p w14:paraId="0236A75D">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p>
          <w:p w14:paraId="05BF4AF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品牌（如果有）</w:t>
            </w:r>
          </w:p>
        </w:tc>
        <w:tc>
          <w:tcPr>
            <w:tcW w:w="1070" w:type="pct"/>
            <w:vAlign w:val="center"/>
          </w:tcPr>
          <w:p w14:paraId="16ABB7B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340" w:type="pct"/>
            <w:vAlign w:val="center"/>
          </w:tcPr>
          <w:p w14:paraId="54B35A4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534" w:type="pct"/>
            <w:vAlign w:val="center"/>
          </w:tcPr>
          <w:p w14:paraId="7F9B6E4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单价</w:t>
            </w:r>
          </w:p>
        </w:tc>
        <w:tc>
          <w:tcPr>
            <w:tcW w:w="680" w:type="pct"/>
            <w:vAlign w:val="center"/>
          </w:tcPr>
          <w:p w14:paraId="08E3AF4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合计</w:t>
            </w:r>
          </w:p>
        </w:tc>
        <w:tc>
          <w:tcPr>
            <w:tcW w:w="1070" w:type="pct"/>
            <w:vAlign w:val="center"/>
          </w:tcPr>
          <w:p w14:paraId="21C91EAD">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p>
          <w:p w14:paraId="3BAA966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备注（如有）</w:t>
            </w:r>
          </w:p>
          <w:p w14:paraId="1A59F406">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p>
        </w:tc>
      </w:tr>
      <w:tr w14:paraId="0902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83" w:type="pct"/>
            <w:vAlign w:val="center"/>
          </w:tcPr>
          <w:p w14:paraId="18F30ED2">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486" w:type="pct"/>
            <w:vAlign w:val="center"/>
          </w:tcPr>
          <w:p w14:paraId="3F8C3DCB">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1"/>
                <w:szCs w:val="21"/>
              </w:rPr>
            </w:pPr>
          </w:p>
        </w:tc>
        <w:tc>
          <w:tcPr>
            <w:tcW w:w="632" w:type="pct"/>
            <w:vAlign w:val="center"/>
          </w:tcPr>
          <w:p w14:paraId="022B74BC">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5829F78F">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340" w:type="pct"/>
            <w:vAlign w:val="center"/>
          </w:tcPr>
          <w:p w14:paraId="5D0B09AF">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534" w:type="pct"/>
            <w:vAlign w:val="center"/>
          </w:tcPr>
          <w:p w14:paraId="0B7F5C2A">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680" w:type="pct"/>
            <w:vAlign w:val="center"/>
          </w:tcPr>
          <w:p w14:paraId="2FFF65B7">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73EDE8A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r w14:paraId="60AC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3D8833D6">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486" w:type="pct"/>
            <w:vAlign w:val="center"/>
          </w:tcPr>
          <w:p w14:paraId="2D397834">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1"/>
                <w:szCs w:val="21"/>
              </w:rPr>
            </w:pPr>
          </w:p>
        </w:tc>
        <w:tc>
          <w:tcPr>
            <w:tcW w:w="632" w:type="pct"/>
            <w:vAlign w:val="center"/>
          </w:tcPr>
          <w:p w14:paraId="10C5261B">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76538AA9">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340" w:type="pct"/>
            <w:vAlign w:val="center"/>
          </w:tcPr>
          <w:p w14:paraId="7DFB5FB7">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534" w:type="pct"/>
            <w:vAlign w:val="center"/>
          </w:tcPr>
          <w:p w14:paraId="2F93E61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680" w:type="pct"/>
            <w:vAlign w:val="center"/>
          </w:tcPr>
          <w:p w14:paraId="57EEEEE0">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044EDE2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r w14:paraId="4339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65CB068A">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86" w:type="pct"/>
            <w:vAlign w:val="center"/>
          </w:tcPr>
          <w:p w14:paraId="38C6C15D">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1"/>
                <w:szCs w:val="21"/>
              </w:rPr>
            </w:pPr>
          </w:p>
        </w:tc>
        <w:tc>
          <w:tcPr>
            <w:tcW w:w="632" w:type="pct"/>
            <w:vAlign w:val="center"/>
          </w:tcPr>
          <w:p w14:paraId="3BF4CF79">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39C821C2">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340" w:type="pct"/>
            <w:vAlign w:val="center"/>
          </w:tcPr>
          <w:p w14:paraId="4DC3F049">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534" w:type="pct"/>
            <w:vAlign w:val="center"/>
          </w:tcPr>
          <w:p w14:paraId="70E5EE1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680" w:type="pct"/>
            <w:vAlign w:val="center"/>
          </w:tcPr>
          <w:p w14:paraId="3FEB024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35C4353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r w14:paraId="0EE5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0AD39314">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486" w:type="pct"/>
            <w:vAlign w:val="center"/>
          </w:tcPr>
          <w:p w14:paraId="71BE0FEC">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1"/>
                <w:szCs w:val="21"/>
              </w:rPr>
            </w:pPr>
          </w:p>
        </w:tc>
        <w:tc>
          <w:tcPr>
            <w:tcW w:w="632" w:type="pct"/>
            <w:vAlign w:val="center"/>
          </w:tcPr>
          <w:p w14:paraId="2375D0A4">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79D1D973">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340" w:type="pct"/>
            <w:vAlign w:val="center"/>
          </w:tcPr>
          <w:p w14:paraId="029001A0">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534" w:type="pct"/>
            <w:vAlign w:val="center"/>
          </w:tcPr>
          <w:p w14:paraId="699AF984">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680" w:type="pct"/>
            <w:vAlign w:val="center"/>
          </w:tcPr>
          <w:p w14:paraId="7963251A">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6B9359B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r w14:paraId="3004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209D18C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486" w:type="pct"/>
            <w:vAlign w:val="center"/>
          </w:tcPr>
          <w:p w14:paraId="45CD5507">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632" w:type="pct"/>
            <w:vAlign w:val="center"/>
          </w:tcPr>
          <w:p w14:paraId="7143BE3D">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4EE61C0D">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340" w:type="pct"/>
            <w:vAlign w:val="center"/>
          </w:tcPr>
          <w:p w14:paraId="6CCEFC28">
            <w:pPr>
              <w:keepNext w:val="0"/>
              <w:keepLines w:val="0"/>
              <w:widowControl/>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534" w:type="pct"/>
            <w:vAlign w:val="center"/>
          </w:tcPr>
          <w:p w14:paraId="5BAC77C6">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680" w:type="pct"/>
            <w:vAlign w:val="center"/>
          </w:tcPr>
          <w:p w14:paraId="027BE0D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c>
          <w:tcPr>
            <w:tcW w:w="1070" w:type="pct"/>
            <w:vAlign w:val="center"/>
          </w:tcPr>
          <w:p w14:paraId="656D5FE3">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r w14:paraId="5FCC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72" w:type="pct"/>
            <w:gridSpan w:val="4"/>
            <w:vAlign w:val="center"/>
          </w:tcPr>
          <w:p w14:paraId="3327153C">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投标报价（小写）</w:t>
            </w:r>
          </w:p>
        </w:tc>
        <w:tc>
          <w:tcPr>
            <w:tcW w:w="2627" w:type="pct"/>
            <w:gridSpan w:val="4"/>
            <w:vAlign w:val="center"/>
          </w:tcPr>
          <w:p w14:paraId="7D667CC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r w14:paraId="443B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372" w:type="pct"/>
            <w:gridSpan w:val="4"/>
            <w:vAlign w:val="center"/>
          </w:tcPr>
          <w:p w14:paraId="54175BEA">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投标报价（大写）</w:t>
            </w:r>
          </w:p>
        </w:tc>
        <w:tc>
          <w:tcPr>
            <w:tcW w:w="2627" w:type="pct"/>
            <w:gridSpan w:val="4"/>
            <w:vAlign w:val="center"/>
          </w:tcPr>
          <w:p w14:paraId="1F2E09C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1"/>
                <w:szCs w:val="21"/>
              </w:rPr>
            </w:pPr>
          </w:p>
        </w:tc>
      </w:tr>
    </w:tbl>
    <w:p w14:paraId="28E007F7">
      <w:pPr>
        <w:snapToGrid w:val="0"/>
        <w:spacing w:line="360" w:lineRule="auto"/>
        <w:ind w:left="480"/>
        <w:rPr>
          <w:rFonts w:hint="eastAsia" w:asciiTheme="minorEastAsia" w:hAnsiTheme="minorEastAsia" w:eastAsiaTheme="minorEastAsia" w:cstheme="minorEastAsia"/>
          <w:b/>
          <w:kern w:val="0"/>
          <w:sz w:val="21"/>
          <w:szCs w:val="21"/>
          <w:lang w:val="zh-CN"/>
        </w:rPr>
      </w:pPr>
      <w:r>
        <w:rPr>
          <w:rFonts w:hint="eastAsia" w:asciiTheme="minorEastAsia" w:hAnsiTheme="minorEastAsia" w:eastAsiaTheme="minorEastAsia" w:cstheme="minorEastAsia"/>
          <w:b/>
          <w:kern w:val="0"/>
          <w:sz w:val="21"/>
          <w:szCs w:val="21"/>
          <w:lang w:val="zh-CN"/>
        </w:rPr>
        <w:t>注：</w:t>
      </w:r>
    </w:p>
    <w:p w14:paraId="359E6007">
      <w:pPr>
        <w:spacing w:line="360" w:lineRule="auto"/>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kern w:val="0"/>
          <w:sz w:val="21"/>
          <w:szCs w:val="21"/>
          <w:lang w:val="zh-CN"/>
        </w:rPr>
        <w:t>1、投标人需按本表格式填写</w:t>
      </w:r>
      <w:r>
        <w:rPr>
          <w:rFonts w:hint="eastAsia" w:asciiTheme="minorEastAsia" w:hAnsiTheme="minorEastAsia" w:eastAsiaTheme="minorEastAsia" w:cstheme="minorEastAsia"/>
          <w:b/>
          <w:kern w:val="0"/>
          <w:sz w:val="21"/>
          <w:szCs w:val="21"/>
          <w:lang w:val="zh-CN"/>
        </w:rPr>
        <w:t>，</w:t>
      </w:r>
      <w:r>
        <w:rPr>
          <w:rFonts w:hint="eastAsia" w:asciiTheme="minorEastAsia" w:hAnsiTheme="minorEastAsia" w:eastAsiaTheme="minorEastAsia" w:cstheme="minorEastAsia"/>
          <w:b/>
          <w:kern w:val="0"/>
          <w:sz w:val="21"/>
          <w:szCs w:val="21"/>
        </w:rPr>
        <w:t>否则视为</w:t>
      </w:r>
      <w:r>
        <w:rPr>
          <w:rFonts w:hint="eastAsia" w:asciiTheme="minorEastAsia" w:hAnsiTheme="minorEastAsia" w:eastAsiaTheme="minorEastAsia" w:cstheme="minorEastAsia"/>
          <w:b/>
          <w:sz w:val="21"/>
          <w:szCs w:val="21"/>
        </w:rPr>
        <w:t>投标文件含有采购人不能接受的附加条件，投标无效</w:t>
      </w:r>
      <w:r>
        <w:rPr>
          <w:rFonts w:hint="eastAsia" w:asciiTheme="minorEastAsia" w:hAnsiTheme="minorEastAsia" w:eastAsiaTheme="minorEastAsia" w:cstheme="minorEastAsia"/>
          <w:kern w:val="0"/>
          <w:sz w:val="21"/>
          <w:szCs w:val="21"/>
          <w:lang w:val="zh-CN"/>
        </w:rPr>
        <w:t>。</w:t>
      </w:r>
    </w:p>
    <w:p w14:paraId="17D6C975">
      <w:pPr>
        <w:spacing w:line="360" w:lineRule="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zh-CN"/>
        </w:rPr>
        <w:t>2、有关本项目实施所涉及的一切费用均计入报价。</w:t>
      </w:r>
      <w:r>
        <w:rPr>
          <w:rFonts w:hint="eastAsia" w:asciiTheme="minorEastAsia" w:hAnsiTheme="minorEastAsia" w:eastAsiaTheme="minorEastAsia" w:cstheme="minorEastAsia"/>
          <w:kern w:val="0"/>
          <w:sz w:val="21"/>
          <w:szCs w:val="21"/>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Theme="minorEastAsia" w:hAnsiTheme="minorEastAsia" w:eastAsiaTheme="minorEastAsia" w:cstheme="minorEastAsia"/>
          <w:b/>
          <w:kern w:val="0"/>
          <w:sz w:val="21"/>
          <w:szCs w:val="21"/>
          <w:lang w:val="zh-CN"/>
        </w:rPr>
        <w:t>采购内容未包含在《开标一览表（报价表）》名称栏中，投标人不能作出合理解释的，</w:t>
      </w:r>
      <w:r>
        <w:rPr>
          <w:rFonts w:hint="eastAsia" w:asciiTheme="minorEastAsia" w:hAnsiTheme="minorEastAsia" w:eastAsiaTheme="minorEastAsia" w:cstheme="minorEastAsia"/>
          <w:b/>
          <w:kern w:val="0"/>
          <w:sz w:val="21"/>
          <w:szCs w:val="21"/>
        </w:rPr>
        <w:t>视为</w:t>
      </w:r>
      <w:r>
        <w:rPr>
          <w:rFonts w:hint="eastAsia" w:asciiTheme="minorEastAsia" w:hAnsiTheme="minorEastAsia" w:eastAsiaTheme="minorEastAsia" w:cstheme="minorEastAsia"/>
          <w:b/>
          <w:sz w:val="21"/>
          <w:szCs w:val="21"/>
        </w:rPr>
        <w:t>投标文件含有采购人不能接受的附加条件的，投标无效。</w:t>
      </w:r>
    </w:p>
    <w:p w14:paraId="25FB49F9">
      <w:pPr>
        <w:spacing w:line="360" w:lineRule="auto"/>
        <w:rPr>
          <w:rFonts w:hint="eastAsia" w:asciiTheme="minorEastAsia" w:hAnsiTheme="minorEastAsia" w:eastAsiaTheme="minorEastAsia" w:cstheme="minorEastAsia"/>
          <w:b/>
          <w:bCs/>
          <w:color w:val="0000FF"/>
          <w:kern w:val="0"/>
          <w:sz w:val="21"/>
          <w:szCs w:val="21"/>
          <w:lang w:val="zh-CN"/>
        </w:rPr>
      </w:pPr>
      <w:r>
        <w:rPr>
          <w:rFonts w:hint="eastAsia" w:asciiTheme="minorEastAsia" w:hAnsiTheme="minorEastAsia" w:eastAsiaTheme="minorEastAsia" w:cstheme="minorEastAsia"/>
          <w:color w:val="0000FF"/>
          <w:kern w:val="0"/>
          <w:sz w:val="21"/>
          <w:szCs w:val="21"/>
        </w:rPr>
        <w:t>3、</w:t>
      </w:r>
      <w:r>
        <w:rPr>
          <w:rFonts w:hint="eastAsia" w:asciiTheme="minorEastAsia" w:hAnsiTheme="minorEastAsia" w:eastAsiaTheme="minorEastAsia" w:cstheme="minorEastAsia"/>
          <w:color w:val="0000FF"/>
          <w:kern w:val="0"/>
          <w:sz w:val="21"/>
          <w:szCs w:val="21"/>
          <w:lang w:val="zh-CN"/>
        </w:rPr>
        <w:t>投标人</w:t>
      </w:r>
      <w:r>
        <w:rPr>
          <w:rFonts w:hint="eastAsia" w:asciiTheme="minorEastAsia" w:hAnsiTheme="minorEastAsia" w:eastAsiaTheme="minorEastAsia" w:cstheme="minorEastAsia"/>
          <w:color w:val="0000FF"/>
          <w:kern w:val="0"/>
          <w:sz w:val="21"/>
          <w:szCs w:val="21"/>
        </w:rPr>
        <w:t>不得进行影响产品质量或者诚信履约的恶意报价。</w:t>
      </w:r>
      <w:r>
        <w:rPr>
          <w:rFonts w:hint="eastAsia" w:asciiTheme="minorEastAsia" w:hAnsiTheme="minorEastAsia" w:eastAsiaTheme="minorEastAsia" w:cstheme="minorEastAsia"/>
          <w:color w:val="0000FF"/>
          <w:kern w:val="0"/>
          <w:sz w:val="21"/>
          <w:szCs w:val="21"/>
          <w:lang w:val="zh-CN"/>
        </w:rPr>
        <w:t>投标人</w:t>
      </w:r>
      <w:r>
        <w:rPr>
          <w:rFonts w:hint="eastAsia" w:asciiTheme="minorEastAsia" w:hAnsiTheme="minorEastAsia" w:eastAsiaTheme="minorEastAsia" w:cstheme="minorEastAsia"/>
          <w:color w:val="0000FF"/>
          <w:kern w:val="0"/>
          <w:sz w:val="21"/>
          <w:szCs w:val="21"/>
        </w:rPr>
        <w:t>在项目评审前准备好报价核算、报价明细、报价说明等材料，以备评审专家核查。</w:t>
      </w:r>
      <w:r>
        <w:rPr>
          <w:rFonts w:hint="eastAsia" w:asciiTheme="minorEastAsia" w:hAnsiTheme="minorEastAsia" w:eastAsiaTheme="minorEastAsia" w:cstheme="minorEastAsia"/>
          <w:color w:val="0000FF"/>
          <w:kern w:val="0"/>
          <w:sz w:val="21"/>
          <w:szCs w:val="21"/>
          <w:lang w:val="zh-CN"/>
        </w:rPr>
        <w:t>投标人</w:t>
      </w:r>
      <w:r>
        <w:rPr>
          <w:rFonts w:hint="eastAsia" w:asciiTheme="minorEastAsia" w:hAnsiTheme="minorEastAsia" w:eastAsiaTheme="minorEastAsia" w:cstheme="minorEastAsia"/>
          <w:color w:val="0000FF"/>
          <w:kern w:val="0"/>
          <w:sz w:val="21"/>
          <w:szCs w:val="21"/>
        </w:rPr>
        <w:t>报价低于项目预算50%的，应当在报价文件中详细阐述不影响产品质量或者诚信履约的具体原因。</w:t>
      </w:r>
      <w:r>
        <w:rPr>
          <w:rFonts w:hint="eastAsia" w:asciiTheme="minorEastAsia" w:hAnsiTheme="minorEastAsia" w:eastAsiaTheme="minorEastAsia" w:cstheme="minorEastAsia"/>
          <w:b/>
          <w:bCs/>
          <w:color w:val="0000FF"/>
          <w:kern w:val="0"/>
          <w:sz w:val="21"/>
          <w:szCs w:val="21"/>
          <w:lang w:val="zh-CN"/>
        </w:rPr>
        <w:t>未能按要求提供书面说明或者提交相关证明材料证明其报价合理性的投标无效。</w:t>
      </w:r>
    </w:p>
    <w:p w14:paraId="7E136929">
      <w:pPr>
        <w:spacing w:line="360" w:lineRule="auto"/>
        <w:rPr>
          <w:rFonts w:hint="eastAsia" w:ascii="宋体" w:hAnsi="宋体" w:eastAsia="宋体" w:cs="宋体"/>
          <w:color w:val="000000"/>
          <w:sz w:val="21"/>
          <w:szCs w:val="21"/>
          <w:highlight w:val="none"/>
        </w:rPr>
      </w:pPr>
      <w:r>
        <w:rPr>
          <w:rFonts w:hint="eastAsia" w:asciiTheme="minorEastAsia" w:hAnsiTheme="minorEastAsia" w:eastAsiaTheme="minorEastAsia" w:cstheme="minorEastAsia"/>
          <w:kern w:val="0"/>
          <w:sz w:val="21"/>
          <w:szCs w:val="21"/>
        </w:rPr>
        <w:t>4</w:t>
      </w:r>
      <w:r>
        <w:rPr>
          <w:rFonts w:hint="eastAsia" w:asciiTheme="minorEastAsia" w:hAnsiTheme="minorEastAsia" w:eastAsiaTheme="minorEastAsia" w:cstheme="minorEastAsia"/>
          <w:kern w:val="0"/>
          <w:sz w:val="21"/>
          <w:szCs w:val="21"/>
          <w:lang w:val="zh-CN"/>
        </w:rPr>
        <w:t>、特别提示：采购代理机构将对项目名称和项目编号，中标供应商名称、地址和中标金额，主要中标标的名称、品牌（如有）、规格型号、数量、单价等予以公示。</w:t>
      </w:r>
    </w:p>
    <w:p w14:paraId="5DF53A52">
      <w:pPr>
        <w:autoSpaceDE w:val="0"/>
        <w:autoSpaceDN w:val="0"/>
        <w:adjustRightInd w:val="0"/>
        <w:spacing w:line="460" w:lineRule="atLeast"/>
        <w:ind w:firstLine="420"/>
        <w:rPr>
          <w:rFonts w:hint="eastAsia" w:ascii="宋体" w:hAnsi="宋体" w:eastAsia="宋体" w:cs="宋体"/>
          <w:bCs/>
          <w:szCs w:val="21"/>
          <w:lang w:val="zh-CN"/>
        </w:rPr>
      </w:pPr>
      <w:r>
        <w:rPr>
          <w:rFonts w:hint="eastAsia" w:ascii="宋体" w:hAnsi="宋体" w:eastAsia="宋体" w:cs="宋体"/>
          <w:bCs/>
          <w:szCs w:val="21"/>
          <w:lang w:val="zh-CN"/>
        </w:rPr>
        <w:t>供应商全称（盖章）：</w:t>
      </w:r>
    </w:p>
    <w:p w14:paraId="551AA0EA">
      <w:pPr>
        <w:autoSpaceDE w:val="0"/>
        <w:autoSpaceDN w:val="0"/>
        <w:adjustRightInd w:val="0"/>
        <w:spacing w:line="460" w:lineRule="atLeast"/>
        <w:ind w:firstLine="420"/>
        <w:rPr>
          <w:rFonts w:hint="eastAsia" w:ascii="宋体" w:hAnsi="宋体" w:eastAsia="宋体" w:cs="宋体"/>
          <w:bCs/>
          <w:szCs w:val="21"/>
          <w:lang w:val="zh-CN"/>
        </w:rPr>
      </w:pPr>
      <w:r>
        <w:rPr>
          <w:rFonts w:hint="eastAsia" w:ascii="宋体" w:hAnsi="宋体" w:eastAsia="宋体" w:cs="宋体"/>
          <w:szCs w:val="21"/>
        </w:rPr>
        <w:t>法定代表人或其授权代表（签字或盖章）</w:t>
      </w:r>
      <w:r>
        <w:rPr>
          <w:rFonts w:hint="eastAsia" w:ascii="宋体" w:hAnsi="宋体" w:eastAsia="宋体" w:cs="宋体"/>
          <w:bCs/>
          <w:szCs w:val="21"/>
          <w:lang w:val="zh-CN"/>
        </w:rPr>
        <w:t>：</w:t>
      </w:r>
    </w:p>
    <w:p w14:paraId="5ABE1BE1">
      <w:pPr>
        <w:autoSpaceDE w:val="0"/>
        <w:autoSpaceDN w:val="0"/>
        <w:adjustRightInd w:val="0"/>
        <w:spacing w:line="460" w:lineRule="atLeast"/>
        <w:ind w:firstLine="420"/>
        <w:rPr>
          <w:rFonts w:hint="eastAsia" w:ascii="宋体" w:hAnsi="宋体" w:eastAsia="宋体" w:cs="宋体"/>
          <w:bCs/>
          <w:szCs w:val="21"/>
          <w:lang w:val="zh-CN"/>
        </w:rPr>
      </w:pPr>
      <w:r>
        <w:rPr>
          <w:rFonts w:hint="eastAsia" w:ascii="宋体" w:hAnsi="宋体" w:eastAsia="宋体" w:cs="宋体"/>
          <w:bCs/>
          <w:szCs w:val="21"/>
          <w:lang w:val="zh-CN"/>
        </w:rPr>
        <w:t>日期：</w:t>
      </w:r>
    </w:p>
    <w:p w14:paraId="13E4D6C8">
      <w:pPr>
        <w:ind w:firstLine="0" w:firstLineChars="0"/>
        <w:jc w:val="left"/>
        <w:rPr>
          <w:rFonts w:hint="eastAsia" w:ascii="宋体" w:hAnsi="宋体" w:eastAsia="宋体" w:cs="宋体"/>
        </w:rPr>
        <w:sectPr>
          <w:pgSz w:w="11906" w:h="16838"/>
          <w:pgMar w:top="1440" w:right="1304" w:bottom="1089" w:left="1531" w:header="851" w:footer="992" w:gutter="0"/>
          <w:pgNumType w:fmt="decimal"/>
          <w:cols w:space="720" w:num="1"/>
          <w:docGrid w:linePitch="312" w:charSpace="0"/>
        </w:sectPr>
      </w:pPr>
    </w:p>
    <w:p w14:paraId="032A4ECB">
      <w:pPr>
        <w:widowControl/>
        <w:kinsoku/>
        <w:autoSpaceDE/>
        <w:autoSpaceDN/>
        <w:adjustRightInd/>
        <w:snapToGrid/>
        <w:spacing w:before="100" w:beforeAutospacing="1" w:after="100" w:afterAutospacing="1" w:line="440" w:lineRule="atLeast"/>
        <w:ind w:firstLine="560" w:firstLineChars="200"/>
        <w:jc w:val="left"/>
        <w:textAlignment w:val="auto"/>
        <w:rPr>
          <w:rFonts w:hint="default" w:ascii="宋体" w:hAnsi="宋体" w:eastAsia="宋体" w:cs="宋体"/>
          <w:b/>
          <w:bCs/>
          <w:snapToGrid/>
          <w:color w:val="000000"/>
          <w:kern w:val="2"/>
          <w:sz w:val="24"/>
          <w:szCs w:val="24"/>
          <w:highlight w:val="none"/>
          <w:lang w:val="en-US" w:eastAsia="zh-CN"/>
        </w:rPr>
      </w:pPr>
      <w:r>
        <w:rPr>
          <w:rFonts w:hint="eastAsia" w:ascii="宋体" w:hAnsi="宋体" w:eastAsia="宋体" w:cs="宋体"/>
          <w:sz w:val="28"/>
          <w:szCs w:val="28"/>
          <w:lang w:val="en-US" w:eastAsia="zh-CN"/>
        </w:rPr>
        <w:t>（二）</w:t>
      </w:r>
      <w:r>
        <w:rPr>
          <w:rFonts w:hint="eastAsia" w:ascii="宋体" w:hAnsi="宋体" w:eastAsia="宋体" w:cs="宋体"/>
          <w:b/>
          <w:bCs/>
          <w:snapToGrid/>
          <w:color w:val="000000"/>
          <w:kern w:val="2"/>
          <w:sz w:val="24"/>
          <w:szCs w:val="24"/>
          <w:highlight w:val="none"/>
          <w:lang w:val="en-US" w:eastAsia="zh-CN"/>
        </w:rPr>
        <w:t xml:space="preserve"> 中小企业证明材料</w:t>
      </w:r>
    </w:p>
    <w:p w14:paraId="04C0D09A">
      <w:pPr>
        <w:widowControl/>
        <w:kinsoku/>
        <w:autoSpaceDE/>
        <w:autoSpaceDN/>
        <w:adjustRightInd/>
        <w:snapToGrid/>
        <w:spacing w:before="100" w:beforeAutospacing="1" w:after="100" w:afterAutospacing="1" w:line="440" w:lineRule="atLeast"/>
        <w:ind w:firstLine="482" w:firstLineChars="200"/>
        <w:jc w:val="center"/>
        <w:textAlignment w:val="auto"/>
        <w:rPr>
          <w:rFonts w:hint="eastAsia" w:ascii="宋体" w:hAnsi="宋体" w:eastAsia="宋体" w:cs="宋体"/>
          <w:b/>
          <w:snapToGrid/>
          <w:color w:val="000000"/>
          <w:kern w:val="2"/>
          <w:sz w:val="24"/>
          <w:szCs w:val="24"/>
          <w:highlight w:val="none"/>
          <w:lang w:eastAsia="zh-CN"/>
        </w:rPr>
      </w:pPr>
      <w:r>
        <w:rPr>
          <w:rFonts w:hint="eastAsia" w:ascii="宋体" w:hAnsi="宋体" w:eastAsia="宋体" w:cs="宋体"/>
          <w:b/>
          <w:bCs/>
          <w:snapToGrid/>
          <w:color w:val="000000"/>
          <w:kern w:val="2"/>
          <w:sz w:val="24"/>
          <w:szCs w:val="24"/>
          <w:highlight w:val="none"/>
          <w:lang w:eastAsia="zh-CN"/>
        </w:rPr>
        <w:t>（</w:t>
      </w:r>
      <w:r>
        <w:rPr>
          <w:rFonts w:hint="eastAsia" w:ascii="宋体" w:hAnsi="宋体" w:eastAsia="宋体" w:cs="宋体"/>
          <w:b/>
          <w:bCs/>
          <w:snapToGrid/>
          <w:color w:val="000000"/>
          <w:kern w:val="2"/>
          <w:sz w:val="24"/>
          <w:szCs w:val="24"/>
          <w:highlight w:val="none"/>
          <w:lang w:val="en-US" w:eastAsia="zh-CN"/>
        </w:rPr>
        <w:t>1</w:t>
      </w:r>
      <w:r>
        <w:rPr>
          <w:rFonts w:hint="eastAsia" w:ascii="宋体" w:hAnsi="宋体" w:eastAsia="宋体" w:cs="宋体"/>
          <w:b/>
          <w:bCs/>
          <w:snapToGrid/>
          <w:color w:val="000000"/>
          <w:kern w:val="2"/>
          <w:sz w:val="24"/>
          <w:szCs w:val="24"/>
          <w:highlight w:val="none"/>
          <w:lang w:eastAsia="zh-CN"/>
        </w:rPr>
        <w:t xml:space="preserve"> )中小企业声明函（货物）</w:t>
      </w:r>
    </w:p>
    <w:p w14:paraId="0A759925">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 xml:space="preserve">本公司（联合体）郑重声明，根据《政府采购促进中小企业发展管理办法》（财库﹝2020﹞46 号）的规定，本公司（联合体）参加 </w:t>
      </w:r>
      <w:r>
        <w:rPr>
          <w:rFonts w:hint="eastAsia" w:ascii="宋体" w:hAnsi="宋体" w:eastAsia="宋体" w:cs="宋体"/>
          <w:bCs/>
          <w:snapToGrid/>
          <w:color w:val="000000"/>
          <w:kern w:val="2"/>
          <w:szCs w:val="21"/>
          <w:highlight w:val="none"/>
          <w:u w:val="single"/>
          <w:lang w:eastAsia="zh-CN"/>
        </w:rPr>
        <w:t>（单位名称）</w:t>
      </w:r>
      <w:r>
        <w:rPr>
          <w:rFonts w:hint="eastAsia" w:ascii="宋体" w:hAnsi="宋体" w:eastAsia="宋体" w:cs="宋体"/>
          <w:bCs/>
          <w:snapToGrid/>
          <w:color w:val="000000"/>
          <w:kern w:val="2"/>
          <w:szCs w:val="21"/>
          <w:highlight w:val="none"/>
          <w:lang w:eastAsia="zh-CN"/>
        </w:rPr>
        <w:t xml:space="preserve"> 的</w:t>
      </w:r>
      <w:r>
        <w:rPr>
          <w:rFonts w:hint="eastAsia" w:ascii="宋体" w:hAnsi="宋体" w:eastAsia="宋体" w:cs="宋体"/>
          <w:bCs/>
          <w:snapToGrid/>
          <w:color w:val="000000"/>
          <w:kern w:val="2"/>
          <w:szCs w:val="21"/>
          <w:highlight w:val="none"/>
          <w:u w:val="single"/>
          <w:lang w:eastAsia="zh-CN"/>
        </w:rPr>
        <w:t xml:space="preserve"> （项目名称） </w:t>
      </w:r>
      <w:r>
        <w:rPr>
          <w:rFonts w:hint="eastAsia" w:ascii="宋体" w:hAnsi="宋体" w:eastAsia="宋体" w:cs="宋体"/>
          <w:bCs/>
          <w:snapToGrid/>
          <w:color w:val="000000"/>
          <w:kern w:val="2"/>
          <w:szCs w:val="21"/>
          <w:highlight w:val="none"/>
          <w:lang w:eastAsia="zh-CN"/>
        </w:rPr>
        <w:t>采购活动，提供的货物全部由符合政策要求的中小企业制造。相关企业（含联合体中的中小企业、签订分包意向协议的中小企业）的具体情况如下：</w:t>
      </w:r>
    </w:p>
    <w:p w14:paraId="49C7BEC9">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 xml:space="preserve">1. </w:t>
      </w:r>
      <w:r>
        <w:rPr>
          <w:rFonts w:hint="eastAsia" w:ascii="宋体" w:hAnsi="宋体" w:eastAsia="宋体" w:cs="宋体"/>
          <w:bCs/>
          <w:snapToGrid/>
          <w:color w:val="000000"/>
          <w:kern w:val="2"/>
          <w:szCs w:val="21"/>
          <w:highlight w:val="none"/>
          <w:u w:val="single"/>
          <w:lang w:eastAsia="zh-CN"/>
        </w:rPr>
        <w:t>（标的名称）</w:t>
      </w:r>
      <w:r>
        <w:rPr>
          <w:rFonts w:hint="eastAsia" w:ascii="宋体" w:hAnsi="宋体" w:eastAsia="宋体" w:cs="宋体"/>
          <w:bCs/>
          <w:snapToGrid/>
          <w:color w:val="000000"/>
          <w:kern w:val="2"/>
          <w:szCs w:val="21"/>
          <w:highlight w:val="none"/>
          <w:lang w:eastAsia="zh-CN"/>
        </w:rPr>
        <w:t xml:space="preserve"> ，属于</w:t>
      </w:r>
      <w:r>
        <w:rPr>
          <w:rFonts w:hint="eastAsia" w:ascii="宋体" w:hAnsi="宋体" w:eastAsia="宋体" w:cs="宋体"/>
          <w:bCs/>
          <w:snapToGrid/>
          <w:color w:val="000000"/>
          <w:kern w:val="2"/>
          <w:szCs w:val="21"/>
          <w:highlight w:val="none"/>
          <w:u w:val="single"/>
          <w:lang w:eastAsia="zh-CN"/>
        </w:rPr>
        <w:t xml:space="preserve"> （采购文件中明确的所属行业）</w:t>
      </w:r>
      <w:r>
        <w:rPr>
          <w:rFonts w:hint="eastAsia" w:ascii="宋体" w:hAnsi="宋体" w:eastAsia="宋体" w:cs="宋体"/>
          <w:bCs/>
          <w:snapToGrid/>
          <w:color w:val="000000"/>
          <w:kern w:val="2"/>
          <w:szCs w:val="21"/>
          <w:highlight w:val="none"/>
          <w:lang w:eastAsia="zh-CN"/>
        </w:rPr>
        <w:t>行业 ；制造商为</w:t>
      </w:r>
      <w:r>
        <w:rPr>
          <w:rFonts w:hint="eastAsia" w:ascii="宋体" w:hAnsi="宋体" w:eastAsia="宋体" w:cs="宋体"/>
          <w:bCs/>
          <w:snapToGrid/>
          <w:color w:val="000000"/>
          <w:kern w:val="2"/>
          <w:szCs w:val="21"/>
          <w:highlight w:val="none"/>
          <w:u w:val="single"/>
          <w:lang w:eastAsia="zh-CN"/>
        </w:rPr>
        <w:t xml:space="preserve"> （企业名称） </w:t>
      </w:r>
      <w:r>
        <w:rPr>
          <w:rFonts w:hint="eastAsia" w:ascii="宋体" w:hAnsi="宋体" w:eastAsia="宋体" w:cs="宋体"/>
          <w:bCs/>
          <w:snapToGrid/>
          <w:color w:val="000000"/>
          <w:kern w:val="2"/>
          <w:szCs w:val="21"/>
          <w:highlight w:val="none"/>
          <w:lang w:eastAsia="zh-CN"/>
        </w:rPr>
        <w:t>，从业人员</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人，营业收入为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万元，资产总额为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w:t>
      </w:r>
      <w:r>
        <w:rPr>
          <w:rFonts w:hint="eastAsia" w:ascii="宋体" w:hAnsi="宋体" w:eastAsia="宋体" w:cs="宋体"/>
          <w:bCs/>
          <w:snapToGrid/>
          <w:color w:val="000000"/>
          <w:kern w:val="2"/>
          <w:szCs w:val="21"/>
          <w:highlight w:val="none"/>
          <w:vertAlign w:val="superscript"/>
          <w:lang w:eastAsia="zh-CN"/>
        </w:rPr>
        <w:t>1</w:t>
      </w:r>
      <w:r>
        <w:rPr>
          <w:rFonts w:hint="eastAsia" w:ascii="宋体" w:hAnsi="宋体" w:eastAsia="宋体" w:cs="宋体"/>
          <w:bCs/>
          <w:snapToGrid/>
          <w:color w:val="000000"/>
          <w:kern w:val="2"/>
          <w:szCs w:val="21"/>
          <w:highlight w:val="none"/>
          <w:lang w:eastAsia="zh-CN"/>
        </w:rPr>
        <w:t>，属于</w:t>
      </w:r>
      <w:r>
        <w:rPr>
          <w:rFonts w:hint="eastAsia" w:ascii="宋体" w:hAnsi="宋体" w:eastAsia="宋体" w:cs="宋体"/>
          <w:bCs/>
          <w:snapToGrid/>
          <w:color w:val="000000"/>
          <w:kern w:val="2"/>
          <w:szCs w:val="21"/>
          <w:highlight w:val="none"/>
          <w:u w:val="single"/>
          <w:lang w:eastAsia="zh-CN"/>
        </w:rPr>
        <w:t>（中型企业、小型企业、微型企业）</w:t>
      </w:r>
      <w:r>
        <w:rPr>
          <w:rFonts w:hint="eastAsia" w:ascii="宋体" w:hAnsi="宋体" w:eastAsia="宋体" w:cs="宋体"/>
          <w:bCs/>
          <w:snapToGrid/>
          <w:color w:val="000000"/>
          <w:kern w:val="2"/>
          <w:szCs w:val="21"/>
          <w:highlight w:val="none"/>
          <w:lang w:eastAsia="zh-CN"/>
        </w:rPr>
        <w:t>；</w:t>
      </w:r>
    </w:p>
    <w:p w14:paraId="6A94C5E0">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 xml:space="preserve">2. </w:t>
      </w:r>
      <w:r>
        <w:rPr>
          <w:rFonts w:hint="eastAsia" w:ascii="宋体" w:hAnsi="宋体" w:eastAsia="宋体" w:cs="宋体"/>
          <w:bCs/>
          <w:snapToGrid/>
          <w:color w:val="000000"/>
          <w:kern w:val="2"/>
          <w:szCs w:val="21"/>
          <w:highlight w:val="none"/>
          <w:u w:val="single"/>
          <w:lang w:eastAsia="zh-CN"/>
        </w:rPr>
        <w:t xml:space="preserve">（标的名称） </w:t>
      </w:r>
      <w:r>
        <w:rPr>
          <w:rFonts w:hint="eastAsia" w:ascii="宋体" w:hAnsi="宋体" w:eastAsia="宋体" w:cs="宋体"/>
          <w:bCs/>
          <w:snapToGrid/>
          <w:color w:val="000000"/>
          <w:kern w:val="2"/>
          <w:szCs w:val="21"/>
          <w:highlight w:val="none"/>
          <w:lang w:eastAsia="zh-CN"/>
        </w:rPr>
        <w:t>，属于</w:t>
      </w:r>
      <w:r>
        <w:rPr>
          <w:rFonts w:hint="eastAsia" w:ascii="宋体" w:hAnsi="宋体" w:eastAsia="宋体" w:cs="宋体"/>
          <w:bCs/>
          <w:snapToGrid/>
          <w:color w:val="000000"/>
          <w:kern w:val="2"/>
          <w:szCs w:val="21"/>
          <w:highlight w:val="none"/>
          <w:u w:val="single"/>
          <w:lang w:eastAsia="zh-CN"/>
        </w:rPr>
        <w:t xml:space="preserve"> （采购文件中明确的所属行业）</w:t>
      </w:r>
      <w:r>
        <w:rPr>
          <w:rFonts w:hint="eastAsia" w:ascii="宋体" w:hAnsi="宋体" w:eastAsia="宋体" w:cs="宋体"/>
          <w:bCs/>
          <w:snapToGrid/>
          <w:color w:val="000000"/>
          <w:kern w:val="2"/>
          <w:szCs w:val="21"/>
          <w:highlight w:val="none"/>
          <w:lang w:eastAsia="zh-CN"/>
        </w:rPr>
        <w:t>行业 ；制造商为</w:t>
      </w:r>
      <w:r>
        <w:rPr>
          <w:rFonts w:hint="eastAsia" w:ascii="宋体" w:hAnsi="宋体" w:eastAsia="宋体" w:cs="宋体"/>
          <w:bCs/>
          <w:snapToGrid/>
          <w:color w:val="000000"/>
          <w:kern w:val="2"/>
          <w:szCs w:val="21"/>
          <w:highlight w:val="none"/>
          <w:u w:val="single"/>
          <w:lang w:eastAsia="zh-CN"/>
        </w:rPr>
        <w:t xml:space="preserve"> （企业名称） </w:t>
      </w:r>
      <w:r>
        <w:rPr>
          <w:rFonts w:hint="eastAsia" w:ascii="宋体" w:hAnsi="宋体" w:eastAsia="宋体" w:cs="宋体"/>
          <w:bCs/>
          <w:snapToGrid/>
          <w:color w:val="000000"/>
          <w:kern w:val="2"/>
          <w:szCs w:val="21"/>
          <w:highlight w:val="none"/>
          <w:lang w:eastAsia="zh-CN"/>
        </w:rPr>
        <w:t>，从业人员</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人，营业收入为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万元，资产总额为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万元，属于 （中型企业、小型企业、微型企业） ；</w:t>
      </w:r>
    </w:p>
    <w:p w14:paraId="0056BF00">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w:t>
      </w:r>
    </w:p>
    <w:p w14:paraId="2B5F402F">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以上企业，不属于大企业的分支机构，不存在控股股东为大企业的情形，也不存在与大企业的负责人为同一人的情形。</w:t>
      </w:r>
    </w:p>
    <w:p w14:paraId="2769E1C1">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本企业对上述声明内容的真实性负责。如有虚假，将依法承担相应责任。</w:t>
      </w:r>
    </w:p>
    <w:p w14:paraId="5451F954">
      <w:pPr>
        <w:widowControl/>
        <w:kinsoku/>
        <w:autoSpaceDE/>
        <w:autoSpaceDN/>
        <w:adjustRightInd/>
        <w:snapToGrid/>
        <w:spacing w:before="100" w:beforeAutospacing="1" w:after="100" w:afterAutospacing="1" w:line="440" w:lineRule="atLeast"/>
        <w:ind w:firstLine="5411" w:firstLineChars="2577"/>
        <w:jc w:val="left"/>
        <w:textAlignment w:val="auto"/>
        <w:rPr>
          <w:rFonts w:hint="eastAsia" w:ascii="宋体" w:hAnsi="宋体" w:eastAsia="宋体" w:cs="宋体"/>
          <w:bCs/>
          <w:snapToGrid/>
          <w:color w:val="000000"/>
          <w:kern w:val="2"/>
          <w:sz w:val="22"/>
          <w:szCs w:val="22"/>
          <w:highlight w:val="none"/>
          <w:lang w:eastAsia="zh-CN"/>
        </w:rPr>
      </w:pPr>
      <w:r>
        <w:rPr>
          <w:rFonts w:hint="eastAsia" w:ascii="宋体" w:hAnsi="宋体" w:eastAsia="宋体" w:cs="宋体"/>
          <w:bCs/>
          <w:snapToGrid/>
          <w:color w:val="000000"/>
          <w:kern w:val="2"/>
          <w:szCs w:val="21"/>
          <w:highlight w:val="none"/>
          <w:lang w:eastAsia="zh-CN"/>
        </w:rPr>
        <w:t>企业名称（盖章</w:t>
      </w:r>
      <w:r>
        <w:rPr>
          <w:rFonts w:hint="eastAsia" w:ascii="宋体" w:hAnsi="宋体" w:eastAsia="宋体" w:cs="宋体"/>
          <w:bCs/>
          <w:snapToGrid/>
          <w:color w:val="000000"/>
          <w:kern w:val="2"/>
          <w:sz w:val="22"/>
          <w:szCs w:val="22"/>
          <w:highlight w:val="none"/>
          <w:lang w:eastAsia="zh-CN"/>
        </w:rPr>
        <w:t>）：</w:t>
      </w:r>
    </w:p>
    <w:p w14:paraId="0E682403">
      <w:pPr>
        <w:widowControl/>
        <w:kinsoku/>
        <w:autoSpaceDE/>
        <w:autoSpaceDN/>
        <w:adjustRightInd/>
        <w:snapToGrid/>
        <w:spacing w:before="100" w:beforeAutospacing="1" w:after="100" w:afterAutospacing="1" w:line="440" w:lineRule="atLeast"/>
        <w:ind w:firstLine="5669" w:firstLineChars="2577"/>
        <w:jc w:val="left"/>
        <w:textAlignment w:val="auto"/>
        <w:rPr>
          <w:rFonts w:hint="eastAsia" w:ascii="宋体" w:hAnsi="宋体" w:eastAsia="宋体" w:cs="宋体"/>
          <w:bCs/>
          <w:snapToGrid/>
          <w:color w:val="000000"/>
          <w:kern w:val="2"/>
          <w:sz w:val="22"/>
          <w:szCs w:val="22"/>
          <w:highlight w:val="none"/>
          <w:lang w:eastAsia="zh-CN"/>
        </w:rPr>
      </w:pPr>
      <w:r>
        <w:rPr>
          <w:rFonts w:hint="eastAsia" w:ascii="宋体" w:hAnsi="宋体" w:eastAsia="宋体" w:cs="宋体"/>
          <w:bCs/>
          <w:snapToGrid/>
          <w:color w:val="000000"/>
          <w:kern w:val="2"/>
          <w:sz w:val="22"/>
          <w:szCs w:val="22"/>
          <w:highlight w:val="none"/>
          <w:lang w:eastAsia="zh-CN"/>
        </w:rPr>
        <w:t>日 期：</w:t>
      </w:r>
    </w:p>
    <w:p w14:paraId="288DC3C4">
      <w:pPr>
        <w:widowControl w:val="0"/>
        <w:tabs>
          <w:tab w:val="left" w:pos="4860"/>
        </w:tabs>
        <w:kinsoku/>
        <w:autoSpaceDE/>
        <w:autoSpaceDN/>
        <w:adjustRightInd/>
        <w:snapToGrid/>
        <w:spacing w:line="360" w:lineRule="exact"/>
        <w:ind w:right="113" w:firstLine="422" w:firstLineChars="200"/>
        <w:jc w:val="left"/>
        <w:textAlignment w:val="auto"/>
        <w:rPr>
          <w:rFonts w:hint="eastAsia" w:ascii="宋体" w:hAnsi="宋体" w:eastAsia="宋体" w:cs="宋体"/>
          <w:b/>
          <w:snapToGrid/>
          <w:color w:val="000000"/>
          <w:kern w:val="2"/>
          <w:szCs w:val="24"/>
          <w:highlight w:val="none"/>
          <w:lang w:eastAsia="zh-CN"/>
        </w:rPr>
      </w:pPr>
    </w:p>
    <w:p w14:paraId="2E4AD465">
      <w:pPr>
        <w:widowControl w:val="0"/>
        <w:autoSpaceDE w:val="0"/>
        <w:autoSpaceDN w:val="0"/>
        <w:adjustRightInd w:val="0"/>
        <w:spacing w:after="120" w:afterLines="0" w:line="360" w:lineRule="auto"/>
        <w:ind w:firstLine="321" w:firstLineChars="100"/>
        <w:jc w:val="left"/>
        <w:rPr>
          <w:rFonts w:hint="eastAsia" w:ascii="宋体" w:hAnsi="宋体" w:eastAsia="宋体" w:cs="宋体"/>
          <w:b/>
          <w:color w:val="000000"/>
          <w:kern w:val="0"/>
          <w:sz w:val="32"/>
          <w:szCs w:val="32"/>
          <w:highlight w:val="none"/>
          <w:lang w:val="en-US" w:eastAsia="zh-CN" w:bidi="ar-SA"/>
        </w:rPr>
      </w:pPr>
    </w:p>
    <w:p w14:paraId="047794B4">
      <w:pPr>
        <w:widowControl w:val="0"/>
        <w:autoSpaceDE w:val="0"/>
        <w:autoSpaceDN w:val="0"/>
        <w:adjustRightInd w:val="0"/>
        <w:spacing w:after="120" w:afterLines="0" w:line="360" w:lineRule="auto"/>
        <w:ind w:firstLine="321" w:firstLineChars="100"/>
        <w:jc w:val="left"/>
        <w:rPr>
          <w:rFonts w:hint="eastAsia" w:ascii="宋体" w:hAnsi="宋体" w:eastAsia="宋体" w:cs="宋体"/>
          <w:b/>
          <w:color w:val="000000"/>
          <w:kern w:val="0"/>
          <w:sz w:val="32"/>
          <w:szCs w:val="32"/>
          <w:highlight w:val="none"/>
          <w:lang w:val="en-US" w:eastAsia="zh-CN" w:bidi="ar-SA"/>
        </w:rPr>
      </w:pPr>
    </w:p>
    <w:p w14:paraId="670C27E2">
      <w:pPr>
        <w:widowControl w:val="0"/>
        <w:autoSpaceDE w:val="0"/>
        <w:autoSpaceDN w:val="0"/>
        <w:adjustRightInd w:val="0"/>
        <w:spacing w:after="120" w:afterLines="0" w:line="360" w:lineRule="auto"/>
        <w:ind w:firstLine="321" w:firstLineChars="100"/>
        <w:jc w:val="left"/>
        <w:rPr>
          <w:rFonts w:hint="eastAsia" w:ascii="宋体" w:hAnsi="宋体" w:eastAsia="宋体" w:cs="宋体"/>
          <w:b/>
          <w:color w:val="000000"/>
          <w:kern w:val="0"/>
          <w:sz w:val="32"/>
          <w:szCs w:val="32"/>
          <w:highlight w:val="none"/>
          <w:lang w:val="en-US" w:eastAsia="zh-CN" w:bidi="ar-SA"/>
        </w:rPr>
      </w:pPr>
    </w:p>
    <w:p w14:paraId="2F893FE7">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注1.从业人员、营业收入、资产总额填报上一年度数据，无上一年度数据的新成立企业可不填报。</w:t>
      </w:r>
    </w:p>
    <w:p w14:paraId="4EDD42ED">
      <w:pPr>
        <w:widowControl w:val="0"/>
        <w:autoSpaceDE w:val="0"/>
        <w:autoSpaceDN w:val="0"/>
        <w:adjustRightInd w:val="0"/>
        <w:spacing w:after="120" w:afterLines="0" w:line="360" w:lineRule="auto"/>
        <w:ind w:firstLine="321" w:firstLineChars="100"/>
        <w:jc w:val="left"/>
        <w:rPr>
          <w:rFonts w:hint="eastAsia" w:ascii="宋体" w:hAnsi="宋体" w:eastAsia="宋体" w:cs="宋体"/>
          <w:b/>
          <w:color w:val="000000"/>
          <w:kern w:val="0"/>
          <w:sz w:val="32"/>
          <w:szCs w:val="32"/>
          <w:highlight w:val="none"/>
          <w:lang w:val="en-US" w:eastAsia="zh-CN" w:bidi="ar-SA"/>
        </w:rPr>
      </w:pPr>
    </w:p>
    <w:p w14:paraId="39082708">
      <w:pPr>
        <w:widowControl/>
        <w:spacing w:before="100" w:beforeAutospacing="1" w:after="100" w:afterAutospacing="1" w:line="440" w:lineRule="atLeast"/>
        <w:ind w:firstLine="482"/>
        <w:jc w:val="center"/>
        <w:rPr>
          <w:rFonts w:hint="eastAsia" w:ascii="宋体" w:hAnsi="宋体" w:eastAsia="宋体" w:cs="宋体"/>
          <w:b/>
          <w:bCs/>
          <w:color w:val="000000"/>
          <w:sz w:val="24"/>
          <w:highlight w:val="none"/>
        </w:rPr>
        <w:sectPr>
          <w:pgSz w:w="11906" w:h="16838"/>
          <w:pgMar w:top="1134" w:right="1134" w:bottom="1134" w:left="1134" w:header="851" w:footer="992" w:gutter="0"/>
          <w:pgNumType w:fmt="decimal"/>
          <w:cols w:space="720" w:num="1"/>
          <w:docGrid w:linePitch="312" w:charSpace="0"/>
        </w:sectPr>
      </w:pPr>
    </w:p>
    <w:p w14:paraId="21F7BD94">
      <w:pPr>
        <w:widowControl/>
        <w:kinsoku/>
        <w:autoSpaceDE/>
        <w:autoSpaceDN/>
        <w:adjustRightInd/>
        <w:snapToGrid/>
        <w:spacing w:before="100" w:beforeAutospacing="1" w:after="100" w:afterAutospacing="1" w:line="440" w:lineRule="atLeast"/>
        <w:ind w:firstLine="482" w:firstLineChars="200"/>
        <w:jc w:val="center"/>
        <w:textAlignment w:val="auto"/>
        <w:rPr>
          <w:rFonts w:hint="eastAsia" w:ascii="宋体" w:hAnsi="宋体" w:eastAsia="宋体" w:cs="宋体"/>
          <w:b/>
          <w:snapToGrid/>
          <w:color w:val="000000"/>
          <w:kern w:val="2"/>
          <w:sz w:val="24"/>
          <w:szCs w:val="24"/>
          <w:highlight w:val="none"/>
          <w:lang w:eastAsia="zh-CN"/>
        </w:rPr>
      </w:pPr>
      <w:r>
        <w:rPr>
          <w:rFonts w:hint="eastAsia" w:ascii="宋体" w:hAnsi="宋体" w:eastAsia="宋体" w:cs="宋体"/>
          <w:b/>
          <w:bCs/>
          <w:snapToGrid/>
          <w:color w:val="000000"/>
          <w:kern w:val="2"/>
          <w:sz w:val="24"/>
          <w:szCs w:val="24"/>
          <w:highlight w:val="none"/>
          <w:lang w:eastAsia="zh-CN"/>
        </w:rPr>
        <w:t>（</w:t>
      </w:r>
      <w:r>
        <w:rPr>
          <w:rFonts w:hint="eastAsia" w:ascii="宋体" w:hAnsi="宋体" w:eastAsia="宋体" w:cs="宋体"/>
          <w:b/>
          <w:bCs/>
          <w:snapToGrid/>
          <w:color w:val="000000"/>
          <w:kern w:val="2"/>
          <w:sz w:val="24"/>
          <w:szCs w:val="24"/>
          <w:highlight w:val="none"/>
          <w:lang w:val="en-US" w:eastAsia="zh-CN"/>
        </w:rPr>
        <w:t>2</w:t>
      </w:r>
      <w:r>
        <w:rPr>
          <w:rFonts w:hint="eastAsia" w:ascii="宋体" w:hAnsi="宋体" w:eastAsia="宋体" w:cs="宋体"/>
          <w:b/>
          <w:bCs/>
          <w:snapToGrid/>
          <w:color w:val="000000"/>
          <w:kern w:val="2"/>
          <w:sz w:val="24"/>
          <w:szCs w:val="24"/>
          <w:highlight w:val="none"/>
          <w:lang w:eastAsia="zh-CN"/>
        </w:rPr>
        <w:t>）中小企业声明函（工程、服务）</w:t>
      </w:r>
    </w:p>
    <w:p w14:paraId="5F68AFF3">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 xml:space="preserve">本公司（联合体）郑重声明，根据《政府采购促进中小企业发展管理办法》（财库﹝2020﹞46 号）的规定，本公司（联合体）参加 </w:t>
      </w:r>
      <w:r>
        <w:rPr>
          <w:rFonts w:hint="eastAsia" w:ascii="宋体" w:hAnsi="宋体" w:eastAsia="宋体" w:cs="宋体"/>
          <w:bCs/>
          <w:snapToGrid/>
          <w:color w:val="000000"/>
          <w:kern w:val="2"/>
          <w:szCs w:val="21"/>
          <w:highlight w:val="none"/>
          <w:u w:val="single"/>
          <w:lang w:eastAsia="zh-CN"/>
        </w:rPr>
        <w:t>（单位名称）</w:t>
      </w:r>
      <w:r>
        <w:rPr>
          <w:rFonts w:hint="eastAsia" w:ascii="宋体" w:hAnsi="宋体" w:eastAsia="宋体" w:cs="宋体"/>
          <w:bCs/>
          <w:snapToGrid/>
          <w:color w:val="000000"/>
          <w:kern w:val="2"/>
          <w:szCs w:val="21"/>
          <w:highlight w:val="none"/>
          <w:lang w:eastAsia="zh-CN"/>
        </w:rPr>
        <w:t xml:space="preserve"> 的</w:t>
      </w:r>
      <w:r>
        <w:rPr>
          <w:rFonts w:hint="eastAsia" w:ascii="宋体" w:hAnsi="宋体" w:eastAsia="宋体" w:cs="宋体"/>
          <w:bCs/>
          <w:snapToGrid/>
          <w:color w:val="000000"/>
          <w:kern w:val="2"/>
          <w:szCs w:val="21"/>
          <w:highlight w:val="none"/>
          <w:u w:val="single"/>
          <w:lang w:eastAsia="zh-CN"/>
        </w:rPr>
        <w:t xml:space="preserve"> （项目名称） </w:t>
      </w:r>
      <w:r>
        <w:rPr>
          <w:rFonts w:hint="eastAsia" w:ascii="宋体" w:hAnsi="宋体" w:eastAsia="宋体" w:cs="宋体"/>
          <w:bCs/>
          <w:snapToGrid/>
          <w:color w:val="000000"/>
          <w:kern w:val="2"/>
          <w:szCs w:val="21"/>
          <w:highlight w:val="none"/>
          <w:lang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1740FC57">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 xml:space="preserve">1. </w:t>
      </w:r>
      <w:r>
        <w:rPr>
          <w:rFonts w:hint="eastAsia" w:ascii="宋体" w:hAnsi="宋体" w:eastAsia="宋体" w:cs="宋体"/>
          <w:bCs/>
          <w:snapToGrid/>
          <w:color w:val="000000"/>
          <w:kern w:val="2"/>
          <w:szCs w:val="21"/>
          <w:highlight w:val="none"/>
          <w:u w:val="single"/>
          <w:lang w:eastAsia="zh-CN"/>
        </w:rPr>
        <w:t>（标的名称）</w:t>
      </w:r>
      <w:r>
        <w:rPr>
          <w:rFonts w:hint="eastAsia" w:ascii="宋体" w:hAnsi="宋体" w:eastAsia="宋体" w:cs="宋体"/>
          <w:bCs/>
          <w:snapToGrid/>
          <w:color w:val="000000"/>
          <w:kern w:val="2"/>
          <w:szCs w:val="21"/>
          <w:highlight w:val="none"/>
          <w:lang w:eastAsia="zh-CN"/>
        </w:rPr>
        <w:t xml:space="preserve"> ，属于</w:t>
      </w:r>
      <w:r>
        <w:rPr>
          <w:rFonts w:hint="eastAsia" w:ascii="宋体" w:hAnsi="宋体" w:eastAsia="宋体" w:cs="宋体"/>
          <w:bCs/>
          <w:snapToGrid/>
          <w:color w:val="000000"/>
          <w:kern w:val="2"/>
          <w:szCs w:val="21"/>
          <w:highlight w:val="none"/>
          <w:u w:val="single"/>
          <w:lang w:eastAsia="zh-CN"/>
        </w:rPr>
        <w:t xml:space="preserve"> （采购文件中明确的所属行业）</w:t>
      </w:r>
      <w:r>
        <w:rPr>
          <w:rFonts w:hint="eastAsia" w:ascii="宋体" w:hAnsi="宋体" w:eastAsia="宋体" w:cs="宋体"/>
          <w:bCs/>
          <w:snapToGrid/>
          <w:color w:val="000000"/>
          <w:kern w:val="2"/>
          <w:szCs w:val="21"/>
          <w:highlight w:val="none"/>
          <w:lang w:eastAsia="zh-CN"/>
        </w:rPr>
        <w:t>行业 ；承建（承接）企业为</w:t>
      </w:r>
      <w:r>
        <w:rPr>
          <w:rFonts w:hint="eastAsia" w:ascii="宋体" w:hAnsi="宋体" w:eastAsia="宋体" w:cs="宋体"/>
          <w:bCs/>
          <w:snapToGrid/>
          <w:color w:val="000000"/>
          <w:kern w:val="2"/>
          <w:szCs w:val="21"/>
          <w:highlight w:val="none"/>
          <w:u w:val="single"/>
          <w:lang w:eastAsia="zh-CN"/>
        </w:rPr>
        <w:t xml:space="preserve"> （企业名称） </w:t>
      </w:r>
      <w:r>
        <w:rPr>
          <w:rFonts w:hint="eastAsia" w:ascii="宋体" w:hAnsi="宋体" w:eastAsia="宋体" w:cs="宋体"/>
          <w:bCs/>
          <w:snapToGrid/>
          <w:color w:val="000000"/>
          <w:kern w:val="2"/>
          <w:szCs w:val="21"/>
          <w:highlight w:val="none"/>
          <w:lang w:eastAsia="zh-CN"/>
        </w:rPr>
        <w:t>，从业人员</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人，营业收入为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万元，资产总额为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w:t>
      </w:r>
      <w:r>
        <w:rPr>
          <w:rFonts w:hint="eastAsia" w:ascii="宋体" w:hAnsi="宋体" w:eastAsia="宋体" w:cs="宋体"/>
          <w:bCs/>
          <w:snapToGrid/>
          <w:color w:val="000000"/>
          <w:kern w:val="2"/>
          <w:szCs w:val="21"/>
          <w:highlight w:val="none"/>
          <w:vertAlign w:val="superscript"/>
          <w:lang w:eastAsia="zh-CN"/>
        </w:rPr>
        <w:t>1</w:t>
      </w:r>
      <w:r>
        <w:rPr>
          <w:rFonts w:hint="eastAsia" w:ascii="宋体" w:hAnsi="宋体" w:eastAsia="宋体" w:cs="宋体"/>
          <w:bCs/>
          <w:snapToGrid/>
          <w:color w:val="000000"/>
          <w:kern w:val="2"/>
          <w:szCs w:val="21"/>
          <w:highlight w:val="none"/>
          <w:lang w:eastAsia="zh-CN"/>
        </w:rPr>
        <w:t>，属于</w:t>
      </w:r>
      <w:r>
        <w:rPr>
          <w:rFonts w:hint="eastAsia" w:ascii="宋体" w:hAnsi="宋体" w:eastAsia="宋体" w:cs="宋体"/>
          <w:bCs/>
          <w:snapToGrid/>
          <w:color w:val="000000"/>
          <w:kern w:val="2"/>
          <w:szCs w:val="21"/>
          <w:highlight w:val="none"/>
          <w:u w:val="single"/>
          <w:lang w:eastAsia="zh-CN"/>
        </w:rPr>
        <w:t>（中型企业、小型企业、微型企业）</w:t>
      </w:r>
      <w:r>
        <w:rPr>
          <w:rFonts w:hint="eastAsia" w:ascii="宋体" w:hAnsi="宋体" w:eastAsia="宋体" w:cs="宋体"/>
          <w:bCs/>
          <w:snapToGrid/>
          <w:color w:val="000000"/>
          <w:kern w:val="2"/>
          <w:szCs w:val="21"/>
          <w:highlight w:val="none"/>
          <w:lang w:eastAsia="zh-CN"/>
        </w:rPr>
        <w:t>；</w:t>
      </w:r>
    </w:p>
    <w:p w14:paraId="7C628E35">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 xml:space="preserve">2. </w:t>
      </w:r>
      <w:r>
        <w:rPr>
          <w:rFonts w:hint="eastAsia" w:ascii="宋体" w:hAnsi="宋体" w:eastAsia="宋体" w:cs="宋体"/>
          <w:bCs/>
          <w:snapToGrid/>
          <w:color w:val="000000"/>
          <w:kern w:val="2"/>
          <w:szCs w:val="21"/>
          <w:highlight w:val="none"/>
          <w:u w:val="single"/>
          <w:lang w:eastAsia="zh-CN"/>
        </w:rPr>
        <w:t xml:space="preserve">（标的名称） </w:t>
      </w:r>
      <w:r>
        <w:rPr>
          <w:rFonts w:hint="eastAsia" w:ascii="宋体" w:hAnsi="宋体" w:eastAsia="宋体" w:cs="宋体"/>
          <w:bCs/>
          <w:snapToGrid/>
          <w:color w:val="000000"/>
          <w:kern w:val="2"/>
          <w:szCs w:val="21"/>
          <w:highlight w:val="none"/>
          <w:lang w:eastAsia="zh-CN"/>
        </w:rPr>
        <w:t>，属于</w:t>
      </w:r>
      <w:r>
        <w:rPr>
          <w:rFonts w:hint="eastAsia" w:ascii="宋体" w:hAnsi="宋体" w:eastAsia="宋体" w:cs="宋体"/>
          <w:bCs/>
          <w:snapToGrid/>
          <w:color w:val="000000"/>
          <w:kern w:val="2"/>
          <w:szCs w:val="21"/>
          <w:highlight w:val="none"/>
          <w:u w:val="single"/>
          <w:lang w:eastAsia="zh-CN"/>
        </w:rPr>
        <w:t xml:space="preserve"> （采购文件中明确的所属行业）</w:t>
      </w:r>
      <w:r>
        <w:rPr>
          <w:rFonts w:hint="eastAsia" w:ascii="宋体" w:hAnsi="宋体" w:eastAsia="宋体" w:cs="宋体"/>
          <w:bCs/>
          <w:snapToGrid/>
          <w:color w:val="000000"/>
          <w:kern w:val="2"/>
          <w:szCs w:val="21"/>
          <w:highlight w:val="none"/>
          <w:lang w:eastAsia="zh-CN"/>
        </w:rPr>
        <w:t>行业 ；承建（承接）企业为</w:t>
      </w:r>
      <w:r>
        <w:rPr>
          <w:rFonts w:hint="eastAsia" w:ascii="宋体" w:hAnsi="宋体" w:eastAsia="宋体" w:cs="宋体"/>
          <w:bCs/>
          <w:snapToGrid/>
          <w:color w:val="000000"/>
          <w:kern w:val="2"/>
          <w:szCs w:val="21"/>
          <w:highlight w:val="none"/>
          <w:u w:val="single"/>
          <w:lang w:eastAsia="zh-CN"/>
        </w:rPr>
        <w:t xml:space="preserve">（企业名称） </w:t>
      </w:r>
      <w:r>
        <w:rPr>
          <w:rFonts w:hint="eastAsia" w:ascii="宋体" w:hAnsi="宋体" w:eastAsia="宋体" w:cs="宋体"/>
          <w:bCs/>
          <w:snapToGrid/>
          <w:color w:val="000000"/>
          <w:kern w:val="2"/>
          <w:szCs w:val="21"/>
          <w:highlight w:val="none"/>
          <w:lang w:eastAsia="zh-CN"/>
        </w:rPr>
        <w:t>，从业人员</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人，营业收入为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万元，资产总额为</w:t>
      </w:r>
      <w:r>
        <w:rPr>
          <w:rFonts w:hint="eastAsia" w:ascii="宋体" w:hAnsi="宋体" w:eastAsia="宋体" w:cs="宋体"/>
          <w:bCs/>
          <w:snapToGrid/>
          <w:color w:val="000000"/>
          <w:kern w:val="2"/>
          <w:szCs w:val="21"/>
          <w:highlight w:val="none"/>
          <w:u w:val="single"/>
          <w:lang w:eastAsia="zh-CN"/>
        </w:rPr>
        <w:t xml:space="preserve">       </w:t>
      </w:r>
      <w:r>
        <w:rPr>
          <w:rFonts w:hint="eastAsia" w:ascii="宋体" w:hAnsi="宋体" w:eastAsia="宋体" w:cs="宋体"/>
          <w:bCs/>
          <w:snapToGrid/>
          <w:color w:val="000000"/>
          <w:kern w:val="2"/>
          <w:szCs w:val="21"/>
          <w:highlight w:val="none"/>
          <w:lang w:eastAsia="zh-CN"/>
        </w:rPr>
        <w:t>万元，属于 （中型企业、小型企业、微型企业） ；</w:t>
      </w:r>
    </w:p>
    <w:p w14:paraId="4290D294">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w:t>
      </w:r>
    </w:p>
    <w:p w14:paraId="77CF34C8">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以上企业，不属于大企业的分支机构，不存在控股股东为大企业的情形，也不存在与大企业的负责人为同一人的情形。</w:t>
      </w:r>
    </w:p>
    <w:p w14:paraId="3ABCB670">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本企业对上述声明内容的真实性负责。如有虚假，将依法承担相应责任。</w:t>
      </w:r>
    </w:p>
    <w:p w14:paraId="6B09BEF2">
      <w:pPr>
        <w:widowControl/>
        <w:kinsoku/>
        <w:autoSpaceDE/>
        <w:autoSpaceDN/>
        <w:adjustRightInd/>
        <w:snapToGrid/>
        <w:spacing w:line="500" w:lineRule="atLeast"/>
        <w:ind w:firstLine="5411" w:firstLineChars="2577"/>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企业名称（盖章）：</w:t>
      </w:r>
    </w:p>
    <w:p w14:paraId="705969E2">
      <w:pPr>
        <w:widowControl/>
        <w:kinsoku/>
        <w:autoSpaceDE/>
        <w:autoSpaceDN/>
        <w:adjustRightInd/>
        <w:snapToGrid/>
        <w:spacing w:line="500" w:lineRule="atLeast"/>
        <w:ind w:firstLine="5411" w:firstLineChars="2577"/>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日 期：</w:t>
      </w:r>
    </w:p>
    <w:p w14:paraId="1BE6BA4D">
      <w:pPr>
        <w:widowControl/>
        <w:tabs>
          <w:tab w:val="left" w:pos="312"/>
        </w:tabs>
        <w:kinsoku/>
        <w:autoSpaceDE/>
        <w:autoSpaceDN/>
        <w:adjustRightInd/>
        <w:snapToGrid/>
        <w:spacing w:before="100" w:beforeAutospacing="1" w:after="100" w:afterAutospacing="1" w:line="44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p>
    <w:p w14:paraId="0992D291">
      <w:pPr>
        <w:widowControl/>
        <w:tabs>
          <w:tab w:val="left" w:pos="312"/>
        </w:tabs>
        <w:kinsoku/>
        <w:autoSpaceDE/>
        <w:autoSpaceDN/>
        <w:adjustRightInd/>
        <w:snapToGrid/>
        <w:spacing w:before="100" w:beforeAutospacing="1" w:after="100" w:afterAutospacing="1" w:line="44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p>
    <w:p w14:paraId="32C7E700">
      <w:pPr>
        <w:widowControl/>
        <w:tabs>
          <w:tab w:val="left" w:pos="312"/>
        </w:tabs>
        <w:kinsoku/>
        <w:autoSpaceDE/>
        <w:autoSpaceDN/>
        <w:adjustRightInd/>
        <w:snapToGrid/>
        <w:spacing w:before="100" w:beforeAutospacing="1" w:after="100" w:afterAutospacing="1" w:line="44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p>
    <w:p w14:paraId="26D9558C">
      <w:pPr>
        <w:widowControl/>
        <w:tabs>
          <w:tab w:val="left" w:pos="312"/>
        </w:tabs>
        <w:kinsoku/>
        <w:autoSpaceDE/>
        <w:autoSpaceDN/>
        <w:adjustRightInd/>
        <w:snapToGrid/>
        <w:spacing w:before="100" w:beforeAutospacing="1" w:after="100" w:afterAutospacing="1" w:line="44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p>
    <w:p w14:paraId="44E5649A">
      <w:pPr>
        <w:widowControl/>
        <w:tabs>
          <w:tab w:val="left" w:pos="312"/>
        </w:tabs>
        <w:kinsoku/>
        <w:autoSpaceDE/>
        <w:autoSpaceDN/>
        <w:adjustRightInd/>
        <w:snapToGrid/>
        <w:spacing w:line="500" w:lineRule="atLeast"/>
        <w:ind w:firstLine="420" w:firstLineChars="200"/>
        <w:jc w:val="left"/>
        <w:textAlignment w:val="auto"/>
        <w:rPr>
          <w:rFonts w:hint="eastAsia" w:ascii="宋体" w:hAnsi="宋体" w:eastAsia="宋体" w:cs="宋体"/>
          <w:bCs/>
          <w:snapToGrid/>
          <w:color w:val="000000"/>
          <w:kern w:val="2"/>
          <w:szCs w:val="21"/>
          <w:highlight w:val="none"/>
          <w:lang w:eastAsia="zh-CN"/>
        </w:rPr>
      </w:pPr>
      <w:r>
        <w:rPr>
          <w:rFonts w:hint="eastAsia" w:ascii="宋体" w:hAnsi="宋体" w:eastAsia="宋体" w:cs="宋体"/>
          <w:bCs/>
          <w:snapToGrid/>
          <w:color w:val="000000"/>
          <w:kern w:val="2"/>
          <w:szCs w:val="21"/>
          <w:highlight w:val="none"/>
          <w:lang w:eastAsia="zh-CN"/>
        </w:rPr>
        <w:t>注1.从业人员、营业收入、资产总额填报上一年度数据，无上一年度数据的新成立企业可不填报。</w:t>
      </w:r>
    </w:p>
    <w:p w14:paraId="24746343">
      <w:pPr>
        <w:widowControl w:val="0"/>
        <w:kinsoku/>
        <w:autoSpaceDE/>
        <w:autoSpaceDN/>
        <w:adjustRightInd/>
        <w:snapToGrid/>
        <w:spacing w:line="500" w:lineRule="exact"/>
        <w:ind w:firstLine="586" w:firstLineChars="200"/>
        <w:jc w:val="center"/>
        <w:textAlignment w:val="auto"/>
        <w:rPr>
          <w:rFonts w:hint="eastAsia" w:ascii="宋体" w:hAnsi="宋体" w:eastAsia="宋体" w:cs="宋体"/>
          <w:b/>
          <w:snapToGrid/>
          <w:color w:val="000000"/>
          <w:spacing w:val="6"/>
          <w:kern w:val="2"/>
          <w:sz w:val="28"/>
          <w:szCs w:val="28"/>
          <w:highlight w:val="none"/>
          <w:lang w:eastAsia="zh-CN"/>
        </w:rPr>
      </w:pPr>
    </w:p>
    <w:p w14:paraId="2D28C04F">
      <w:pPr>
        <w:widowControl w:val="0"/>
        <w:kinsoku/>
        <w:autoSpaceDE/>
        <w:autoSpaceDN/>
        <w:adjustRightInd/>
        <w:snapToGrid/>
        <w:spacing w:line="500" w:lineRule="exact"/>
        <w:ind w:firstLine="586" w:firstLineChars="200"/>
        <w:jc w:val="center"/>
        <w:textAlignment w:val="auto"/>
        <w:rPr>
          <w:rFonts w:hint="eastAsia" w:ascii="宋体" w:hAnsi="宋体" w:eastAsia="宋体" w:cs="宋体"/>
          <w:b/>
          <w:snapToGrid/>
          <w:color w:val="000000"/>
          <w:spacing w:val="6"/>
          <w:kern w:val="2"/>
          <w:sz w:val="28"/>
          <w:szCs w:val="28"/>
          <w:highlight w:val="none"/>
          <w:lang w:eastAsia="zh-CN"/>
        </w:rPr>
      </w:pPr>
    </w:p>
    <w:p w14:paraId="212CEA9C">
      <w:pPr>
        <w:widowControl/>
        <w:spacing w:before="100" w:beforeAutospacing="1" w:after="100" w:afterAutospacing="1" w:line="440" w:lineRule="atLeast"/>
        <w:ind w:firstLine="482"/>
        <w:jc w:val="center"/>
        <w:rPr>
          <w:rFonts w:hint="eastAsia" w:ascii="宋体" w:hAnsi="宋体" w:eastAsia="宋体" w:cs="宋体"/>
          <w:b/>
          <w:bCs/>
          <w:color w:val="000000"/>
          <w:sz w:val="24"/>
          <w:highlight w:val="none"/>
        </w:rPr>
        <w:sectPr>
          <w:pgSz w:w="11906" w:h="16838"/>
          <w:pgMar w:top="1134" w:right="1134" w:bottom="1134" w:left="1134" w:header="851" w:footer="992" w:gutter="0"/>
          <w:pgNumType w:fmt="decimal"/>
          <w:cols w:space="720" w:num="1"/>
          <w:docGrid w:linePitch="312" w:charSpace="0"/>
        </w:sectPr>
      </w:pPr>
    </w:p>
    <w:p w14:paraId="60C48FF6">
      <w:pPr>
        <w:widowControl/>
        <w:kinsoku/>
        <w:autoSpaceDE/>
        <w:autoSpaceDN/>
        <w:adjustRightInd/>
        <w:snapToGrid/>
        <w:spacing w:before="100" w:beforeAutospacing="1" w:after="100" w:afterAutospacing="1" w:line="440" w:lineRule="atLeast"/>
        <w:ind w:firstLine="482" w:firstLineChars="200"/>
        <w:jc w:val="center"/>
        <w:textAlignment w:val="auto"/>
        <w:rPr>
          <w:rFonts w:hint="eastAsia" w:ascii="宋体" w:hAnsi="宋体" w:eastAsia="宋体" w:cs="宋体"/>
          <w:b/>
          <w:bCs/>
          <w:snapToGrid/>
          <w:color w:val="000000"/>
          <w:kern w:val="2"/>
          <w:sz w:val="24"/>
          <w:szCs w:val="24"/>
          <w:highlight w:val="none"/>
          <w:lang w:eastAsia="zh-CN"/>
        </w:rPr>
      </w:pPr>
      <w:r>
        <w:rPr>
          <w:rFonts w:hint="eastAsia" w:ascii="宋体" w:hAnsi="宋体" w:eastAsia="宋体" w:cs="宋体"/>
          <w:b/>
          <w:bCs/>
          <w:snapToGrid/>
          <w:color w:val="000000"/>
          <w:kern w:val="2"/>
          <w:sz w:val="24"/>
          <w:szCs w:val="24"/>
          <w:highlight w:val="none"/>
          <w:lang w:eastAsia="zh-CN"/>
        </w:rPr>
        <w:t>（</w:t>
      </w:r>
      <w:r>
        <w:rPr>
          <w:rFonts w:hint="eastAsia" w:ascii="宋体" w:hAnsi="宋体" w:eastAsia="宋体" w:cs="宋体"/>
          <w:b/>
          <w:bCs/>
          <w:snapToGrid/>
          <w:color w:val="000000"/>
          <w:kern w:val="2"/>
          <w:sz w:val="24"/>
          <w:szCs w:val="24"/>
          <w:highlight w:val="none"/>
          <w:lang w:val="en-US" w:eastAsia="zh-CN"/>
        </w:rPr>
        <w:t>3</w:t>
      </w:r>
      <w:r>
        <w:rPr>
          <w:rFonts w:hint="eastAsia" w:ascii="宋体" w:hAnsi="宋体" w:eastAsia="宋体" w:cs="宋体"/>
          <w:b/>
          <w:bCs/>
          <w:snapToGrid/>
          <w:color w:val="000000"/>
          <w:kern w:val="2"/>
          <w:sz w:val="24"/>
          <w:szCs w:val="24"/>
          <w:highlight w:val="none"/>
          <w:lang w:eastAsia="zh-CN"/>
        </w:rPr>
        <w:t>）残疾人福利性单位声明函</w:t>
      </w:r>
    </w:p>
    <w:p w14:paraId="75CE472F">
      <w:pPr>
        <w:widowControl/>
        <w:kinsoku/>
        <w:autoSpaceDE/>
        <w:autoSpaceDN/>
        <w:adjustRightInd w:val="0"/>
        <w:snapToGrid w:val="0"/>
        <w:spacing w:line="500" w:lineRule="exact"/>
        <w:ind w:firstLine="420" w:firstLineChars="200"/>
        <w:jc w:val="center"/>
        <w:textAlignment w:val="auto"/>
        <w:rPr>
          <w:rFonts w:hint="eastAsia" w:ascii="宋体" w:hAnsi="宋体" w:eastAsia="宋体" w:cs="宋体"/>
          <w:snapToGrid/>
          <w:color w:val="000000"/>
          <w:kern w:val="0"/>
          <w:szCs w:val="21"/>
          <w:highlight w:val="none"/>
          <w:lang w:eastAsia="zh-CN"/>
        </w:rPr>
      </w:pPr>
      <w:r>
        <w:rPr>
          <w:rFonts w:hint="eastAsia" w:ascii="宋体" w:hAnsi="宋体" w:eastAsia="宋体" w:cs="宋体"/>
          <w:snapToGrid/>
          <w:color w:val="000000"/>
          <w:kern w:val="0"/>
          <w:szCs w:val="21"/>
          <w:highlight w:val="none"/>
          <w:lang w:eastAsia="zh-CN"/>
        </w:rPr>
        <w:t>【不属于残疾人福利性单位的无需填写、递交】</w:t>
      </w:r>
    </w:p>
    <w:p w14:paraId="7FBD5D1F">
      <w:pPr>
        <w:widowControl w:val="0"/>
        <w:kinsoku/>
        <w:autoSpaceDE/>
        <w:autoSpaceDN/>
        <w:adjustRightInd/>
        <w:snapToGrid w:val="0"/>
        <w:spacing w:line="500" w:lineRule="exact"/>
        <w:ind w:firstLine="422" w:firstLineChars="200"/>
        <w:jc w:val="center"/>
        <w:textAlignment w:val="auto"/>
        <w:rPr>
          <w:rFonts w:hint="eastAsia" w:ascii="宋体" w:hAnsi="宋体" w:eastAsia="宋体" w:cs="宋体"/>
          <w:b/>
          <w:bCs/>
          <w:snapToGrid/>
          <w:color w:val="000000"/>
          <w:kern w:val="2"/>
          <w:szCs w:val="21"/>
          <w:highlight w:val="none"/>
          <w:lang w:eastAsia="zh-CN"/>
        </w:rPr>
      </w:pPr>
    </w:p>
    <w:p w14:paraId="41AFE260">
      <w:pPr>
        <w:widowControl w:val="0"/>
        <w:kinsoku/>
        <w:autoSpaceDE/>
        <w:autoSpaceDN/>
        <w:adjustRightInd/>
        <w:snapToGrid w:val="0"/>
        <w:spacing w:line="500" w:lineRule="exact"/>
        <w:ind w:firstLine="444" w:firstLineChars="200"/>
        <w:jc w:val="both"/>
        <w:textAlignment w:val="auto"/>
        <w:rPr>
          <w:rFonts w:hint="eastAsia" w:ascii="宋体" w:hAnsi="宋体" w:eastAsia="宋体" w:cs="宋体"/>
          <w:snapToGrid/>
          <w:color w:val="000000"/>
          <w:spacing w:val="6"/>
          <w:kern w:val="2"/>
          <w:szCs w:val="21"/>
          <w:highlight w:val="none"/>
          <w:lang w:eastAsia="zh-CN"/>
        </w:rPr>
      </w:pPr>
      <w:r>
        <w:rPr>
          <w:rFonts w:hint="eastAsia" w:ascii="宋体" w:hAnsi="宋体" w:eastAsia="宋体" w:cs="宋体"/>
          <w:snapToGrid/>
          <w:color w:val="000000"/>
          <w:spacing w:val="6"/>
          <w:kern w:val="2"/>
          <w:szCs w:val="21"/>
          <w:highlight w:val="none"/>
          <w:lang w:eastAsia="zh-CN"/>
        </w:rPr>
        <w:t>本单位郑重声明，根据《财政部民政部中国残疾人联合会关于促进残疾人就业政府采购政策的通知》（财库</w:t>
      </w:r>
      <w:r>
        <w:rPr>
          <w:rFonts w:hint="eastAsia" w:ascii="宋体" w:hAnsi="宋体" w:eastAsia="宋体" w:cs="宋体"/>
          <w:snapToGrid/>
          <w:color w:val="000000"/>
          <w:kern w:val="2"/>
          <w:szCs w:val="21"/>
          <w:highlight w:val="none"/>
          <w:lang w:eastAsia="zh-CN"/>
        </w:rPr>
        <w:t>〔2017〕141</w:t>
      </w:r>
      <w:r>
        <w:rPr>
          <w:rFonts w:hint="eastAsia" w:ascii="宋体" w:hAnsi="宋体" w:eastAsia="宋体" w:cs="宋体"/>
          <w:snapToGrid/>
          <w:color w:val="000000"/>
          <w:spacing w:val="6"/>
          <w:kern w:val="2"/>
          <w:szCs w:val="21"/>
          <w:highlight w:val="none"/>
          <w:lang w:eastAsia="zh-CN"/>
        </w:rPr>
        <w:t>号）的规定，本单位为符合条件的残疾人福利性单位，且本单位参加</w:t>
      </w:r>
      <w:r>
        <w:rPr>
          <w:rFonts w:hint="eastAsia" w:ascii="宋体" w:hAnsi="宋体" w:eastAsia="宋体" w:cs="宋体"/>
          <w:snapToGrid/>
          <w:color w:val="000000"/>
          <w:spacing w:val="6"/>
          <w:kern w:val="2"/>
          <w:szCs w:val="21"/>
          <w:highlight w:val="none"/>
          <w:u w:val="single"/>
          <w:lang w:eastAsia="zh-CN"/>
        </w:rPr>
        <w:t>（采购人名称）</w:t>
      </w:r>
      <w:r>
        <w:rPr>
          <w:rFonts w:hint="eastAsia" w:ascii="宋体" w:hAnsi="宋体" w:eastAsia="宋体" w:cs="宋体"/>
          <w:snapToGrid/>
          <w:color w:val="000000"/>
          <w:spacing w:val="6"/>
          <w:kern w:val="2"/>
          <w:szCs w:val="21"/>
          <w:highlight w:val="none"/>
          <w:lang w:eastAsia="zh-CN"/>
        </w:rPr>
        <w:t>单位的</w:t>
      </w:r>
      <w:r>
        <w:rPr>
          <w:rFonts w:hint="eastAsia" w:ascii="宋体" w:hAnsi="宋体" w:eastAsia="宋体" w:cs="宋体"/>
          <w:snapToGrid/>
          <w:color w:val="000000"/>
          <w:spacing w:val="6"/>
          <w:kern w:val="2"/>
          <w:szCs w:val="21"/>
          <w:highlight w:val="none"/>
          <w:u w:val="single"/>
          <w:lang w:eastAsia="zh-CN"/>
        </w:rPr>
        <w:t>（项目名称）</w:t>
      </w:r>
      <w:r>
        <w:rPr>
          <w:rFonts w:hint="eastAsia" w:ascii="宋体" w:hAnsi="宋体" w:eastAsia="宋体" w:cs="宋体"/>
          <w:snapToGrid/>
          <w:color w:val="000000"/>
          <w:spacing w:val="6"/>
          <w:kern w:val="2"/>
          <w:szCs w:val="21"/>
          <w:highlight w:val="none"/>
          <w:lang w:eastAsia="zh-CN"/>
        </w:rPr>
        <w:t>项目采购活动提供本单位制造的货物（由本单位承担工程/提供服务），或者提供其他残疾人福利性单位制造的货物（不包括使用非残疾人福利性单位注册商标的货物）。</w:t>
      </w:r>
    </w:p>
    <w:p w14:paraId="1DA83FAE">
      <w:pPr>
        <w:widowControl w:val="0"/>
        <w:kinsoku/>
        <w:autoSpaceDE/>
        <w:autoSpaceDN/>
        <w:adjustRightInd/>
        <w:snapToGrid w:val="0"/>
        <w:spacing w:line="500" w:lineRule="exact"/>
        <w:ind w:firstLine="444" w:firstLineChars="200"/>
        <w:jc w:val="both"/>
        <w:textAlignment w:val="auto"/>
        <w:rPr>
          <w:rFonts w:hint="eastAsia" w:ascii="宋体" w:hAnsi="宋体" w:eastAsia="宋体" w:cs="宋体"/>
          <w:snapToGrid/>
          <w:color w:val="000000"/>
          <w:spacing w:val="6"/>
          <w:kern w:val="2"/>
          <w:szCs w:val="21"/>
          <w:highlight w:val="none"/>
          <w:lang w:eastAsia="zh-CN"/>
        </w:rPr>
      </w:pPr>
      <w:r>
        <w:rPr>
          <w:rFonts w:hint="eastAsia" w:ascii="宋体" w:hAnsi="宋体" w:eastAsia="宋体" w:cs="宋体"/>
          <w:snapToGrid/>
          <w:color w:val="000000"/>
          <w:spacing w:val="6"/>
          <w:kern w:val="2"/>
          <w:szCs w:val="21"/>
          <w:highlight w:val="none"/>
          <w:lang w:eastAsia="zh-CN"/>
        </w:rPr>
        <w:t>本单位对上述声明的真实性负责。如有虚假，将依法承担相应责任。</w:t>
      </w:r>
    </w:p>
    <w:p w14:paraId="59BD39A9">
      <w:pPr>
        <w:widowControl w:val="0"/>
        <w:kinsoku/>
        <w:autoSpaceDE/>
        <w:autoSpaceDN/>
        <w:adjustRightInd/>
        <w:snapToGrid w:val="0"/>
        <w:spacing w:line="500" w:lineRule="exact"/>
        <w:ind w:firstLine="444" w:firstLineChars="200"/>
        <w:jc w:val="both"/>
        <w:textAlignment w:val="auto"/>
        <w:rPr>
          <w:rFonts w:hint="eastAsia" w:ascii="宋体" w:hAnsi="宋体" w:eastAsia="宋体" w:cs="宋体"/>
          <w:snapToGrid/>
          <w:color w:val="000000"/>
          <w:spacing w:val="6"/>
          <w:kern w:val="2"/>
          <w:szCs w:val="21"/>
          <w:highlight w:val="none"/>
          <w:lang w:eastAsia="zh-CN"/>
        </w:rPr>
      </w:pPr>
    </w:p>
    <w:p w14:paraId="5845C09E">
      <w:pPr>
        <w:widowControl w:val="0"/>
        <w:kinsoku/>
        <w:autoSpaceDE/>
        <w:autoSpaceDN/>
        <w:adjustRightInd/>
        <w:snapToGrid w:val="0"/>
        <w:spacing w:line="500" w:lineRule="exact"/>
        <w:ind w:firstLine="444" w:firstLineChars="200"/>
        <w:jc w:val="both"/>
        <w:textAlignment w:val="auto"/>
        <w:rPr>
          <w:rFonts w:hint="eastAsia" w:ascii="宋体" w:hAnsi="宋体" w:eastAsia="宋体" w:cs="宋体"/>
          <w:snapToGrid/>
          <w:color w:val="000000"/>
          <w:spacing w:val="6"/>
          <w:kern w:val="2"/>
          <w:szCs w:val="21"/>
          <w:highlight w:val="none"/>
          <w:lang w:eastAsia="zh-CN"/>
        </w:rPr>
      </w:pPr>
    </w:p>
    <w:p w14:paraId="0F3B3715">
      <w:pPr>
        <w:widowControl w:val="0"/>
        <w:kinsoku/>
        <w:autoSpaceDE/>
        <w:autoSpaceDN/>
        <w:adjustRightInd w:val="0"/>
        <w:snapToGrid w:val="0"/>
        <w:spacing w:line="500" w:lineRule="exact"/>
        <w:ind w:firstLine="420" w:firstLineChars="200"/>
        <w:jc w:val="both"/>
        <w:textAlignment w:val="auto"/>
        <w:rPr>
          <w:rFonts w:hint="eastAsia" w:ascii="宋体" w:hAnsi="宋体" w:eastAsia="宋体" w:cs="宋体"/>
          <w:snapToGrid/>
          <w:color w:val="000000"/>
          <w:kern w:val="0"/>
          <w:szCs w:val="21"/>
          <w:highlight w:val="none"/>
          <w:u w:val="single"/>
          <w:lang w:eastAsia="zh-CN"/>
        </w:rPr>
      </w:pPr>
      <w:r>
        <w:rPr>
          <w:rFonts w:hint="eastAsia" w:ascii="宋体" w:hAnsi="宋体" w:eastAsia="宋体" w:cs="宋体"/>
          <w:snapToGrid/>
          <w:color w:val="000000"/>
          <w:kern w:val="0"/>
          <w:szCs w:val="21"/>
          <w:highlight w:val="none"/>
          <w:lang w:eastAsia="zh-CN"/>
        </w:rPr>
        <w:t>供应商全称（盖章）：</w:t>
      </w:r>
      <w:r>
        <w:rPr>
          <w:rFonts w:hint="eastAsia" w:ascii="宋体" w:hAnsi="宋体" w:eastAsia="宋体" w:cs="宋体"/>
          <w:snapToGrid/>
          <w:color w:val="000000"/>
          <w:kern w:val="0"/>
          <w:szCs w:val="21"/>
          <w:highlight w:val="none"/>
          <w:u w:val="single"/>
          <w:lang w:eastAsia="zh-CN"/>
        </w:rPr>
        <w:t xml:space="preserve">                    </w:t>
      </w:r>
    </w:p>
    <w:p w14:paraId="12FE34EE">
      <w:pPr>
        <w:widowControl w:val="0"/>
        <w:kinsoku/>
        <w:autoSpaceDE/>
        <w:autoSpaceDN/>
        <w:adjustRightInd w:val="0"/>
        <w:snapToGrid w:val="0"/>
        <w:spacing w:line="500" w:lineRule="exact"/>
        <w:ind w:firstLine="420" w:firstLineChars="200"/>
        <w:jc w:val="both"/>
        <w:textAlignment w:val="auto"/>
        <w:rPr>
          <w:rFonts w:hint="eastAsia" w:ascii="宋体" w:hAnsi="宋体" w:eastAsia="宋体" w:cs="宋体"/>
          <w:snapToGrid/>
          <w:color w:val="000000"/>
          <w:kern w:val="0"/>
          <w:szCs w:val="21"/>
          <w:highlight w:val="none"/>
          <w:lang w:eastAsia="zh-CN"/>
        </w:rPr>
      </w:pPr>
      <w:r>
        <w:rPr>
          <w:rFonts w:hint="eastAsia" w:ascii="宋体" w:hAnsi="宋体" w:eastAsia="宋体" w:cs="宋体"/>
          <w:snapToGrid/>
          <w:color w:val="000000"/>
          <w:kern w:val="0"/>
          <w:szCs w:val="21"/>
          <w:highlight w:val="none"/>
          <w:lang w:eastAsia="zh-CN"/>
        </w:rPr>
        <w:t>日期：    年   月  日</w:t>
      </w:r>
    </w:p>
    <w:p w14:paraId="3B456663">
      <w:pPr>
        <w:widowControl w:val="0"/>
        <w:kinsoku/>
        <w:autoSpaceDE/>
        <w:autoSpaceDN/>
        <w:adjustRightInd w:val="0"/>
        <w:snapToGrid w:val="0"/>
        <w:spacing w:line="300" w:lineRule="auto"/>
        <w:ind w:firstLine="420" w:firstLineChars="200"/>
        <w:jc w:val="both"/>
        <w:textAlignment w:val="auto"/>
        <w:rPr>
          <w:rFonts w:hint="eastAsia" w:ascii="宋体" w:hAnsi="宋体" w:eastAsia="宋体" w:cs="宋体"/>
          <w:snapToGrid/>
          <w:color w:val="000000"/>
          <w:kern w:val="0"/>
          <w:szCs w:val="21"/>
          <w:highlight w:val="none"/>
          <w:lang w:eastAsia="zh-CN"/>
        </w:rPr>
      </w:pPr>
    </w:p>
    <w:p w14:paraId="0D191E87">
      <w:pPr>
        <w:widowControl w:val="0"/>
        <w:kinsoku/>
        <w:autoSpaceDE/>
        <w:autoSpaceDN/>
        <w:adjustRightInd/>
        <w:snapToGrid/>
        <w:spacing w:before="240" w:beforeLines="100" w:line="440" w:lineRule="atLeast"/>
        <w:ind w:firstLine="422" w:firstLineChars="200"/>
        <w:jc w:val="both"/>
        <w:textAlignment w:val="auto"/>
        <w:rPr>
          <w:rFonts w:hint="eastAsia" w:ascii="宋体" w:hAnsi="宋体" w:eastAsia="宋体" w:cs="宋体"/>
          <w:b/>
          <w:snapToGrid/>
          <w:color w:val="000000"/>
          <w:kern w:val="2"/>
          <w:szCs w:val="21"/>
          <w:highlight w:val="none"/>
          <w:lang w:eastAsia="zh-CN"/>
        </w:rPr>
      </w:pPr>
      <w:r>
        <w:rPr>
          <w:rFonts w:hint="eastAsia" w:ascii="宋体" w:hAnsi="宋体" w:eastAsia="宋体" w:cs="宋体"/>
          <w:b/>
          <w:snapToGrid/>
          <w:color w:val="000000"/>
          <w:kern w:val="2"/>
          <w:szCs w:val="21"/>
          <w:highlight w:val="none"/>
          <w:lang w:eastAsia="zh-CN"/>
        </w:rPr>
        <w:t>说明：</w:t>
      </w:r>
    </w:p>
    <w:p w14:paraId="49B3EBFD">
      <w:pPr>
        <w:widowControl w:val="0"/>
        <w:tabs>
          <w:tab w:val="left" w:pos="4860"/>
        </w:tabs>
        <w:kinsoku/>
        <w:autoSpaceDE/>
        <w:autoSpaceDN/>
        <w:adjustRightInd/>
        <w:snapToGrid/>
        <w:spacing w:line="588" w:lineRule="exact"/>
        <w:ind w:right="114" w:firstLine="422" w:firstLineChars="200"/>
        <w:jc w:val="left"/>
        <w:textAlignment w:val="auto"/>
        <w:rPr>
          <w:rFonts w:hint="eastAsia" w:ascii="宋体" w:hAnsi="宋体" w:eastAsia="宋体" w:cs="宋体"/>
          <w:b/>
          <w:snapToGrid/>
          <w:color w:val="000000"/>
          <w:kern w:val="2"/>
          <w:szCs w:val="21"/>
          <w:highlight w:val="none"/>
          <w:lang w:eastAsia="zh-CN"/>
        </w:rPr>
      </w:pPr>
      <w:r>
        <w:rPr>
          <w:rFonts w:hint="eastAsia" w:ascii="宋体" w:hAnsi="宋体" w:eastAsia="宋体" w:cs="宋体"/>
          <w:b/>
          <w:snapToGrid/>
          <w:color w:val="000000"/>
          <w:kern w:val="2"/>
          <w:szCs w:val="21"/>
          <w:highlight w:val="none"/>
          <w:lang w:eastAsia="zh-CN"/>
        </w:rPr>
        <w:t>1、如成交，将在成交公示中将此</w:t>
      </w:r>
      <w:r>
        <w:rPr>
          <w:rFonts w:hint="eastAsia" w:ascii="宋体" w:hAnsi="宋体" w:eastAsia="宋体" w:cs="宋体"/>
          <w:b/>
          <w:snapToGrid/>
          <w:color w:val="000000"/>
          <w:spacing w:val="6"/>
          <w:kern w:val="2"/>
          <w:szCs w:val="21"/>
          <w:highlight w:val="none"/>
          <w:lang w:eastAsia="zh-CN"/>
        </w:rPr>
        <w:t>残疾人福利性单位声明函</w:t>
      </w:r>
      <w:r>
        <w:rPr>
          <w:rFonts w:hint="eastAsia" w:ascii="宋体" w:hAnsi="宋体" w:eastAsia="宋体" w:cs="宋体"/>
          <w:b/>
          <w:snapToGrid/>
          <w:color w:val="000000"/>
          <w:kern w:val="2"/>
          <w:szCs w:val="21"/>
          <w:highlight w:val="none"/>
          <w:lang w:eastAsia="zh-CN"/>
        </w:rPr>
        <w:t>予以公示，接受社会监督；</w:t>
      </w:r>
    </w:p>
    <w:p w14:paraId="25852D47">
      <w:pPr>
        <w:widowControl w:val="0"/>
        <w:tabs>
          <w:tab w:val="left" w:pos="4860"/>
        </w:tabs>
        <w:kinsoku/>
        <w:autoSpaceDE/>
        <w:autoSpaceDN/>
        <w:adjustRightInd/>
        <w:snapToGrid/>
        <w:spacing w:line="588" w:lineRule="exact"/>
        <w:ind w:right="114" w:firstLine="422" w:firstLineChars="200"/>
        <w:jc w:val="left"/>
        <w:textAlignment w:val="auto"/>
        <w:rPr>
          <w:rFonts w:hint="eastAsia" w:ascii="宋体" w:hAnsi="宋体" w:eastAsia="宋体" w:cs="宋体"/>
          <w:b/>
          <w:snapToGrid/>
          <w:color w:val="000000"/>
          <w:kern w:val="2"/>
          <w:szCs w:val="21"/>
          <w:highlight w:val="none"/>
          <w:lang w:eastAsia="zh-CN"/>
        </w:rPr>
      </w:pPr>
      <w:r>
        <w:rPr>
          <w:rFonts w:hint="eastAsia" w:ascii="宋体" w:hAnsi="宋体" w:eastAsia="宋体" w:cs="宋体"/>
          <w:b/>
          <w:snapToGrid/>
          <w:color w:val="000000"/>
          <w:kern w:val="2"/>
          <w:szCs w:val="21"/>
          <w:highlight w:val="none"/>
          <w:lang w:eastAsia="zh-CN"/>
        </w:rPr>
        <w:t>2、供应商提供的《残疾人福利性单位声明函》与事实不符的，依照《中华人民共和国政府采购法》第七十七条第一款的规定追究法律责任。</w:t>
      </w:r>
    </w:p>
    <w:p w14:paraId="72DAE109">
      <w:pPr>
        <w:pStyle w:val="38"/>
        <w:spacing w:line="500" w:lineRule="exact"/>
        <w:ind w:firstLine="482"/>
        <w:jc w:val="left"/>
        <w:rPr>
          <w:rFonts w:hint="eastAsia" w:hAnsi="宋体" w:eastAsia="宋体" w:cs="宋体"/>
          <w:b/>
          <w:sz w:val="24"/>
          <w:lang w:val="en-US" w:eastAsia="zh-CN"/>
        </w:rPr>
        <w:sectPr>
          <w:headerReference r:id="rId17" w:type="default"/>
          <w:footerReference r:id="rId18" w:type="default"/>
          <w:pgSz w:w="11906" w:h="16838"/>
          <w:pgMar w:top="1440" w:right="1304" w:bottom="1089" w:left="1531" w:header="851" w:footer="992" w:gutter="0"/>
          <w:pgNumType w:fmt="decimal"/>
          <w:cols w:space="720" w:num="1"/>
          <w:docGrid w:linePitch="312" w:charSpace="0"/>
        </w:sectPr>
      </w:pPr>
    </w:p>
    <w:p w14:paraId="41065ED1">
      <w:pPr>
        <w:pStyle w:val="38"/>
        <w:spacing w:line="500" w:lineRule="exact"/>
        <w:ind w:firstLine="482"/>
        <w:jc w:val="center"/>
        <w:rPr>
          <w:rFonts w:hint="eastAsia" w:ascii="宋体" w:hAnsi="宋体" w:eastAsia="宋体" w:cs="宋体"/>
          <w:b/>
          <w:sz w:val="24"/>
        </w:rPr>
      </w:pPr>
      <w:r>
        <w:rPr>
          <w:rFonts w:hint="eastAsia" w:hAnsi="宋体" w:eastAsia="宋体" w:cs="宋体"/>
          <w:b/>
          <w:sz w:val="24"/>
          <w:lang w:val="en-US" w:eastAsia="zh-CN"/>
        </w:rPr>
        <w:t xml:space="preserve"> </w:t>
      </w:r>
      <w:r>
        <w:rPr>
          <w:rFonts w:hint="eastAsia" w:ascii="宋体" w:hAnsi="宋体" w:eastAsia="宋体" w:cs="宋体"/>
          <w:sz w:val="28"/>
          <w:szCs w:val="28"/>
          <w:lang w:val="en-US" w:eastAsia="zh-CN"/>
        </w:rPr>
        <w:t>（三）</w:t>
      </w:r>
      <w:r>
        <w:rPr>
          <w:rFonts w:hint="eastAsia" w:ascii="宋体" w:hAnsi="宋体" w:eastAsia="宋体" w:cs="宋体"/>
          <w:b/>
          <w:sz w:val="24"/>
        </w:rPr>
        <w:t>政府采购活动现场确认声明书</w:t>
      </w:r>
    </w:p>
    <w:p w14:paraId="725B0514">
      <w:pPr>
        <w:pStyle w:val="38"/>
        <w:spacing w:line="500" w:lineRule="exact"/>
        <w:ind w:firstLine="422"/>
        <w:rPr>
          <w:rFonts w:hint="eastAsia" w:ascii="宋体" w:hAnsi="宋体" w:eastAsia="宋体" w:cs="宋体"/>
          <w:b/>
          <w:szCs w:val="21"/>
        </w:rPr>
      </w:pPr>
      <w:r>
        <w:rPr>
          <w:rFonts w:hint="eastAsia" w:hAnsi="宋体" w:eastAsia="宋体" w:cs="宋体"/>
          <w:b/>
          <w:bCs/>
          <w:szCs w:val="21"/>
          <w:lang w:eastAsia="zh-CN"/>
        </w:rPr>
        <w:t>温州得恒项目管理咨询有限公司</w:t>
      </w:r>
      <w:r>
        <w:rPr>
          <w:rFonts w:hint="eastAsia" w:ascii="宋体" w:hAnsi="宋体" w:eastAsia="宋体" w:cs="宋体"/>
          <w:b/>
          <w:kern w:val="0"/>
          <w:szCs w:val="21"/>
        </w:rPr>
        <w:t>：</w:t>
      </w:r>
    </w:p>
    <w:p w14:paraId="60C8F949">
      <w:pPr>
        <w:pStyle w:val="38"/>
        <w:spacing w:line="480" w:lineRule="exact"/>
        <w:ind w:firstLine="444"/>
        <w:rPr>
          <w:rFonts w:hint="eastAsia" w:ascii="宋体" w:hAnsi="宋体" w:eastAsia="宋体" w:cs="宋体"/>
          <w:spacing w:val="6"/>
          <w:szCs w:val="21"/>
        </w:rPr>
      </w:pPr>
      <w:r>
        <w:rPr>
          <w:rFonts w:hint="eastAsia" w:ascii="宋体" w:hAnsi="宋体" w:eastAsia="宋体" w:cs="宋体"/>
          <w:spacing w:val="6"/>
          <w:szCs w:val="21"/>
        </w:rPr>
        <w:t>本人经由</w:t>
      </w:r>
      <w:r>
        <w:rPr>
          <w:rFonts w:hint="eastAsia" w:ascii="宋体" w:hAnsi="宋体" w:eastAsia="宋体" w:cs="宋体"/>
          <w:spacing w:val="6"/>
          <w:szCs w:val="21"/>
          <w:u w:val="single"/>
        </w:rPr>
        <w:t xml:space="preserve">                  （单位）</w:t>
      </w:r>
      <w:r>
        <w:rPr>
          <w:rFonts w:hint="eastAsia" w:ascii="宋体" w:hAnsi="宋体" w:eastAsia="宋体" w:cs="宋体"/>
          <w:spacing w:val="6"/>
          <w:szCs w:val="21"/>
        </w:rPr>
        <w:t>负责人</w:t>
      </w:r>
      <w:r>
        <w:rPr>
          <w:rFonts w:hint="eastAsia" w:ascii="宋体" w:hAnsi="宋体" w:eastAsia="宋体" w:cs="宋体"/>
          <w:spacing w:val="6"/>
          <w:szCs w:val="21"/>
          <w:u w:val="single"/>
        </w:rPr>
        <w:t xml:space="preserve">        （姓名）</w:t>
      </w:r>
      <w:r>
        <w:rPr>
          <w:rFonts w:hint="eastAsia" w:ascii="宋体" w:hAnsi="宋体" w:eastAsia="宋体" w:cs="宋体"/>
          <w:spacing w:val="6"/>
          <w:szCs w:val="21"/>
        </w:rPr>
        <w:t>合法授权参加项目（编号：</w:t>
      </w:r>
      <w:r>
        <w:rPr>
          <w:rFonts w:hint="eastAsia" w:ascii="宋体" w:hAnsi="宋体" w:eastAsia="宋体" w:cs="宋体"/>
          <w:spacing w:val="6"/>
          <w:szCs w:val="21"/>
          <w:u w:val="single"/>
        </w:rPr>
        <w:t xml:space="preserve">             </w:t>
      </w:r>
      <w:r>
        <w:rPr>
          <w:rFonts w:hint="eastAsia" w:ascii="宋体" w:hAnsi="宋体" w:eastAsia="宋体" w:cs="宋体"/>
          <w:spacing w:val="6"/>
          <w:szCs w:val="21"/>
        </w:rPr>
        <w:t xml:space="preserve">）政府采购活动，经与本单位法人代表（负责人）联系确认，现就有关公平竞争事项郑重声明如下： </w:t>
      </w:r>
    </w:p>
    <w:p w14:paraId="1966A35E">
      <w:pPr>
        <w:pStyle w:val="39"/>
        <w:widowControl/>
        <w:numPr>
          <w:ilvl w:val="0"/>
          <w:numId w:val="29"/>
        </w:numPr>
        <w:snapToGrid w:val="0"/>
        <w:spacing w:line="480" w:lineRule="exact"/>
        <w:ind w:firstLine="396" w:firstLineChars="189"/>
        <w:rPr>
          <w:rFonts w:hint="eastAsia" w:ascii="宋体" w:hAnsi="宋体" w:eastAsia="宋体" w:cs="宋体"/>
          <w:kern w:val="0"/>
          <w:szCs w:val="21"/>
        </w:rPr>
      </w:pPr>
      <w:r>
        <w:rPr>
          <w:rFonts w:hint="eastAsia" w:ascii="宋体" w:hAnsi="宋体" w:eastAsia="宋体" w:cs="宋体"/>
          <w:kern w:val="0"/>
          <w:szCs w:val="21"/>
        </w:rPr>
        <w:t>本单位与采购人之间 □不存在利害关系 □存在下列利害关系：</w:t>
      </w:r>
    </w:p>
    <w:p w14:paraId="4C7F1617">
      <w:pPr>
        <w:pStyle w:val="39"/>
        <w:widowControl/>
        <w:snapToGrid w:val="0"/>
        <w:spacing w:line="480" w:lineRule="exact"/>
        <w:rPr>
          <w:rFonts w:hint="eastAsia" w:ascii="宋体" w:hAnsi="宋体" w:eastAsia="宋体" w:cs="宋体"/>
          <w:kern w:val="0"/>
          <w:szCs w:val="21"/>
        </w:rPr>
      </w:pPr>
      <w:r>
        <w:rPr>
          <w:rFonts w:hint="eastAsia" w:ascii="宋体" w:hAnsi="宋体" w:eastAsia="宋体" w:cs="宋体"/>
          <w:kern w:val="0"/>
          <w:szCs w:val="21"/>
        </w:rPr>
        <w:t xml:space="preserve">  A.投资关系    B.行政隶属关系    C.业务指导关系</w:t>
      </w:r>
    </w:p>
    <w:p w14:paraId="5A590AE6">
      <w:pPr>
        <w:pStyle w:val="39"/>
        <w:widowControl/>
        <w:snapToGrid w:val="0"/>
        <w:spacing w:line="480" w:lineRule="exact"/>
        <w:rPr>
          <w:rFonts w:hint="eastAsia" w:ascii="宋体" w:hAnsi="宋体" w:eastAsia="宋体" w:cs="宋体"/>
          <w:kern w:val="0"/>
          <w:szCs w:val="21"/>
        </w:rPr>
      </w:pPr>
      <w:r>
        <w:rPr>
          <w:rFonts w:hint="eastAsia" w:ascii="宋体" w:hAnsi="宋体" w:eastAsia="宋体" w:cs="宋体"/>
          <w:kern w:val="0"/>
          <w:szCs w:val="21"/>
        </w:rPr>
        <w:t xml:space="preserve">  D.其他可能</w:t>
      </w:r>
      <w:r>
        <w:rPr>
          <w:rFonts w:hint="eastAsia" w:ascii="宋体" w:hAnsi="宋体" w:eastAsia="宋体" w:cs="宋体"/>
          <w:szCs w:val="21"/>
        </w:rPr>
        <w:t>影响采购公正的</w:t>
      </w:r>
      <w:r>
        <w:rPr>
          <w:rFonts w:hint="eastAsia" w:ascii="宋体" w:hAnsi="宋体" w:eastAsia="宋体" w:cs="宋体"/>
          <w:kern w:val="0"/>
          <w:szCs w:val="21"/>
        </w:rPr>
        <w:t>利害关系</w:t>
      </w:r>
      <w:r>
        <w:rPr>
          <w:rFonts w:hint="eastAsia" w:ascii="宋体" w:hAnsi="宋体" w:eastAsia="宋体" w:cs="宋体"/>
          <w:kern w:val="0"/>
          <w:szCs w:val="21"/>
          <w:u w:val="single"/>
        </w:rPr>
        <w:t xml:space="preserve">（如有，请如实说明）                 </w:t>
      </w:r>
      <w:r>
        <w:rPr>
          <w:rFonts w:hint="eastAsia" w:ascii="宋体" w:hAnsi="宋体" w:eastAsia="宋体" w:cs="宋体"/>
          <w:kern w:val="0"/>
          <w:szCs w:val="21"/>
        </w:rPr>
        <w:t>。</w:t>
      </w:r>
    </w:p>
    <w:p w14:paraId="3DE5997F">
      <w:pPr>
        <w:pStyle w:val="39"/>
        <w:widowControl/>
        <w:snapToGrid w:val="0"/>
        <w:spacing w:line="480" w:lineRule="exact"/>
        <w:rPr>
          <w:rFonts w:hint="eastAsia" w:ascii="宋体" w:hAnsi="宋体" w:eastAsia="宋体" w:cs="宋体"/>
          <w:kern w:val="0"/>
          <w:szCs w:val="21"/>
        </w:rPr>
      </w:pPr>
      <w:r>
        <w:rPr>
          <w:rFonts w:hint="eastAsia" w:ascii="宋体" w:hAnsi="宋体" w:eastAsia="宋体" w:cs="宋体"/>
          <w:spacing w:val="6"/>
          <w:szCs w:val="21"/>
        </w:rPr>
        <w:t xml:space="preserve">  二、</w:t>
      </w:r>
      <w:r>
        <w:rPr>
          <w:rFonts w:hint="eastAsia" w:ascii="宋体" w:hAnsi="宋体" w:eastAsia="宋体" w:cs="宋体"/>
          <w:kern w:val="0"/>
          <w:szCs w:val="21"/>
        </w:rPr>
        <w:t>现已清楚知道参加本项目采购活动的其他所有供应商名称，本单位 □与其他所有供应商之间均不存在利害关系 □与</w:t>
      </w:r>
      <w:r>
        <w:rPr>
          <w:rFonts w:hint="eastAsia" w:ascii="宋体" w:hAnsi="宋体" w:eastAsia="宋体" w:cs="宋体"/>
          <w:kern w:val="0"/>
          <w:szCs w:val="21"/>
          <w:u w:val="single"/>
        </w:rPr>
        <w:t xml:space="preserve">           （供应商名称）</w:t>
      </w:r>
      <w:r>
        <w:rPr>
          <w:rFonts w:hint="eastAsia" w:ascii="宋体" w:hAnsi="宋体" w:eastAsia="宋体" w:cs="宋体"/>
          <w:kern w:val="0"/>
          <w:szCs w:val="21"/>
        </w:rPr>
        <w:t>之间存在下列利害关系：</w:t>
      </w:r>
    </w:p>
    <w:p w14:paraId="1421F0F7">
      <w:pPr>
        <w:pStyle w:val="38"/>
        <w:spacing w:line="480" w:lineRule="exact"/>
        <w:ind w:firstLine="420"/>
        <w:rPr>
          <w:rFonts w:hint="eastAsia" w:ascii="宋体" w:hAnsi="宋体" w:eastAsia="宋体" w:cs="宋体"/>
          <w:kern w:val="0"/>
          <w:szCs w:val="21"/>
        </w:rPr>
      </w:pPr>
      <w:r>
        <w:rPr>
          <w:rFonts w:hint="eastAsia" w:ascii="宋体" w:hAnsi="宋体" w:eastAsia="宋体" w:cs="宋体"/>
          <w:kern w:val="0"/>
          <w:szCs w:val="21"/>
        </w:rPr>
        <w:t xml:space="preserve">  A.法定代表人或负责人或实际控制人是同一人</w:t>
      </w:r>
    </w:p>
    <w:p w14:paraId="0AF4DBDF">
      <w:pPr>
        <w:pStyle w:val="38"/>
        <w:spacing w:line="480" w:lineRule="exact"/>
        <w:ind w:firstLine="420"/>
        <w:rPr>
          <w:rFonts w:hint="eastAsia" w:ascii="宋体" w:hAnsi="宋体" w:eastAsia="宋体" w:cs="宋体"/>
          <w:spacing w:val="6"/>
          <w:szCs w:val="21"/>
        </w:rPr>
      </w:pPr>
      <w:r>
        <w:rPr>
          <w:rFonts w:hint="eastAsia" w:ascii="宋体" w:hAnsi="宋体" w:eastAsia="宋体" w:cs="宋体"/>
          <w:kern w:val="0"/>
          <w:szCs w:val="21"/>
        </w:rPr>
        <w:t xml:space="preserve">  B.法定代表人或负责人或实际控制人是夫妻关系</w:t>
      </w:r>
    </w:p>
    <w:p w14:paraId="5440FD06">
      <w:pPr>
        <w:pStyle w:val="38"/>
        <w:spacing w:line="480" w:lineRule="exact"/>
        <w:ind w:firstLine="420"/>
        <w:rPr>
          <w:rFonts w:hint="eastAsia" w:ascii="宋体" w:hAnsi="宋体" w:eastAsia="宋体" w:cs="宋体"/>
          <w:spacing w:val="6"/>
          <w:szCs w:val="21"/>
        </w:rPr>
      </w:pPr>
      <w:r>
        <w:rPr>
          <w:rFonts w:hint="eastAsia" w:ascii="宋体" w:hAnsi="宋体" w:eastAsia="宋体" w:cs="宋体"/>
          <w:kern w:val="0"/>
          <w:szCs w:val="21"/>
        </w:rPr>
        <w:t xml:space="preserve">  C.法定代表人或负责人或实际控制人是直系血亲关系</w:t>
      </w:r>
    </w:p>
    <w:p w14:paraId="300555EB">
      <w:pPr>
        <w:pStyle w:val="38"/>
        <w:spacing w:line="480" w:lineRule="exact"/>
        <w:ind w:firstLine="420"/>
        <w:rPr>
          <w:rFonts w:hint="eastAsia" w:ascii="宋体" w:hAnsi="宋体" w:eastAsia="宋体" w:cs="宋体"/>
          <w:spacing w:val="6"/>
          <w:szCs w:val="21"/>
        </w:rPr>
      </w:pPr>
      <w:r>
        <w:rPr>
          <w:rFonts w:hint="eastAsia" w:ascii="宋体" w:hAnsi="宋体" w:eastAsia="宋体" w:cs="宋体"/>
          <w:kern w:val="0"/>
          <w:szCs w:val="21"/>
        </w:rPr>
        <w:t xml:space="preserve">  D.法定代表人或负责人或实际控制人存在三代以内旁系血亲关系</w:t>
      </w:r>
    </w:p>
    <w:p w14:paraId="5CBAF852">
      <w:pPr>
        <w:pStyle w:val="38"/>
        <w:spacing w:line="480" w:lineRule="exact"/>
        <w:ind w:firstLine="420"/>
        <w:rPr>
          <w:rFonts w:hint="eastAsia" w:ascii="宋体" w:hAnsi="宋体" w:eastAsia="宋体" w:cs="宋体"/>
          <w:kern w:val="0"/>
          <w:szCs w:val="21"/>
        </w:rPr>
      </w:pPr>
      <w:r>
        <w:rPr>
          <w:rFonts w:hint="eastAsia" w:ascii="宋体" w:hAnsi="宋体" w:eastAsia="宋体" w:cs="宋体"/>
          <w:kern w:val="0"/>
          <w:szCs w:val="21"/>
        </w:rPr>
        <w:t xml:space="preserve">  E.法定代表人或负责人或实际控制人存在近姻亲关系</w:t>
      </w:r>
    </w:p>
    <w:p w14:paraId="3746D5A1">
      <w:pPr>
        <w:pStyle w:val="38"/>
        <w:spacing w:line="480" w:lineRule="exact"/>
        <w:ind w:firstLine="420"/>
        <w:rPr>
          <w:rFonts w:hint="eastAsia" w:ascii="宋体" w:hAnsi="宋体" w:eastAsia="宋体" w:cs="宋体"/>
          <w:kern w:val="0"/>
          <w:szCs w:val="21"/>
        </w:rPr>
      </w:pPr>
      <w:r>
        <w:rPr>
          <w:rFonts w:hint="eastAsia" w:ascii="宋体" w:hAnsi="宋体" w:eastAsia="宋体" w:cs="宋体"/>
          <w:kern w:val="0"/>
          <w:szCs w:val="21"/>
        </w:rPr>
        <w:t xml:space="preserve">  F.法定代表人或负责人或实际控制人存在股份控制或实际控制关系</w:t>
      </w:r>
    </w:p>
    <w:p w14:paraId="4D6B5800">
      <w:pPr>
        <w:pStyle w:val="38"/>
        <w:spacing w:line="480" w:lineRule="exact"/>
        <w:ind w:firstLine="420"/>
        <w:rPr>
          <w:rFonts w:hint="eastAsia" w:ascii="宋体" w:hAnsi="宋体" w:eastAsia="宋体" w:cs="宋体"/>
          <w:kern w:val="0"/>
          <w:szCs w:val="21"/>
        </w:rPr>
      </w:pPr>
      <w:r>
        <w:rPr>
          <w:rFonts w:hint="eastAsia" w:ascii="宋体" w:hAnsi="宋体" w:eastAsia="宋体" w:cs="宋体"/>
          <w:kern w:val="0"/>
          <w:szCs w:val="21"/>
        </w:rPr>
        <w:t xml:space="preserve">  G.存在共同直接或间接投资设立子公司、联营企业和合营企业情况</w:t>
      </w:r>
    </w:p>
    <w:p w14:paraId="73CFF675">
      <w:pPr>
        <w:pStyle w:val="38"/>
        <w:spacing w:line="480" w:lineRule="exact"/>
        <w:ind w:firstLine="420"/>
        <w:rPr>
          <w:rFonts w:hint="eastAsia" w:ascii="宋体" w:hAnsi="宋体" w:eastAsia="宋体" w:cs="宋体"/>
          <w:szCs w:val="21"/>
        </w:rPr>
      </w:pPr>
      <w:r>
        <w:rPr>
          <w:rFonts w:hint="eastAsia" w:ascii="宋体" w:hAnsi="宋体" w:eastAsia="宋体" w:cs="宋体"/>
          <w:kern w:val="0"/>
          <w:szCs w:val="21"/>
        </w:rPr>
        <w:t xml:space="preserve">  H.存在分级代理或代销关系、同一生产制造商关系、</w:t>
      </w:r>
      <w:r>
        <w:rPr>
          <w:rFonts w:hint="eastAsia" w:ascii="宋体" w:hAnsi="宋体" w:eastAsia="宋体" w:cs="宋体"/>
          <w:szCs w:val="21"/>
        </w:rPr>
        <w:t>管理关系、重要业务（占主营业务收入50%以上）或重要财务往来关系（如融资）等其他实质性控制关系</w:t>
      </w:r>
    </w:p>
    <w:p w14:paraId="1D5849CE">
      <w:pPr>
        <w:pStyle w:val="38"/>
        <w:spacing w:line="480" w:lineRule="exact"/>
        <w:ind w:firstLine="420"/>
        <w:rPr>
          <w:rFonts w:hint="eastAsia" w:ascii="宋体" w:hAnsi="宋体" w:eastAsia="宋体" w:cs="宋体"/>
          <w:spacing w:val="6"/>
          <w:szCs w:val="21"/>
        </w:rPr>
      </w:pPr>
      <w:r>
        <w:rPr>
          <w:rFonts w:hint="eastAsia" w:ascii="宋体" w:hAnsi="宋体" w:eastAsia="宋体" w:cs="宋体"/>
          <w:szCs w:val="21"/>
        </w:rPr>
        <w:t xml:space="preserve">    I</w:t>
      </w:r>
      <w:r>
        <w:rPr>
          <w:rFonts w:hint="eastAsia" w:ascii="宋体" w:hAnsi="宋体" w:eastAsia="宋体" w:cs="宋体"/>
          <w:kern w:val="0"/>
          <w:szCs w:val="21"/>
        </w:rPr>
        <w:t>.</w:t>
      </w:r>
      <w:r>
        <w:rPr>
          <w:rFonts w:hint="eastAsia" w:ascii="宋体" w:hAnsi="宋体" w:eastAsia="宋体" w:cs="宋体"/>
          <w:szCs w:val="21"/>
        </w:rPr>
        <w:t>其他利害关系情况</w:t>
      </w:r>
      <w:r>
        <w:rPr>
          <w:rFonts w:hint="eastAsia" w:ascii="宋体" w:hAnsi="宋体" w:eastAsia="宋体" w:cs="宋体"/>
          <w:kern w:val="0"/>
          <w:szCs w:val="21"/>
        </w:rPr>
        <w:t>。</w:t>
      </w:r>
    </w:p>
    <w:p w14:paraId="088CCC6E">
      <w:pPr>
        <w:pStyle w:val="39"/>
        <w:widowControl/>
        <w:numPr>
          <w:ilvl w:val="0"/>
          <w:numId w:val="30"/>
        </w:numPr>
        <w:snapToGrid w:val="0"/>
        <w:spacing w:line="480" w:lineRule="exact"/>
        <w:ind w:firstLine="396" w:firstLineChars="189"/>
        <w:rPr>
          <w:rFonts w:hint="eastAsia" w:ascii="宋体" w:hAnsi="宋体" w:eastAsia="宋体" w:cs="宋体"/>
          <w:kern w:val="0"/>
          <w:szCs w:val="21"/>
        </w:rPr>
      </w:pPr>
      <w:r>
        <w:rPr>
          <w:rFonts w:hint="eastAsia" w:ascii="宋体" w:hAnsi="宋体" w:eastAsia="宋体" w:cs="宋体"/>
          <w:szCs w:val="21"/>
        </w:rPr>
        <w:t>现已清楚知道并</w:t>
      </w:r>
      <w:r>
        <w:rPr>
          <w:rFonts w:hint="eastAsia" w:ascii="宋体" w:hAnsi="宋体" w:eastAsia="宋体" w:cs="宋体"/>
          <w:kern w:val="0"/>
          <w:szCs w:val="21"/>
        </w:rPr>
        <w:t>严格遵守政府采购法律法规和现场纪律。</w:t>
      </w:r>
    </w:p>
    <w:p w14:paraId="79545CB5">
      <w:pPr>
        <w:pStyle w:val="39"/>
        <w:widowControl/>
        <w:numPr>
          <w:ilvl w:val="0"/>
          <w:numId w:val="30"/>
        </w:numPr>
        <w:snapToGrid w:val="0"/>
        <w:spacing w:line="480" w:lineRule="exact"/>
        <w:ind w:firstLine="396" w:firstLineChars="189"/>
        <w:rPr>
          <w:rFonts w:hint="eastAsia" w:ascii="宋体" w:hAnsi="宋体" w:eastAsia="宋体" w:cs="宋体"/>
          <w:kern w:val="0"/>
          <w:szCs w:val="21"/>
        </w:rPr>
      </w:pPr>
      <w:r>
        <w:rPr>
          <w:rFonts w:hint="eastAsia" w:ascii="宋体" w:hAnsi="宋体" w:eastAsia="宋体" w:cs="宋体"/>
          <w:kern w:val="0"/>
          <w:szCs w:val="21"/>
        </w:rPr>
        <w:t>我发现供应商之间存在或可能存在上述第二条第项利害关系。</w:t>
      </w:r>
    </w:p>
    <w:p w14:paraId="3F04D005">
      <w:pPr>
        <w:pStyle w:val="38"/>
        <w:spacing w:line="500" w:lineRule="exact"/>
        <w:ind w:firstLine="420"/>
        <w:rPr>
          <w:rFonts w:hint="eastAsia" w:ascii="宋体" w:hAnsi="宋体" w:eastAsia="宋体" w:cs="宋体"/>
          <w:szCs w:val="21"/>
        </w:rPr>
      </w:pPr>
    </w:p>
    <w:p w14:paraId="758585C7">
      <w:pPr>
        <w:pStyle w:val="38"/>
        <w:spacing w:line="500" w:lineRule="exact"/>
        <w:ind w:firstLine="420"/>
        <w:jc w:val="right"/>
        <w:rPr>
          <w:rFonts w:hint="eastAsia" w:ascii="宋体" w:hAnsi="宋体" w:eastAsia="宋体" w:cs="宋体"/>
          <w:szCs w:val="21"/>
          <w:u w:val="single"/>
        </w:rPr>
      </w:pPr>
      <w:r>
        <w:rPr>
          <w:rFonts w:hint="eastAsia" w:ascii="宋体" w:hAnsi="宋体" w:eastAsia="宋体" w:cs="宋体"/>
          <w:szCs w:val="21"/>
        </w:rPr>
        <w:t>法定代表人或授权代表签字：</w:t>
      </w:r>
    </w:p>
    <w:p w14:paraId="03B87E24">
      <w:pPr>
        <w:spacing w:line="440" w:lineRule="exact"/>
        <w:ind w:firstLine="420"/>
        <w:jc w:val="right"/>
        <w:rPr>
          <w:rFonts w:hint="eastAsia" w:ascii="宋体" w:hAnsi="宋体" w:eastAsia="宋体" w:cs="宋体"/>
          <w:szCs w:val="21"/>
        </w:rPr>
        <w:sectPr>
          <w:pgSz w:w="11906" w:h="16838"/>
          <w:pgMar w:top="1440" w:right="1304" w:bottom="1089" w:left="1531" w:header="851" w:footer="992" w:gutter="0"/>
          <w:pgNumType w:fmt="decimal"/>
          <w:cols w:space="720" w:num="1"/>
          <w:docGrid w:linePitch="312" w:charSpace="0"/>
        </w:sectPr>
      </w:pPr>
      <w:r>
        <w:rPr>
          <w:rFonts w:hint="eastAsia" w:ascii="宋体" w:hAnsi="宋体" w:eastAsia="宋体" w:cs="宋体"/>
          <w:szCs w:val="21"/>
        </w:rPr>
        <w:t xml:space="preserve"> 年  月  日</w:t>
      </w:r>
    </w:p>
    <w:p w14:paraId="6468610E">
      <w:pPr>
        <w:pStyle w:val="2"/>
        <w:ind w:firstLine="643"/>
        <w:rPr>
          <w:rFonts w:hint="eastAsia" w:ascii="宋体" w:hAnsi="宋体" w:eastAsia="宋体" w:cs="宋体"/>
          <w:highlight w:val="none"/>
        </w:rPr>
      </w:pPr>
      <w:bookmarkStart w:id="226" w:name="_Toc27009"/>
      <w:r>
        <w:rPr>
          <w:rFonts w:hint="eastAsia" w:ascii="宋体" w:hAnsi="宋体" w:eastAsia="宋体" w:cs="宋体"/>
          <w:highlight w:val="none"/>
        </w:rPr>
        <w:t>第四部分   采购内容及要求</w:t>
      </w:r>
      <w:bookmarkEnd w:id="226"/>
    </w:p>
    <w:p w14:paraId="2BF274AC">
      <w:pPr>
        <w:pStyle w:val="20"/>
        <w:ind w:firstLine="400"/>
        <w:rPr>
          <w:rFonts w:hint="eastAsia" w:ascii="宋体" w:hAnsi="宋体" w:eastAsia="宋体" w:cs="宋体"/>
          <w:highlight w:val="none"/>
        </w:rPr>
      </w:pPr>
      <w:bookmarkStart w:id="227" w:name="_Toc157410904"/>
    </w:p>
    <w:p w14:paraId="37DDF70E">
      <w:pPr>
        <w:pStyle w:val="3"/>
        <w:tabs>
          <w:tab w:val="left" w:pos="840"/>
        </w:tabs>
        <w:spacing w:before="156" w:beforeLines="50" w:after="156" w:afterLines="50" w:line="360" w:lineRule="auto"/>
        <w:rPr>
          <w:rFonts w:hint="eastAsia" w:ascii="宋体" w:hAnsi="宋体" w:eastAsia="宋体" w:cs="宋体"/>
          <w:color w:val="auto"/>
          <w:sz w:val="21"/>
          <w:szCs w:val="21"/>
        </w:rPr>
      </w:pPr>
      <w:bookmarkStart w:id="228" w:name="_Toc10004"/>
      <w:bookmarkStart w:id="229" w:name="_Toc19246"/>
      <w:bookmarkStart w:id="230" w:name="_Toc72407402"/>
      <w:bookmarkStart w:id="231" w:name="_Toc29659"/>
      <w:bookmarkStart w:id="232" w:name="_Toc10008"/>
      <w:bookmarkStart w:id="233" w:name="_Toc196474518"/>
      <w:r>
        <w:rPr>
          <w:rFonts w:hint="eastAsia" w:ascii="宋体" w:hAnsi="宋体" w:eastAsia="宋体" w:cs="宋体"/>
          <w:color w:val="auto"/>
          <w:sz w:val="21"/>
          <w:szCs w:val="21"/>
        </w:rPr>
        <w:t>一、概述</w:t>
      </w:r>
      <w:bookmarkEnd w:id="228"/>
      <w:bookmarkEnd w:id="229"/>
      <w:bookmarkEnd w:id="230"/>
      <w:bookmarkEnd w:id="231"/>
      <w:bookmarkEnd w:id="232"/>
    </w:p>
    <w:p w14:paraId="374060D9">
      <w:pPr>
        <w:tabs>
          <w:tab w:val="left" w:pos="540"/>
        </w:tabs>
        <w:adjustRightInd w:val="0"/>
        <w:snapToGrid w:val="0"/>
        <w:spacing w:line="36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（一）供应商必须完成采购内容和合同规定义务，不允许只对部分内容进行报价。</w:t>
      </w:r>
    </w:p>
    <w:p w14:paraId="7D3320C4">
      <w:pPr>
        <w:tabs>
          <w:tab w:val="left" w:pos="540"/>
        </w:tabs>
        <w:adjustRightInd w:val="0"/>
        <w:snapToGrid w:val="0"/>
        <w:spacing w:line="360" w:lineRule="auto"/>
        <w:ind w:firstLine="310" w:firstLineChars="147"/>
        <w:rPr>
          <w:rFonts w:hint="eastAsia" w:ascii="宋体" w:hAnsi="宋体" w:eastAsia="宋体" w:cs="宋体"/>
          <w:color w:val="auto"/>
          <w:sz w:val="21"/>
          <w:szCs w:val="21"/>
        </w:rPr>
      </w:pPr>
      <w:r>
        <w:rPr>
          <w:rFonts w:hint="eastAsia" w:ascii="宋体" w:hAnsi="宋体" w:eastAsia="宋体" w:cs="宋体"/>
          <w:b/>
          <w:color w:val="auto"/>
          <w:sz w:val="21"/>
          <w:szCs w:val="21"/>
        </w:rPr>
        <w:t>（二）现场踏勘：各供应商于投标截止时间前自行到现场进行踏勘，以获取本次投标所需的现场资料及数据，供应商若未到现场踏勘，引起的一切后果均由其自行负责，由此造成投标价的偏差均不予调整。现场踏勘费用自理。</w:t>
      </w:r>
    </w:p>
    <w:p w14:paraId="666600A1">
      <w:pPr>
        <w:tabs>
          <w:tab w:val="left" w:pos="540"/>
        </w:tabs>
        <w:adjustRightInd w:val="0"/>
        <w:snapToGrid w:val="0"/>
        <w:spacing w:line="36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（三）</w:t>
      </w:r>
      <w:r>
        <w:rPr>
          <w:rFonts w:hint="eastAsia" w:ascii="宋体" w:hAnsi="宋体" w:eastAsia="宋体" w:cs="宋体"/>
          <w:bCs/>
          <w:color w:val="auto"/>
          <w:sz w:val="21"/>
          <w:szCs w:val="21"/>
        </w:rPr>
        <w:t>供应商需要对本次招标的全部采购内容进行投标，不允许只对其中部分内容进行投标，谢绝联合投标。</w:t>
      </w:r>
    </w:p>
    <w:p w14:paraId="26C8C43D">
      <w:pPr>
        <w:tabs>
          <w:tab w:val="left" w:pos="540"/>
        </w:tabs>
        <w:adjustRightInd w:val="0"/>
        <w:snapToGrid w:val="0"/>
        <w:spacing w:line="360" w:lineRule="auto"/>
        <w:ind w:firstLine="315" w:firstLineChars="150"/>
        <w:rPr>
          <w:rFonts w:hint="eastAsia" w:ascii="宋体" w:hAnsi="宋体" w:eastAsia="宋体" w:cs="宋体"/>
          <w:color w:val="auto"/>
          <w:sz w:val="21"/>
          <w:szCs w:val="21"/>
        </w:rPr>
      </w:pPr>
      <w:r>
        <w:rPr>
          <w:rFonts w:hint="eastAsia" w:ascii="宋体" w:hAnsi="宋体" w:eastAsia="宋体" w:cs="宋体"/>
          <w:bCs/>
          <w:color w:val="auto"/>
          <w:sz w:val="21"/>
          <w:szCs w:val="21"/>
        </w:rPr>
        <w:t>（四）供应商应按采购文件的要求完成采购工作。按工作顺序提交所需的无论其是否被明细列在合同文件中的所有资料，提供的货物和服务必须满足采购文件中提出的相关要求。</w:t>
      </w:r>
    </w:p>
    <w:p w14:paraId="14D57C6F">
      <w:pPr>
        <w:tabs>
          <w:tab w:val="left" w:pos="540"/>
        </w:tabs>
        <w:adjustRightInd w:val="0"/>
        <w:snapToGrid w:val="0"/>
        <w:spacing w:line="36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（五）在投标之前，供应商须仔细阅读采购文件，如发现有任何疑问、冲突或技术问题，供应商在答疑截止时间前以书面形式向采购代理机构提出。逾期采购人不再作答复，有关风险及责任由供应商自行承担。</w:t>
      </w:r>
    </w:p>
    <w:p w14:paraId="3ABC675D">
      <w:pPr>
        <w:tabs>
          <w:tab w:val="left" w:pos="540"/>
        </w:tabs>
        <w:adjustRightInd w:val="0"/>
        <w:snapToGrid w:val="0"/>
        <w:spacing w:line="360" w:lineRule="auto"/>
        <w:ind w:firstLine="315" w:firstLineChars="150"/>
        <w:rPr>
          <w:rFonts w:hint="eastAsia" w:ascii="宋体" w:hAnsi="宋体" w:eastAsia="宋体" w:cs="宋体"/>
          <w:snapToGrid w:val="0"/>
          <w:color w:val="auto"/>
          <w:sz w:val="21"/>
          <w:szCs w:val="21"/>
        </w:rPr>
      </w:pPr>
      <w:r>
        <w:rPr>
          <w:rFonts w:hint="eastAsia" w:ascii="宋体" w:hAnsi="宋体" w:eastAsia="宋体" w:cs="宋体"/>
          <w:color w:val="auto"/>
          <w:sz w:val="21"/>
          <w:szCs w:val="21"/>
        </w:rPr>
        <w:t>（六）供应商须对采购文件中各个条款一一给予实质性答复，</w:t>
      </w:r>
      <w:r>
        <w:rPr>
          <w:rFonts w:hint="eastAsia" w:ascii="宋体" w:hAnsi="宋体" w:eastAsia="宋体" w:cs="宋体"/>
          <w:color w:val="auto"/>
          <w:sz w:val="21"/>
          <w:szCs w:val="21"/>
          <w:u w:val="wave"/>
        </w:rPr>
        <w:t>否则有可能导致作无效标处理。</w:t>
      </w:r>
      <w:r>
        <w:rPr>
          <w:rFonts w:hint="eastAsia" w:ascii="宋体" w:hAnsi="宋体" w:eastAsia="宋体" w:cs="宋体"/>
          <w:b/>
          <w:color w:val="auto"/>
          <w:sz w:val="21"/>
          <w:szCs w:val="21"/>
        </w:rPr>
        <w:t xml:space="preserve">  </w:t>
      </w:r>
    </w:p>
    <w:p w14:paraId="2733EB44">
      <w:pPr>
        <w:pStyle w:val="3"/>
        <w:tabs>
          <w:tab w:val="left" w:pos="840"/>
        </w:tabs>
        <w:spacing w:before="156" w:beforeLines="50" w:after="156" w:afterLines="50"/>
        <w:jc w:val="center"/>
        <w:rPr>
          <w:rFonts w:hint="eastAsia" w:ascii="宋体" w:hAnsi="宋体" w:eastAsia="宋体" w:cs="宋体"/>
          <w:color w:val="auto"/>
          <w:sz w:val="21"/>
          <w:szCs w:val="21"/>
          <w:lang w:val="en-US" w:eastAsia="zh-CN"/>
        </w:rPr>
      </w:pPr>
      <w:bookmarkStart w:id="234" w:name="_Toc29483"/>
      <w:bookmarkStart w:id="235" w:name="_Toc72407403"/>
      <w:bookmarkStart w:id="236" w:name="_Toc26984"/>
      <w:r>
        <w:rPr>
          <w:rFonts w:hint="eastAsia" w:ascii="宋体" w:hAnsi="宋体" w:eastAsia="宋体" w:cs="宋体"/>
          <w:color w:val="auto"/>
          <w:sz w:val="21"/>
          <w:szCs w:val="21"/>
        </w:rPr>
        <w:t>二、招标范围</w:t>
      </w:r>
      <w:bookmarkEnd w:id="233"/>
      <w:bookmarkEnd w:id="234"/>
      <w:bookmarkEnd w:id="235"/>
      <w:bookmarkEnd w:id="236"/>
      <w:r>
        <w:rPr>
          <w:rFonts w:hint="eastAsia" w:ascii="宋体" w:hAnsi="宋体" w:eastAsia="宋体" w:cs="宋体"/>
          <w:color w:val="auto"/>
          <w:sz w:val="21"/>
          <w:szCs w:val="21"/>
          <w:lang w:val="en-US" w:eastAsia="zh-CN"/>
        </w:rPr>
        <w:t xml:space="preserve"> </w:t>
      </w:r>
    </w:p>
    <w:p w14:paraId="634185DE">
      <w:pPr>
        <w:snapToGrid w:val="0"/>
        <w:spacing w:line="360" w:lineRule="auto"/>
        <w:ind w:firstLine="422" w:firstLineChars="200"/>
        <w:jc w:val="left"/>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标项1：智能数控加工实训中心和教具库建设</w:t>
      </w:r>
      <w:r>
        <w:rPr>
          <w:rFonts w:hint="eastAsia" w:ascii="宋体" w:hAnsi="宋体" w:eastAsia="宋体" w:cs="宋体"/>
          <w:color w:val="auto"/>
          <w:sz w:val="21"/>
          <w:szCs w:val="21"/>
          <w:highlight w:val="none"/>
          <w:u w:val="none"/>
          <w:lang w:val="en-US" w:eastAsia="zh-CN"/>
        </w:rPr>
        <w:t xml:space="preserve"> </w:t>
      </w:r>
    </w:p>
    <w:p w14:paraId="28754EAC">
      <w:pPr>
        <w:spacing w:line="360" w:lineRule="auto"/>
        <w:ind w:firstLine="420" w:firstLineChars="200"/>
        <w:outlineLvl w:val="2"/>
        <w:rPr>
          <w:rFonts w:ascii="宋体" w:hAnsi="宋体" w:eastAsia="宋体" w:cs="宋体"/>
          <w:color w:val="auto"/>
          <w:lang w:eastAsia="zh-CN"/>
        </w:rPr>
      </w:pPr>
      <w:r>
        <w:rPr>
          <w:rFonts w:hint="eastAsia" w:ascii="宋体" w:hAnsi="宋体" w:eastAsia="宋体" w:cs="宋体"/>
          <w:color w:val="auto"/>
          <w:lang w:eastAsia="zh-CN"/>
        </w:rPr>
        <w:t xml:space="preserve">一、项目预（概）算： </w:t>
      </w:r>
      <w:r>
        <w:rPr>
          <w:rFonts w:hint="eastAsia" w:ascii="宋体" w:hAnsi="宋体" w:eastAsia="宋体" w:cs="宋体"/>
          <w:lang w:eastAsia="zh-CN"/>
        </w:rPr>
        <w:t>196</w:t>
      </w:r>
      <w:r>
        <w:rPr>
          <w:rFonts w:hint="eastAsia" w:ascii="宋体" w:hAnsi="宋体" w:eastAsia="宋体" w:cs="宋体"/>
          <w:color w:val="auto"/>
          <w:lang w:eastAsia="zh-CN"/>
        </w:rPr>
        <w:t>万元</w:t>
      </w:r>
    </w:p>
    <w:p w14:paraId="0F9DF504">
      <w:pPr>
        <w:spacing w:line="360" w:lineRule="auto"/>
        <w:ind w:firstLine="422" w:firstLineChars="200"/>
        <w:outlineLvl w:val="2"/>
        <w:rPr>
          <w:rFonts w:ascii="宋体" w:hAnsi="宋体" w:eastAsia="宋体" w:cs="宋体"/>
          <w:b/>
          <w:bCs/>
          <w:color w:val="auto"/>
          <w:lang w:eastAsia="zh-CN"/>
        </w:rPr>
      </w:pPr>
      <w:r>
        <w:rPr>
          <w:rFonts w:hint="eastAsia" w:ascii="宋体" w:hAnsi="宋体" w:eastAsia="宋体" w:cs="宋体"/>
          <w:b/>
          <w:bCs/>
          <w:color w:val="auto"/>
          <w:lang w:eastAsia="zh-CN"/>
        </w:rPr>
        <w:t>二、采购内容</w:t>
      </w:r>
    </w:p>
    <w:tbl>
      <w:tblPr>
        <w:tblStyle w:val="25"/>
        <w:tblW w:w="4997" w:type="pct"/>
        <w:jc w:val="center"/>
        <w:tblLayout w:type="autofit"/>
        <w:tblCellMar>
          <w:top w:w="0" w:type="dxa"/>
          <w:left w:w="108" w:type="dxa"/>
          <w:bottom w:w="0" w:type="dxa"/>
          <w:right w:w="108" w:type="dxa"/>
        </w:tblCellMar>
      </w:tblPr>
      <w:tblGrid>
        <w:gridCol w:w="1201"/>
        <w:gridCol w:w="4733"/>
        <w:gridCol w:w="1426"/>
        <w:gridCol w:w="1921"/>
      </w:tblGrid>
      <w:tr w14:paraId="4F0DAB94">
        <w:tblPrEx>
          <w:tblCellMar>
            <w:top w:w="0" w:type="dxa"/>
            <w:left w:w="108" w:type="dxa"/>
            <w:bottom w:w="0" w:type="dxa"/>
            <w:right w:w="108" w:type="dxa"/>
          </w:tblCellMar>
        </w:tblPrEx>
        <w:trPr>
          <w:trHeight w:val="28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36B24830">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b/>
                <w:bCs/>
              </w:rPr>
            </w:pPr>
            <w:r>
              <w:rPr>
                <w:rFonts w:hint="eastAsia" w:ascii="宋体" w:hAnsi="宋体" w:cs="宋体"/>
                <w:b/>
                <w:bCs/>
              </w:rPr>
              <w:t>序号</w:t>
            </w:r>
          </w:p>
        </w:tc>
        <w:tc>
          <w:tcPr>
            <w:tcW w:w="2549" w:type="pct"/>
            <w:tcBorders>
              <w:top w:val="single" w:color="auto" w:sz="4" w:space="0"/>
              <w:left w:val="single" w:color="auto" w:sz="4" w:space="0"/>
              <w:bottom w:val="single" w:color="auto" w:sz="4" w:space="0"/>
              <w:right w:val="single" w:color="auto" w:sz="4" w:space="0"/>
            </w:tcBorders>
            <w:vAlign w:val="center"/>
          </w:tcPr>
          <w:p w14:paraId="6BA042BF">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b/>
                <w:bCs/>
              </w:rPr>
            </w:pPr>
            <w:r>
              <w:rPr>
                <w:rFonts w:hint="eastAsia" w:ascii="宋体" w:hAnsi="宋体" w:cs="宋体"/>
                <w:b/>
                <w:bCs/>
              </w:rPr>
              <w:t>名称</w:t>
            </w:r>
          </w:p>
        </w:tc>
        <w:tc>
          <w:tcPr>
            <w:tcW w:w="768" w:type="pct"/>
            <w:tcBorders>
              <w:top w:val="single" w:color="auto" w:sz="4" w:space="0"/>
              <w:left w:val="single" w:color="auto" w:sz="4" w:space="0"/>
              <w:bottom w:val="single" w:color="auto" w:sz="4" w:space="0"/>
              <w:right w:val="single" w:color="auto" w:sz="4" w:space="0"/>
            </w:tcBorders>
            <w:vAlign w:val="center"/>
          </w:tcPr>
          <w:p w14:paraId="7C7AA05A">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b/>
                <w:bCs/>
              </w:rPr>
            </w:pPr>
            <w:r>
              <w:rPr>
                <w:rFonts w:hint="eastAsia" w:ascii="宋体" w:hAnsi="宋体" w:cs="宋体"/>
                <w:b/>
                <w:bCs/>
              </w:rPr>
              <w:t>数量</w:t>
            </w:r>
          </w:p>
        </w:tc>
        <w:tc>
          <w:tcPr>
            <w:tcW w:w="1034" w:type="pct"/>
            <w:tcBorders>
              <w:top w:val="single" w:color="auto" w:sz="4" w:space="0"/>
              <w:left w:val="single" w:color="auto" w:sz="4" w:space="0"/>
              <w:bottom w:val="single" w:color="auto" w:sz="4" w:space="0"/>
              <w:right w:val="single" w:color="auto" w:sz="4" w:space="0"/>
            </w:tcBorders>
            <w:vAlign w:val="center"/>
          </w:tcPr>
          <w:p w14:paraId="13CEEA82">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b/>
                <w:bCs/>
              </w:rPr>
            </w:pPr>
            <w:r>
              <w:rPr>
                <w:rFonts w:hint="eastAsia" w:ascii="宋体" w:hAnsi="宋体" w:cs="宋体"/>
                <w:b/>
                <w:bCs/>
              </w:rPr>
              <w:t>单位</w:t>
            </w:r>
          </w:p>
        </w:tc>
      </w:tr>
      <w:tr w14:paraId="556AF9B1">
        <w:tblPrEx>
          <w:tblCellMar>
            <w:top w:w="0" w:type="dxa"/>
            <w:left w:w="108" w:type="dxa"/>
            <w:bottom w:w="0" w:type="dxa"/>
            <w:right w:w="108" w:type="dxa"/>
          </w:tblCellMar>
        </w:tblPrEx>
        <w:trPr>
          <w:trHeight w:val="420"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500C14F1">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1</w:t>
            </w:r>
          </w:p>
        </w:tc>
        <w:tc>
          <w:tcPr>
            <w:tcW w:w="2549" w:type="pct"/>
            <w:tcBorders>
              <w:top w:val="single" w:color="auto" w:sz="4" w:space="0"/>
              <w:left w:val="single" w:color="auto" w:sz="4" w:space="0"/>
              <w:bottom w:val="single" w:color="auto" w:sz="4" w:space="0"/>
              <w:right w:val="single" w:color="auto" w:sz="4" w:space="0"/>
            </w:tcBorders>
            <w:vAlign w:val="center"/>
          </w:tcPr>
          <w:p w14:paraId="5F0B0FA7">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加工中心</w:t>
            </w:r>
          </w:p>
        </w:tc>
        <w:tc>
          <w:tcPr>
            <w:tcW w:w="768" w:type="pct"/>
            <w:tcBorders>
              <w:top w:val="single" w:color="auto" w:sz="4" w:space="0"/>
              <w:left w:val="single" w:color="auto" w:sz="4" w:space="0"/>
              <w:bottom w:val="single" w:color="auto" w:sz="4" w:space="0"/>
              <w:right w:val="single" w:color="auto" w:sz="4" w:space="0"/>
            </w:tcBorders>
            <w:vAlign w:val="center"/>
          </w:tcPr>
          <w:p w14:paraId="1A8484BF">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3</w:t>
            </w:r>
          </w:p>
        </w:tc>
        <w:tc>
          <w:tcPr>
            <w:tcW w:w="1034" w:type="pct"/>
            <w:tcBorders>
              <w:top w:val="single" w:color="auto" w:sz="4" w:space="0"/>
              <w:left w:val="single" w:color="auto" w:sz="4" w:space="0"/>
              <w:bottom w:val="single" w:color="auto" w:sz="4" w:space="0"/>
              <w:right w:val="single" w:color="auto" w:sz="4" w:space="0"/>
            </w:tcBorders>
            <w:vAlign w:val="center"/>
          </w:tcPr>
          <w:p w14:paraId="6DEB1A62">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套</w:t>
            </w:r>
          </w:p>
        </w:tc>
      </w:tr>
      <w:tr w14:paraId="7C2BAA05">
        <w:tblPrEx>
          <w:tblCellMar>
            <w:top w:w="0" w:type="dxa"/>
            <w:left w:w="108" w:type="dxa"/>
            <w:bottom w:w="0" w:type="dxa"/>
            <w:right w:w="108" w:type="dxa"/>
          </w:tblCellMar>
        </w:tblPrEx>
        <w:trPr>
          <w:trHeight w:val="28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422C1BE1">
            <w:pPr>
              <w:keepNext w:val="0"/>
              <w:keepLines w:val="0"/>
              <w:widowControl/>
              <w:suppressLineNumbers w:val="0"/>
              <w:spacing w:before="0" w:beforeAutospacing="0" w:after="0" w:afterAutospacing="0" w:line="340" w:lineRule="exact"/>
              <w:ind w:left="0" w:right="0"/>
              <w:jc w:val="center"/>
              <w:rPr>
                <w:rFonts w:ascii="宋体" w:hAnsi="宋体" w:cs="宋体"/>
              </w:rPr>
            </w:pPr>
            <w:r>
              <w:rPr>
                <w:rFonts w:hint="eastAsia" w:ascii="宋体" w:hAnsi="宋体" w:cs="宋体"/>
              </w:rPr>
              <w:t>2</w:t>
            </w:r>
          </w:p>
        </w:tc>
        <w:tc>
          <w:tcPr>
            <w:tcW w:w="2549" w:type="pct"/>
            <w:tcBorders>
              <w:top w:val="single" w:color="auto" w:sz="4" w:space="0"/>
              <w:left w:val="single" w:color="auto" w:sz="4" w:space="0"/>
              <w:bottom w:val="single" w:color="auto" w:sz="4" w:space="0"/>
              <w:right w:val="single" w:color="auto" w:sz="4" w:space="0"/>
            </w:tcBorders>
            <w:vAlign w:val="center"/>
          </w:tcPr>
          <w:p w14:paraId="46D577F0">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数控车床</w:t>
            </w:r>
          </w:p>
        </w:tc>
        <w:tc>
          <w:tcPr>
            <w:tcW w:w="768" w:type="pct"/>
            <w:tcBorders>
              <w:top w:val="single" w:color="auto" w:sz="4" w:space="0"/>
              <w:left w:val="single" w:color="auto" w:sz="4" w:space="0"/>
              <w:bottom w:val="single" w:color="auto" w:sz="4" w:space="0"/>
              <w:right w:val="single" w:color="auto" w:sz="4" w:space="0"/>
            </w:tcBorders>
            <w:vAlign w:val="center"/>
          </w:tcPr>
          <w:p w14:paraId="01F4A07A">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6</w:t>
            </w:r>
          </w:p>
        </w:tc>
        <w:tc>
          <w:tcPr>
            <w:tcW w:w="1034" w:type="pct"/>
            <w:tcBorders>
              <w:top w:val="single" w:color="auto" w:sz="4" w:space="0"/>
              <w:left w:val="single" w:color="auto" w:sz="4" w:space="0"/>
              <w:bottom w:val="single" w:color="auto" w:sz="4" w:space="0"/>
              <w:right w:val="single" w:color="auto" w:sz="4" w:space="0"/>
            </w:tcBorders>
            <w:vAlign w:val="center"/>
          </w:tcPr>
          <w:p w14:paraId="4F1F772A">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cs="宋体"/>
              </w:rPr>
              <w:t>套</w:t>
            </w:r>
          </w:p>
        </w:tc>
      </w:tr>
      <w:tr w14:paraId="20BCD830">
        <w:tblPrEx>
          <w:tblCellMar>
            <w:top w:w="0" w:type="dxa"/>
            <w:left w:w="108" w:type="dxa"/>
            <w:bottom w:w="0" w:type="dxa"/>
            <w:right w:w="108" w:type="dxa"/>
          </w:tblCellMar>
        </w:tblPrEx>
        <w:trPr>
          <w:trHeight w:val="28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4FE6F154">
            <w:pPr>
              <w:keepNext w:val="0"/>
              <w:keepLines w:val="0"/>
              <w:widowControl/>
              <w:suppressLineNumbers w:val="0"/>
              <w:spacing w:before="0" w:beforeAutospacing="0" w:after="0" w:afterAutospacing="0" w:line="340" w:lineRule="exact"/>
              <w:ind w:left="0" w:right="0"/>
              <w:jc w:val="center"/>
              <w:rPr>
                <w:rFonts w:ascii="宋体" w:hAnsi="宋体" w:eastAsia="宋体" w:cs="宋体"/>
                <w:lang w:eastAsia="zh-CN"/>
              </w:rPr>
            </w:pPr>
            <w:r>
              <w:rPr>
                <w:rFonts w:hint="eastAsia" w:ascii="宋体" w:hAnsi="宋体" w:cs="宋体"/>
                <w:lang w:eastAsia="zh-CN"/>
              </w:rPr>
              <w:t>3</w:t>
            </w:r>
          </w:p>
        </w:tc>
        <w:tc>
          <w:tcPr>
            <w:tcW w:w="2549" w:type="pct"/>
            <w:tcBorders>
              <w:top w:val="single" w:color="auto" w:sz="4" w:space="0"/>
              <w:left w:val="single" w:color="auto" w:sz="4" w:space="0"/>
              <w:bottom w:val="single" w:color="auto" w:sz="4" w:space="0"/>
              <w:right w:val="single" w:color="auto" w:sz="4" w:space="0"/>
            </w:tcBorders>
            <w:vAlign w:val="center"/>
          </w:tcPr>
          <w:p w14:paraId="3C4439A0">
            <w:pPr>
              <w:keepNext w:val="0"/>
              <w:keepLines w:val="0"/>
              <w:widowControl/>
              <w:suppressLineNumbers w:val="0"/>
              <w:spacing w:before="0" w:beforeAutospacing="0" w:after="0" w:afterAutospacing="0" w:line="340" w:lineRule="exact"/>
              <w:ind w:left="0" w:right="0"/>
              <w:jc w:val="center"/>
              <w:textAlignment w:val="center"/>
              <w:rPr>
                <w:rFonts w:ascii="宋体" w:hAnsi="宋体" w:eastAsia="宋体" w:cs="宋体"/>
                <w:lang w:eastAsia="zh-CN"/>
              </w:rPr>
            </w:pPr>
            <w:r>
              <w:rPr>
                <w:rFonts w:hint="eastAsia" w:ascii="宋体" w:hAnsi="宋体" w:cs="宋体"/>
                <w:lang w:eastAsia="zh-CN"/>
              </w:rPr>
              <w:t>机械类专业课程教具库</w:t>
            </w:r>
          </w:p>
        </w:tc>
        <w:tc>
          <w:tcPr>
            <w:tcW w:w="768" w:type="pct"/>
            <w:tcBorders>
              <w:top w:val="single" w:color="auto" w:sz="4" w:space="0"/>
              <w:left w:val="single" w:color="auto" w:sz="4" w:space="0"/>
              <w:bottom w:val="single" w:color="auto" w:sz="4" w:space="0"/>
              <w:right w:val="single" w:color="auto" w:sz="4" w:space="0"/>
            </w:tcBorders>
            <w:vAlign w:val="center"/>
          </w:tcPr>
          <w:p w14:paraId="6822290A">
            <w:pPr>
              <w:keepNext w:val="0"/>
              <w:keepLines w:val="0"/>
              <w:widowControl/>
              <w:suppressLineNumbers w:val="0"/>
              <w:spacing w:before="0" w:beforeAutospacing="0" w:after="0" w:afterAutospacing="0" w:line="340" w:lineRule="exact"/>
              <w:ind w:left="0" w:right="0"/>
              <w:jc w:val="center"/>
              <w:textAlignment w:val="center"/>
              <w:rPr>
                <w:rFonts w:ascii="宋体" w:hAnsi="宋体" w:eastAsia="宋体" w:cs="宋体"/>
                <w:lang w:eastAsia="zh-CN"/>
              </w:rPr>
            </w:pPr>
            <w:r>
              <w:rPr>
                <w:rFonts w:hint="eastAsia" w:ascii="宋体" w:hAnsi="宋体" w:cs="宋体"/>
                <w:lang w:eastAsia="zh-CN"/>
              </w:rPr>
              <w:t>3</w:t>
            </w:r>
          </w:p>
        </w:tc>
        <w:tc>
          <w:tcPr>
            <w:tcW w:w="1034" w:type="pct"/>
            <w:tcBorders>
              <w:top w:val="single" w:color="auto" w:sz="4" w:space="0"/>
              <w:left w:val="single" w:color="auto" w:sz="4" w:space="0"/>
              <w:bottom w:val="single" w:color="auto" w:sz="4" w:space="0"/>
              <w:right w:val="single" w:color="auto" w:sz="4" w:space="0"/>
            </w:tcBorders>
            <w:vAlign w:val="center"/>
          </w:tcPr>
          <w:p w14:paraId="60B2C287">
            <w:pPr>
              <w:keepNext w:val="0"/>
              <w:keepLines w:val="0"/>
              <w:widowControl/>
              <w:suppressLineNumbers w:val="0"/>
              <w:spacing w:before="0" w:beforeAutospacing="0" w:after="0" w:afterAutospacing="0" w:line="340" w:lineRule="exact"/>
              <w:ind w:left="0" w:right="0"/>
              <w:jc w:val="center"/>
              <w:textAlignment w:val="center"/>
              <w:rPr>
                <w:rFonts w:ascii="宋体" w:hAnsi="宋体" w:eastAsia="宋体" w:cs="宋体"/>
                <w:lang w:eastAsia="zh-CN"/>
              </w:rPr>
            </w:pPr>
            <w:r>
              <w:rPr>
                <w:rFonts w:hint="eastAsia" w:ascii="宋体" w:hAnsi="宋体" w:cs="宋体"/>
                <w:lang w:eastAsia="zh-CN"/>
              </w:rPr>
              <w:t>套</w:t>
            </w:r>
          </w:p>
        </w:tc>
      </w:tr>
      <w:tr w14:paraId="30043BDF">
        <w:tblPrEx>
          <w:tblCellMar>
            <w:top w:w="0" w:type="dxa"/>
            <w:left w:w="108" w:type="dxa"/>
            <w:bottom w:w="0" w:type="dxa"/>
            <w:right w:w="108" w:type="dxa"/>
          </w:tblCellMar>
        </w:tblPrEx>
        <w:trPr>
          <w:trHeight w:val="28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2B99DDD1">
            <w:pPr>
              <w:keepNext w:val="0"/>
              <w:keepLines w:val="0"/>
              <w:widowControl/>
              <w:suppressLineNumbers w:val="0"/>
              <w:spacing w:before="0" w:beforeAutospacing="0" w:after="0" w:afterAutospacing="0" w:line="340" w:lineRule="exact"/>
              <w:ind w:left="0" w:right="0"/>
              <w:jc w:val="center"/>
              <w:rPr>
                <w:rFonts w:ascii="宋体" w:hAnsi="宋体" w:eastAsia="宋体" w:cs="宋体"/>
                <w:lang w:eastAsia="zh-CN"/>
              </w:rPr>
            </w:pPr>
            <w:r>
              <w:rPr>
                <w:rFonts w:hint="eastAsia" w:ascii="宋体" w:hAnsi="宋体" w:cs="宋体"/>
                <w:lang w:eastAsia="zh-CN"/>
              </w:rPr>
              <w:t>4</w:t>
            </w:r>
          </w:p>
        </w:tc>
        <w:tc>
          <w:tcPr>
            <w:tcW w:w="2549" w:type="pct"/>
            <w:tcBorders>
              <w:top w:val="single" w:color="auto" w:sz="4" w:space="0"/>
              <w:left w:val="single" w:color="auto" w:sz="4" w:space="0"/>
              <w:bottom w:val="single" w:color="auto" w:sz="4" w:space="0"/>
              <w:right w:val="single" w:color="auto" w:sz="4" w:space="0"/>
            </w:tcBorders>
            <w:vAlign w:val="center"/>
          </w:tcPr>
          <w:p w14:paraId="2D786FC0">
            <w:pPr>
              <w:keepNext w:val="0"/>
              <w:keepLines w:val="0"/>
              <w:widowControl/>
              <w:suppressLineNumbers w:val="0"/>
              <w:spacing w:before="0" w:beforeAutospacing="0" w:after="0" w:afterAutospacing="0" w:line="340" w:lineRule="exact"/>
              <w:ind w:left="0" w:right="0"/>
              <w:jc w:val="center"/>
              <w:textAlignment w:val="center"/>
              <w:rPr>
                <w:rFonts w:ascii="宋体" w:hAnsi="宋体" w:cs="宋体"/>
              </w:rPr>
            </w:pPr>
            <w:r>
              <w:rPr>
                <w:rFonts w:hint="eastAsia" w:ascii="宋体" w:hAnsi="宋体" w:eastAsia="宋体" w:cs="宋体"/>
                <w:lang w:eastAsia="zh-CN"/>
              </w:rPr>
              <w:t>清扫工具车</w:t>
            </w:r>
          </w:p>
        </w:tc>
        <w:tc>
          <w:tcPr>
            <w:tcW w:w="768" w:type="pct"/>
            <w:tcBorders>
              <w:top w:val="single" w:color="auto" w:sz="4" w:space="0"/>
              <w:left w:val="single" w:color="auto" w:sz="4" w:space="0"/>
              <w:bottom w:val="single" w:color="auto" w:sz="4" w:space="0"/>
              <w:right w:val="single" w:color="auto" w:sz="4" w:space="0"/>
            </w:tcBorders>
            <w:vAlign w:val="center"/>
          </w:tcPr>
          <w:p w14:paraId="5413BF7C">
            <w:pPr>
              <w:keepNext w:val="0"/>
              <w:keepLines w:val="0"/>
              <w:widowControl/>
              <w:suppressLineNumbers w:val="0"/>
              <w:spacing w:before="0" w:beforeAutospacing="0" w:after="0" w:afterAutospacing="0" w:line="340" w:lineRule="exact"/>
              <w:ind w:left="0" w:right="0"/>
              <w:jc w:val="center"/>
              <w:textAlignment w:val="center"/>
              <w:rPr>
                <w:rFonts w:ascii="宋体" w:hAnsi="宋体" w:eastAsia="宋体" w:cs="宋体"/>
                <w:lang w:eastAsia="zh-CN"/>
              </w:rPr>
            </w:pPr>
            <w:r>
              <w:rPr>
                <w:rFonts w:hint="eastAsia" w:ascii="宋体" w:hAnsi="宋体" w:cs="宋体"/>
                <w:lang w:eastAsia="zh-CN"/>
              </w:rPr>
              <w:t>1</w:t>
            </w:r>
          </w:p>
        </w:tc>
        <w:tc>
          <w:tcPr>
            <w:tcW w:w="1034" w:type="pct"/>
            <w:tcBorders>
              <w:top w:val="single" w:color="auto" w:sz="4" w:space="0"/>
              <w:left w:val="single" w:color="auto" w:sz="4" w:space="0"/>
              <w:bottom w:val="single" w:color="auto" w:sz="4" w:space="0"/>
              <w:right w:val="single" w:color="auto" w:sz="4" w:space="0"/>
            </w:tcBorders>
            <w:vAlign w:val="center"/>
          </w:tcPr>
          <w:p w14:paraId="00AB6379">
            <w:pPr>
              <w:keepNext w:val="0"/>
              <w:keepLines w:val="0"/>
              <w:widowControl/>
              <w:suppressLineNumbers w:val="0"/>
              <w:spacing w:before="0" w:beforeAutospacing="0" w:after="0" w:afterAutospacing="0" w:line="340" w:lineRule="exact"/>
              <w:ind w:left="0" w:right="0"/>
              <w:jc w:val="center"/>
              <w:textAlignment w:val="center"/>
              <w:rPr>
                <w:rFonts w:ascii="宋体" w:hAnsi="宋体" w:eastAsia="宋体" w:cs="宋体"/>
                <w:lang w:eastAsia="zh-CN"/>
              </w:rPr>
            </w:pPr>
            <w:r>
              <w:rPr>
                <w:rFonts w:hint="eastAsia" w:ascii="宋体" w:hAnsi="宋体" w:cs="宋体"/>
                <w:lang w:eastAsia="zh-CN"/>
              </w:rPr>
              <w:t>台</w:t>
            </w:r>
          </w:p>
        </w:tc>
      </w:tr>
    </w:tbl>
    <w:p w14:paraId="36672B98">
      <w:pPr>
        <w:spacing w:line="460" w:lineRule="exact"/>
        <w:ind w:firstLine="420" w:firstLineChars="200"/>
        <w:rPr>
          <w:rFonts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auto"/>
          <w:lang w:eastAsia="zh-CN"/>
        </w:rPr>
        <w:t xml:space="preserve"> </w:t>
      </w:r>
      <w:r>
        <w:rPr>
          <w:rFonts w:hint="eastAsia" w:ascii="宋体" w:hAnsi="宋体" w:eastAsia="宋体" w:cs="宋体"/>
          <w:color w:val="000000" w:themeColor="text1"/>
          <w:lang w:eastAsia="zh-CN"/>
          <w14:textFill>
            <w14:solidFill>
              <w14:schemeClr w14:val="tx1"/>
            </w14:solidFill>
          </w14:textFill>
        </w:rPr>
        <w:t>三、标项1主要采购内容及技术参数要求</w:t>
      </w:r>
    </w:p>
    <w:p w14:paraId="48AD007A">
      <w:pPr>
        <w:rPr>
          <w:rFonts w:ascii="宋体" w:hAnsi="宋体" w:eastAsia="宋体" w:cs="宋体"/>
          <w:b/>
          <w:bCs/>
          <w:color w:val="auto"/>
          <w:lang w:eastAsia="zh-CN"/>
        </w:rPr>
      </w:pPr>
      <w:r>
        <w:rPr>
          <w:rFonts w:hint="eastAsia" w:ascii="宋体" w:hAnsi="宋体" w:eastAsia="宋体" w:cs="宋体"/>
          <w:b/>
          <w:bCs/>
          <w:color w:val="auto"/>
          <w:lang w:eastAsia="zh-CN"/>
        </w:rPr>
        <w:t>（一）数控加工中心</w:t>
      </w:r>
    </w:p>
    <w:p w14:paraId="1D26D36D">
      <w:pPr>
        <w:rPr>
          <w:rFonts w:ascii="宋体" w:hAnsi="宋体" w:eastAsia="宋体" w:cs="宋体"/>
          <w:b/>
          <w:bCs/>
          <w:color w:val="auto"/>
          <w:lang w:eastAsia="zh-CN"/>
        </w:rPr>
      </w:pPr>
      <w:r>
        <w:rPr>
          <w:rFonts w:hint="eastAsia" w:ascii="宋体" w:hAnsi="宋体" w:eastAsia="宋体" w:cs="宋体"/>
          <w:b/>
          <w:bCs/>
          <w:color w:val="auto"/>
          <w:lang w:eastAsia="zh-CN"/>
        </w:rPr>
        <w:t>1、数控加工中心整体结构特点及性能体现</w:t>
      </w:r>
    </w:p>
    <w:p w14:paraId="6AA089F2">
      <w:pPr>
        <w:rPr>
          <w:rFonts w:ascii="宋体" w:hAnsi="宋体" w:eastAsia="宋体" w:cs="宋体"/>
          <w:color w:val="auto"/>
          <w:lang w:eastAsia="zh-CN"/>
        </w:rPr>
      </w:pPr>
      <w:r>
        <w:rPr>
          <w:rFonts w:hint="eastAsia" w:ascii="宋体" w:hAnsi="宋体" w:eastAsia="宋体" w:cs="宋体"/>
          <w:color w:val="auto"/>
          <w:lang w:eastAsia="zh-CN"/>
        </w:rPr>
        <w:t>（1）.铸件</w:t>
      </w:r>
    </w:p>
    <w:p w14:paraId="256D5C9E">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本机床床身、立柱、滑鞍、工作台和主轴箱采用高抗震性能优质灰口铸铁，，且经过两次人工时效处理，具有良好的热稳定性和高抗震性，确保各项精度稳定可靠。</w:t>
      </w:r>
    </w:p>
    <w:p w14:paraId="72B0C386">
      <w:pPr>
        <w:rPr>
          <w:rFonts w:ascii="宋体" w:hAnsi="宋体" w:eastAsia="宋体" w:cs="宋体"/>
          <w:color w:val="auto"/>
          <w:lang w:eastAsia="zh-CN"/>
        </w:rPr>
      </w:pPr>
      <w:r>
        <w:rPr>
          <w:rFonts w:hint="eastAsia" w:ascii="宋体" w:hAnsi="宋体" w:eastAsia="宋体" w:cs="宋体"/>
          <w:color w:val="auto"/>
          <w:lang w:eastAsia="zh-CN"/>
        </w:rPr>
        <w:t>（2）.主轴</w:t>
      </w:r>
    </w:p>
    <w:p w14:paraId="681475F6">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本机床所选用的主轴采用</w:t>
      </w:r>
      <w:r>
        <w:rPr>
          <w:rFonts w:hint="eastAsia" w:ascii="宋体" w:hAnsi="宋体" w:eastAsia="宋体" w:cs="宋体"/>
          <w:color w:val="0000FF"/>
          <w:lang w:eastAsia="zh-CN"/>
        </w:rPr>
        <w:t>符合国家行业标准的</w:t>
      </w:r>
      <w:r>
        <w:rPr>
          <w:rFonts w:hint="eastAsia" w:ascii="宋体" w:hAnsi="宋体" w:eastAsia="宋体" w:cs="宋体"/>
          <w:color w:val="auto"/>
          <w:lang w:eastAsia="zh-CN"/>
        </w:rPr>
        <w:t>主体、高精度主轴专用轴承和NBU15油脂润滑，主轴冷却采用油冷机冷却，高刚度的主轴组件，高精度轴承配对结构，恒定的温升，确保精密性、高刚性和稳定性，整套主轴在恒温条件下组装完成后，均需通过电脑平衡较正及跑合测试，使得整套主轴的使用寿命更长，可靠性更高。主轴电机通过特殊的高速旋转接头采用与主轴直联方式传动。</w:t>
      </w:r>
    </w:p>
    <w:p w14:paraId="67C3382B">
      <w:pPr>
        <w:rPr>
          <w:rFonts w:ascii="宋体" w:hAnsi="宋体" w:eastAsia="宋体" w:cs="宋体"/>
          <w:color w:val="auto"/>
          <w:lang w:eastAsia="zh-CN"/>
        </w:rPr>
      </w:pPr>
      <w:r>
        <w:rPr>
          <w:rFonts w:hint="eastAsia" w:ascii="宋体" w:hAnsi="宋体" w:eastAsia="宋体" w:cs="宋体"/>
          <w:color w:val="auto"/>
          <w:lang w:eastAsia="zh-CN"/>
        </w:rPr>
        <w:t>（3）.卸刀</w:t>
      </w:r>
    </w:p>
    <w:p w14:paraId="0BCB9EA7">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本机床采用目前加工中心通用的快速气动卸刀装置，实现机床的快速装卸刀具。</w:t>
      </w:r>
    </w:p>
    <w:p w14:paraId="144A05F5">
      <w:pPr>
        <w:rPr>
          <w:rFonts w:ascii="宋体" w:hAnsi="宋体" w:eastAsia="宋体" w:cs="宋体"/>
          <w:color w:val="auto"/>
          <w:lang w:eastAsia="zh-CN"/>
        </w:rPr>
      </w:pPr>
      <w:r>
        <w:rPr>
          <w:rFonts w:hint="eastAsia" w:ascii="宋体" w:hAnsi="宋体" w:eastAsia="宋体" w:cs="宋体"/>
          <w:color w:val="auto"/>
          <w:lang w:eastAsia="zh-CN"/>
        </w:rPr>
        <w:t>（4）.丝杠</w:t>
      </w:r>
    </w:p>
    <w:p w14:paraId="3E18159F">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本机床X、Y、Z三轴传动的滚珠丝杆均采用C3级HIWIN/PMI/THK</w:t>
      </w:r>
      <w:bookmarkStart w:id="237" w:name="OLE_LINK11"/>
      <w:r>
        <w:rPr>
          <w:rFonts w:hint="eastAsia" w:ascii="宋体" w:hAnsi="宋体" w:eastAsia="宋体" w:cs="宋体"/>
          <w:color w:val="auto"/>
          <w:lang w:eastAsia="zh-CN"/>
        </w:rPr>
        <w:t>同档次</w:t>
      </w:r>
      <w:bookmarkEnd w:id="237"/>
      <w:r>
        <w:rPr>
          <w:rFonts w:hint="eastAsia" w:ascii="宋体" w:hAnsi="宋体" w:eastAsia="宋体" w:cs="宋体"/>
          <w:color w:val="auto"/>
          <w:lang w:eastAsia="zh-CN"/>
        </w:rPr>
        <w:t>的高精度预紧滚珠丝杆，滚珠丝杆两端轴承均采用</w:t>
      </w:r>
      <w:r>
        <w:rPr>
          <w:rFonts w:hint="eastAsia" w:ascii="宋体" w:hAnsi="宋体" w:eastAsia="宋体" w:cs="宋体"/>
          <w:color w:val="0000FF"/>
          <w:lang w:eastAsia="zh-CN"/>
        </w:rPr>
        <w:t>符合国家行业标准的</w:t>
      </w:r>
      <w:r>
        <w:rPr>
          <w:rFonts w:hint="eastAsia" w:ascii="宋体" w:hAnsi="宋体" w:eastAsia="宋体" w:cs="宋体"/>
          <w:color w:val="auto"/>
          <w:lang w:eastAsia="zh-CN"/>
        </w:rPr>
        <w:t>的配对组合的专用轴承和联轴器，从而使得三轴的传动刚性强，精度稳定可靠。丝杆直径*螺距需达∮40*16mm。</w:t>
      </w:r>
    </w:p>
    <w:p w14:paraId="745DBDD6">
      <w:pPr>
        <w:rPr>
          <w:rFonts w:ascii="宋体" w:hAnsi="宋体" w:eastAsia="宋体" w:cs="宋体"/>
          <w:color w:val="auto"/>
          <w:lang w:eastAsia="zh-CN"/>
        </w:rPr>
      </w:pPr>
      <w:r>
        <w:rPr>
          <w:rFonts w:hint="eastAsia" w:ascii="宋体" w:hAnsi="宋体" w:eastAsia="宋体" w:cs="宋体"/>
          <w:color w:val="auto"/>
          <w:lang w:eastAsia="zh-CN"/>
        </w:rPr>
        <w:t>（5）.导轨</w:t>
      </w:r>
    </w:p>
    <w:p w14:paraId="242A2EB5">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本机床X、Y、Z轴采用P级HIWIN/PMI/THK同档次滚柱型滚动导轨，提高了机床的刚性和稳定性。X/Y/Z轴导轨宽度和根数不低于35mm*2根/45mm*2根/45mm*2根。</w:t>
      </w:r>
    </w:p>
    <w:p w14:paraId="523EC68C">
      <w:pPr>
        <w:rPr>
          <w:rFonts w:ascii="宋体" w:hAnsi="宋体" w:eastAsia="宋体" w:cs="宋体"/>
          <w:color w:val="auto"/>
          <w:lang w:eastAsia="zh-CN"/>
        </w:rPr>
      </w:pPr>
      <w:r>
        <w:rPr>
          <w:rFonts w:hint="eastAsia" w:ascii="宋体" w:hAnsi="宋体" w:eastAsia="宋体" w:cs="宋体"/>
          <w:color w:val="auto"/>
          <w:lang w:eastAsia="zh-CN"/>
        </w:rPr>
        <w:t>（★6）. 进给系统</w:t>
      </w:r>
    </w:p>
    <w:p w14:paraId="3D034F56">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本机床进给系统采用伺服电机通过弹性联轴器与滚珠丝杠直联带动工作台、滑鞍和主轴箱实现X、Y、Z三个方向的进给。</w:t>
      </w:r>
    </w:p>
    <w:p w14:paraId="71D3E256">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①X/Y/Z轴定位精度：≤0.006mm。</w:t>
      </w:r>
      <w:r>
        <w:rPr>
          <w:rFonts w:hint="eastAsia" w:ascii="宋体" w:hAnsi="宋体" w:eastAsia="宋体" w:cs="宋体"/>
          <w:b/>
          <w:bCs/>
          <w:color w:val="auto"/>
          <w:lang w:eastAsia="zh-CN"/>
        </w:rPr>
        <w:t>(提供有效期内的具有CMA标识的检验检测报告扫描件并加盖供应商公章，否则不予认可)</w:t>
      </w:r>
    </w:p>
    <w:p w14:paraId="64E48471">
      <w:pPr>
        <w:ind w:firstLine="420" w:firstLineChars="200"/>
        <w:rPr>
          <w:rFonts w:ascii="宋体" w:hAnsi="宋体" w:eastAsia="宋体" w:cs="宋体"/>
          <w:b/>
          <w:bCs/>
          <w:color w:val="auto"/>
          <w:lang w:eastAsia="zh-CN"/>
        </w:rPr>
      </w:pPr>
      <w:r>
        <w:rPr>
          <w:rFonts w:hint="eastAsia" w:ascii="宋体" w:hAnsi="宋体" w:eastAsia="宋体" w:cs="宋体"/>
          <w:color w:val="auto"/>
          <w:lang w:eastAsia="zh-CN"/>
        </w:rPr>
        <w:t>②X/Y/Z轴重复定位精度：≤0.004mm。</w:t>
      </w:r>
      <w:r>
        <w:rPr>
          <w:rFonts w:hint="eastAsia" w:ascii="宋体" w:hAnsi="宋体" w:eastAsia="宋体" w:cs="宋体"/>
          <w:b/>
          <w:bCs/>
          <w:color w:val="auto"/>
          <w:lang w:eastAsia="zh-CN"/>
        </w:rPr>
        <w:t>(提供有效期内的具有CMA标识的检验检测报告扫描件并加盖供应商公章，否则不予认可)</w:t>
      </w:r>
    </w:p>
    <w:p w14:paraId="2BBA0A33">
      <w:pPr>
        <w:rPr>
          <w:rFonts w:ascii="宋体" w:hAnsi="宋体" w:eastAsia="宋体" w:cs="宋体"/>
          <w:color w:val="auto"/>
          <w:lang w:eastAsia="zh-CN"/>
        </w:rPr>
      </w:pPr>
      <w:r>
        <w:rPr>
          <w:rFonts w:hint="eastAsia" w:ascii="宋体" w:hAnsi="宋体" w:eastAsia="宋体" w:cs="宋体"/>
          <w:color w:val="auto"/>
          <w:lang w:eastAsia="zh-CN"/>
        </w:rPr>
        <w:t>（7）.刀库</w:t>
      </w:r>
    </w:p>
    <w:p w14:paraId="3EA7AE19">
      <w:pPr>
        <w:ind w:firstLine="420" w:firstLineChars="200"/>
        <w:rPr>
          <w:rFonts w:ascii="宋体" w:hAnsi="宋体" w:eastAsia="宋体" w:cs="宋体"/>
          <w:color w:val="auto"/>
          <w:lang w:eastAsia="zh-CN"/>
        </w:rPr>
      </w:pPr>
      <w:r>
        <w:rPr>
          <w:rFonts w:hint="eastAsia" w:ascii="宋体" w:hAnsi="宋体" w:eastAsia="宋体" w:cs="宋体"/>
          <w:color w:val="auto"/>
          <w:lang w:eastAsia="zh-CN"/>
        </w:rPr>
        <w:t>本机床配圆盘式BT40/24T。立柱是肩扛式刀库支架。</w:t>
      </w:r>
    </w:p>
    <w:p w14:paraId="2CEA597C">
      <w:pPr>
        <w:rPr>
          <w:rFonts w:ascii="宋体" w:hAnsi="宋体" w:eastAsia="宋体" w:cs="宋体"/>
          <w:color w:val="auto"/>
          <w:lang w:eastAsia="zh-CN"/>
        </w:rPr>
      </w:pPr>
      <w:r>
        <w:rPr>
          <w:rFonts w:hint="eastAsia" w:ascii="宋体" w:hAnsi="宋体" w:eastAsia="宋体" w:cs="宋体"/>
          <w:color w:val="auto"/>
          <w:lang w:eastAsia="zh-CN"/>
        </w:rPr>
        <w:t>（8）.机床全防护</w:t>
      </w:r>
    </w:p>
    <w:p w14:paraId="1ECE4967">
      <w:pPr>
        <w:ind w:firstLine="420" w:firstLineChars="200"/>
        <w:rPr>
          <w:rFonts w:ascii="宋体" w:hAnsi="宋体" w:eastAsia="宋体" w:cs="宋体"/>
          <w:lang w:eastAsia="zh-CN"/>
        </w:rPr>
      </w:pPr>
      <w:r>
        <w:rPr>
          <w:rFonts w:hint="eastAsia" w:ascii="宋体" w:hAnsi="宋体" w:eastAsia="宋体" w:cs="宋体"/>
          <w:lang w:eastAsia="zh-CN"/>
        </w:rPr>
        <w:t>本机床的防护采用全防护形式。防止冷却液的渗漏，并保持环境的清洁。</w:t>
      </w:r>
    </w:p>
    <w:p w14:paraId="442A9D5C">
      <w:pPr>
        <w:rPr>
          <w:rFonts w:ascii="宋体" w:hAnsi="宋体" w:eastAsia="宋体" w:cs="宋体"/>
          <w:lang w:eastAsia="zh-CN"/>
        </w:rPr>
      </w:pPr>
      <w:r>
        <w:rPr>
          <w:rFonts w:hint="eastAsia" w:ascii="宋体" w:hAnsi="宋体" w:eastAsia="宋体" w:cs="宋体"/>
          <w:lang w:eastAsia="zh-CN"/>
        </w:rPr>
        <w:t>（9）.润滑</w:t>
      </w:r>
    </w:p>
    <w:p w14:paraId="2BCFF360">
      <w:pPr>
        <w:ind w:firstLine="420" w:firstLineChars="200"/>
        <w:rPr>
          <w:rFonts w:ascii="宋体" w:hAnsi="宋体" w:eastAsia="宋体" w:cs="宋体"/>
          <w:lang w:eastAsia="zh-CN"/>
        </w:rPr>
      </w:pPr>
      <w:r>
        <w:rPr>
          <w:rFonts w:hint="eastAsia" w:ascii="宋体" w:hAnsi="宋体" w:eastAsia="宋体" w:cs="宋体"/>
          <w:lang w:eastAsia="zh-CN"/>
        </w:rPr>
        <w:t>本机床的润滑系统采用定量集中供油润滑系统，润滑由系统PLC程序控制，可控、可靠。在自动供油泵和节流分配器中都设有过滤网，从而保证了各润滑点润滑的质量和管路的畅通；整个系统以压力供油，其各处润滑的分配不随温度和粘度的变化而变化，只与节流分配器的流量有关，各润滑点均能得到充分的润滑。</w:t>
      </w:r>
    </w:p>
    <w:p w14:paraId="1E45A73E">
      <w:pPr>
        <w:rPr>
          <w:rFonts w:ascii="宋体" w:hAnsi="宋体" w:eastAsia="宋体" w:cs="宋体"/>
          <w:lang w:eastAsia="zh-CN"/>
        </w:rPr>
      </w:pPr>
      <w:r>
        <w:rPr>
          <w:rFonts w:hint="eastAsia" w:ascii="宋体" w:hAnsi="宋体" w:eastAsia="宋体" w:cs="宋体"/>
          <w:lang w:eastAsia="zh-CN"/>
        </w:rPr>
        <w:t>（10）.冷却、排屑系统</w:t>
      </w:r>
    </w:p>
    <w:p w14:paraId="5439CA74">
      <w:pPr>
        <w:ind w:firstLine="420" w:firstLineChars="200"/>
        <w:rPr>
          <w:rFonts w:ascii="宋体" w:hAnsi="宋体" w:eastAsia="宋体" w:cs="宋体"/>
          <w:lang w:eastAsia="zh-CN"/>
        </w:rPr>
      </w:pPr>
      <w:r>
        <w:rPr>
          <w:rFonts w:hint="eastAsia" w:ascii="宋体" w:hAnsi="宋体" w:eastAsia="宋体" w:cs="宋体"/>
          <w:lang w:eastAsia="zh-CN"/>
        </w:rPr>
        <w:t>本机床排屑装置可配备自动排屑方式，板链式排屑器与水箱制作在一起。</w:t>
      </w:r>
    </w:p>
    <w:p w14:paraId="3FAED0C9">
      <w:pPr>
        <w:rPr>
          <w:rFonts w:ascii="宋体" w:hAnsi="宋体" w:eastAsia="宋体" w:cs="宋体"/>
          <w:lang w:eastAsia="zh-CN"/>
        </w:rPr>
      </w:pPr>
      <w:r>
        <w:rPr>
          <w:rFonts w:hint="eastAsia" w:ascii="宋体" w:hAnsi="宋体" w:eastAsia="宋体" w:cs="宋体"/>
          <w:lang w:eastAsia="zh-CN"/>
        </w:rPr>
        <w:t>（11）.气动装置</w:t>
      </w:r>
    </w:p>
    <w:p w14:paraId="29CC64B1">
      <w:pPr>
        <w:ind w:firstLine="420" w:firstLineChars="200"/>
        <w:rPr>
          <w:rFonts w:ascii="宋体" w:hAnsi="宋体" w:eastAsia="宋体" w:cs="宋体"/>
          <w:lang w:eastAsia="zh-CN"/>
        </w:rPr>
      </w:pPr>
      <w:r>
        <w:rPr>
          <w:rFonts w:hint="eastAsia" w:ascii="宋体" w:hAnsi="宋体" w:eastAsia="宋体" w:cs="宋体"/>
          <w:lang w:eastAsia="zh-CN"/>
        </w:rPr>
        <w:t>本机床气动系统采用全套SMC标准，实现功能为：主轴锥孔吹风，清洁刀具尾部锥柄，主轴鼻端轴承防尘的气雾帘，打刀增压缸的气动源，刀库换刀气缸的气动源，清洁用气枪的动力源。</w:t>
      </w:r>
    </w:p>
    <w:p w14:paraId="493A2D52">
      <w:pPr>
        <w:rPr>
          <w:rFonts w:ascii="宋体" w:hAnsi="宋体" w:eastAsia="宋体" w:cs="宋体"/>
        </w:rPr>
      </w:pPr>
      <w:r>
        <w:rPr>
          <w:rFonts w:hint="eastAsia" w:ascii="宋体" w:hAnsi="宋体" w:eastAsia="宋体" w:cs="宋体"/>
          <w:lang w:eastAsia="zh-CN"/>
        </w:rPr>
        <w:t>（12）</w:t>
      </w:r>
      <w:r>
        <w:rPr>
          <w:rFonts w:hint="eastAsia" w:ascii="宋体" w:hAnsi="宋体" w:eastAsia="宋体" w:cs="宋体"/>
        </w:rPr>
        <w:t>.电气控制装置</w:t>
      </w:r>
    </w:p>
    <w:p w14:paraId="490E9CD5">
      <w:pPr>
        <w:ind w:firstLine="420" w:firstLineChars="200"/>
        <w:rPr>
          <w:rFonts w:ascii="宋体" w:hAnsi="宋体" w:eastAsia="宋体" w:cs="宋体"/>
          <w:lang w:eastAsia="zh-CN"/>
        </w:rPr>
      </w:pPr>
      <w:r>
        <w:rPr>
          <w:rFonts w:hint="eastAsia" w:ascii="宋体" w:hAnsi="宋体" w:eastAsia="宋体" w:cs="宋体"/>
          <w:color w:val="auto"/>
        </w:rPr>
        <w:t>CNC选用FANUC 0I MF(3)数控系统，</w:t>
      </w:r>
      <w:bookmarkStart w:id="238" w:name="OLE_LINK19"/>
      <w:r>
        <w:rPr>
          <w:rFonts w:hint="eastAsia" w:ascii="宋体" w:hAnsi="宋体" w:eastAsia="宋体" w:cs="宋体"/>
          <w:color w:val="auto"/>
        </w:rPr>
        <w:t>伺服主电机不低于βiI12/10000-B (11/15kw,52.5/70Nm)的要求， X、</w:t>
      </w:r>
      <w:bookmarkStart w:id="239" w:name="OLE_LINK3"/>
      <w:bookmarkStart w:id="240" w:name="OLE_LINK4"/>
      <w:r>
        <w:rPr>
          <w:rFonts w:hint="eastAsia" w:ascii="宋体" w:hAnsi="宋体" w:eastAsia="宋体" w:cs="宋体"/>
          <w:color w:val="auto"/>
        </w:rPr>
        <w:t>Y向</w:t>
      </w:r>
      <w:bookmarkStart w:id="241" w:name="OLE_LINK8"/>
      <w:bookmarkStart w:id="242" w:name="OLE_LINK5"/>
      <w:bookmarkStart w:id="243" w:name="OLE_LINK6"/>
      <w:r>
        <w:rPr>
          <w:rFonts w:hint="eastAsia" w:ascii="宋体" w:hAnsi="宋体" w:eastAsia="宋体" w:cs="宋体"/>
          <w:color w:val="auto"/>
        </w:rPr>
        <w:t>不低于</w:t>
      </w:r>
      <w:bookmarkEnd w:id="241"/>
      <w:bookmarkEnd w:id="242"/>
      <w:bookmarkEnd w:id="243"/>
      <w:r>
        <w:rPr>
          <w:rFonts w:hint="eastAsia" w:ascii="宋体" w:hAnsi="宋体" w:eastAsia="宋体" w:cs="宋体"/>
          <w:color w:val="auto"/>
        </w:rPr>
        <w:t>βiS22/3000（3kW,20Nm)</w:t>
      </w:r>
      <w:bookmarkEnd w:id="239"/>
      <w:bookmarkEnd w:id="240"/>
      <w:r>
        <w:rPr>
          <w:rFonts w:hint="eastAsia" w:ascii="宋体" w:hAnsi="宋体" w:eastAsia="宋体" w:cs="宋体"/>
          <w:color w:val="auto"/>
        </w:rPr>
        <w:t>的要求，Z向不低于βiS22/3000B（3kW,20Nm)的要求。</w:t>
      </w:r>
      <w:bookmarkEnd w:id="238"/>
      <w:r>
        <w:rPr>
          <w:rFonts w:hint="eastAsia" w:ascii="宋体" w:hAnsi="宋体" w:eastAsia="宋体" w:cs="宋体"/>
          <w:color w:val="auto"/>
          <w:lang w:eastAsia="zh-CN"/>
        </w:rPr>
        <w:t>电柜冷却采用空调方式，机床状态采用三色灯显示，并选用高质量的电气组件，确保机床的安全性和可靠性。电路的动力系统均有保险功能以保障人身和设备安全。电路设计符合国家标准，并能满足CE认证要求。带网络、USB接口，在机床上需安装220V多用插座，有利于电脑使用。</w:t>
      </w:r>
    </w:p>
    <w:p w14:paraId="61BF162A">
      <w:pPr>
        <w:pStyle w:val="9"/>
        <w:rPr>
          <w:color w:val="FF0000"/>
          <w:sz w:val="21"/>
          <w:szCs w:val="21"/>
          <w:lang w:eastAsia="zh-CN"/>
        </w:rPr>
      </w:pPr>
      <w:r>
        <w:rPr>
          <w:rFonts w:hint="eastAsia"/>
          <w:b/>
          <w:bCs/>
          <w:color w:val="auto"/>
          <w:sz w:val="22"/>
          <w:szCs w:val="22"/>
          <w:u w:val="single"/>
          <w:lang w:eastAsia="zh-CN"/>
        </w:rPr>
        <w:t>●</w:t>
      </w:r>
      <w:r>
        <w:rPr>
          <w:rFonts w:hint="eastAsia"/>
          <w:b/>
          <w:bCs/>
          <w:color w:val="auto"/>
          <w:sz w:val="21"/>
          <w:szCs w:val="21"/>
          <w:u w:val="single"/>
          <w:lang w:eastAsia="zh-CN"/>
        </w:rPr>
        <w:t>（13）</w:t>
      </w:r>
      <w:r>
        <w:rPr>
          <w:rFonts w:hint="eastAsia"/>
          <w:b/>
          <w:bCs/>
          <w:color w:val="FF0000"/>
          <w:sz w:val="21"/>
          <w:szCs w:val="21"/>
          <w:u w:val="single"/>
          <w:lang w:eastAsia="zh-CN"/>
        </w:rPr>
        <w:t>精度及功能验证演示（提供视频演示）</w:t>
      </w:r>
    </w:p>
    <w:p w14:paraId="53E46C0C">
      <w:pPr>
        <w:numPr>
          <w:ilvl w:val="0"/>
          <w:numId w:val="31"/>
        </w:numPr>
        <w:ind w:left="0" w:leftChars="0" w:firstLine="400" w:firstLineChars="0"/>
        <w:rPr>
          <w:rFonts w:hint="eastAsia" w:ascii="宋体" w:hAnsi="宋体" w:eastAsia="宋体" w:cs="宋体"/>
          <w:color w:val="FF0000"/>
          <w:lang w:eastAsia="zh-CN"/>
        </w:rPr>
      </w:pPr>
      <w:bookmarkStart w:id="244" w:name="OLE_LINK16"/>
      <w:bookmarkStart w:id="245" w:name="OLE_LINK17"/>
      <w:r>
        <w:rPr>
          <w:rFonts w:hint="eastAsia" w:ascii="宋体" w:hAnsi="宋体" w:eastAsia="宋体" w:cs="宋体"/>
          <w:color w:val="FF0000"/>
          <w:lang w:eastAsia="zh-CN"/>
        </w:rPr>
        <w:t>●机床分辨力验证：</w:t>
      </w:r>
      <w:bookmarkEnd w:id="244"/>
      <w:bookmarkEnd w:id="245"/>
      <w:r>
        <w:rPr>
          <w:rFonts w:hint="eastAsia" w:ascii="宋体" w:hAnsi="宋体" w:eastAsia="宋体" w:cs="宋体"/>
          <w:color w:val="FF0000"/>
          <w:lang w:eastAsia="zh-CN"/>
        </w:rPr>
        <w:t>高精密千分表演示系统输出1</w:t>
      </w:r>
      <w:r>
        <w:rPr>
          <w:rFonts w:hint="eastAsia" w:ascii="宋体" w:hAnsi="宋体" w:eastAsia="宋体" w:cs="宋体"/>
          <w:color w:val="FF0000"/>
        </w:rPr>
        <w:t>μ</w:t>
      </w:r>
      <w:r>
        <w:rPr>
          <w:rFonts w:hint="eastAsia" w:ascii="宋体" w:hAnsi="宋体" w:eastAsia="宋体" w:cs="宋体"/>
          <w:color w:val="FF0000"/>
          <w:lang w:eastAsia="zh-CN"/>
        </w:rPr>
        <w:t>的指令，机床三轴实际执行1</w:t>
      </w:r>
      <w:r>
        <w:rPr>
          <w:rFonts w:hint="eastAsia" w:ascii="宋体" w:hAnsi="宋体" w:eastAsia="宋体" w:cs="宋体"/>
          <w:color w:val="FF0000"/>
        </w:rPr>
        <w:t>μ</w:t>
      </w:r>
      <w:r>
        <w:rPr>
          <w:rFonts w:hint="eastAsia" w:ascii="宋体" w:hAnsi="宋体" w:eastAsia="宋体" w:cs="宋体"/>
          <w:color w:val="FF0000"/>
          <w:lang w:eastAsia="zh-CN"/>
        </w:rPr>
        <w:t>精度。</w:t>
      </w:r>
      <w:bookmarkStart w:id="246" w:name="OLE_LINK20"/>
      <w:bookmarkStart w:id="247" w:name="OLE_LINK18"/>
    </w:p>
    <w:p w14:paraId="4034375F">
      <w:pPr>
        <w:numPr>
          <w:ilvl w:val="0"/>
          <w:numId w:val="31"/>
        </w:numPr>
        <w:ind w:left="0" w:leftChars="0" w:firstLine="400" w:firstLineChars="0"/>
        <w:rPr>
          <w:rFonts w:hint="eastAsia" w:ascii="宋体" w:hAnsi="宋体" w:eastAsia="宋体" w:cs="宋体"/>
          <w:color w:val="FF0000"/>
          <w:lang w:eastAsia="zh-CN"/>
        </w:rPr>
      </w:pPr>
      <w:r>
        <w:rPr>
          <w:rFonts w:hint="eastAsia" w:ascii="宋体" w:hAnsi="宋体" w:eastAsia="宋体" w:cs="宋体"/>
          <w:color w:val="FF0000"/>
          <w:lang w:eastAsia="zh-CN"/>
        </w:rPr>
        <w:t>●机床</w:t>
      </w:r>
      <w:bookmarkEnd w:id="246"/>
      <w:bookmarkEnd w:id="247"/>
      <w:r>
        <w:rPr>
          <w:rFonts w:hint="eastAsia" w:ascii="宋体" w:hAnsi="宋体" w:eastAsia="宋体" w:cs="宋体"/>
          <w:color w:val="FF0000"/>
          <w:lang w:eastAsia="zh-CN"/>
        </w:rPr>
        <w:t>定位精度验证：M2先端丝锥对45号钢及以上材料进行刚性攻丝，使用通止规进行检测。</w:t>
      </w:r>
    </w:p>
    <w:p w14:paraId="08B2D565">
      <w:pPr>
        <w:numPr>
          <w:ilvl w:val="0"/>
          <w:numId w:val="31"/>
        </w:numPr>
        <w:ind w:left="0" w:leftChars="0" w:firstLine="400" w:firstLineChars="0"/>
        <w:rPr>
          <w:rFonts w:ascii="宋体" w:hAnsi="宋体" w:eastAsia="宋体" w:cs="宋体"/>
          <w:color w:val="FF0000"/>
          <w:lang w:eastAsia="zh-CN"/>
        </w:rPr>
      </w:pPr>
      <w:r>
        <w:rPr>
          <w:rFonts w:hint="eastAsia" w:ascii="宋体" w:hAnsi="宋体" w:eastAsia="宋体" w:cs="宋体"/>
          <w:color w:val="FF0000"/>
          <w:lang w:eastAsia="zh-CN"/>
        </w:rPr>
        <w:t>●机床刚性验证：45号钢及以上，毛坯尺寸≥100mm*100mm，刀盘：∮80mm、六齿及以上，主轴转速≥1500转/分钟，每分钟进给量≥400mm，切削深度≥4mm，加工好后立即用粗糙度仪检测切削光洁度Ra≤0.5。</w:t>
      </w:r>
    </w:p>
    <w:p w14:paraId="53B5F902">
      <w:pPr>
        <w:rPr>
          <w:rFonts w:ascii="宋体" w:hAnsi="宋体" w:eastAsia="宋体" w:cs="宋体"/>
          <w:lang w:eastAsia="zh-CN"/>
        </w:rPr>
      </w:pPr>
      <w:r>
        <w:rPr>
          <w:rFonts w:hint="eastAsia" w:ascii="宋体" w:hAnsi="宋体" w:eastAsia="宋体" w:cs="宋体"/>
          <w:b/>
          <w:bCs/>
          <w:lang w:eastAsia="zh-CN"/>
        </w:rPr>
        <w:t>2、数控加工中心技术参数要求</w:t>
      </w:r>
    </w:p>
    <w:p w14:paraId="0D9EF781">
      <w:pPr>
        <w:numPr>
          <w:ilvl w:val="0"/>
          <w:numId w:val="32"/>
        </w:numPr>
        <w:rPr>
          <w:rFonts w:ascii="宋体" w:hAnsi="宋体" w:eastAsia="宋体" w:cs="宋体"/>
        </w:rPr>
      </w:pPr>
      <w:r>
        <w:rPr>
          <w:rFonts w:hint="eastAsia" w:ascii="宋体" w:hAnsi="宋体" w:eastAsia="宋体" w:cs="宋体"/>
        </w:rPr>
        <w:t>工作台行程(X)≥800 mm</w:t>
      </w:r>
    </w:p>
    <w:p w14:paraId="5023CD6E">
      <w:pPr>
        <w:numPr>
          <w:ilvl w:val="0"/>
          <w:numId w:val="32"/>
        </w:numPr>
        <w:rPr>
          <w:rFonts w:ascii="宋体" w:hAnsi="宋体" w:eastAsia="宋体" w:cs="宋体"/>
        </w:rPr>
      </w:pPr>
      <w:r>
        <w:rPr>
          <w:rFonts w:hint="eastAsia" w:ascii="宋体" w:hAnsi="宋体" w:eastAsia="宋体" w:cs="宋体"/>
        </w:rPr>
        <w:t>滑鞍行程(Y)≥550 mm</w:t>
      </w:r>
    </w:p>
    <w:p w14:paraId="435C88C6">
      <w:pPr>
        <w:numPr>
          <w:ilvl w:val="0"/>
          <w:numId w:val="32"/>
        </w:numPr>
        <w:rPr>
          <w:rFonts w:ascii="宋体" w:hAnsi="宋体" w:eastAsia="宋体" w:cs="宋体"/>
        </w:rPr>
      </w:pPr>
      <w:r>
        <w:rPr>
          <w:rFonts w:hint="eastAsia" w:ascii="宋体" w:hAnsi="宋体" w:eastAsia="宋体" w:cs="宋体"/>
        </w:rPr>
        <w:t>主轴箱行程(Z)≥550 mm</w:t>
      </w:r>
    </w:p>
    <w:p w14:paraId="010EF371">
      <w:pPr>
        <w:numPr>
          <w:ilvl w:val="0"/>
          <w:numId w:val="32"/>
        </w:numPr>
        <w:rPr>
          <w:rFonts w:ascii="宋体" w:hAnsi="宋体" w:eastAsia="宋体" w:cs="宋体"/>
          <w:lang w:eastAsia="zh-CN"/>
        </w:rPr>
      </w:pPr>
      <w:r>
        <w:rPr>
          <w:rFonts w:hint="eastAsia" w:ascii="宋体" w:hAnsi="宋体" w:eastAsia="宋体" w:cs="宋体"/>
          <w:lang w:eastAsia="zh-CN"/>
        </w:rPr>
        <w:t>主轴中心线至立柱导轨面的距离≥590mm</w:t>
      </w:r>
    </w:p>
    <w:p w14:paraId="0F1DF12C">
      <w:pPr>
        <w:numPr>
          <w:ilvl w:val="0"/>
          <w:numId w:val="32"/>
        </w:numPr>
        <w:rPr>
          <w:rFonts w:ascii="宋体" w:hAnsi="宋体" w:eastAsia="宋体" w:cs="宋体"/>
          <w:lang w:eastAsia="zh-CN"/>
        </w:rPr>
      </w:pPr>
      <w:r>
        <w:rPr>
          <w:rFonts w:hint="eastAsia" w:ascii="宋体" w:hAnsi="宋体" w:eastAsia="宋体" w:cs="宋体"/>
          <w:lang w:eastAsia="zh-CN"/>
        </w:rPr>
        <w:t>主轴端面至工作台的距离120-670mm</w:t>
      </w:r>
    </w:p>
    <w:p w14:paraId="69FC3BA8">
      <w:pPr>
        <w:numPr>
          <w:ilvl w:val="0"/>
          <w:numId w:val="32"/>
        </w:numPr>
        <w:rPr>
          <w:rFonts w:ascii="宋体" w:hAnsi="宋体" w:eastAsia="宋体" w:cs="宋体"/>
        </w:rPr>
      </w:pPr>
      <w:r>
        <w:rPr>
          <w:rFonts w:hint="eastAsia" w:ascii="宋体" w:hAnsi="宋体" w:eastAsia="宋体" w:cs="宋体"/>
        </w:rPr>
        <w:t>工作台表面淬火≥48-52HRC</w:t>
      </w:r>
    </w:p>
    <w:p w14:paraId="61BCE348">
      <w:pPr>
        <w:numPr>
          <w:ilvl w:val="0"/>
          <w:numId w:val="32"/>
        </w:numPr>
        <w:rPr>
          <w:rFonts w:ascii="宋体" w:hAnsi="宋体" w:eastAsia="宋体" w:cs="宋体"/>
        </w:rPr>
      </w:pPr>
      <w:r>
        <w:rPr>
          <w:rFonts w:hint="eastAsia" w:ascii="宋体" w:hAnsi="宋体" w:eastAsia="宋体" w:cs="宋体"/>
        </w:rPr>
        <w:t>工作台尺寸</w:t>
      </w:r>
      <w:r>
        <w:rPr>
          <w:rFonts w:hint="eastAsia" w:ascii="宋体" w:hAnsi="宋体" w:eastAsia="宋体" w:cs="宋体"/>
        </w:rPr>
        <w:tab/>
      </w:r>
      <w:r>
        <w:rPr>
          <w:rFonts w:hint="eastAsia" w:ascii="宋体" w:hAnsi="宋体" w:eastAsia="宋体" w:cs="宋体"/>
        </w:rPr>
        <w:t>≥1000×550 mm</w:t>
      </w:r>
    </w:p>
    <w:p w14:paraId="51D2C86F">
      <w:pPr>
        <w:numPr>
          <w:ilvl w:val="0"/>
          <w:numId w:val="32"/>
        </w:numPr>
        <w:rPr>
          <w:rFonts w:ascii="宋体" w:hAnsi="宋体" w:eastAsia="宋体" w:cs="宋体"/>
        </w:rPr>
      </w:pPr>
      <w:r>
        <w:rPr>
          <w:rFonts w:hint="eastAsia" w:ascii="宋体" w:hAnsi="宋体" w:eastAsia="宋体" w:cs="宋体"/>
        </w:rPr>
        <w:t>工作台承重</w:t>
      </w:r>
      <w:r>
        <w:rPr>
          <w:rFonts w:hint="eastAsia" w:ascii="宋体" w:hAnsi="宋体" w:eastAsia="宋体" w:cs="宋体"/>
        </w:rPr>
        <w:tab/>
      </w:r>
      <w:r>
        <w:rPr>
          <w:rFonts w:hint="eastAsia" w:ascii="宋体" w:hAnsi="宋体" w:eastAsia="宋体" w:cs="宋体"/>
        </w:rPr>
        <w:t>≥800 kg</w:t>
      </w:r>
    </w:p>
    <w:p w14:paraId="6F3FD1EC">
      <w:pPr>
        <w:numPr>
          <w:ilvl w:val="0"/>
          <w:numId w:val="32"/>
        </w:numPr>
        <w:rPr>
          <w:rFonts w:ascii="宋体" w:hAnsi="宋体" w:eastAsia="宋体" w:cs="宋体"/>
          <w:lang w:eastAsia="zh-CN"/>
        </w:rPr>
      </w:pPr>
      <w:r>
        <w:rPr>
          <w:rFonts w:hint="eastAsia" w:ascii="宋体" w:hAnsi="宋体" w:eastAsia="宋体" w:cs="宋体"/>
          <w:lang w:eastAsia="zh-CN"/>
        </w:rPr>
        <w:t>T型槽（宽×槽数-间距）5-18×90mm</w:t>
      </w:r>
    </w:p>
    <w:p w14:paraId="4BF777EF">
      <w:pPr>
        <w:numPr>
          <w:ilvl w:val="0"/>
          <w:numId w:val="32"/>
        </w:numPr>
        <w:rPr>
          <w:rFonts w:ascii="宋体" w:hAnsi="宋体" w:eastAsia="宋体" w:cs="宋体"/>
        </w:rPr>
      </w:pPr>
      <w:r>
        <w:rPr>
          <w:rFonts w:hint="eastAsia" w:ascii="宋体" w:hAnsi="宋体" w:eastAsia="宋体" w:cs="宋体"/>
        </w:rPr>
        <w:t>主轴锥孔：BT40-150</w:t>
      </w:r>
    </w:p>
    <w:p w14:paraId="2A257B08">
      <w:pPr>
        <w:numPr>
          <w:ilvl w:val="0"/>
          <w:numId w:val="32"/>
        </w:numPr>
        <w:rPr>
          <w:rFonts w:ascii="宋体" w:hAnsi="宋体" w:eastAsia="宋体" w:cs="宋体"/>
        </w:rPr>
      </w:pPr>
      <w:r>
        <w:rPr>
          <w:rFonts w:hint="eastAsia" w:ascii="宋体" w:hAnsi="宋体" w:eastAsia="宋体" w:cs="宋体"/>
        </w:rPr>
        <w:t>主轴最高转速</w:t>
      </w:r>
      <w:r>
        <w:rPr>
          <w:rFonts w:hint="eastAsia" w:ascii="宋体" w:hAnsi="宋体" w:eastAsia="宋体" w:cs="宋体"/>
        </w:rPr>
        <w:tab/>
      </w:r>
      <w:r>
        <w:rPr>
          <w:rFonts w:hint="eastAsia" w:ascii="宋体" w:hAnsi="宋体" w:eastAsia="宋体" w:cs="宋体"/>
        </w:rPr>
        <w:t>≥10000 rpm</w:t>
      </w:r>
    </w:p>
    <w:p w14:paraId="4ABBA333">
      <w:pPr>
        <w:numPr>
          <w:ilvl w:val="0"/>
          <w:numId w:val="32"/>
        </w:numPr>
        <w:rPr>
          <w:rFonts w:ascii="宋体" w:hAnsi="宋体" w:eastAsia="宋体" w:cs="宋体"/>
          <w:lang w:eastAsia="zh-CN"/>
        </w:rPr>
      </w:pPr>
      <w:r>
        <w:rPr>
          <w:rFonts w:hint="eastAsia" w:ascii="宋体" w:hAnsi="宋体" w:eastAsia="宋体" w:cs="宋体"/>
          <w:lang w:eastAsia="zh-CN"/>
        </w:rPr>
        <w:t>驱动方式：主轴刚性直联</w:t>
      </w:r>
    </w:p>
    <w:p w14:paraId="0F3D4EA4">
      <w:pPr>
        <w:numPr>
          <w:ilvl w:val="0"/>
          <w:numId w:val="32"/>
        </w:numPr>
        <w:rPr>
          <w:rFonts w:ascii="宋体" w:hAnsi="宋体" w:eastAsia="宋体" w:cs="宋体"/>
        </w:rPr>
      </w:pPr>
      <w:r>
        <w:rPr>
          <w:rFonts w:hint="eastAsia" w:ascii="宋体" w:hAnsi="宋体" w:eastAsia="宋体" w:cs="宋体"/>
        </w:rPr>
        <w:t>主电机功率≥11/15 KW</w:t>
      </w:r>
    </w:p>
    <w:p w14:paraId="295F63C5">
      <w:pPr>
        <w:numPr>
          <w:ilvl w:val="0"/>
          <w:numId w:val="32"/>
        </w:numPr>
        <w:rPr>
          <w:rFonts w:ascii="宋体" w:hAnsi="宋体" w:eastAsia="宋体" w:cs="宋体"/>
        </w:rPr>
      </w:pPr>
      <w:r>
        <w:rPr>
          <w:rFonts w:hint="eastAsia" w:ascii="宋体" w:hAnsi="宋体" w:eastAsia="宋体" w:cs="宋体"/>
        </w:rPr>
        <w:t>X/Y/Z轴快速移动速度</w:t>
      </w:r>
      <w:r>
        <w:rPr>
          <w:rFonts w:hint="eastAsia" w:ascii="宋体" w:hAnsi="宋体" w:eastAsia="宋体" w:cs="宋体"/>
        </w:rPr>
        <w:tab/>
      </w:r>
      <w:r>
        <w:rPr>
          <w:rFonts w:hint="eastAsia" w:ascii="宋体" w:hAnsi="宋体" w:eastAsia="宋体" w:cs="宋体"/>
        </w:rPr>
        <w:t>≥ 48/48/48 m/min</w:t>
      </w:r>
    </w:p>
    <w:p w14:paraId="65767BD8">
      <w:pPr>
        <w:numPr>
          <w:ilvl w:val="0"/>
          <w:numId w:val="32"/>
        </w:numPr>
        <w:rPr>
          <w:rFonts w:ascii="宋体" w:hAnsi="宋体" w:eastAsia="宋体" w:cs="宋体"/>
        </w:rPr>
      </w:pPr>
      <w:r>
        <w:rPr>
          <w:rFonts w:hint="eastAsia" w:ascii="宋体" w:hAnsi="宋体" w:eastAsia="宋体" w:cs="宋体"/>
        </w:rPr>
        <w:t>X/Y/Z轴电机功率及扭矩≥3KW/ 20Nm</w:t>
      </w:r>
    </w:p>
    <w:p w14:paraId="57E767D8">
      <w:pPr>
        <w:numPr>
          <w:ilvl w:val="0"/>
          <w:numId w:val="32"/>
        </w:numPr>
        <w:rPr>
          <w:rFonts w:ascii="宋体" w:hAnsi="宋体" w:eastAsia="宋体" w:cs="宋体"/>
        </w:rPr>
      </w:pPr>
      <w:r>
        <w:rPr>
          <w:rFonts w:hint="eastAsia" w:ascii="宋体" w:hAnsi="宋体" w:eastAsia="宋体" w:cs="宋体"/>
        </w:rPr>
        <w:t>X/Y/Z轴重复定位精度</w:t>
      </w:r>
      <w:r>
        <w:rPr>
          <w:rFonts w:hint="eastAsia" w:ascii="宋体" w:hAnsi="宋体" w:eastAsia="宋体" w:cs="宋体"/>
        </w:rPr>
        <w:tab/>
      </w:r>
      <w:r>
        <w:rPr>
          <w:rFonts w:hint="eastAsia" w:ascii="宋体" w:hAnsi="宋体" w:eastAsia="宋体" w:cs="宋体"/>
        </w:rPr>
        <w:t>≤ 0.004mm</w:t>
      </w:r>
    </w:p>
    <w:p w14:paraId="09B73CE4">
      <w:pPr>
        <w:numPr>
          <w:ilvl w:val="0"/>
          <w:numId w:val="32"/>
        </w:numPr>
        <w:rPr>
          <w:rFonts w:ascii="宋体" w:hAnsi="宋体" w:eastAsia="宋体" w:cs="宋体"/>
        </w:rPr>
      </w:pPr>
      <w:r>
        <w:rPr>
          <w:rFonts w:hint="eastAsia" w:ascii="宋体" w:hAnsi="宋体" w:eastAsia="宋体" w:cs="宋体"/>
        </w:rPr>
        <w:t>X/Y/Z轴定位精度</w:t>
      </w:r>
      <w:r>
        <w:rPr>
          <w:rFonts w:hint="eastAsia" w:ascii="宋体" w:hAnsi="宋体" w:eastAsia="宋体" w:cs="宋体"/>
        </w:rPr>
        <w:tab/>
      </w:r>
      <w:r>
        <w:rPr>
          <w:rFonts w:hint="eastAsia" w:ascii="宋体" w:hAnsi="宋体" w:eastAsia="宋体" w:cs="宋体"/>
        </w:rPr>
        <w:t>≤ 0.006mm</w:t>
      </w:r>
    </w:p>
    <w:p w14:paraId="768101E9">
      <w:pPr>
        <w:numPr>
          <w:ilvl w:val="0"/>
          <w:numId w:val="32"/>
        </w:numPr>
        <w:rPr>
          <w:rFonts w:ascii="宋体" w:hAnsi="宋体" w:eastAsia="宋体" w:cs="宋体"/>
        </w:rPr>
      </w:pPr>
      <w:r>
        <w:rPr>
          <w:rFonts w:hint="eastAsia" w:ascii="宋体" w:hAnsi="宋体" w:eastAsia="宋体" w:cs="宋体"/>
        </w:rPr>
        <w:t>刀库容量：圆盘式 24 把</w:t>
      </w:r>
    </w:p>
    <w:p w14:paraId="667B68FE">
      <w:pPr>
        <w:numPr>
          <w:ilvl w:val="0"/>
          <w:numId w:val="32"/>
        </w:numPr>
        <w:rPr>
          <w:rFonts w:ascii="宋体" w:hAnsi="宋体" w:eastAsia="宋体" w:cs="宋体"/>
        </w:rPr>
      </w:pPr>
      <w:r>
        <w:rPr>
          <w:rFonts w:hint="eastAsia" w:ascii="宋体" w:hAnsi="宋体" w:eastAsia="宋体" w:cs="宋体"/>
        </w:rPr>
        <w:t>最大刀具长度</w:t>
      </w:r>
      <w:r>
        <w:rPr>
          <w:rFonts w:hint="eastAsia" w:ascii="宋体" w:hAnsi="宋体" w:eastAsia="宋体" w:cs="宋体"/>
        </w:rPr>
        <w:tab/>
      </w:r>
      <w:r>
        <w:rPr>
          <w:rFonts w:hint="eastAsia" w:ascii="宋体" w:hAnsi="宋体" w:eastAsia="宋体" w:cs="宋体"/>
        </w:rPr>
        <w:t>300mm</w:t>
      </w:r>
    </w:p>
    <w:p w14:paraId="28839F92">
      <w:pPr>
        <w:numPr>
          <w:ilvl w:val="0"/>
          <w:numId w:val="32"/>
        </w:numPr>
        <w:rPr>
          <w:rFonts w:ascii="宋体" w:hAnsi="宋体" w:eastAsia="宋体" w:cs="宋体"/>
        </w:rPr>
      </w:pPr>
      <w:r>
        <w:rPr>
          <w:rFonts w:hint="eastAsia" w:ascii="宋体" w:hAnsi="宋体" w:eastAsia="宋体" w:cs="宋体"/>
        </w:rPr>
        <w:t>最大刀具重量</w:t>
      </w:r>
      <w:r>
        <w:rPr>
          <w:rFonts w:hint="eastAsia" w:ascii="宋体" w:hAnsi="宋体" w:eastAsia="宋体" w:cs="宋体"/>
        </w:rPr>
        <w:tab/>
      </w:r>
      <w:r>
        <w:rPr>
          <w:rFonts w:hint="eastAsia" w:ascii="宋体" w:hAnsi="宋体" w:eastAsia="宋体" w:cs="宋体"/>
        </w:rPr>
        <w:t>8kg</w:t>
      </w:r>
    </w:p>
    <w:p w14:paraId="314FEE10">
      <w:pPr>
        <w:numPr>
          <w:ilvl w:val="0"/>
          <w:numId w:val="32"/>
        </w:numPr>
        <w:rPr>
          <w:rFonts w:ascii="宋体" w:hAnsi="宋体" w:eastAsia="宋体" w:cs="宋体"/>
          <w:lang w:eastAsia="zh-CN"/>
        </w:rPr>
      </w:pPr>
      <w:r>
        <w:rPr>
          <w:rFonts w:hint="eastAsia" w:ascii="宋体" w:hAnsi="宋体" w:eastAsia="宋体" w:cs="宋体"/>
          <w:lang w:eastAsia="zh-CN"/>
        </w:rPr>
        <w:t>相邻（无相邻）最大刀具直径</w:t>
      </w:r>
      <w:r>
        <w:rPr>
          <w:rFonts w:hint="eastAsia" w:ascii="宋体" w:hAnsi="宋体" w:eastAsia="宋体" w:cs="宋体"/>
          <w:lang w:eastAsia="zh-CN"/>
        </w:rPr>
        <w:tab/>
      </w:r>
      <w:r>
        <w:rPr>
          <w:rFonts w:hint="eastAsia" w:ascii="宋体" w:hAnsi="宋体" w:eastAsia="宋体" w:cs="宋体"/>
          <w:lang w:eastAsia="zh-CN"/>
        </w:rPr>
        <w:t>80mm/150mm</w:t>
      </w:r>
    </w:p>
    <w:p w14:paraId="31B7414B">
      <w:pPr>
        <w:numPr>
          <w:ilvl w:val="0"/>
          <w:numId w:val="32"/>
        </w:numPr>
        <w:rPr>
          <w:rFonts w:ascii="宋体" w:hAnsi="宋体" w:eastAsia="宋体" w:cs="宋体"/>
        </w:rPr>
      </w:pPr>
      <w:r>
        <w:rPr>
          <w:rFonts w:hint="eastAsia" w:ascii="宋体" w:hAnsi="宋体" w:eastAsia="宋体" w:cs="宋体"/>
        </w:rPr>
        <w:t>换刀时间（刀对刀）2s</w:t>
      </w:r>
    </w:p>
    <w:p w14:paraId="4076C708">
      <w:pPr>
        <w:numPr>
          <w:ilvl w:val="0"/>
          <w:numId w:val="32"/>
        </w:numPr>
        <w:rPr>
          <w:rFonts w:ascii="宋体" w:hAnsi="宋体" w:eastAsia="宋体" w:cs="宋体"/>
        </w:rPr>
      </w:pPr>
      <w:r>
        <w:rPr>
          <w:rFonts w:hint="eastAsia" w:ascii="宋体" w:hAnsi="宋体" w:eastAsia="宋体" w:cs="宋体"/>
        </w:rPr>
        <w:t>卸刀方式：气动</w:t>
      </w:r>
    </w:p>
    <w:p w14:paraId="2BB3B0BE">
      <w:pPr>
        <w:numPr>
          <w:ilvl w:val="0"/>
          <w:numId w:val="32"/>
        </w:numPr>
        <w:rPr>
          <w:rFonts w:ascii="宋体" w:hAnsi="宋体" w:eastAsia="宋体" w:cs="宋体"/>
        </w:rPr>
      </w:pPr>
      <w:r>
        <w:rPr>
          <w:rFonts w:hint="eastAsia" w:ascii="宋体" w:hAnsi="宋体" w:eastAsia="宋体" w:cs="宋体"/>
        </w:rPr>
        <w:t>机床外形尺寸</w:t>
      </w:r>
      <w:r>
        <w:rPr>
          <w:rFonts w:hint="eastAsia" w:ascii="宋体" w:hAnsi="宋体" w:eastAsia="宋体" w:cs="宋体"/>
        </w:rPr>
        <w:tab/>
      </w:r>
      <w:r>
        <w:rPr>
          <w:rFonts w:hint="eastAsia" w:ascii="宋体" w:hAnsi="宋体" w:eastAsia="宋体" w:cs="宋体"/>
        </w:rPr>
        <w:t>3900*2300*2700</w:t>
      </w:r>
    </w:p>
    <w:p w14:paraId="0287A1AA">
      <w:pPr>
        <w:numPr>
          <w:ilvl w:val="0"/>
          <w:numId w:val="32"/>
        </w:numPr>
        <w:rPr>
          <w:rFonts w:ascii="宋体" w:hAnsi="宋体" w:eastAsia="宋体" w:cs="宋体"/>
        </w:rPr>
      </w:pPr>
      <w:r>
        <w:rPr>
          <w:rFonts w:hint="eastAsia" w:ascii="宋体" w:hAnsi="宋体" w:eastAsia="宋体" w:cs="宋体"/>
        </w:rPr>
        <w:t>机床净重≥ 5500KG</w:t>
      </w:r>
    </w:p>
    <w:p w14:paraId="1FC1D804">
      <w:pPr>
        <w:pStyle w:val="9"/>
        <w:numPr>
          <w:ilvl w:val="0"/>
          <w:numId w:val="32"/>
        </w:numPr>
        <w:rPr>
          <w:sz w:val="21"/>
          <w:szCs w:val="21"/>
          <w:lang w:val="zh-CN"/>
        </w:rPr>
      </w:pPr>
      <w:r>
        <w:rPr>
          <w:rFonts w:hint="eastAsia"/>
          <w:sz w:val="21"/>
          <w:szCs w:val="21"/>
          <w:lang w:val="zh-CN"/>
        </w:rPr>
        <w:t>数控控制及培训系统：</w:t>
      </w:r>
    </w:p>
    <w:p w14:paraId="398BF7AD">
      <w:pPr>
        <w:pStyle w:val="9"/>
        <w:numPr>
          <w:ilvl w:val="0"/>
          <w:numId w:val="33"/>
        </w:numPr>
        <w:rPr>
          <w:sz w:val="21"/>
          <w:szCs w:val="21"/>
          <w:lang w:eastAsia="zh-CN"/>
        </w:rPr>
      </w:pPr>
      <w:r>
        <w:rPr>
          <w:rFonts w:hint="eastAsia"/>
          <w:sz w:val="21"/>
          <w:szCs w:val="21"/>
          <w:lang w:eastAsia="zh-CN"/>
        </w:rPr>
        <w:t>总控制轴数6轴；最多进给轴数5轴；同时控制轴数扩展，各路径:最多4轴；显示器10.4寸，FROM/SRAM 存储器  (256M/2M)</w:t>
      </w:r>
    </w:p>
    <w:p w14:paraId="646190CC">
      <w:pPr>
        <w:pStyle w:val="9"/>
        <w:numPr>
          <w:ilvl w:val="0"/>
          <w:numId w:val="33"/>
        </w:numPr>
        <w:rPr>
          <w:sz w:val="21"/>
          <w:szCs w:val="21"/>
          <w:lang w:eastAsia="zh-CN"/>
        </w:rPr>
      </w:pPr>
      <w:r>
        <w:rPr>
          <w:rFonts w:hint="eastAsia"/>
          <w:sz w:val="21"/>
          <w:szCs w:val="21"/>
          <w:lang w:eastAsia="zh-CN"/>
        </w:rPr>
        <w:t>能助存储卡的DNC运行:需要有CF卡和CF卡适配器；</w:t>
      </w:r>
    </w:p>
    <w:p w14:paraId="1F474B66">
      <w:pPr>
        <w:pStyle w:val="9"/>
        <w:numPr>
          <w:ilvl w:val="0"/>
          <w:numId w:val="33"/>
        </w:numPr>
        <w:rPr>
          <w:sz w:val="21"/>
          <w:szCs w:val="21"/>
          <w:lang w:eastAsia="zh-CN"/>
        </w:rPr>
      </w:pPr>
      <w:r>
        <w:rPr>
          <w:rFonts w:hint="eastAsia"/>
          <w:sz w:val="21"/>
          <w:szCs w:val="21"/>
          <w:lang w:eastAsia="zh-CN"/>
        </w:rPr>
        <w:t>无位置置编码器下的每转进给:包含于周速恒定控制；</w:t>
      </w:r>
    </w:p>
    <w:p w14:paraId="64CC002C">
      <w:pPr>
        <w:pStyle w:val="9"/>
        <w:numPr>
          <w:ilvl w:val="0"/>
          <w:numId w:val="33"/>
        </w:numPr>
        <w:rPr>
          <w:sz w:val="21"/>
          <w:szCs w:val="21"/>
          <w:lang w:eastAsia="zh-CN"/>
        </w:rPr>
      </w:pPr>
      <w:r>
        <w:rPr>
          <w:rFonts w:hint="eastAsia"/>
          <w:sz w:val="21"/>
          <w:szCs w:val="21"/>
          <w:lang w:eastAsia="zh-CN"/>
        </w:rPr>
        <w:t>FSSB总线控制：系统与伺服驱动之间采用FSSB总线进行通讯。</w:t>
      </w:r>
    </w:p>
    <w:p w14:paraId="073412BB">
      <w:pPr>
        <w:pStyle w:val="9"/>
        <w:numPr>
          <w:ilvl w:val="0"/>
          <w:numId w:val="33"/>
        </w:numPr>
        <w:rPr>
          <w:sz w:val="21"/>
          <w:szCs w:val="21"/>
          <w:lang w:eastAsia="zh-CN"/>
        </w:rPr>
      </w:pPr>
      <w:r>
        <w:rPr>
          <w:rFonts w:hint="eastAsia"/>
          <w:sz w:val="21"/>
          <w:szCs w:val="21"/>
          <w:lang w:eastAsia="zh-CN"/>
        </w:rPr>
        <w:t>自动加/减速：快速进给:直线型；切削进给：指数型、直线型；</w:t>
      </w:r>
    </w:p>
    <w:p w14:paraId="5C7E12D7">
      <w:pPr>
        <w:pStyle w:val="9"/>
        <w:numPr>
          <w:ilvl w:val="0"/>
          <w:numId w:val="33"/>
        </w:numPr>
        <w:rPr>
          <w:sz w:val="21"/>
          <w:szCs w:val="21"/>
        </w:rPr>
      </w:pPr>
      <w:r>
        <w:rPr>
          <w:rFonts w:hint="eastAsia"/>
          <w:sz w:val="21"/>
          <w:szCs w:val="21"/>
        </w:rPr>
        <w:t>智能重叠；</w:t>
      </w:r>
    </w:p>
    <w:p w14:paraId="39DBB73B">
      <w:pPr>
        <w:pStyle w:val="9"/>
        <w:numPr>
          <w:ilvl w:val="0"/>
          <w:numId w:val="33"/>
        </w:numPr>
        <w:rPr>
          <w:sz w:val="21"/>
          <w:szCs w:val="21"/>
        </w:rPr>
      </w:pPr>
      <w:r>
        <w:rPr>
          <w:rFonts w:hint="eastAsia"/>
          <w:sz w:val="21"/>
          <w:szCs w:val="21"/>
        </w:rPr>
        <w:t>预防错误操作；</w:t>
      </w:r>
    </w:p>
    <w:p w14:paraId="493B3894">
      <w:pPr>
        <w:pStyle w:val="9"/>
        <w:numPr>
          <w:ilvl w:val="0"/>
          <w:numId w:val="33"/>
        </w:numPr>
        <w:rPr>
          <w:sz w:val="21"/>
          <w:szCs w:val="21"/>
        </w:rPr>
      </w:pPr>
      <w:r>
        <w:rPr>
          <w:rFonts w:hint="eastAsia"/>
          <w:sz w:val="21"/>
          <w:szCs w:val="21"/>
        </w:rPr>
        <w:t>程序再启动；</w:t>
      </w:r>
    </w:p>
    <w:p w14:paraId="6E5C047D">
      <w:pPr>
        <w:pStyle w:val="9"/>
        <w:numPr>
          <w:ilvl w:val="0"/>
          <w:numId w:val="33"/>
        </w:numPr>
        <w:rPr>
          <w:sz w:val="21"/>
          <w:szCs w:val="21"/>
          <w:lang w:eastAsia="zh-CN"/>
        </w:rPr>
      </w:pPr>
      <w:r>
        <w:rPr>
          <w:rFonts w:hint="eastAsia"/>
          <w:sz w:val="21"/>
          <w:szCs w:val="21"/>
          <w:lang w:eastAsia="zh-CN"/>
        </w:rPr>
        <w:t>纳米插补、切削进给插补前直线加／减速；</w:t>
      </w:r>
    </w:p>
    <w:p w14:paraId="356D17ED">
      <w:pPr>
        <w:pStyle w:val="9"/>
        <w:numPr>
          <w:ilvl w:val="0"/>
          <w:numId w:val="33"/>
        </w:numPr>
        <w:rPr>
          <w:sz w:val="21"/>
          <w:szCs w:val="21"/>
          <w:lang w:eastAsia="zh-CN"/>
        </w:rPr>
      </w:pPr>
      <w:r>
        <w:rPr>
          <w:rFonts w:hint="eastAsia"/>
          <w:sz w:val="21"/>
          <w:szCs w:val="21"/>
          <w:lang w:eastAsia="zh-CN"/>
        </w:rPr>
        <w:t>刚性攻丝铃型加/减速:需要有刚性攻丝，刚性攻丝回退；</w:t>
      </w:r>
    </w:p>
    <w:p w14:paraId="0CDAE391">
      <w:pPr>
        <w:pStyle w:val="9"/>
        <w:numPr>
          <w:ilvl w:val="0"/>
          <w:numId w:val="33"/>
        </w:numPr>
        <w:rPr>
          <w:sz w:val="21"/>
          <w:szCs w:val="21"/>
          <w:lang w:eastAsia="zh-CN"/>
        </w:rPr>
      </w:pPr>
      <w:r>
        <w:rPr>
          <w:rFonts w:hint="eastAsia"/>
          <w:sz w:val="21"/>
          <w:szCs w:val="21"/>
          <w:lang w:eastAsia="zh-CN"/>
        </w:rPr>
        <w:t>扩展的刀具寿命管理:包含于刀具寿命管理；</w:t>
      </w:r>
    </w:p>
    <w:p w14:paraId="57608F7D">
      <w:pPr>
        <w:pStyle w:val="9"/>
        <w:numPr>
          <w:ilvl w:val="0"/>
          <w:numId w:val="33"/>
        </w:numPr>
        <w:rPr>
          <w:sz w:val="21"/>
          <w:szCs w:val="21"/>
          <w:lang w:eastAsia="zh-CN"/>
        </w:rPr>
      </w:pPr>
      <w:r>
        <w:rPr>
          <w:rFonts w:hint="eastAsia"/>
          <w:sz w:val="21"/>
          <w:szCs w:val="21"/>
          <w:lang w:eastAsia="zh-CN"/>
        </w:rPr>
        <w:t>外部数据输入：包含外部信息、外部刀具补偿、外部设备原点偏移；（13）动态切换语言显示:包含于各国语言显示；</w:t>
      </w:r>
    </w:p>
    <w:p w14:paraId="067B10D5">
      <w:pPr>
        <w:pStyle w:val="9"/>
        <w:numPr>
          <w:ilvl w:val="0"/>
          <w:numId w:val="33"/>
        </w:numPr>
        <w:rPr>
          <w:sz w:val="21"/>
          <w:szCs w:val="21"/>
          <w:lang w:eastAsia="zh-CN"/>
        </w:rPr>
      </w:pPr>
      <w:r>
        <w:rPr>
          <w:rFonts w:hint="eastAsia"/>
          <w:sz w:val="21"/>
          <w:szCs w:val="21"/>
          <w:lang w:eastAsia="zh-CN"/>
        </w:rPr>
        <w:t>实际主轴旋转数/T代码显示:M系统需要有螺纹切削和同步进给；</w:t>
      </w:r>
    </w:p>
    <w:p w14:paraId="7048BC09">
      <w:pPr>
        <w:pStyle w:val="9"/>
        <w:numPr>
          <w:ilvl w:val="0"/>
          <w:numId w:val="33"/>
        </w:numPr>
        <w:rPr>
          <w:sz w:val="21"/>
          <w:szCs w:val="21"/>
          <w:lang w:eastAsia="zh-CN"/>
        </w:rPr>
      </w:pPr>
      <w:r>
        <w:rPr>
          <w:rFonts w:hint="eastAsia"/>
          <w:sz w:val="21"/>
          <w:szCs w:val="21"/>
          <w:lang w:eastAsia="zh-CN"/>
        </w:rPr>
        <w:t>用户自定义主菜单画面:需要包含于CNC应用程序开发套件(A08B-9010- J555#ZZ12) 中的用户自定义主菜单画面工具程序；</w:t>
      </w:r>
    </w:p>
    <w:p w14:paraId="625A5EA1">
      <w:pPr>
        <w:pStyle w:val="9"/>
        <w:numPr>
          <w:ilvl w:val="0"/>
          <w:numId w:val="33"/>
        </w:numPr>
        <w:rPr>
          <w:sz w:val="21"/>
          <w:szCs w:val="21"/>
        </w:rPr>
      </w:pPr>
      <w:r>
        <w:rPr>
          <w:rFonts w:hint="eastAsia"/>
          <w:sz w:val="21"/>
          <w:szCs w:val="21"/>
        </w:rPr>
        <w:t>文件名：32个字符；</w:t>
      </w:r>
    </w:p>
    <w:p w14:paraId="30DD84B7">
      <w:pPr>
        <w:pStyle w:val="9"/>
        <w:numPr>
          <w:ilvl w:val="0"/>
          <w:numId w:val="33"/>
        </w:numPr>
        <w:rPr>
          <w:sz w:val="21"/>
          <w:szCs w:val="21"/>
          <w:lang w:eastAsia="zh-CN"/>
        </w:rPr>
      </w:pPr>
      <w:r>
        <w:rPr>
          <w:rFonts w:hint="eastAsia"/>
          <w:sz w:val="21"/>
          <w:szCs w:val="21"/>
          <w:lang w:eastAsia="zh-CN"/>
        </w:rPr>
        <w:t>最大指令值: 9位数(R、I、J、K为12位数)；</w:t>
      </w:r>
    </w:p>
    <w:p w14:paraId="2F5D0983">
      <w:pPr>
        <w:pStyle w:val="9"/>
        <w:numPr>
          <w:ilvl w:val="0"/>
          <w:numId w:val="33"/>
        </w:numPr>
        <w:rPr>
          <w:sz w:val="21"/>
          <w:szCs w:val="21"/>
          <w:lang w:eastAsia="zh-CN"/>
        </w:rPr>
      </w:pPr>
      <w:r>
        <w:rPr>
          <w:rFonts w:hint="eastAsia"/>
          <w:sz w:val="21"/>
          <w:szCs w:val="21"/>
          <w:lang w:eastAsia="zh-CN"/>
        </w:rPr>
        <w:t>纸带代码:自动识别EIA /ISO；</w:t>
      </w:r>
    </w:p>
    <w:p w14:paraId="43E94C5D">
      <w:pPr>
        <w:pStyle w:val="9"/>
        <w:numPr>
          <w:ilvl w:val="0"/>
          <w:numId w:val="33"/>
        </w:numPr>
        <w:rPr>
          <w:sz w:val="21"/>
          <w:szCs w:val="21"/>
        </w:rPr>
      </w:pPr>
      <w:r>
        <w:rPr>
          <w:rFonts w:hint="eastAsia"/>
          <w:sz w:val="21"/>
          <w:szCs w:val="21"/>
        </w:rPr>
        <w:t>AI轮廓控制（AICC II）；</w:t>
      </w:r>
    </w:p>
    <w:p w14:paraId="79B8BC34">
      <w:pPr>
        <w:pStyle w:val="9"/>
        <w:numPr>
          <w:ilvl w:val="0"/>
          <w:numId w:val="33"/>
        </w:numPr>
        <w:rPr>
          <w:sz w:val="21"/>
          <w:szCs w:val="21"/>
        </w:rPr>
      </w:pPr>
      <w:r>
        <w:rPr>
          <w:rFonts w:hint="eastAsia"/>
          <w:sz w:val="21"/>
          <w:szCs w:val="21"/>
        </w:rPr>
        <w:t>动态图形显示功能；</w:t>
      </w:r>
    </w:p>
    <w:p w14:paraId="74399591">
      <w:pPr>
        <w:pStyle w:val="9"/>
        <w:numPr>
          <w:ilvl w:val="0"/>
          <w:numId w:val="33"/>
        </w:numPr>
        <w:rPr>
          <w:sz w:val="21"/>
          <w:szCs w:val="21"/>
        </w:rPr>
      </w:pPr>
      <w:r>
        <w:rPr>
          <w:rFonts w:hint="eastAsia"/>
          <w:sz w:val="21"/>
          <w:szCs w:val="21"/>
        </w:rPr>
        <w:t>故障诊断；</w:t>
      </w:r>
    </w:p>
    <w:p w14:paraId="5279157A">
      <w:pPr>
        <w:pStyle w:val="9"/>
        <w:numPr>
          <w:ilvl w:val="0"/>
          <w:numId w:val="33"/>
        </w:numPr>
        <w:rPr>
          <w:sz w:val="21"/>
          <w:szCs w:val="21"/>
          <w:lang w:eastAsia="zh-CN"/>
        </w:rPr>
      </w:pPr>
      <w:r>
        <w:rPr>
          <w:rFonts w:hint="eastAsia"/>
          <w:sz w:val="21"/>
          <w:szCs w:val="21"/>
          <w:lang w:eastAsia="zh-CN"/>
        </w:rPr>
        <w:t>极坐标指令、可编程镜像、坐标系旋转；</w:t>
      </w:r>
    </w:p>
    <w:p w14:paraId="1AE8FA19">
      <w:pPr>
        <w:pStyle w:val="9"/>
        <w:numPr>
          <w:ilvl w:val="0"/>
          <w:numId w:val="33"/>
        </w:numPr>
        <w:rPr>
          <w:sz w:val="21"/>
          <w:szCs w:val="21"/>
        </w:rPr>
      </w:pPr>
      <w:r>
        <w:rPr>
          <w:rFonts w:hint="eastAsia"/>
          <w:sz w:val="21"/>
          <w:szCs w:val="21"/>
        </w:rPr>
        <w:t>智能反向间隙补偿；</w:t>
      </w:r>
    </w:p>
    <w:p w14:paraId="23B54191">
      <w:pPr>
        <w:pStyle w:val="9"/>
        <w:numPr>
          <w:ilvl w:val="0"/>
          <w:numId w:val="33"/>
        </w:numPr>
        <w:rPr>
          <w:sz w:val="21"/>
          <w:szCs w:val="21"/>
          <w:lang w:eastAsia="zh-CN"/>
        </w:rPr>
      </w:pPr>
      <w:r>
        <w:rPr>
          <w:rFonts w:hint="eastAsia"/>
          <w:sz w:val="21"/>
          <w:szCs w:val="21"/>
          <w:lang w:eastAsia="zh-CN"/>
        </w:rPr>
        <w:t>存储型螺距误差补偿，螺纹切削、同步进给；</w:t>
      </w:r>
    </w:p>
    <w:p w14:paraId="2D36573F">
      <w:pPr>
        <w:pStyle w:val="9"/>
        <w:numPr>
          <w:ilvl w:val="0"/>
          <w:numId w:val="33"/>
        </w:numPr>
        <w:rPr>
          <w:sz w:val="21"/>
          <w:szCs w:val="21"/>
        </w:rPr>
      </w:pPr>
      <w:r>
        <w:rPr>
          <w:rFonts w:hint="eastAsia"/>
          <w:sz w:val="21"/>
          <w:szCs w:val="21"/>
        </w:rPr>
        <w:t>程序存储容量≥2M；</w:t>
      </w:r>
    </w:p>
    <w:p w14:paraId="791C9E61">
      <w:pPr>
        <w:pStyle w:val="9"/>
        <w:numPr>
          <w:ilvl w:val="0"/>
          <w:numId w:val="33"/>
        </w:numPr>
        <w:rPr>
          <w:sz w:val="21"/>
          <w:szCs w:val="21"/>
        </w:rPr>
      </w:pPr>
      <w:r>
        <w:rPr>
          <w:rFonts w:hint="eastAsia"/>
          <w:sz w:val="21"/>
          <w:szCs w:val="21"/>
        </w:rPr>
        <w:t>刀具寿命管理；</w:t>
      </w:r>
    </w:p>
    <w:p w14:paraId="5B6012AD">
      <w:pPr>
        <w:pStyle w:val="9"/>
        <w:numPr>
          <w:ilvl w:val="0"/>
          <w:numId w:val="33"/>
        </w:numPr>
        <w:rPr>
          <w:sz w:val="21"/>
          <w:szCs w:val="21"/>
          <w:lang w:eastAsia="zh-CN"/>
        </w:rPr>
      </w:pPr>
      <w:r>
        <w:rPr>
          <w:rFonts w:hint="eastAsia"/>
          <w:sz w:val="21"/>
          <w:szCs w:val="21"/>
          <w:lang w:eastAsia="zh-CN"/>
        </w:rPr>
        <w:t>具有中断型用户宏指令，加工选择功能，选择程序段跳过功能；</w:t>
      </w:r>
    </w:p>
    <w:p w14:paraId="0F4C4A4A">
      <w:pPr>
        <w:pStyle w:val="9"/>
        <w:numPr>
          <w:ilvl w:val="0"/>
          <w:numId w:val="33"/>
        </w:numPr>
        <w:rPr>
          <w:sz w:val="21"/>
          <w:szCs w:val="21"/>
          <w:lang w:eastAsia="zh-CN"/>
        </w:rPr>
      </w:pPr>
      <w:r>
        <w:rPr>
          <w:rFonts w:hint="eastAsia"/>
          <w:sz w:val="21"/>
          <w:szCs w:val="21"/>
          <w:lang w:eastAsia="zh-CN"/>
        </w:rPr>
        <w:t>预防性维护（绝缘裂化检测、风扇转速监控）；</w:t>
      </w:r>
    </w:p>
    <w:p w14:paraId="4DF9FAC3">
      <w:pPr>
        <w:pStyle w:val="9"/>
        <w:numPr>
          <w:ilvl w:val="0"/>
          <w:numId w:val="33"/>
        </w:numPr>
        <w:rPr>
          <w:sz w:val="21"/>
          <w:szCs w:val="21"/>
          <w:lang w:eastAsia="zh-CN"/>
        </w:rPr>
      </w:pPr>
      <w:r>
        <w:rPr>
          <w:rFonts w:hint="eastAsia"/>
          <w:sz w:val="21"/>
          <w:szCs w:val="21"/>
          <w:lang w:eastAsia="zh-CN"/>
        </w:rPr>
        <w:t>FANOVI人机交互界面，帮助用户进行定制化功能开发。</w:t>
      </w:r>
    </w:p>
    <w:p w14:paraId="376B9BDB">
      <w:pPr>
        <w:pStyle w:val="9"/>
        <w:numPr>
          <w:ilvl w:val="0"/>
          <w:numId w:val="33"/>
        </w:numPr>
        <w:rPr>
          <w:rFonts w:hint="eastAsia"/>
          <w:sz w:val="21"/>
          <w:szCs w:val="21"/>
          <w:lang w:val="zh-CN" w:eastAsia="zh-CN"/>
        </w:rPr>
      </w:pPr>
      <w:r>
        <w:rPr>
          <w:rFonts w:hint="eastAsia"/>
          <w:sz w:val="21"/>
          <w:szCs w:val="21"/>
          <w:lang w:eastAsia="zh-CN"/>
        </w:rPr>
        <w:t>培训系统：</w:t>
      </w:r>
    </w:p>
    <w:p w14:paraId="55CA3256">
      <w:pPr>
        <w:pStyle w:val="9"/>
        <w:ind w:left="400"/>
        <w:rPr>
          <w:color w:val="FF0000"/>
          <w:sz w:val="21"/>
          <w:szCs w:val="21"/>
          <w:lang w:val="zh-CN" w:eastAsia="zh-CN"/>
        </w:rPr>
      </w:pPr>
      <w:r>
        <w:rPr>
          <w:rFonts w:hint="eastAsia"/>
          <w:color w:val="FF0000"/>
          <w:sz w:val="21"/>
          <w:szCs w:val="21"/>
          <w:lang w:eastAsia="zh-CN"/>
        </w:rPr>
        <w:t>29.1虚拟机床在WINDOWS环境下运行，具备基本操作功能：程序编辑与管理、切削、进给与补偿、程序自动运行、程序手动运行等基本操作功能。</w:t>
      </w:r>
    </w:p>
    <w:p w14:paraId="272C5AD3">
      <w:pPr>
        <w:ind w:left="400"/>
        <w:rPr>
          <w:rFonts w:ascii="宋体" w:hAnsi="宋体" w:eastAsia="宋体" w:cs="宋体"/>
          <w:color w:val="FF0000"/>
          <w:lang w:eastAsia="zh-CN"/>
        </w:rPr>
      </w:pPr>
      <w:r>
        <w:rPr>
          <w:rFonts w:hint="eastAsia" w:ascii="宋体" w:hAnsi="宋体" w:eastAsia="宋体" w:cs="宋体"/>
          <w:color w:val="FF0000"/>
          <w:lang w:eastAsia="zh-CN"/>
        </w:rPr>
        <w:t>29.2★有典型的数控加工项目化教学案例，可以即学即练，项目包括：动模板模框加工、开放槽综合案例、外轮廓综合案例、钻孔加工案例、平面铣加工案例、矩形槽加工案例。演练和操作可以随时转换。用户可使用进度控制面板，调节演练速度、快速选择不同的操作阶段。</w:t>
      </w:r>
    </w:p>
    <w:p w14:paraId="5E67E974">
      <w:pPr>
        <w:ind w:left="400"/>
        <w:rPr>
          <w:rFonts w:ascii="宋体" w:hAnsi="宋体" w:eastAsia="宋体" w:cs="宋体"/>
          <w:color w:val="FF0000"/>
          <w:lang w:eastAsia="zh-CN"/>
        </w:rPr>
      </w:pPr>
      <w:r>
        <w:rPr>
          <w:rFonts w:hint="eastAsia" w:ascii="宋体" w:hAnsi="宋体" w:eastAsia="宋体" w:cs="宋体"/>
          <w:color w:val="FF0000"/>
          <w:lang w:eastAsia="zh-CN"/>
        </w:rPr>
        <w:t>29.3对学生的每一步操作的正确性、规范性、安全性进行自动记录、评估、计分，并输出和提交详细的考核记录单，记录单自动加密。</w:t>
      </w:r>
    </w:p>
    <w:p w14:paraId="71EE6399">
      <w:pPr>
        <w:ind w:left="400"/>
        <w:rPr>
          <w:rFonts w:ascii="宋体" w:hAnsi="宋体" w:eastAsia="宋体" w:cs="宋体"/>
          <w:b/>
          <w:bCs/>
          <w:color w:val="FF0000"/>
          <w:lang w:eastAsia="zh-CN"/>
        </w:rPr>
      </w:pPr>
      <w:r>
        <w:rPr>
          <w:rFonts w:hint="eastAsia" w:ascii="宋体" w:hAnsi="宋体" w:eastAsia="宋体" w:cs="宋体"/>
          <w:color w:val="FF0000"/>
          <w:lang w:eastAsia="zh-CN"/>
        </w:rPr>
        <w:t>29.4★所有能够由用户自定义的参数均向用户开放，如所有的说明文字、配置参数均采用EXCEL表驱动，甚至一些软件功能参数也可用EXCEL表驱动。</w:t>
      </w:r>
    </w:p>
    <w:p w14:paraId="4D95A72B">
      <w:pPr>
        <w:ind w:left="400"/>
        <w:rPr>
          <w:rFonts w:hint="eastAsia" w:ascii="宋体" w:hAnsi="宋体" w:eastAsia="宋体" w:cs="宋体"/>
          <w:color w:val="FF0000"/>
          <w:lang w:eastAsia="zh-CN"/>
        </w:rPr>
      </w:pPr>
      <w:r>
        <w:rPr>
          <w:rFonts w:hint="eastAsia" w:ascii="宋体" w:hAnsi="宋体" w:eastAsia="宋体" w:cs="宋体"/>
          <w:color w:val="FF0000"/>
          <w:lang w:eastAsia="zh-CN"/>
        </w:rPr>
        <w:t>29.5★可以通过无线通讯技术连接，实现平板电脑或手机（ANDROID系统）对虚拟机床本体进行操作和控制，方便学生训练。</w:t>
      </w:r>
    </w:p>
    <w:p w14:paraId="05315089">
      <w:pPr>
        <w:tabs>
          <w:tab w:val="left" w:pos="898"/>
        </w:tabs>
        <w:ind w:left="400"/>
        <w:rPr>
          <w:rFonts w:ascii="宋体" w:hAnsi="宋体" w:eastAsia="宋体" w:cs="宋体"/>
          <w:color w:val="FF0000"/>
          <w:lang w:eastAsia="zh-CN"/>
        </w:rPr>
      </w:pPr>
      <w:r>
        <w:rPr>
          <w:rFonts w:hint="eastAsia" w:ascii="宋体" w:hAnsi="宋体" w:eastAsia="宋体" w:cs="宋体"/>
          <w:color w:val="FF0000"/>
          <w:lang w:eastAsia="zh-CN"/>
        </w:rPr>
        <w:t>注：</w:t>
      </w:r>
      <w:bookmarkStart w:id="248" w:name="OLE_LINK14"/>
      <w:bookmarkStart w:id="249" w:name="OLE_LINK15"/>
      <w:r>
        <w:rPr>
          <w:rFonts w:hint="eastAsia" w:ascii="宋体" w:hAnsi="宋体" w:eastAsia="宋体" w:cs="宋体"/>
          <w:color w:val="FF0000"/>
          <w:lang w:eastAsia="zh-CN"/>
        </w:rPr>
        <w:t>培训系统应有实质性的功能介绍，禁止简单复制招标文件中的内容作为响应，否则按负偏离处理。</w:t>
      </w:r>
      <w:bookmarkEnd w:id="248"/>
      <w:bookmarkEnd w:id="249"/>
    </w:p>
    <w:p w14:paraId="52707406">
      <w:pPr>
        <w:tabs>
          <w:tab w:val="left" w:pos="1018"/>
        </w:tabs>
        <w:rPr>
          <w:rFonts w:ascii="宋体" w:hAnsi="宋体" w:eastAsia="宋体" w:cs="宋体"/>
          <w:b/>
          <w:bCs/>
          <w:lang w:eastAsia="zh-CN"/>
        </w:rPr>
      </w:pPr>
      <w:r>
        <w:rPr>
          <w:rFonts w:hint="eastAsia" w:ascii="宋体" w:hAnsi="宋体" w:eastAsia="宋体" w:cs="宋体"/>
          <w:b/>
          <w:bCs/>
          <w:lang w:eastAsia="zh-CN"/>
        </w:rPr>
        <w:t>3、数控加工中心附件配置要求</w:t>
      </w:r>
    </w:p>
    <w:p w14:paraId="4FE8CD69">
      <w:pPr>
        <w:numPr>
          <w:ilvl w:val="0"/>
          <w:numId w:val="34"/>
        </w:numPr>
        <w:rPr>
          <w:rFonts w:ascii="宋体" w:hAnsi="宋体" w:eastAsia="宋体" w:cs="宋体"/>
          <w:lang w:eastAsia="zh-CN"/>
        </w:rPr>
      </w:pPr>
      <w:r>
        <w:rPr>
          <w:rFonts w:hint="eastAsia" w:ascii="宋体" w:hAnsi="宋体" w:eastAsia="宋体" w:cs="宋体"/>
          <w:lang w:eastAsia="zh-CN"/>
        </w:rPr>
        <w:t>机床配套工具箱：一字螺丝起子、十字螺丝起子、内六角扳手、双头扳手等。</w:t>
      </w:r>
    </w:p>
    <w:p w14:paraId="6112AD48">
      <w:pPr>
        <w:numPr>
          <w:ilvl w:val="0"/>
          <w:numId w:val="34"/>
        </w:numPr>
        <w:rPr>
          <w:rFonts w:ascii="宋体" w:hAnsi="宋体" w:eastAsia="宋体" w:cs="宋体"/>
        </w:rPr>
      </w:pPr>
      <w:r>
        <w:rPr>
          <w:rFonts w:hint="eastAsia" w:ascii="宋体" w:hAnsi="宋体" w:eastAsia="宋体" w:cs="宋体"/>
        </w:rPr>
        <w:t>机床工作灯</w:t>
      </w:r>
      <w:r>
        <w:rPr>
          <w:rFonts w:hint="eastAsia" w:ascii="宋体" w:hAnsi="宋体" w:eastAsia="宋体" w:cs="宋体"/>
        </w:rPr>
        <w:tab/>
      </w:r>
      <w:r>
        <w:rPr>
          <w:rFonts w:hint="eastAsia" w:ascii="宋体" w:hAnsi="宋体" w:eastAsia="宋体" w:cs="宋体"/>
        </w:rPr>
        <w:tab/>
      </w:r>
    </w:p>
    <w:p w14:paraId="5DD284E2">
      <w:pPr>
        <w:numPr>
          <w:ilvl w:val="0"/>
          <w:numId w:val="34"/>
        </w:numPr>
        <w:rPr>
          <w:rFonts w:ascii="宋体" w:hAnsi="宋体" w:eastAsia="宋体" w:cs="宋体"/>
        </w:rPr>
      </w:pPr>
      <w:r>
        <w:rPr>
          <w:rFonts w:hint="eastAsia" w:ascii="宋体" w:hAnsi="宋体" w:eastAsia="宋体" w:cs="宋体"/>
        </w:rPr>
        <w:t>调整垫铁及螺栓</w:t>
      </w:r>
      <w:r>
        <w:rPr>
          <w:rFonts w:hint="eastAsia" w:ascii="宋体" w:hAnsi="宋体" w:eastAsia="宋体" w:cs="宋体"/>
        </w:rPr>
        <w:tab/>
      </w:r>
      <w:r>
        <w:rPr>
          <w:rFonts w:hint="eastAsia" w:ascii="宋体" w:hAnsi="宋体" w:eastAsia="宋体" w:cs="宋体"/>
        </w:rPr>
        <w:tab/>
      </w:r>
    </w:p>
    <w:p w14:paraId="14F1E915">
      <w:pPr>
        <w:numPr>
          <w:ilvl w:val="0"/>
          <w:numId w:val="34"/>
        </w:numPr>
        <w:rPr>
          <w:rFonts w:ascii="宋体" w:hAnsi="宋体" w:eastAsia="宋体" w:cs="宋体"/>
        </w:rPr>
      </w:pPr>
      <w:r>
        <w:rPr>
          <w:rFonts w:hint="eastAsia" w:ascii="宋体" w:hAnsi="宋体" w:eastAsia="宋体" w:cs="宋体"/>
        </w:rPr>
        <w:t>CF存储卡</w:t>
      </w:r>
      <w:r>
        <w:rPr>
          <w:rFonts w:hint="eastAsia" w:ascii="宋体" w:hAnsi="宋体" w:eastAsia="宋体" w:cs="宋体"/>
        </w:rPr>
        <w:tab/>
      </w:r>
      <w:r>
        <w:rPr>
          <w:rFonts w:hint="eastAsia" w:ascii="宋体" w:hAnsi="宋体" w:eastAsia="宋体" w:cs="宋体"/>
        </w:rPr>
        <w:tab/>
      </w:r>
    </w:p>
    <w:p w14:paraId="4D9F40E7">
      <w:pPr>
        <w:numPr>
          <w:ilvl w:val="0"/>
          <w:numId w:val="34"/>
        </w:numPr>
        <w:rPr>
          <w:rFonts w:ascii="宋体" w:hAnsi="宋体" w:eastAsia="宋体" w:cs="宋体"/>
        </w:rPr>
      </w:pPr>
      <w:r>
        <w:rPr>
          <w:rFonts w:hint="eastAsia" w:ascii="宋体" w:hAnsi="宋体" w:eastAsia="宋体" w:cs="宋体"/>
        </w:rPr>
        <w:t>数据连线5米</w:t>
      </w:r>
      <w:r>
        <w:rPr>
          <w:rFonts w:hint="eastAsia" w:ascii="宋体" w:hAnsi="宋体" w:eastAsia="宋体" w:cs="宋体"/>
        </w:rPr>
        <w:tab/>
      </w:r>
    </w:p>
    <w:p w14:paraId="329E633D">
      <w:pPr>
        <w:rPr>
          <w:rFonts w:ascii="宋体" w:hAnsi="宋体" w:eastAsia="宋体" w:cs="宋体"/>
          <w:b/>
          <w:bCs/>
          <w:lang w:eastAsia="zh-CN"/>
        </w:rPr>
      </w:pPr>
      <w:r>
        <w:rPr>
          <w:rFonts w:hint="eastAsia" w:ascii="宋体" w:hAnsi="宋体" w:eastAsia="宋体" w:cs="宋体"/>
          <w:b/>
          <w:bCs/>
          <w:lang w:eastAsia="zh-CN"/>
        </w:rPr>
        <w:t>（二）数控车床</w:t>
      </w:r>
    </w:p>
    <w:p w14:paraId="5BFDA12E">
      <w:pPr>
        <w:rPr>
          <w:rFonts w:ascii="宋体" w:hAnsi="宋体" w:eastAsia="宋体" w:cs="宋体"/>
          <w:b/>
          <w:bCs/>
          <w:lang w:eastAsia="zh-CN"/>
        </w:rPr>
      </w:pPr>
      <w:r>
        <w:rPr>
          <w:rFonts w:hint="eastAsia" w:ascii="宋体" w:hAnsi="宋体" w:eastAsia="宋体" w:cs="宋体"/>
          <w:b/>
          <w:bCs/>
          <w:lang w:eastAsia="zh-CN"/>
        </w:rPr>
        <w:t>1、数控车床整体结构特点及性能体现</w:t>
      </w:r>
    </w:p>
    <w:p w14:paraId="72D18BD0">
      <w:pPr>
        <w:pStyle w:val="9"/>
        <w:numPr>
          <w:ilvl w:val="0"/>
          <w:numId w:val="35"/>
        </w:numPr>
        <w:rPr>
          <w:color w:val="auto"/>
          <w:sz w:val="21"/>
          <w:szCs w:val="21"/>
          <w:lang w:eastAsia="zh-CN"/>
        </w:rPr>
      </w:pPr>
      <w:r>
        <w:rPr>
          <w:rFonts w:hint="eastAsia"/>
          <w:color w:val="auto"/>
          <w:sz w:val="21"/>
          <w:szCs w:val="21"/>
          <w:lang w:eastAsia="zh-CN"/>
        </w:rPr>
        <w:t>机床采用传统的卧式车床布局。整体设计，密封性好，符合安全标准。床身等主要基础件均采用树脂砂铸造，人工时效处理，整机稳定性优越。</w:t>
      </w:r>
    </w:p>
    <w:p w14:paraId="7D61B491">
      <w:pPr>
        <w:pStyle w:val="9"/>
        <w:numPr>
          <w:ilvl w:val="0"/>
          <w:numId w:val="35"/>
        </w:numPr>
        <w:rPr>
          <w:color w:val="auto"/>
          <w:sz w:val="21"/>
          <w:szCs w:val="21"/>
          <w:lang w:eastAsia="zh-CN"/>
        </w:rPr>
      </w:pPr>
      <w:r>
        <w:rPr>
          <w:rFonts w:hint="eastAsia"/>
          <w:color w:val="auto"/>
          <w:sz w:val="21"/>
          <w:szCs w:val="21"/>
          <w:lang w:eastAsia="zh-CN"/>
        </w:rPr>
        <w:t>床身导轨采用超音频淬火，硬度48~52HRC。</w:t>
      </w:r>
    </w:p>
    <w:p w14:paraId="2456EF39">
      <w:pPr>
        <w:pStyle w:val="9"/>
        <w:numPr>
          <w:ilvl w:val="0"/>
          <w:numId w:val="35"/>
        </w:numPr>
        <w:rPr>
          <w:color w:val="auto"/>
          <w:sz w:val="21"/>
          <w:szCs w:val="21"/>
          <w:lang w:eastAsia="zh-CN"/>
        </w:rPr>
      </w:pPr>
      <w:r>
        <w:rPr>
          <w:rFonts w:hint="eastAsia"/>
          <w:color w:val="auto"/>
          <w:sz w:val="21"/>
          <w:szCs w:val="21"/>
          <w:lang w:eastAsia="zh-CN"/>
        </w:rPr>
        <w:t>溜板与床身导轨结合面采用“贴塑”处理，移动部件可实现微量进给，防止爬行。</w:t>
      </w:r>
    </w:p>
    <w:p w14:paraId="61A89891">
      <w:pPr>
        <w:numPr>
          <w:ilvl w:val="0"/>
          <w:numId w:val="35"/>
        </w:numPr>
        <w:rPr>
          <w:rFonts w:ascii="宋体" w:hAnsi="宋体" w:eastAsia="宋体" w:cs="宋体"/>
          <w:color w:val="auto"/>
          <w:lang w:eastAsia="zh-CN"/>
        </w:rPr>
      </w:pPr>
      <w:r>
        <w:rPr>
          <w:rFonts w:hint="eastAsia" w:ascii="宋体" w:hAnsi="宋体" w:eastAsia="宋体" w:cs="宋体"/>
          <w:color w:val="auto"/>
          <w:lang w:eastAsia="zh-CN"/>
        </w:rPr>
        <w:t>机床X/Z向运动轴采用直连方式，伺服电机驱动，精密滚珠丝杠副传动。。X向丝杆直径*螺距需达∮20*5mm，Z向丝杆直径*螺距需达∮32*5mm。</w:t>
      </w:r>
    </w:p>
    <w:p w14:paraId="3A263C3E">
      <w:pPr>
        <w:numPr>
          <w:ilvl w:val="0"/>
          <w:numId w:val="35"/>
        </w:numPr>
        <w:rPr>
          <w:rFonts w:ascii="宋体" w:hAnsi="宋体" w:eastAsia="宋体" w:cs="宋体"/>
          <w:color w:val="auto"/>
          <w:lang w:eastAsia="zh-CN"/>
        </w:rPr>
      </w:pPr>
      <w:r>
        <w:rPr>
          <w:rFonts w:hint="eastAsia" w:ascii="宋体" w:hAnsi="宋体" w:eastAsia="宋体" w:cs="宋体"/>
          <w:color w:val="auto"/>
          <w:lang w:eastAsia="zh-CN"/>
        </w:rPr>
        <w:t>配有集中润滑器对滚珠丝杠及导轨结合面进行强制自动润滑，可有效提高机床的动态响应特性及丝杠导轨的使用寿命。</w:t>
      </w:r>
    </w:p>
    <w:p w14:paraId="1A7C28C0">
      <w:pPr>
        <w:pStyle w:val="9"/>
        <w:numPr>
          <w:ilvl w:val="0"/>
          <w:numId w:val="35"/>
        </w:numPr>
        <w:rPr>
          <w:color w:val="auto"/>
          <w:sz w:val="21"/>
          <w:szCs w:val="21"/>
          <w:lang w:eastAsia="zh-CN"/>
        </w:rPr>
      </w:pPr>
      <w:r>
        <w:rPr>
          <w:rFonts w:hint="eastAsia"/>
          <w:color w:val="auto"/>
          <w:sz w:val="21"/>
          <w:szCs w:val="21"/>
          <w:lang w:eastAsia="zh-CN"/>
        </w:rPr>
        <w:t>机床采用全防护，需严格做到防水、防屑，且易维修、维护。</w:t>
      </w:r>
    </w:p>
    <w:p w14:paraId="240802F9">
      <w:pPr>
        <w:pStyle w:val="9"/>
        <w:numPr>
          <w:ilvl w:val="0"/>
          <w:numId w:val="35"/>
        </w:numPr>
        <w:rPr>
          <w:color w:val="auto"/>
          <w:sz w:val="21"/>
          <w:szCs w:val="21"/>
          <w:lang w:eastAsia="zh-CN"/>
        </w:rPr>
      </w:pPr>
      <w:r>
        <w:rPr>
          <w:rFonts w:hint="eastAsia"/>
          <w:color w:val="auto"/>
          <w:sz w:val="21"/>
          <w:szCs w:val="21"/>
          <w:lang w:eastAsia="zh-CN"/>
        </w:rPr>
        <w:t>机床标准配置采用立式四工位刀塔。</w:t>
      </w:r>
    </w:p>
    <w:p w14:paraId="5D0973AE">
      <w:pPr>
        <w:numPr>
          <w:ilvl w:val="0"/>
          <w:numId w:val="35"/>
        </w:numPr>
        <w:rPr>
          <w:rFonts w:ascii="宋体" w:hAnsi="宋体" w:eastAsia="宋体" w:cs="宋体"/>
          <w:color w:val="auto"/>
          <w:lang w:eastAsia="zh-CN"/>
        </w:rPr>
      </w:pPr>
      <w:r>
        <w:rPr>
          <w:rFonts w:hint="eastAsia" w:ascii="宋体" w:hAnsi="宋体" w:eastAsia="宋体" w:cs="宋体"/>
          <w:color w:val="auto"/>
        </w:rPr>
        <w:t>CNC选用FANUC 0I TF(3)数控系统，不低于ZJY208A-5.5BM-B3L (5.5/7.5kw,48 /70Nm)的要求， X、Z向不低于βiS8/3000（1.2kW,7Nm)的要求。</w:t>
      </w:r>
      <w:r>
        <w:rPr>
          <w:rFonts w:hint="eastAsia" w:ascii="宋体" w:hAnsi="宋体" w:eastAsia="宋体" w:cs="宋体"/>
          <w:color w:val="auto"/>
          <w:lang w:eastAsia="zh-CN"/>
        </w:rPr>
        <w:t>电柜冷却采用空调方式，主电机采用伺服驱动，并选用高质量的电气组件，确保机床的安全性和可靠性。电路的动力系统均有保险功能以保障人身和设备安全。电路设计符合国家标准，并能满足CE认证要求。带网络、USB接口，在机床上需安装220V多用插座，有利于电脑使用。</w:t>
      </w:r>
    </w:p>
    <w:p w14:paraId="72D1BE68">
      <w:pPr>
        <w:ind w:firstLine="493"/>
        <w:rPr>
          <w:rFonts w:ascii="宋体" w:hAnsi="宋体" w:eastAsia="宋体" w:cs="宋体"/>
          <w:lang w:eastAsia="zh-CN"/>
        </w:rPr>
      </w:pPr>
    </w:p>
    <w:p w14:paraId="136D7FCF">
      <w:pPr>
        <w:rPr>
          <w:rFonts w:ascii="宋体" w:hAnsi="宋体" w:eastAsia="宋体" w:cs="宋体"/>
          <w:b/>
          <w:bCs/>
        </w:rPr>
      </w:pPr>
      <w:r>
        <w:rPr>
          <w:rFonts w:hint="eastAsia" w:ascii="宋体" w:hAnsi="宋体" w:eastAsia="宋体" w:cs="宋体"/>
          <w:b/>
          <w:bCs/>
          <w:lang w:eastAsia="zh-CN"/>
        </w:rPr>
        <w:t>2、</w:t>
      </w:r>
      <w:r>
        <w:rPr>
          <w:rFonts w:hint="eastAsia" w:ascii="宋体" w:hAnsi="宋体" w:eastAsia="宋体" w:cs="宋体"/>
          <w:b/>
          <w:bCs/>
        </w:rPr>
        <w:t>数控车床技术参数</w:t>
      </w:r>
    </w:p>
    <w:p w14:paraId="215EBDA2">
      <w:pPr>
        <w:numPr>
          <w:ilvl w:val="0"/>
          <w:numId w:val="36"/>
        </w:numPr>
        <w:rPr>
          <w:rFonts w:ascii="宋体" w:hAnsi="宋体" w:eastAsia="宋体" w:cs="宋体"/>
          <w:lang w:eastAsia="zh-CN"/>
        </w:rPr>
      </w:pPr>
      <w:r>
        <w:rPr>
          <w:rFonts w:hint="eastAsia" w:ascii="宋体" w:hAnsi="宋体" w:eastAsia="宋体" w:cs="宋体"/>
          <w:lang w:eastAsia="zh-CN"/>
        </w:rPr>
        <w:t>床身上最大工件回转直径≥</w:t>
      </w:r>
      <w:r>
        <w:rPr>
          <w:rFonts w:hint="eastAsia" w:ascii="宋体" w:hAnsi="宋体" w:eastAsia="宋体" w:cs="宋体"/>
        </w:rPr>
        <w:t>Φ</w:t>
      </w:r>
      <w:r>
        <w:rPr>
          <w:rFonts w:hint="eastAsia" w:ascii="宋体" w:hAnsi="宋体" w:eastAsia="宋体" w:cs="宋体"/>
          <w:lang w:eastAsia="zh-CN"/>
        </w:rPr>
        <w:t>400 mm</w:t>
      </w:r>
    </w:p>
    <w:p w14:paraId="6281E270">
      <w:pPr>
        <w:numPr>
          <w:ilvl w:val="0"/>
          <w:numId w:val="36"/>
        </w:numPr>
        <w:rPr>
          <w:rFonts w:ascii="宋体" w:hAnsi="宋体" w:eastAsia="宋体" w:cs="宋体"/>
        </w:rPr>
      </w:pPr>
      <w:r>
        <w:rPr>
          <w:rFonts w:hint="eastAsia" w:ascii="宋体" w:hAnsi="宋体" w:eastAsia="宋体" w:cs="宋体"/>
        </w:rPr>
        <w:t>床身宽度≥312 mm</w:t>
      </w:r>
    </w:p>
    <w:p w14:paraId="6A308E1F">
      <w:pPr>
        <w:numPr>
          <w:ilvl w:val="0"/>
          <w:numId w:val="36"/>
        </w:numPr>
        <w:rPr>
          <w:rFonts w:ascii="宋体" w:hAnsi="宋体" w:eastAsia="宋体" w:cs="宋体"/>
        </w:rPr>
      </w:pPr>
      <w:r>
        <w:rPr>
          <w:rFonts w:hint="eastAsia" w:ascii="宋体" w:hAnsi="宋体" w:eastAsia="宋体" w:cs="宋体"/>
        </w:rPr>
        <w:t>床座结构：联体</w:t>
      </w:r>
    </w:p>
    <w:p w14:paraId="5A182EEF">
      <w:pPr>
        <w:numPr>
          <w:ilvl w:val="0"/>
          <w:numId w:val="36"/>
        </w:numPr>
        <w:rPr>
          <w:rFonts w:ascii="宋体" w:hAnsi="宋体" w:eastAsia="宋体" w:cs="宋体"/>
          <w:lang w:eastAsia="zh-CN"/>
        </w:rPr>
      </w:pPr>
      <w:r>
        <w:rPr>
          <w:rFonts w:hint="eastAsia" w:ascii="宋体" w:hAnsi="宋体" w:eastAsia="宋体" w:cs="宋体"/>
          <w:lang w:eastAsia="zh-CN"/>
        </w:rPr>
        <w:t>刀架上最大回转直径</w:t>
      </w:r>
      <w:r>
        <w:rPr>
          <w:rFonts w:hint="eastAsia" w:ascii="宋体" w:hAnsi="宋体" w:eastAsia="宋体" w:cs="宋体"/>
          <w:lang w:eastAsia="zh-CN"/>
        </w:rPr>
        <w:tab/>
      </w:r>
      <w:r>
        <w:rPr>
          <w:rFonts w:hint="eastAsia" w:ascii="宋体" w:hAnsi="宋体" w:eastAsia="宋体" w:cs="宋体"/>
          <w:lang w:eastAsia="zh-CN"/>
        </w:rPr>
        <w:t>≥</w:t>
      </w:r>
      <w:r>
        <w:rPr>
          <w:rFonts w:hint="eastAsia" w:ascii="宋体" w:hAnsi="宋体" w:eastAsia="宋体" w:cs="宋体"/>
        </w:rPr>
        <w:t>Φ</w:t>
      </w:r>
      <w:r>
        <w:rPr>
          <w:rFonts w:hint="eastAsia" w:ascii="宋体" w:hAnsi="宋体" w:eastAsia="宋体" w:cs="宋体"/>
          <w:lang w:eastAsia="zh-CN"/>
        </w:rPr>
        <w:t>225 mm</w:t>
      </w:r>
    </w:p>
    <w:p w14:paraId="25CA25F5">
      <w:pPr>
        <w:numPr>
          <w:ilvl w:val="0"/>
          <w:numId w:val="36"/>
        </w:numPr>
        <w:rPr>
          <w:rFonts w:ascii="宋体" w:hAnsi="宋体" w:eastAsia="宋体" w:cs="宋体"/>
        </w:rPr>
      </w:pPr>
      <w:r>
        <w:rPr>
          <w:rFonts w:hint="eastAsia" w:ascii="宋体" w:hAnsi="宋体" w:eastAsia="宋体" w:cs="宋体"/>
        </w:rPr>
        <w:t>最大工件长度≥750 mm</w:t>
      </w:r>
    </w:p>
    <w:p w14:paraId="0D073E0A">
      <w:pPr>
        <w:numPr>
          <w:ilvl w:val="0"/>
          <w:numId w:val="36"/>
        </w:numPr>
        <w:rPr>
          <w:rFonts w:ascii="宋体" w:hAnsi="宋体" w:eastAsia="宋体" w:cs="宋体"/>
        </w:rPr>
      </w:pPr>
      <w:r>
        <w:rPr>
          <w:rFonts w:hint="eastAsia" w:ascii="宋体" w:hAnsi="宋体" w:eastAsia="宋体" w:cs="宋体"/>
        </w:rPr>
        <w:t>最大车削长度≥700 mm</w:t>
      </w:r>
    </w:p>
    <w:p w14:paraId="34E6133E">
      <w:pPr>
        <w:numPr>
          <w:ilvl w:val="0"/>
          <w:numId w:val="36"/>
        </w:numPr>
        <w:rPr>
          <w:rFonts w:ascii="宋体" w:hAnsi="宋体" w:eastAsia="宋体" w:cs="宋体"/>
          <w:lang w:eastAsia="zh-CN"/>
        </w:rPr>
      </w:pPr>
      <w:r>
        <w:rPr>
          <w:rFonts w:hint="eastAsia" w:ascii="宋体" w:hAnsi="宋体" w:eastAsia="宋体" w:cs="宋体"/>
          <w:lang w:eastAsia="zh-CN"/>
        </w:rPr>
        <w:t>纵向最大行程（Z轴）≥740 mm</w:t>
      </w:r>
    </w:p>
    <w:p w14:paraId="70727E0A">
      <w:pPr>
        <w:numPr>
          <w:ilvl w:val="0"/>
          <w:numId w:val="36"/>
        </w:numPr>
        <w:rPr>
          <w:rFonts w:ascii="宋体" w:hAnsi="宋体" w:eastAsia="宋体" w:cs="宋体"/>
          <w:lang w:eastAsia="zh-CN"/>
        </w:rPr>
      </w:pPr>
      <w:r>
        <w:rPr>
          <w:rFonts w:hint="eastAsia" w:ascii="宋体" w:hAnsi="宋体" w:eastAsia="宋体" w:cs="宋体"/>
          <w:lang w:eastAsia="zh-CN"/>
        </w:rPr>
        <w:t>横向最大行程（X轴）≥235 mm</w:t>
      </w:r>
    </w:p>
    <w:p w14:paraId="14F04A1B">
      <w:pPr>
        <w:numPr>
          <w:ilvl w:val="0"/>
          <w:numId w:val="36"/>
        </w:numPr>
        <w:rPr>
          <w:rFonts w:ascii="宋体" w:hAnsi="宋体" w:eastAsia="宋体" w:cs="宋体"/>
        </w:rPr>
      </w:pPr>
      <w:r>
        <w:rPr>
          <w:rFonts w:hint="eastAsia" w:ascii="宋体" w:hAnsi="宋体" w:eastAsia="宋体" w:cs="宋体"/>
        </w:rPr>
        <w:t>主轴头部型式C6</w:t>
      </w:r>
    </w:p>
    <w:p w14:paraId="5E2E4777">
      <w:pPr>
        <w:numPr>
          <w:ilvl w:val="0"/>
          <w:numId w:val="36"/>
        </w:numPr>
        <w:rPr>
          <w:rFonts w:ascii="宋体" w:hAnsi="宋体" w:eastAsia="宋体" w:cs="宋体"/>
          <w:lang w:eastAsia="zh-CN"/>
        </w:rPr>
      </w:pPr>
      <w:r>
        <w:rPr>
          <w:rFonts w:hint="eastAsia" w:ascii="宋体" w:hAnsi="宋体" w:eastAsia="宋体" w:cs="宋体"/>
          <w:lang w:eastAsia="zh-CN"/>
        </w:rPr>
        <w:t>卡盘直径（手动）</w:t>
      </w:r>
      <w:r>
        <w:rPr>
          <w:rFonts w:hint="eastAsia" w:ascii="宋体" w:hAnsi="宋体" w:eastAsia="宋体" w:cs="宋体"/>
        </w:rPr>
        <w:t>Φ</w:t>
      </w:r>
      <w:r>
        <w:rPr>
          <w:rFonts w:hint="eastAsia" w:ascii="宋体" w:hAnsi="宋体" w:eastAsia="宋体" w:cs="宋体"/>
          <w:lang w:eastAsia="zh-CN"/>
        </w:rPr>
        <w:t>200 mm</w:t>
      </w:r>
    </w:p>
    <w:p w14:paraId="5C606F44">
      <w:pPr>
        <w:numPr>
          <w:ilvl w:val="0"/>
          <w:numId w:val="36"/>
        </w:numPr>
        <w:rPr>
          <w:rFonts w:ascii="宋体" w:hAnsi="宋体" w:eastAsia="宋体" w:cs="宋体"/>
        </w:rPr>
      </w:pPr>
      <w:r>
        <w:rPr>
          <w:rFonts w:hint="eastAsia" w:ascii="宋体" w:hAnsi="宋体" w:eastAsia="宋体" w:cs="宋体"/>
        </w:rPr>
        <w:t>主轴通孔直径≥Φ52 mm</w:t>
      </w:r>
    </w:p>
    <w:p w14:paraId="35F793FB">
      <w:pPr>
        <w:numPr>
          <w:ilvl w:val="0"/>
          <w:numId w:val="36"/>
        </w:numPr>
        <w:rPr>
          <w:rFonts w:ascii="宋体" w:hAnsi="宋体" w:eastAsia="宋体" w:cs="宋体"/>
        </w:rPr>
      </w:pPr>
      <w:r>
        <w:rPr>
          <w:rFonts w:hint="eastAsia" w:ascii="宋体" w:hAnsi="宋体" w:eastAsia="宋体" w:cs="宋体"/>
        </w:rPr>
        <w:t>主轴锥孔≥MT NO.6</w:t>
      </w:r>
    </w:p>
    <w:p w14:paraId="4F12E0B9">
      <w:pPr>
        <w:numPr>
          <w:ilvl w:val="0"/>
          <w:numId w:val="36"/>
        </w:numPr>
        <w:rPr>
          <w:rFonts w:ascii="宋体" w:hAnsi="宋体" w:eastAsia="宋体" w:cs="宋体"/>
          <w:lang w:eastAsia="zh-CN"/>
        </w:rPr>
      </w:pPr>
      <w:r>
        <w:rPr>
          <w:rFonts w:hint="eastAsia" w:ascii="宋体" w:hAnsi="宋体" w:eastAsia="宋体" w:cs="宋体"/>
          <w:lang w:eastAsia="zh-CN"/>
        </w:rPr>
        <w:t>主轴转速范围（无级）</w:t>
      </w:r>
      <w:r>
        <w:rPr>
          <w:rFonts w:hint="eastAsia" w:ascii="宋体" w:hAnsi="宋体" w:eastAsia="宋体" w:cs="宋体"/>
          <w:lang w:eastAsia="zh-CN"/>
        </w:rPr>
        <w:tab/>
      </w:r>
      <w:r>
        <w:rPr>
          <w:rFonts w:hint="eastAsia" w:ascii="宋体" w:hAnsi="宋体" w:eastAsia="宋体" w:cs="宋体"/>
          <w:lang w:eastAsia="zh-CN"/>
        </w:rPr>
        <w:t>200～2800rpm</w:t>
      </w:r>
    </w:p>
    <w:p w14:paraId="65955C68">
      <w:pPr>
        <w:numPr>
          <w:ilvl w:val="0"/>
          <w:numId w:val="36"/>
        </w:numPr>
        <w:rPr>
          <w:rFonts w:ascii="宋体" w:hAnsi="宋体" w:eastAsia="宋体" w:cs="宋体"/>
          <w:lang w:eastAsia="zh-CN"/>
        </w:rPr>
      </w:pPr>
      <w:r>
        <w:rPr>
          <w:rFonts w:hint="eastAsia" w:ascii="宋体" w:hAnsi="宋体" w:eastAsia="宋体" w:cs="宋体"/>
          <w:lang w:eastAsia="zh-CN"/>
        </w:rPr>
        <w:t>快速进给（X/Z轴）≥8/10 m/min</w:t>
      </w:r>
    </w:p>
    <w:p w14:paraId="5AAD8A59">
      <w:pPr>
        <w:numPr>
          <w:ilvl w:val="0"/>
          <w:numId w:val="36"/>
        </w:numPr>
        <w:rPr>
          <w:rFonts w:ascii="宋体" w:hAnsi="宋体" w:eastAsia="宋体" w:cs="宋体"/>
          <w:lang w:eastAsia="zh-CN"/>
        </w:rPr>
      </w:pPr>
      <w:r>
        <w:rPr>
          <w:rFonts w:hint="eastAsia" w:ascii="宋体" w:hAnsi="宋体" w:eastAsia="宋体" w:cs="宋体"/>
          <w:lang w:eastAsia="zh-CN"/>
        </w:rPr>
        <w:t>刀架：立式四工位电动刀架</w:t>
      </w:r>
    </w:p>
    <w:p w14:paraId="626FBFD3">
      <w:pPr>
        <w:numPr>
          <w:ilvl w:val="0"/>
          <w:numId w:val="36"/>
        </w:numPr>
        <w:rPr>
          <w:rFonts w:ascii="宋体" w:hAnsi="宋体" w:eastAsia="宋体" w:cs="宋体"/>
        </w:rPr>
      </w:pPr>
      <w:r>
        <w:rPr>
          <w:rFonts w:hint="eastAsia" w:ascii="宋体" w:hAnsi="宋体" w:eastAsia="宋体" w:cs="宋体"/>
        </w:rPr>
        <w:t>车刀刀柄尺寸20×20 mm</w:t>
      </w:r>
    </w:p>
    <w:p w14:paraId="40F7B8A2">
      <w:pPr>
        <w:numPr>
          <w:ilvl w:val="0"/>
          <w:numId w:val="36"/>
        </w:numPr>
        <w:rPr>
          <w:rFonts w:ascii="宋体" w:hAnsi="宋体" w:eastAsia="宋体" w:cs="宋体"/>
        </w:rPr>
      </w:pPr>
      <w:r>
        <w:rPr>
          <w:rFonts w:hint="eastAsia" w:ascii="宋体" w:hAnsi="宋体" w:eastAsia="宋体" w:cs="宋体"/>
        </w:rPr>
        <w:t>尾座套筒直径≥Φ60 mm</w:t>
      </w:r>
    </w:p>
    <w:p w14:paraId="6F45DB6D">
      <w:pPr>
        <w:numPr>
          <w:ilvl w:val="0"/>
          <w:numId w:val="36"/>
        </w:numPr>
        <w:rPr>
          <w:rFonts w:ascii="宋体" w:hAnsi="宋体" w:eastAsia="宋体" w:cs="宋体"/>
        </w:rPr>
      </w:pPr>
      <w:r>
        <w:rPr>
          <w:rFonts w:hint="eastAsia" w:ascii="宋体" w:hAnsi="宋体" w:eastAsia="宋体" w:cs="宋体"/>
        </w:rPr>
        <w:t>尾座套筒行程≥120 mm</w:t>
      </w:r>
    </w:p>
    <w:p w14:paraId="687B2C8E">
      <w:pPr>
        <w:numPr>
          <w:ilvl w:val="0"/>
          <w:numId w:val="36"/>
        </w:numPr>
        <w:rPr>
          <w:rFonts w:ascii="宋体" w:hAnsi="宋体" w:eastAsia="宋体" w:cs="宋体"/>
        </w:rPr>
      </w:pPr>
      <w:r>
        <w:rPr>
          <w:rFonts w:hint="eastAsia" w:ascii="宋体" w:hAnsi="宋体" w:eastAsia="宋体" w:cs="宋体"/>
        </w:rPr>
        <w:t>套筒锥孔锥度≥莫氏4号</w:t>
      </w:r>
    </w:p>
    <w:p w14:paraId="00362E09">
      <w:pPr>
        <w:numPr>
          <w:ilvl w:val="0"/>
          <w:numId w:val="36"/>
        </w:numPr>
        <w:rPr>
          <w:rFonts w:ascii="宋体" w:hAnsi="宋体" w:eastAsia="宋体" w:cs="宋体"/>
        </w:rPr>
      </w:pPr>
      <w:r>
        <w:rPr>
          <w:rFonts w:hint="eastAsia" w:ascii="宋体" w:hAnsi="宋体" w:eastAsia="宋体" w:cs="宋体"/>
        </w:rPr>
        <w:t>主电机功率≥5.5 kW</w:t>
      </w:r>
    </w:p>
    <w:p w14:paraId="30DB800E">
      <w:pPr>
        <w:numPr>
          <w:ilvl w:val="0"/>
          <w:numId w:val="36"/>
        </w:numPr>
        <w:rPr>
          <w:rFonts w:ascii="宋体" w:hAnsi="宋体" w:eastAsia="宋体" w:cs="宋体"/>
        </w:rPr>
      </w:pPr>
      <w:r>
        <w:rPr>
          <w:rFonts w:hint="eastAsia" w:ascii="宋体" w:hAnsi="宋体" w:eastAsia="宋体" w:cs="宋体"/>
        </w:rPr>
        <w:t>X/Z轴电机功率和扭矩≥1.2 kW/7NM</w:t>
      </w:r>
    </w:p>
    <w:p w14:paraId="4831989C">
      <w:pPr>
        <w:numPr>
          <w:ilvl w:val="0"/>
          <w:numId w:val="36"/>
        </w:numPr>
        <w:rPr>
          <w:rFonts w:ascii="宋体" w:hAnsi="宋体" w:eastAsia="宋体" w:cs="宋体"/>
        </w:rPr>
      </w:pPr>
      <w:r>
        <w:rPr>
          <w:rFonts w:hint="eastAsia" w:ascii="宋体" w:hAnsi="宋体" w:eastAsia="宋体" w:cs="宋体"/>
        </w:rPr>
        <w:t>X/Z轴定位精度</w:t>
      </w:r>
      <w:r>
        <w:rPr>
          <w:rFonts w:hint="eastAsia" w:ascii="宋体" w:hAnsi="宋体" w:eastAsia="宋体" w:cs="宋体"/>
        </w:rPr>
        <w:tab/>
      </w:r>
      <w:r>
        <w:rPr>
          <w:rFonts w:hint="eastAsia" w:ascii="宋体" w:hAnsi="宋体" w:eastAsia="宋体" w:cs="宋体"/>
        </w:rPr>
        <w:t>≤0.02/0.03 mm</w:t>
      </w:r>
    </w:p>
    <w:p w14:paraId="56529F1A">
      <w:pPr>
        <w:numPr>
          <w:ilvl w:val="0"/>
          <w:numId w:val="36"/>
        </w:numPr>
        <w:rPr>
          <w:rFonts w:ascii="宋体" w:hAnsi="宋体" w:eastAsia="宋体" w:cs="宋体"/>
          <w:lang w:eastAsia="zh-CN"/>
        </w:rPr>
      </w:pPr>
      <w:r>
        <w:rPr>
          <w:rFonts w:hint="eastAsia" w:ascii="宋体" w:hAnsi="宋体" w:eastAsia="宋体" w:cs="宋体"/>
          <w:lang w:eastAsia="zh-CN"/>
        </w:rPr>
        <w:t>X/Z轴重复定位精度≤0.009/0.011 mm</w:t>
      </w:r>
    </w:p>
    <w:p w14:paraId="2B001F8F">
      <w:pPr>
        <w:numPr>
          <w:ilvl w:val="0"/>
          <w:numId w:val="36"/>
        </w:numPr>
        <w:rPr>
          <w:rFonts w:ascii="宋体" w:hAnsi="宋体" w:eastAsia="宋体" w:cs="宋体"/>
          <w:lang w:eastAsia="zh-CN"/>
        </w:rPr>
      </w:pPr>
      <w:r>
        <w:rPr>
          <w:rFonts w:hint="eastAsia" w:ascii="宋体" w:hAnsi="宋体" w:eastAsia="宋体" w:cs="宋体"/>
          <w:lang w:eastAsia="zh-CN"/>
        </w:rPr>
        <w:t>机床外形尺寸（长×宽×高）：2120×1200×1415 mm</w:t>
      </w:r>
    </w:p>
    <w:p w14:paraId="51587F48">
      <w:pPr>
        <w:numPr>
          <w:ilvl w:val="0"/>
          <w:numId w:val="36"/>
        </w:numPr>
        <w:rPr>
          <w:rFonts w:ascii="宋体" w:hAnsi="宋体" w:eastAsia="宋体" w:cs="宋体"/>
        </w:rPr>
      </w:pPr>
      <w:r>
        <w:rPr>
          <w:rFonts w:hint="eastAsia" w:ascii="宋体" w:hAnsi="宋体" w:eastAsia="宋体" w:cs="宋体"/>
        </w:rPr>
        <w:t>机床净重：1850 kg</w:t>
      </w:r>
    </w:p>
    <w:p w14:paraId="00F320B0">
      <w:pPr>
        <w:pStyle w:val="9"/>
        <w:numPr>
          <w:ilvl w:val="0"/>
          <w:numId w:val="36"/>
        </w:numPr>
        <w:rPr>
          <w:sz w:val="21"/>
          <w:szCs w:val="21"/>
          <w:lang w:val="zh-CN"/>
        </w:rPr>
      </w:pPr>
      <w:r>
        <w:rPr>
          <w:rFonts w:hint="eastAsia"/>
          <w:sz w:val="21"/>
          <w:szCs w:val="21"/>
          <w:lang w:val="zh-CN"/>
        </w:rPr>
        <w:t>数控控制及培训系统：</w:t>
      </w:r>
    </w:p>
    <w:p w14:paraId="764A3128">
      <w:pPr>
        <w:pStyle w:val="9"/>
        <w:numPr>
          <w:ilvl w:val="0"/>
          <w:numId w:val="37"/>
        </w:numPr>
        <w:rPr>
          <w:sz w:val="21"/>
          <w:szCs w:val="21"/>
          <w:lang w:val="zh-CN" w:eastAsia="zh-CN"/>
        </w:rPr>
      </w:pPr>
      <w:r>
        <w:rPr>
          <w:rFonts w:hint="eastAsia"/>
          <w:sz w:val="21"/>
          <w:szCs w:val="21"/>
          <w:lang w:eastAsia="zh-CN"/>
        </w:rPr>
        <w:t>总控制轴数4轴；最多进给轴数3轴； 显示器10.4寸，FROM/SRAM 存储器  (256M/2M)</w:t>
      </w:r>
    </w:p>
    <w:p w14:paraId="45CB1EF5">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能助存储卡的DNC运行:需要有CF卡和CF卡适配器；</w:t>
      </w:r>
    </w:p>
    <w:p w14:paraId="27FA150F">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无位置编码器下的每转进给:包含于周速恒定控制；</w:t>
      </w:r>
    </w:p>
    <w:p w14:paraId="7ACF237E">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FSSB总线控制：系统与伺服驱动之间采用FSSB总线进行通讯。</w:t>
      </w:r>
    </w:p>
    <w:p w14:paraId="4A052EB0">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自动加/减速：快速进给:直线型；切削进给：指数型、直线型；</w:t>
      </w:r>
    </w:p>
    <w:p w14:paraId="2B5D8E48">
      <w:pPr>
        <w:numPr>
          <w:ilvl w:val="0"/>
          <w:numId w:val="37"/>
        </w:numPr>
        <w:spacing w:line="460" w:lineRule="exact"/>
        <w:rPr>
          <w:rFonts w:ascii="宋体" w:hAnsi="宋体" w:eastAsia="宋体" w:cs="宋体"/>
        </w:rPr>
      </w:pPr>
      <w:r>
        <w:rPr>
          <w:rFonts w:hint="eastAsia" w:ascii="宋体" w:hAnsi="宋体" w:eastAsia="宋体" w:cs="宋体"/>
        </w:rPr>
        <w:t>智能重叠；</w:t>
      </w:r>
    </w:p>
    <w:p w14:paraId="5F7E2054">
      <w:pPr>
        <w:numPr>
          <w:ilvl w:val="0"/>
          <w:numId w:val="37"/>
        </w:numPr>
        <w:spacing w:line="460" w:lineRule="exact"/>
        <w:rPr>
          <w:rFonts w:ascii="宋体" w:hAnsi="宋体" w:eastAsia="宋体" w:cs="宋体"/>
        </w:rPr>
      </w:pPr>
      <w:r>
        <w:rPr>
          <w:rFonts w:hint="eastAsia" w:ascii="宋体" w:hAnsi="宋体" w:eastAsia="宋体" w:cs="宋体"/>
        </w:rPr>
        <w:t>预防错误操作；</w:t>
      </w:r>
    </w:p>
    <w:p w14:paraId="14C4C870">
      <w:pPr>
        <w:numPr>
          <w:ilvl w:val="0"/>
          <w:numId w:val="37"/>
        </w:numPr>
        <w:spacing w:line="460" w:lineRule="exact"/>
        <w:rPr>
          <w:rFonts w:ascii="宋体" w:hAnsi="宋体" w:eastAsia="宋体" w:cs="宋体"/>
        </w:rPr>
      </w:pPr>
      <w:r>
        <w:rPr>
          <w:rFonts w:hint="eastAsia" w:ascii="宋体" w:hAnsi="宋体" w:eastAsia="宋体" w:cs="宋体"/>
        </w:rPr>
        <w:t>程序再启动；</w:t>
      </w:r>
    </w:p>
    <w:p w14:paraId="559FFDF5">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纳米插补、切削进给插补前直线加／减速；</w:t>
      </w:r>
    </w:p>
    <w:p w14:paraId="5A617994">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高精度程序指令，最小设定单位0.1</w:t>
      </w:r>
      <w:r>
        <w:rPr>
          <w:rFonts w:hint="eastAsia" w:ascii="宋体" w:hAnsi="宋体" w:eastAsia="宋体" w:cs="宋体"/>
        </w:rPr>
        <w:t>μ</w:t>
      </w:r>
      <w:r>
        <w:rPr>
          <w:rFonts w:hint="eastAsia" w:ascii="宋体" w:hAnsi="宋体" w:eastAsia="宋体" w:cs="宋体"/>
          <w:lang w:eastAsia="zh-CN"/>
        </w:rPr>
        <w:t>m</w:t>
      </w:r>
    </w:p>
    <w:p w14:paraId="7DAE5AB4">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扩展的刀具寿命管理:包含于刀具寿命管理；</w:t>
      </w:r>
    </w:p>
    <w:p w14:paraId="53CF3606">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外部数据输入：包含外部信息、外部刀具补偿、外部设备原点偏移；</w:t>
      </w:r>
    </w:p>
    <w:p w14:paraId="3537CA86">
      <w:pPr>
        <w:numPr>
          <w:ilvl w:val="0"/>
          <w:numId w:val="37"/>
        </w:numPr>
        <w:spacing w:line="460" w:lineRule="exact"/>
        <w:rPr>
          <w:rFonts w:ascii="宋体" w:hAnsi="宋体" w:eastAsia="宋体" w:cs="宋体"/>
          <w:lang w:eastAsia="zh-CN"/>
        </w:rPr>
      </w:pPr>
      <w:r>
        <w:rPr>
          <w:rFonts w:hint="eastAsia" w:ascii="宋体" w:hAnsi="宋体" w:eastAsia="宋体" w:cs="宋体"/>
          <w:lang w:eastAsia="zh-CN"/>
        </w:rPr>
        <w:t>动态切换语言显示:包含于各国语言显示；</w:t>
      </w:r>
    </w:p>
    <w:p w14:paraId="5FB05CB3">
      <w:pPr>
        <w:numPr>
          <w:ilvl w:val="0"/>
          <w:numId w:val="37"/>
        </w:numPr>
        <w:rPr>
          <w:rFonts w:ascii="宋体" w:hAnsi="宋体" w:eastAsia="宋体" w:cs="宋体"/>
          <w:lang w:eastAsia="zh-CN"/>
        </w:rPr>
      </w:pPr>
      <w:r>
        <w:rPr>
          <w:rFonts w:hint="eastAsia" w:ascii="宋体" w:hAnsi="宋体" w:eastAsia="宋体" w:cs="宋体"/>
          <w:lang w:eastAsia="zh-CN"/>
        </w:rPr>
        <w:t>实际主轴旋转数/T代码显示；</w:t>
      </w:r>
    </w:p>
    <w:p w14:paraId="7AA014BE">
      <w:pPr>
        <w:numPr>
          <w:ilvl w:val="0"/>
          <w:numId w:val="37"/>
        </w:numPr>
        <w:rPr>
          <w:rFonts w:ascii="宋体" w:hAnsi="宋体" w:eastAsia="宋体" w:cs="宋体"/>
          <w:lang w:eastAsia="zh-CN"/>
        </w:rPr>
      </w:pPr>
      <w:r>
        <w:rPr>
          <w:rFonts w:hint="eastAsia" w:ascii="宋体" w:hAnsi="宋体" w:eastAsia="宋体" w:cs="宋体"/>
          <w:lang w:eastAsia="zh-CN"/>
        </w:rPr>
        <w:t>用户自定义主菜单画面:需要包含于CNC应用程序开发套件(A08B-9010- J555#ZZ12) 中的用户自定义主菜单画面工具程序；</w:t>
      </w:r>
    </w:p>
    <w:p w14:paraId="6F4CADA4">
      <w:pPr>
        <w:numPr>
          <w:ilvl w:val="0"/>
          <w:numId w:val="37"/>
        </w:numPr>
        <w:rPr>
          <w:rFonts w:ascii="宋体" w:hAnsi="宋体" w:eastAsia="宋体" w:cs="宋体"/>
        </w:rPr>
      </w:pPr>
      <w:r>
        <w:rPr>
          <w:rFonts w:hint="eastAsia" w:ascii="宋体" w:hAnsi="宋体" w:eastAsia="宋体" w:cs="宋体"/>
        </w:rPr>
        <w:t>文件名：32个字符；</w:t>
      </w:r>
    </w:p>
    <w:p w14:paraId="61AFC619">
      <w:pPr>
        <w:numPr>
          <w:ilvl w:val="0"/>
          <w:numId w:val="37"/>
        </w:numPr>
        <w:rPr>
          <w:rFonts w:ascii="宋体" w:hAnsi="宋体" w:eastAsia="宋体" w:cs="宋体"/>
          <w:lang w:eastAsia="zh-CN"/>
        </w:rPr>
      </w:pPr>
      <w:r>
        <w:rPr>
          <w:rFonts w:hint="eastAsia" w:ascii="宋体" w:hAnsi="宋体" w:eastAsia="宋体" w:cs="宋体"/>
          <w:lang w:eastAsia="zh-CN"/>
        </w:rPr>
        <w:t>最大指令值: 9位数(R、I、J、K为12位数)；</w:t>
      </w:r>
    </w:p>
    <w:p w14:paraId="08D4E291">
      <w:pPr>
        <w:numPr>
          <w:ilvl w:val="0"/>
          <w:numId w:val="37"/>
        </w:numPr>
        <w:rPr>
          <w:rFonts w:ascii="宋体" w:hAnsi="宋体" w:eastAsia="宋体" w:cs="宋体"/>
          <w:lang w:eastAsia="zh-CN"/>
        </w:rPr>
      </w:pPr>
      <w:r>
        <w:rPr>
          <w:rFonts w:hint="eastAsia" w:ascii="宋体" w:hAnsi="宋体" w:eastAsia="宋体" w:cs="宋体"/>
          <w:lang w:eastAsia="zh-CN"/>
        </w:rPr>
        <w:t>纸带代码:自动识别EIA /ISO；</w:t>
      </w:r>
    </w:p>
    <w:p w14:paraId="2202B25E">
      <w:pPr>
        <w:numPr>
          <w:ilvl w:val="0"/>
          <w:numId w:val="37"/>
        </w:numPr>
        <w:rPr>
          <w:rFonts w:ascii="宋体" w:hAnsi="宋体" w:eastAsia="宋体" w:cs="宋体"/>
        </w:rPr>
      </w:pPr>
      <w:r>
        <w:rPr>
          <w:rFonts w:hint="eastAsia" w:ascii="宋体" w:hAnsi="宋体" w:eastAsia="宋体" w:cs="宋体"/>
        </w:rPr>
        <w:t>AI轮廓控制（AICC I）；</w:t>
      </w:r>
    </w:p>
    <w:p w14:paraId="6EEE0607">
      <w:pPr>
        <w:numPr>
          <w:ilvl w:val="0"/>
          <w:numId w:val="37"/>
        </w:numPr>
        <w:rPr>
          <w:rFonts w:ascii="宋体" w:hAnsi="宋体" w:eastAsia="宋体" w:cs="宋体"/>
        </w:rPr>
      </w:pPr>
      <w:r>
        <w:rPr>
          <w:rFonts w:hint="eastAsia" w:ascii="宋体" w:hAnsi="宋体" w:eastAsia="宋体" w:cs="宋体"/>
        </w:rPr>
        <w:t>伺服HRV3+控制技术</w:t>
      </w:r>
    </w:p>
    <w:p w14:paraId="6EFE9626">
      <w:pPr>
        <w:numPr>
          <w:ilvl w:val="0"/>
          <w:numId w:val="37"/>
        </w:numPr>
        <w:rPr>
          <w:rFonts w:ascii="宋体" w:hAnsi="宋体" w:eastAsia="宋体" w:cs="宋体"/>
        </w:rPr>
      </w:pPr>
      <w:r>
        <w:rPr>
          <w:rFonts w:hint="eastAsia" w:ascii="宋体" w:hAnsi="宋体" w:eastAsia="宋体" w:cs="宋体"/>
        </w:rPr>
        <w:t>故障诊断；</w:t>
      </w:r>
    </w:p>
    <w:p w14:paraId="5E9B3CED">
      <w:pPr>
        <w:numPr>
          <w:ilvl w:val="0"/>
          <w:numId w:val="37"/>
        </w:numPr>
        <w:rPr>
          <w:rFonts w:ascii="宋体" w:hAnsi="宋体" w:eastAsia="宋体" w:cs="宋体"/>
          <w:lang w:eastAsia="zh-CN"/>
        </w:rPr>
      </w:pPr>
      <w:r>
        <w:rPr>
          <w:rFonts w:hint="eastAsia" w:ascii="宋体" w:hAnsi="宋体" w:eastAsia="宋体" w:cs="宋体"/>
          <w:lang w:eastAsia="zh-CN"/>
        </w:rPr>
        <w:t>极坐标指令、可编程镜像、坐标系旋转；</w:t>
      </w:r>
    </w:p>
    <w:p w14:paraId="3BCDF469">
      <w:pPr>
        <w:numPr>
          <w:ilvl w:val="0"/>
          <w:numId w:val="37"/>
        </w:numPr>
        <w:rPr>
          <w:rFonts w:ascii="宋体" w:hAnsi="宋体" w:eastAsia="宋体" w:cs="宋体"/>
        </w:rPr>
      </w:pPr>
      <w:r>
        <w:rPr>
          <w:rFonts w:hint="eastAsia" w:ascii="宋体" w:hAnsi="宋体" w:eastAsia="宋体" w:cs="宋体"/>
        </w:rPr>
        <w:t>智能反向间隙补偿；</w:t>
      </w:r>
    </w:p>
    <w:p w14:paraId="6493318C">
      <w:pPr>
        <w:numPr>
          <w:ilvl w:val="0"/>
          <w:numId w:val="37"/>
        </w:numPr>
        <w:rPr>
          <w:rFonts w:ascii="宋体" w:hAnsi="宋体" w:eastAsia="宋体" w:cs="宋体"/>
        </w:rPr>
      </w:pPr>
      <w:r>
        <w:rPr>
          <w:rFonts w:hint="eastAsia" w:ascii="宋体" w:hAnsi="宋体" w:eastAsia="宋体" w:cs="宋体"/>
        </w:rPr>
        <w:t>存储型螺距误差补偿；</w:t>
      </w:r>
    </w:p>
    <w:p w14:paraId="0E082A7F">
      <w:pPr>
        <w:numPr>
          <w:ilvl w:val="0"/>
          <w:numId w:val="37"/>
        </w:numPr>
        <w:rPr>
          <w:rFonts w:ascii="宋体" w:hAnsi="宋体" w:eastAsia="宋体" w:cs="宋体"/>
        </w:rPr>
      </w:pPr>
      <w:r>
        <w:rPr>
          <w:rFonts w:hint="eastAsia" w:ascii="宋体" w:hAnsi="宋体" w:eastAsia="宋体" w:cs="宋体"/>
        </w:rPr>
        <w:t>程序存储容量≥2M；</w:t>
      </w:r>
    </w:p>
    <w:p w14:paraId="2EC232E5">
      <w:pPr>
        <w:pStyle w:val="52"/>
        <w:numPr>
          <w:ilvl w:val="0"/>
          <w:numId w:val="37"/>
        </w:numPr>
        <w:spacing w:line="240" w:lineRule="auto"/>
        <w:ind w:firstLineChars="0"/>
        <w:rPr>
          <w:rFonts w:ascii="宋体" w:hAnsi="宋体" w:cs="宋体"/>
          <w:sz w:val="21"/>
          <w:szCs w:val="21"/>
        </w:rPr>
      </w:pPr>
      <w:r>
        <w:rPr>
          <w:rFonts w:hint="eastAsia" w:ascii="宋体" w:hAnsi="宋体" w:cs="宋体"/>
          <w:sz w:val="21"/>
          <w:szCs w:val="21"/>
        </w:rPr>
        <w:t>刀具寿命管理；</w:t>
      </w:r>
    </w:p>
    <w:p w14:paraId="476B9EEF">
      <w:pPr>
        <w:numPr>
          <w:ilvl w:val="0"/>
          <w:numId w:val="37"/>
        </w:numPr>
        <w:rPr>
          <w:rFonts w:ascii="宋体" w:hAnsi="宋体" w:eastAsia="宋体" w:cs="宋体"/>
        </w:rPr>
      </w:pPr>
      <w:r>
        <w:rPr>
          <w:rFonts w:hint="eastAsia" w:ascii="宋体" w:hAnsi="宋体" w:eastAsia="宋体" w:cs="宋体"/>
          <w:lang w:eastAsia="zh-CN"/>
        </w:rPr>
        <w:t>预防性维护（绝缘裂化检测、风扇转速监控。</w:t>
      </w:r>
      <w:r>
        <w:rPr>
          <w:rFonts w:hint="eastAsia" w:ascii="宋体" w:hAnsi="宋体" w:eastAsia="宋体" w:cs="宋体"/>
        </w:rPr>
        <w:t>）</w:t>
      </w:r>
    </w:p>
    <w:p w14:paraId="43CF31E0">
      <w:pPr>
        <w:numPr>
          <w:ilvl w:val="0"/>
          <w:numId w:val="37"/>
        </w:numPr>
        <w:rPr>
          <w:rFonts w:ascii="宋体" w:hAnsi="宋体" w:eastAsia="宋体" w:cs="宋体"/>
          <w:lang w:eastAsia="zh-CN"/>
        </w:rPr>
      </w:pPr>
      <w:r>
        <w:rPr>
          <w:rFonts w:hint="eastAsia" w:ascii="宋体" w:hAnsi="宋体" w:eastAsia="宋体" w:cs="宋体"/>
          <w:lang w:eastAsia="zh-CN"/>
        </w:rPr>
        <w:t>FANOVI人机交互界面，帮助用户进行定制化功能开发。</w:t>
      </w:r>
    </w:p>
    <w:p w14:paraId="0FC6ADA7">
      <w:pPr>
        <w:pStyle w:val="24"/>
        <w:numPr>
          <w:ilvl w:val="0"/>
          <w:numId w:val="37"/>
        </w:numPr>
        <w:spacing w:line="240" w:lineRule="auto"/>
        <w:ind w:firstLineChars="0"/>
        <w:rPr>
          <w:rFonts w:hint="eastAsia" w:cs="宋体"/>
          <w:color w:val="FF0000"/>
          <w:sz w:val="21"/>
          <w:szCs w:val="21"/>
          <w:lang w:eastAsia="zh-CN"/>
        </w:rPr>
      </w:pPr>
      <w:r>
        <w:rPr>
          <w:rFonts w:hint="eastAsia" w:cs="宋体"/>
          <w:color w:val="FF0000"/>
          <w:sz w:val="21"/>
          <w:szCs w:val="21"/>
          <w:lang w:eastAsia="zh-CN"/>
        </w:rPr>
        <w:t>培训系统：</w:t>
      </w:r>
    </w:p>
    <w:p w14:paraId="77256953">
      <w:pPr>
        <w:pStyle w:val="24"/>
        <w:spacing w:line="240" w:lineRule="auto"/>
        <w:ind w:left="400" w:firstLine="0" w:firstLineChars="0"/>
        <w:rPr>
          <w:rFonts w:cs="宋体"/>
          <w:color w:val="FF0000"/>
          <w:sz w:val="21"/>
          <w:szCs w:val="21"/>
          <w:lang w:eastAsia="zh-CN"/>
        </w:rPr>
      </w:pPr>
      <w:r>
        <w:rPr>
          <w:rFonts w:hint="eastAsia" w:cs="宋体"/>
          <w:color w:val="FF0000"/>
          <w:sz w:val="21"/>
          <w:szCs w:val="21"/>
          <w:lang w:eastAsia="zh-CN"/>
        </w:rPr>
        <w:t>29.1在WINDOWS环境下运行， 具备基本操作功能：程序编辑与管理、切削、进给与补偿、程序自动运行、程序手动运行等基本操作功能。</w:t>
      </w:r>
    </w:p>
    <w:p w14:paraId="31D546FC">
      <w:pPr>
        <w:ind w:left="400"/>
        <w:rPr>
          <w:rFonts w:ascii="宋体" w:hAnsi="宋体" w:eastAsia="宋体" w:cs="宋体"/>
          <w:color w:val="FF0000"/>
          <w:lang w:eastAsia="zh-CN"/>
        </w:rPr>
      </w:pPr>
      <w:r>
        <w:rPr>
          <w:rFonts w:hint="eastAsia" w:ascii="宋体" w:hAnsi="宋体" w:eastAsia="宋体" w:cs="宋体"/>
          <w:color w:val="FF0000"/>
          <w:lang w:eastAsia="zh-CN"/>
        </w:rPr>
        <w:t>29.2★有典型的数控加工项目化教学案例，可以即学即练，项目包括：台阶轴加工、轴类零件加工、轴套加工、螺纹和槽加工、综合零件加工。</w:t>
      </w:r>
    </w:p>
    <w:p w14:paraId="1D93C0D0">
      <w:pPr>
        <w:pStyle w:val="24"/>
        <w:spacing w:line="240" w:lineRule="auto"/>
        <w:ind w:left="400" w:firstLine="0" w:firstLineChars="0"/>
        <w:rPr>
          <w:rFonts w:cs="宋体"/>
          <w:color w:val="FF0000"/>
          <w:sz w:val="21"/>
          <w:szCs w:val="21"/>
          <w:lang w:eastAsia="zh-CN"/>
        </w:rPr>
      </w:pPr>
      <w:r>
        <w:rPr>
          <w:rFonts w:hint="eastAsia" w:cs="宋体"/>
          <w:color w:val="FF0000"/>
          <w:sz w:val="21"/>
          <w:szCs w:val="21"/>
          <w:lang w:eastAsia="zh-CN"/>
        </w:rPr>
        <w:t>29.3演练和操作可以随时转换。用户可使用进度控制面板，调节演练速度、快速选择不同的操作阶段。</w:t>
      </w:r>
    </w:p>
    <w:p w14:paraId="5365B391">
      <w:pPr>
        <w:pStyle w:val="24"/>
        <w:spacing w:line="240" w:lineRule="auto"/>
        <w:ind w:left="400" w:firstLine="0" w:firstLineChars="0"/>
        <w:rPr>
          <w:rFonts w:cs="宋体"/>
          <w:color w:val="FF0000"/>
          <w:sz w:val="21"/>
          <w:szCs w:val="21"/>
          <w:lang w:eastAsia="zh-CN"/>
        </w:rPr>
      </w:pPr>
      <w:r>
        <w:rPr>
          <w:rFonts w:hint="eastAsia" w:cs="宋体"/>
          <w:color w:val="FF0000"/>
          <w:sz w:val="21"/>
          <w:szCs w:val="21"/>
          <w:lang w:eastAsia="zh-CN"/>
        </w:rPr>
        <w:t>29.4对学生的每一步操作的正确性、规范性、安全性进行自动记录、评估、计分，并输出和提交详细的考核记录单，记录单自动加密。</w:t>
      </w:r>
    </w:p>
    <w:p w14:paraId="23E50E09">
      <w:pPr>
        <w:ind w:left="400"/>
        <w:rPr>
          <w:rFonts w:ascii="宋体" w:hAnsi="宋体" w:eastAsia="宋体" w:cs="宋体"/>
          <w:color w:val="FF0000"/>
          <w:lang w:eastAsia="zh-CN"/>
        </w:rPr>
      </w:pPr>
      <w:r>
        <w:rPr>
          <w:rFonts w:hint="eastAsia" w:ascii="宋体" w:hAnsi="宋体" w:eastAsia="宋体" w:cs="宋体"/>
          <w:color w:val="FF0000"/>
          <w:lang w:eastAsia="zh-CN"/>
        </w:rPr>
        <w:t xml:space="preserve">29.5★所有能够由用户自定义的参数均向用户开放，如所有的说明文字、配置参数均采用EXCEL表驱动，甚至一些软件功能参数也可用EXCEL表驱动。 </w:t>
      </w:r>
    </w:p>
    <w:p w14:paraId="2BE67C3A">
      <w:pPr>
        <w:tabs>
          <w:tab w:val="left" w:pos="898"/>
        </w:tabs>
        <w:ind w:left="400"/>
        <w:rPr>
          <w:rFonts w:hint="eastAsia" w:ascii="宋体" w:hAnsi="宋体" w:eastAsia="宋体" w:cs="宋体"/>
          <w:color w:val="FF0000"/>
          <w:lang w:eastAsia="zh-CN"/>
        </w:rPr>
      </w:pPr>
      <w:r>
        <w:rPr>
          <w:rFonts w:hint="eastAsia" w:ascii="宋体" w:hAnsi="宋体" w:eastAsia="宋体" w:cs="宋体"/>
          <w:color w:val="FF0000"/>
          <w:lang w:eastAsia="zh-CN"/>
        </w:rPr>
        <w:t>29.6★可以通过无线通讯技术连接，实现平板电脑或手机（ANDROID系统）对虚拟机床本体进行操作和控制，方便学生训练。</w:t>
      </w:r>
    </w:p>
    <w:p w14:paraId="37CEFEB2">
      <w:pPr>
        <w:tabs>
          <w:tab w:val="left" w:pos="898"/>
        </w:tabs>
        <w:ind w:left="400"/>
        <w:rPr>
          <w:rFonts w:ascii="宋体" w:hAnsi="宋体" w:eastAsia="宋体" w:cs="宋体"/>
          <w:color w:val="FF0000"/>
          <w:lang w:eastAsia="zh-CN"/>
        </w:rPr>
      </w:pPr>
      <w:bookmarkStart w:id="250" w:name="OLE_LINK13"/>
      <w:bookmarkStart w:id="251" w:name="OLE_LINK12"/>
      <w:r>
        <w:rPr>
          <w:rFonts w:hint="eastAsia" w:ascii="宋体" w:hAnsi="宋体" w:eastAsia="宋体" w:cs="宋体"/>
          <w:color w:val="FF0000"/>
          <w:lang w:eastAsia="zh-CN"/>
        </w:rPr>
        <w:t>注：培训系统应有实质性的功能介绍，禁止简单复制招标文件中的内容作为响应，否则按负偏离处理。</w:t>
      </w:r>
    </w:p>
    <w:bookmarkEnd w:id="250"/>
    <w:bookmarkEnd w:id="251"/>
    <w:p w14:paraId="65F36A3D">
      <w:pPr>
        <w:rPr>
          <w:rFonts w:ascii="宋体" w:hAnsi="宋体" w:eastAsia="宋体" w:cs="宋体"/>
          <w:b/>
          <w:bCs/>
          <w:lang w:eastAsia="zh-CN"/>
        </w:rPr>
      </w:pPr>
      <w:r>
        <w:rPr>
          <w:rFonts w:hint="eastAsia" w:ascii="宋体" w:hAnsi="宋体" w:eastAsia="宋体" w:cs="宋体"/>
          <w:b/>
          <w:bCs/>
          <w:lang w:eastAsia="zh-CN"/>
        </w:rPr>
        <w:t>3、数控车床附件配置要求</w:t>
      </w:r>
    </w:p>
    <w:p w14:paraId="75357E76">
      <w:pPr>
        <w:numPr>
          <w:ilvl w:val="0"/>
          <w:numId w:val="38"/>
        </w:numPr>
        <w:rPr>
          <w:rFonts w:ascii="宋体" w:hAnsi="宋体" w:eastAsia="宋体" w:cs="宋体"/>
          <w:lang w:eastAsia="zh-CN"/>
        </w:rPr>
      </w:pPr>
      <w:r>
        <w:rPr>
          <w:rFonts w:hint="eastAsia" w:ascii="宋体" w:hAnsi="宋体" w:eastAsia="宋体" w:cs="宋体"/>
          <w:lang w:eastAsia="zh-CN"/>
        </w:rPr>
        <w:t>机床配套工具箱</w:t>
      </w:r>
      <w:r>
        <w:rPr>
          <w:rFonts w:hint="eastAsia" w:ascii="宋体" w:hAnsi="宋体" w:eastAsia="宋体" w:cs="宋体"/>
          <w:lang w:eastAsia="zh-CN"/>
        </w:rPr>
        <w:tab/>
      </w:r>
      <w:r>
        <w:rPr>
          <w:rFonts w:hint="eastAsia" w:ascii="宋体" w:hAnsi="宋体" w:eastAsia="宋体" w:cs="宋体"/>
          <w:lang w:eastAsia="zh-CN"/>
        </w:rPr>
        <w:t>一字螺丝起子、十字螺丝起子、内六角扳手、双头扳手、刀架扳手、卡盘扳手、垫片等。</w:t>
      </w:r>
      <w:r>
        <w:rPr>
          <w:rFonts w:hint="eastAsia" w:ascii="宋体" w:hAnsi="宋体" w:eastAsia="宋体" w:cs="宋体"/>
          <w:lang w:eastAsia="zh-CN"/>
        </w:rPr>
        <w:tab/>
      </w:r>
    </w:p>
    <w:p w14:paraId="5B26C27B">
      <w:pPr>
        <w:numPr>
          <w:ilvl w:val="0"/>
          <w:numId w:val="38"/>
        </w:numPr>
        <w:rPr>
          <w:rFonts w:ascii="宋体" w:hAnsi="宋体" w:eastAsia="宋体" w:cs="宋体"/>
          <w:lang w:eastAsia="zh-CN"/>
        </w:rPr>
      </w:pPr>
      <w:r>
        <w:rPr>
          <w:rFonts w:hint="eastAsia" w:ascii="宋体" w:hAnsi="宋体" w:eastAsia="宋体" w:cs="宋体"/>
          <w:lang w:eastAsia="zh-CN"/>
        </w:rPr>
        <w:t>机床配套同中心高手动尾座</w:t>
      </w:r>
      <w:r>
        <w:rPr>
          <w:rFonts w:hint="eastAsia" w:ascii="宋体" w:hAnsi="宋体" w:eastAsia="宋体" w:cs="宋体"/>
          <w:lang w:eastAsia="zh-CN"/>
        </w:rPr>
        <w:tab/>
      </w:r>
      <w:r>
        <w:rPr>
          <w:rFonts w:hint="eastAsia" w:ascii="宋体" w:hAnsi="宋体" w:eastAsia="宋体" w:cs="宋体"/>
          <w:lang w:eastAsia="zh-CN"/>
        </w:rPr>
        <w:tab/>
      </w:r>
    </w:p>
    <w:p w14:paraId="58F6B46E">
      <w:pPr>
        <w:numPr>
          <w:ilvl w:val="0"/>
          <w:numId w:val="38"/>
        </w:numPr>
        <w:rPr>
          <w:rFonts w:ascii="宋体" w:hAnsi="宋体" w:eastAsia="宋体" w:cs="宋体"/>
          <w:lang w:eastAsia="zh-CN"/>
        </w:rPr>
      </w:pPr>
      <w:r>
        <w:rPr>
          <w:rFonts w:hint="eastAsia" w:ascii="宋体" w:hAnsi="宋体" w:eastAsia="宋体" w:cs="宋体"/>
          <w:lang w:eastAsia="zh-CN"/>
        </w:rPr>
        <w:t>机床配套三爪自定心卡盘</w:t>
      </w:r>
      <w:r>
        <w:rPr>
          <w:rFonts w:hint="eastAsia" w:ascii="宋体" w:hAnsi="宋体" w:eastAsia="宋体" w:cs="宋体"/>
          <w:lang w:eastAsia="zh-CN"/>
        </w:rPr>
        <w:tab/>
      </w:r>
      <w:r>
        <w:rPr>
          <w:rFonts w:hint="eastAsia" w:ascii="宋体" w:hAnsi="宋体" w:eastAsia="宋体" w:cs="宋体"/>
          <w:lang w:eastAsia="zh-CN"/>
        </w:rPr>
        <w:t>含卡爪、卡盘扳手</w:t>
      </w:r>
      <w:r>
        <w:rPr>
          <w:rFonts w:hint="eastAsia" w:ascii="宋体" w:hAnsi="宋体" w:eastAsia="宋体" w:cs="宋体"/>
          <w:lang w:eastAsia="zh-CN"/>
        </w:rPr>
        <w:tab/>
      </w:r>
    </w:p>
    <w:p w14:paraId="04F00705">
      <w:pPr>
        <w:numPr>
          <w:ilvl w:val="0"/>
          <w:numId w:val="38"/>
        </w:numPr>
        <w:rPr>
          <w:rFonts w:ascii="宋体" w:hAnsi="宋体" w:eastAsia="宋体" w:cs="宋体"/>
        </w:rPr>
      </w:pPr>
      <w:r>
        <w:rPr>
          <w:rFonts w:hint="eastAsia" w:ascii="宋体" w:hAnsi="宋体" w:eastAsia="宋体" w:cs="宋体"/>
        </w:rPr>
        <w:t>CF存储卡</w:t>
      </w:r>
      <w:r>
        <w:rPr>
          <w:rFonts w:hint="eastAsia" w:ascii="宋体" w:hAnsi="宋体" w:eastAsia="宋体" w:cs="宋体"/>
        </w:rPr>
        <w:tab/>
      </w:r>
      <w:r>
        <w:rPr>
          <w:rFonts w:hint="eastAsia" w:ascii="宋体" w:hAnsi="宋体" w:eastAsia="宋体" w:cs="宋体"/>
        </w:rPr>
        <w:tab/>
      </w:r>
    </w:p>
    <w:p w14:paraId="2728CC23">
      <w:pPr>
        <w:numPr>
          <w:ilvl w:val="0"/>
          <w:numId w:val="38"/>
        </w:numPr>
        <w:rPr>
          <w:rFonts w:ascii="宋体" w:hAnsi="宋体" w:eastAsia="宋体" w:cs="宋体"/>
        </w:rPr>
      </w:pPr>
      <w:r>
        <w:rPr>
          <w:rFonts w:hint="eastAsia" w:ascii="宋体" w:hAnsi="宋体" w:eastAsia="宋体" w:cs="宋体"/>
        </w:rPr>
        <w:t>网线</w:t>
      </w:r>
      <w:r>
        <w:rPr>
          <w:rFonts w:hint="eastAsia" w:ascii="宋体" w:hAnsi="宋体" w:eastAsia="宋体" w:cs="宋体"/>
        </w:rPr>
        <w:tab/>
      </w:r>
      <w:r>
        <w:rPr>
          <w:rFonts w:hint="eastAsia" w:ascii="宋体" w:hAnsi="宋体" w:eastAsia="宋体" w:cs="宋体"/>
        </w:rPr>
        <w:t>5米</w:t>
      </w:r>
      <w:r>
        <w:rPr>
          <w:rFonts w:hint="eastAsia" w:ascii="宋体" w:hAnsi="宋体" w:eastAsia="宋体" w:cs="宋体"/>
        </w:rPr>
        <w:tab/>
      </w:r>
    </w:p>
    <w:p w14:paraId="75F76463">
      <w:pPr>
        <w:pStyle w:val="9"/>
        <w:rPr>
          <w:b/>
          <w:bCs/>
          <w:kern w:val="2"/>
          <w:sz w:val="21"/>
          <w:szCs w:val="21"/>
          <w:lang w:eastAsia="zh-CN"/>
        </w:rPr>
      </w:pPr>
      <w:r>
        <w:rPr>
          <w:rFonts w:hint="eastAsia"/>
          <w:b/>
          <w:bCs/>
          <w:kern w:val="2"/>
          <w:sz w:val="21"/>
          <w:szCs w:val="21"/>
          <w:lang w:eastAsia="zh-CN"/>
        </w:rPr>
        <w:t>4、工量具、刀具清单</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612"/>
        <w:gridCol w:w="1062"/>
        <w:gridCol w:w="5423"/>
      </w:tblGrid>
      <w:tr w14:paraId="1EA7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1DCC5AC3">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序号</w:t>
            </w:r>
          </w:p>
        </w:tc>
        <w:tc>
          <w:tcPr>
            <w:tcW w:w="1612" w:type="dxa"/>
            <w:vAlign w:val="center"/>
          </w:tcPr>
          <w:p w14:paraId="04D1AFD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名称</w:t>
            </w:r>
          </w:p>
        </w:tc>
        <w:tc>
          <w:tcPr>
            <w:tcW w:w="1062" w:type="dxa"/>
            <w:vAlign w:val="center"/>
          </w:tcPr>
          <w:p w14:paraId="0CE62A80">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数量</w:t>
            </w:r>
          </w:p>
        </w:tc>
        <w:tc>
          <w:tcPr>
            <w:tcW w:w="5423" w:type="dxa"/>
            <w:vAlign w:val="center"/>
          </w:tcPr>
          <w:p w14:paraId="32F06343">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备注</w:t>
            </w:r>
          </w:p>
        </w:tc>
      </w:tr>
      <w:tr w14:paraId="7A6B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68EE4E01">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1</w:t>
            </w:r>
          </w:p>
        </w:tc>
        <w:tc>
          <w:tcPr>
            <w:tcW w:w="1612" w:type="dxa"/>
            <w:vAlign w:val="center"/>
          </w:tcPr>
          <w:p w14:paraId="7DB4F90F">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游标卡尺0-150mm</w:t>
            </w:r>
          </w:p>
        </w:tc>
        <w:tc>
          <w:tcPr>
            <w:tcW w:w="1062" w:type="dxa"/>
            <w:vAlign w:val="center"/>
          </w:tcPr>
          <w:p w14:paraId="7FC4D4A4">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9把</w:t>
            </w:r>
          </w:p>
        </w:tc>
        <w:tc>
          <w:tcPr>
            <w:tcW w:w="5423" w:type="dxa"/>
            <w:vMerge w:val="restart"/>
            <w:vAlign w:val="center"/>
          </w:tcPr>
          <w:p w14:paraId="028D186A">
            <w:pPr>
              <w:keepNext w:val="0"/>
              <w:keepLines w:val="0"/>
              <w:widowControl/>
              <w:suppressLineNumbers w:val="0"/>
              <w:spacing w:before="0" w:beforeAutospacing="0" w:after="0" w:afterAutospacing="0" w:line="360" w:lineRule="auto"/>
              <w:ind w:left="0" w:right="0"/>
              <w:rPr>
                <w:rFonts w:ascii="宋体" w:hAnsi="宋体" w:eastAsia="宋体" w:cs="宋体"/>
                <w:color w:val="auto"/>
                <w:lang w:eastAsia="zh-CN"/>
              </w:rPr>
            </w:pPr>
            <w:r>
              <w:rPr>
                <w:rFonts w:hint="eastAsia" w:ascii="宋体" w:hAnsi="宋体" w:eastAsia="宋体" w:cs="宋体"/>
                <w:color w:val="auto"/>
                <w:lang w:eastAsia="zh-CN"/>
              </w:rPr>
              <w:t>1. 投标方所供卡尺，须提供由具备CMA或CNAS认证资质的第三方计量检测机构出具的有效送检合格报告，报告出具日期距投标日期不得超过12个月。</w:t>
            </w:r>
          </w:p>
          <w:p w14:paraId="4E961197">
            <w:pPr>
              <w:keepNext w:val="0"/>
              <w:keepLines w:val="0"/>
              <w:widowControl/>
              <w:suppressLineNumbers w:val="0"/>
              <w:spacing w:before="0" w:beforeAutospacing="0" w:after="0" w:afterAutospacing="0" w:line="360" w:lineRule="auto"/>
              <w:ind w:left="0" w:right="0"/>
              <w:rPr>
                <w:rFonts w:ascii="宋体" w:hAnsi="宋体" w:eastAsia="宋体" w:cs="宋体"/>
                <w:color w:val="auto"/>
                <w:lang w:eastAsia="zh-CN"/>
              </w:rPr>
            </w:pPr>
            <w:r>
              <w:rPr>
                <w:rFonts w:hint="eastAsia" w:ascii="宋体" w:hAnsi="宋体" w:eastAsia="宋体" w:cs="宋体"/>
                <w:color w:val="auto"/>
                <w:lang w:eastAsia="zh-CN"/>
              </w:rPr>
              <w:t>2. 送检报告需明确体现以下内容：</w:t>
            </w:r>
          </w:p>
          <w:p w14:paraId="18CC3B49">
            <w:pPr>
              <w:keepNext w:val="0"/>
              <w:keepLines w:val="0"/>
              <w:widowControl/>
              <w:suppressLineNumbers w:val="0"/>
              <w:spacing w:before="0" w:beforeAutospacing="0" w:after="0" w:afterAutospacing="0" w:line="360" w:lineRule="auto"/>
              <w:ind w:left="0" w:right="0"/>
              <w:rPr>
                <w:rFonts w:ascii="宋体" w:hAnsi="宋体" w:eastAsia="宋体" w:cs="宋体"/>
                <w:color w:val="auto"/>
                <w:lang w:eastAsia="zh-CN"/>
              </w:rPr>
            </w:pPr>
            <w:r>
              <w:rPr>
                <w:rFonts w:hint="eastAsia" w:ascii="宋体" w:hAnsi="宋体" w:eastAsia="宋体" w:cs="宋体"/>
                <w:color w:val="auto"/>
                <w:lang w:eastAsia="zh-CN"/>
              </w:rPr>
              <w:t>- 卡尺的型号规格、生产批次与投标产品信息完全一致；</w:t>
            </w:r>
          </w:p>
          <w:p w14:paraId="322CB2A1">
            <w:pPr>
              <w:keepNext w:val="0"/>
              <w:keepLines w:val="0"/>
              <w:widowControl/>
              <w:suppressLineNumbers w:val="0"/>
              <w:spacing w:before="0" w:beforeAutospacing="0" w:after="0" w:afterAutospacing="0" w:line="360" w:lineRule="auto"/>
              <w:ind w:left="0" w:right="0"/>
              <w:rPr>
                <w:rFonts w:ascii="宋体" w:hAnsi="宋体" w:eastAsia="宋体" w:cs="宋体"/>
                <w:color w:val="auto"/>
                <w:lang w:eastAsia="zh-CN"/>
              </w:rPr>
            </w:pPr>
            <w:r>
              <w:rPr>
                <w:rFonts w:hint="eastAsia" w:ascii="宋体" w:hAnsi="宋体" w:eastAsia="宋体" w:cs="宋体"/>
                <w:color w:val="auto"/>
                <w:lang w:eastAsia="zh-CN"/>
              </w:rPr>
              <w:t>- 检测项目覆盖示值误差、重复性误差、测量范围符合性，且检测结果需符合对应国家标准（如GB/T 21389-2008《游标、带表和数显深度卡尺》、GB/T 12160-2019《游标、带表和数显高度卡尺》等，投标方需根据所供卡尺类型对应选用标准）；</w:t>
            </w:r>
          </w:p>
          <w:p w14:paraId="138B0FCF">
            <w:pPr>
              <w:keepNext w:val="0"/>
              <w:keepLines w:val="0"/>
              <w:widowControl/>
              <w:suppressLineNumbers w:val="0"/>
              <w:spacing w:before="0" w:beforeAutospacing="0" w:after="0" w:afterAutospacing="0" w:line="360" w:lineRule="auto"/>
              <w:ind w:left="0" w:right="0"/>
              <w:rPr>
                <w:rFonts w:ascii="宋体" w:hAnsi="宋体" w:eastAsia="宋体" w:cs="宋体"/>
                <w:color w:val="auto"/>
                <w:lang w:eastAsia="zh-CN"/>
              </w:rPr>
            </w:pPr>
            <w:r>
              <w:rPr>
                <w:rFonts w:hint="eastAsia" w:ascii="宋体" w:hAnsi="宋体" w:eastAsia="宋体" w:cs="宋体"/>
                <w:color w:val="auto"/>
                <w:lang w:eastAsia="zh-CN"/>
              </w:rPr>
              <w:t>- 报告需包含检测机构公章、检测人员签字及资质标识页复印件（加盖投标方公章）。</w:t>
            </w:r>
          </w:p>
          <w:p w14:paraId="42D820E1">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lang w:eastAsia="zh-CN"/>
              </w:rPr>
            </w:pPr>
            <w:r>
              <w:rPr>
                <w:rFonts w:hint="eastAsia" w:ascii="宋体" w:hAnsi="宋体" w:eastAsia="宋体" w:cs="宋体"/>
                <w:color w:val="auto"/>
                <w:lang w:eastAsia="zh-CN"/>
              </w:rPr>
              <w:t>3. 中标后供货时，每批次卡尺需随货附带该批次对应的第三方送检合格报告副本（或加盖检测机构鲜章的复印件），若无法提供或报告信息与产品不符，招标方有权拒收并追究违约责任。</w:t>
            </w:r>
          </w:p>
        </w:tc>
      </w:tr>
      <w:tr w14:paraId="0D21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71DB3862">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2</w:t>
            </w:r>
          </w:p>
        </w:tc>
        <w:tc>
          <w:tcPr>
            <w:tcW w:w="1612" w:type="dxa"/>
            <w:vAlign w:val="center"/>
          </w:tcPr>
          <w:p w14:paraId="5D75BF18">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深度游标卡尺0-150mm</w:t>
            </w:r>
          </w:p>
        </w:tc>
        <w:tc>
          <w:tcPr>
            <w:tcW w:w="1062" w:type="dxa"/>
            <w:vAlign w:val="center"/>
          </w:tcPr>
          <w:p w14:paraId="0D862C10">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9把</w:t>
            </w:r>
          </w:p>
        </w:tc>
        <w:tc>
          <w:tcPr>
            <w:tcW w:w="5423" w:type="dxa"/>
            <w:vMerge w:val="continue"/>
            <w:vAlign w:val="center"/>
          </w:tcPr>
          <w:p w14:paraId="69B890AE">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6953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6ADE01FB">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3</w:t>
            </w:r>
          </w:p>
        </w:tc>
        <w:tc>
          <w:tcPr>
            <w:tcW w:w="1612" w:type="dxa"/>
            <w:vAlign w:val="center"/>
          </w:tcPr>
          <w:p w14:paraId="7717115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外径千分尺0-25mm</w:t>
            </w:r>
          </w:p>
        </w:tc>
        <w:tc>
          <w:tcPr>
            <w:tcW w:w="1062" w:type="dxa"/>
            <w:vAlign w:val="center"/>
          </w:tcPr>
          <w:p w14:paraId="26279CB4">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9把</w:t>
            </w:r>
          </w:p>
        </w:tc>
        <w:tc>
          <w:tcPr>
            <w:tcW w:w="5423" w:type="dxa"/>
            <w:vMerge w:val="continue"/>
            <w:vAlign w:val="center"/>
          </w:tcPr>
          <w:p w14:paraId="590B831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08E6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6B51B340">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4</w:t>
            </w:r>
          </w:p>
        </w:tc>
        <w:tc>
          <w:tcPr>
            <w:tcW w:w="1612" w:type="dxa"/>
            <w:vAlign w:val="center"/>
          </w:tcPr>
          <w:p w14:paraId="73D81CF9">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外径千分尺25-50mm</w:t>
            </w:r>
          </w:p>
        </w:tc>
        <w:tc>
          <w:tcPr>
            <w:tcW w:w="1062" w:type="dxa"/>
            <w:vAlign w:val="center"/>
          </w:tcPr>
          <w:p w14:paraId="67D6C4C3">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9把</w:t>
            </w:r>
          </w:p>
        </w:tc>
        <w:tc>
          <w:tcPr>
            <w:tcW w:w="5423" w:type="dxa"/>
            <w:vMerge w:val="continue"/>
            <w:vAlign w:val="center"/>
          </w:tcPr>
          <w:p w14:paraId="7ED3EA3D">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2D27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6B0DE60D">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5</w:t>
            </w:r>
          </w:p>
        </w:tc>
        <w:tc>
          <w:tcPr>
            <w:tcW w:w="1612" w:type="dxa"/>
            <w:vAlign w:val="center"/>
          </w:tcPr>
          <w:p w14:paraId="672AD4C4">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外径千分尺50-75mm</w:t>
            </w:r>
          </w:p>
        </w:tc>
        <w:tc>
          <w:tcPr>
            <w:tcW w:w="1062" w:type="dxa"/>
            <w:vAlign w:val="center"/>
          </w:tcPr>
          <w:p w14:paraId="02ADB3C7">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9把</w:t>
            </w:r>
          </w:p>
        </w:tc>
        <w:tc>
          <w:tcPr>
            <w:tcW w:w="5423" w:type="dxa"/>
            <w:vMerge w:val="continue"/>
            <w:vAlign w:val="center"/>
          </w:tcPr>
          <w:p w14:paraId="31640A24">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73B3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512459D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6</w:t>
            </w:r>
          </w:p>
        </w:tc>
        <w:tc>
          <w:tcPr>
            <w:tcW w:w="1612" w:type="dxa"/>
            <w:vAlign w:val="center"/>
          </w:tcPr>
          <w:p w14:paraId="36B3D0D2">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lang w:eastAsia="zh-CN"/>
              </w:rPr>
            </w:pPr>
            <w:r>
              <w:rPr>
                <w:rFonts w:hint="eastAsia" w:ascii="宋体" w:hAnsi="宋体" w:eastAsia="宋体" w:cs="宋体"/>
                <w:color w:val="auto"/>
                <w:lang w:eastAsia="zh-CN"/>
              </w:rPr>
              <w:t>弹簧夹头刀柄（含拉丁）</w:t>
            </w:r>
          </w:p>
        </w:tc>
        <w:tc>
          <w:tcPr>
            <w:tcW w:w="1062" w:type="dxa"/>
            <w:vAlign w:val="center"/>
          </w:tcPr>
          <w:p w14:paraId="175A7F02">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24把</w:t>
            </w:r>
          </w:p>
        </w:tc>
        <w:tc>
          <w:tcPr>
            <w:tcW w:w="5423" w:type="dxa"/>
            <w:vAlign w:val="center"/>
          </w:tcPr>
          <w:p w14:paraId="332EEC16">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3A90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31FE9081">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7</w:t>
            </w:r>
          </w:p>
        </w:tc>
        <w:tc>
          <w:tcPr>
            <w:tcW w:w="1612" w:type="dxa"/>
            <w:vAlign w:val="center"/>
          </w:tcPr>
          <w:p w14:paraId="69A7CC92">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卡簧</w:t>
            </w:r>
          </w:p>
        </w:tc>
        <w:tc>
          <w:tcPr>
            <w:tcW w:w="1062" w:type="dxa"/>
            <w:vAlign w:val="center"/>
          </w:tcPr>
          <w:p w14:paraId="4F48191D">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6套</w:t>
            </w:r>
          </w:p>
        </w:tc>
        <w:tc>
          <w:tcPr>
            <w:tcW w:w="5423" w:type="dxa"/>
            <w:vAlign w:val="center"/>
          </w:tcPr>
          <w:p w14:paraId="490C06F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4,5,6,8,10,12,16,20</w:t>
            </w:r>
          </w:p>
        </w:tc>
      </w:tr>
      <w:tr w14:paraId="2E14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0C989048">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8</w:t>
            </w:r>
          </w:p>
        </w:tc>
        <w:tc>
          <w:tcPr>
            <w:tcW w:w="1612" w:type="dxa"/>
            <w:vAlign w:val="center"/>
          </w:tcPr>
          <w:p w14:paraId="106049D2">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lang w:eastAsia="zh-CN"/>
              </w:rPr>
            </w:pPr>
            <w:r>
              <w:rPr>
                <w:rFonts w:hint="eastAsia" w:ascii="宋体" w:hAnsi="宋体" w:eastAsia="宋体" w:cs="宋体"/>
                <w:color w:val="auto"/>
                <w:lang w:eastAsia="zh-CN"/>
              </w:rPr>
              <w:t>钻夹头刀柄（含拉丁）</w:t>
            </w:r>
          </w:p>
        </w:tc>
        <w:tc>
          <w:tcPr>
            <w:tcW w:w="1062" w:type="dxa"/>
            <w:vAlign w:val="center"/>
          </w:tcPr>
          <w:p w14:paraId="3692227A">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9把</w:t>
            </w:r>
          </w:p>
        </w:tc>
        <w:tc>
          <w:tcPr>
            <w:tcW w:w="5423" w:type="dxa"/>
            <w:vAlign w:val="center"/>
          </w:tcPr>
          <w:p w14:paraId="2C28AE8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73D5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42B98F86">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9</w:t>
            </w:r>
          </w:p>
        </w:tc>
        <w:tc>
          <w:tcPr>
            <w:tcW w:w="1612" w:type="dxa"/>
            <w:vAlign w:val="center"/>
          </w:tcPr>
          <w:p w14:paraId="6340F746">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精密平口钳</w:t>
            </w:r>
          </w:p>
        </w:tc>
        <w:tc>
          <w:tcPr>
            <w:tcW w:w="1062" w:type="dxa"/>
            <w:vAlign w:val="center"/>
          </w:tcPr>
          <w:p w14:paraId="598C645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3个</w:t>
            </w:r>
          </w:p>
        </w:tc>
        <w:tc>
          <w:tcPr>
            <w:tcW w:w="5423" w:type="dxa"/>
            <w:vAlign w:val="center"/>
          </w:tcPr>
          <w:p w14:paraId="2AE3635E">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6F64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31ED9084">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10</w:t>
            </w:r>
          </w:p>
        </w:tc>
        <w:tc>
          <w:tcPr>
            <w:tcW w:w="1612" w:type="dxa"/>
            <w:vAlign w:val="center"/>
          </w:tcPr>
          <w:p w14:paraId="5D88D420">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外圆车刀</w:t>
            </w:r>
          </w:p>
        </w:tc>
        <w:tc>
          <w:tcPr>
            <w:tcW w:w="1062" w:type="dxa"/>
            <w:vAlign w:val="center"/>
          </w:tcPr>
          <w:p w14:paraId="18853E34">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6把</w:t>
            </w:r>
          </w:p>
        </w:tc>
        <w:tc>
          <w:tcPr>
            <w:tcW w:w="5423" w:type="dxa"/>
            <w:vAlign w:val="center"/>
          </w:tcPr>
          <w:p w14:paraId="41C74D46">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687C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7EDE4DD1">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11</w:t>
            </w:r>
          </w:p>
        </w:tc>
        <w:tc>
          <w:tcPr>
            <w:tcW w:w="1612" w:type="dxa"/>
            <w:vAlign w:val="center"/>
          </w:tcPr>
          <w:p w14:paraId="6F411020">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内孔车刀</w:t>
            </w:r>
          </w:p>
        </w:tc>
        <w:tc>
          <w:tcPr>
            <w:tcW w:w="1062" w:type="dxa"/>
            <w:vAlign w:val="center"/>
          </w:tcPr>
          <w:p w14:paraId="3AB9664F">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6把</w:t>
            </w:r>
          </w:p>
        </w:tc>
        <w:tc>
          <w:tcPr>
            <w:tcW w:w="5423" w:type="dxa"/>
            <w:vAlign w:val="center"/>
          </w:tcPr>
          <w:p w14:paraId="483F794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2D0F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1A71226B">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12</w:t>
            </w:r>
          </w:p>
        </w:tc>
        <w:tc>
          <w:tcPr>
            <w:tcW w:w="1612" w:type="dxa"/>
            <w:vAlign w:val="center"/>
          </w:tcPr>
          <w:p w14:paraId="7553F4C7">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外螺纹车刀</w:t>
            </w:r>
          </w:p>
        </w:tc>
        <w:tc>
          <w:tcPr>
            <w:tcW w:w="1062" w:type="dxa"/>
            <w:vAlign w:val="center"/>
          </w:tcPr>
          <w:p w14:paraId="3FC57660">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6把</w:t>
            </w:r>
          </w:p>
        </w:tc>
        <w:tc>
          <w:tcPr>
            <w:tcW w:w="5423" w:type="dxa"/>
            <w:vAlign w:val="center"/>
          </w:tcPr>
          <w:p w14:paraId="1828B1F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r w14:paraId="469D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4C9A85DC">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13</w:t>
            </w:r>
          </w:p>
        </w:tc>
        <w:tc>
          <w:tcPr>
            <w:tcW w:w="1612" w:type="dxa"/>
            <w:vAlign w:val="center"/>
          </w:tcPr>
          <w:p w14:paraId="54DC7D27">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切槽刀</w:t>
            </w:r>
          </w:p>
        </w:tc>
        <w:tc>
          <w:tcPr>
            <w:tcW w:w="1062" w:type="dxa"/>
            <w:vAlign w:val="center"/>
          </w:tcPr>
          <w:p w14:paraId="3B0EB169">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r>
              <w:rPr>
                <w:rFonts w:hint="eastAsia" w:ascii="宋体" w:hAnsi="宋体" w:eastAsia="宋体" w:cs="宋体"/>
                <w:color w:val="auto"/>
              </w:rPr>
              <w:t>6把</w:t>
            </w:r>
          </w:p>
        </w:tc>
        <w:tc>
          <w:tcPr>
            <w:tcW w:w="5423" w:type="dxa"/>
            <w:vAlign w:val="center"/>
          </w:tcPr>
          <w:p w14:paraId="4C0574D2">
            <w:pPr>
              <w:keepNext w:val="0"/>
              <w:keepLines w:val="0"/>
              <w:widowControl/>
              <w:suppressLineNumbers w:val="0"/>
              <w:spacing w:before="0" w:beforeAutospacing="0" w:after="0" w:afterAutospacing="0" w:line="360" w:lineRule="auto"/>
              <w:ind w:left="0" w:right="0"/>
              <w:jc w:val="center"/>
              <w:rPr>
                <w:rFonts w:ascii="宋体" w:hAnsi="宋体" w:eastAsia="宋体" w:cs="宋体"/>
                <w:color w:val="auto"/>
              </w:rPr>
            </w:pPr>
          </w:p>
        </w:tc>
      </w:tr>
    </w:tbl>
    <w:p w14:paraId="4431E0CE">
      <w:pPr>
        <w:rPr>
          <w:rFonts w:ascii="宋体" w:hAnsi="宋体" w:eastAsia="宋体" w:cs="宋体"/>
          <w:b/>
          <w:bCs/>
        </w:rPr>
      </w:pPr>
    </w:p>
    <w:p w14:paraId="3EF2FD2D">
      <w:pPr>
        <w:spacing w:line="360" w:lineRule="auto"/>
        <w:rPr>
          <w:rFonts w:ascii="宋体" w:hAnsi="宋体" w:eastAsia="宋体" w:cs="宋体"/>
          <w:b/>
          <w:lang w:eastAsia="zh-CN"/>
        </w:rPr>
      </w:pPr>
      <w:r>
        <w:rPr>
          <w:rFonts w:hint="eastAsia" w:ascii="宋体" w:hAnsi="宋体" w:eastAsia="宋体" w:cs="宋体"/>
          <w:b/>
          <w:lang w:eastAsia="zh-CN"/>
        </w:rPr>
        <w:t>（三）机械类专业课程教具库建设</w:t>
      </w:r>
    </w:p>
    <w:p w14:paraId="414D8EDB">
      <w:pPr>
        <w:spacing w:line="360" w:lineRule="auto"/>
        <w:ind w:firstLine="422" w:firstLineChars="200"/>
        <w:rPr>
          <w:rFonts w:ascii="宋体" w:hAnsi="宋体" w:eastAsia="宋体" w:cs="宋体"/>
          <w:b/>
          <w:bCs/>
          <w:lang w:eastAsia="zh-CN"/>
        </w:rPr>
      </w:pPr>
      <w:r>
        <w:rPr>
          <w:rFonts w:hint="eastAsia" w:ascii="宋体" w:hAnsi="宋体" w:eastAsia="宋体" w:cs="宋体"/>
          <w:b/>
          <w:bCs/>
          <w:lang w:eastAsia="zh-CN"/>
        </w:rPr>
        <w:t>1、教具库介绍</w:t>
      </w:r>
    </w:p>
    <w:p w14:paraId="0F9B7362">
      <w:pPr>
        <w:numPr>
          <w:ilvl w:val="0"/>
          <w:numId w:val="39"/>
        </w:numPr>
        <w:spacing w:line="360" w:lineRule="auto"/>
        <w:rPr>
          <w:rFonts w:ascii="宋体" w:hAnsi="宋体" w:eastAsia="宋体" w:cs="宋体"/>
          <w:lang w:eastAsia="zh-CN"/>
        </w:rPr>
      </w:pPr>
      <w:r>
        <w:rPr>
          <w:rFonts w:hint="eastAsia" w:ascii="宋体" w:hAnsi="宋体" w:eastAsia="宋体" w:cs="宋体"/>
          <w:lang w:eastAsia="zh-CN"/>
        </w:rPr>
        <w:t>提升教学效果： 真实教具将抽象知识具象化，如通过机床模型、仿真软件展示原理和加工过程，帮助学生理解。教具还能模拟真实环境，增强实践体验，例如利用仿真软件进行虚拟操作，提升动手能力。多样化教具满足不同学生需求，基础薄弱者可通过简单模型学习，学有余力者可用复杂教具深入探究。</w:t>
      </w:r>
    </w:p>
    <w:p w14:paraId="6CFD632D">
      <w:pPr>
        <w:numPr>
          <w:ilvl w:val="0"/>
          <w:numId w:val="39"/>
        </w:numPr>
        <w:spacing w:line="360" w:lineRule="auto"/>
        <w:rPr>
          <w:rFonts w:ascii="宋体" w:hAnsi="宋体" w:eastAsia="宋体" w:cs="宋体"/>
          <w:lang w:eastAsia="zh-CN"/>
        </w:rPr>
      </w:pPr>
      <w:r>
        <w:rPr>
          <w:rFonts w:hint="eastAsia" w:ascii="宋体" w:hAnsi="宋体" w:eastAsia="宋体" w:cs="宋体"/>
          <w:lang w:eastAsia="zh-CN"/>
        </w:rPr>
        <w:t>支持课后自学： 教具库提供丰富资源，方便学生课后复习和巩固。学生可根据需求选择教具自主学习，弥补课堂不足。教具库打破时空限制，学生可随时通过网络访问，观看视频或操作动画。此外，教具库促进学生交流合作，通过小组讨论、项目实践共同解决问题，提高效率。</w:t>
      </w:r>
    </w:p>
    <w:p w14:paraId="3F9D85FF">
      <w:pPr>
        <w:numPr>
          <w:ilvl w:val="0"/>
          <w:numId w:val="39"/>
        </w:numPr>
        <w:spacing w:line="360" w:lineRule="auto"/>
        <w:rPr>
          <w:rFonts w:ascii="宋体" w:hAnsi="宋体" w:eastAsia="宋体" w:cs="宋体"/>
          <w:lang w:eastAsia="zh-CN"/>
        </w:rPr>
      </w:pPr>
      <w:r>
        <w:rPr>
          <w:rFonts w:hint="eastAsia" w:ascii="宋体" w:hAnsi="宋体" w:eastAsia="宋体" w:cs="宋体"/>
          <w:lang w:eastAsia="zh-CN"/>
        </w:rPr>
        <w:t>提高教学效率： 教具库实现统一管理和共享，避免重复建设，节省教师时间，使其更专注于教学设计和指导。同时，教具库为教师提供丰富资源，方便备课和教学，教师可根据内容和学生特点选择合适教具，提升效率。教具库还促进教师间交流合作，共同开发资源，推动教学改革。</w:t>
      </w:r>
    </w:p>
    <w:p w14:paraId="24D17BB0">
      <w:pPr>
        <w:numPr>
          <w:ilvl w:val="0"/>
          <w:numId w:val="39"/>
        </w:numPr>
        <w:spacing w:line="360" w:lineRule="auto"/>
        <w:rPr>
          <w:rFonts w:ascii="宋体" w:hAnsi="宋体" w:eastAsia="宋体" w:cs="宋体"/>
          <w:lang w:eastAsia="zh-CN"/>
        </w:rPr>
      </w:pPr>
      <w:r>
        <w:rPr>
          <w:rFonts w:hint="eastAsia" w:ascii="宋体" w:hAnsi="宋体" w:eastAsia="宋体" w:cs="宋体"/>
          <w:lang w:eastAsia="zh-CN"/>
        </w:rPr>
        <w:t>推动专业发展： 教具库建设是教学改革的重要内容，可推动模式、方法和手段创新，促进课程体系完善，提高人才培养质量。同时，教具库建设加强校企合作，促进产学研结合，推动技术发展。</w:t>
      </w:r>
    </w:p>
    <w:p w14:paraId="55CD93DD">
      <w:pPr>
        <w:pStyle w:val="10"/>
        <w:ind w:firstLine="0" w:firstLineChars="0"/>
        <w:rPr>
          <w:rFonts w:ascii="宋体" w:hAnsi="宋体"/>
          <w:bCs/>
          <w:sz w:val="21"/>
          <w:szCs w:val="21"/>
          <w:lang w:eastAsia="zh-CN"/>
        </w:rPr>
      </w:pPr>
      <w:r>
        <w:rPr>
          <w:rFonts w:hint="eastAsia" w:ascii="宋体" w:hAnsi="宋体"/>
          <w:sz w:val="21"/>
          <w:szCs w:val="21"/>
          <w:lang w:eastAsia="zh-CN"/>
        </w:rPr>
        <w:t>2、教具库</w:t>
      </w:r>
      <w:r>
        <w:rPr>
          <w:rFonts w:hint="eastAsia" w:ascii="宋体" w:hAnsi="宋体"/>
          <w:bCs/>
          <w:sz w:val="21"/>
          <w:szCs w:val="21"/>
          <w:lang w:eastAsia="zh-CN"/>
        </w:rPr>
        <w:t>主要参数要求</w:t>
      </w:r>
    </w:p>
    <w:p w14:paraId="781A6763">
      <w:pPr>
        <w:pStyle w:val="10"/>
        <w:ind w:firstLine="422" w:firstLineChars="200"/>
        <w:rPr>
          <w:rFonts w:ascii="宋体" w:hAnsi="宋体"/>
          <w:sz w:val="21"/>
          <w:szCs w:val="21"/>
          <w:lang w:eastAsia="zh-CN"/>
        </w:rPr>
      </w:pPr>
      <w:r>
        <w:rPr>
          <w:rFonts w:hint="eastAsia" w:ascii="宋体" w:hAnsi="宋体"/>
          <w:bCs/>
          <w:sz w:val="21"/>
          <w:szCs w:val="21"/>
          <w:lang w:eastAsia="zh-CN"/>
        </w:rPr>
        <w:t>（1）.《</w:t>
      </w:r>
      <w:r>
        <w:rPr>
          <w:rFonts w:hint="eastAsia" w:ascii="宋体" w:hAnsi="宋体"/>
          <w:sz w:val="21"/>
          <w:szCs w:val="21"/>
          <w:lang w:eastAsia="zh-CN"/>
        </w:rPr>
        <w:t>数控加工机械基础》教具库参数要求</w:t>
      </w:r>
    </w:p>
    <w:p w14:paraId="2BFA6EF5">
      <w:pPr>
        <w:numPr>
          <w:ilvl w:val="0"/>
          <w:numId w:val="40"/>
        </w:numPr>
        <w:rPr>
          <w:rFonts w:ascii="宋体" w:hAnsi="宋体" w:eastAsia="宋体" w:cs="宋体"/>
          <w:lang w:eastAsia="zh-CN"/>
        </w:rPr>
      </w:pPr>
      <w:r>
        <w:rPr>
          <w:rFonts w:hint="eastAsia" w:ascii="宋体" w:hAnsi="宋体" w:eastAsia="宋体" w:cs="宋体"/>
          <w:lang w:eastAsia="zh-CN"/>
        </w:rPr>
        <w:t>满足《数控加工机械基础》基本教学要求。</w:t>
      </w:r>
    </w:p>
    <w:p w14:paraId="0EFE472B">
      <w:pPr>
        <w:numPr>
          <w:ilvl w:val="0"/>
          <w:numId w:val="40"/>
        </w:numPr>
        <w:rPr>
          <w:rFonts w:ascii="宋体" w:hAnsi="宋体" w:eastAsia="宋体" w:cs="宋体"/>
          <w:lang w:eastAsia="zh-CN"/>
        </w:rPr>
      </w:pPr>
      <w:r>
        <w:rPr>
          <w:rFonts w:hint="eastAsia" w:ascii="宋体" w:hAnsi="宋体" w:eastAsia="宋体" w:cs="宋体"/>
          <w:lang w:eastAsia="zh-CN"/>
        </w:rPr>
        <w:t xml:space="preserve">模型材料要求：采用环保工程塑料、亚克力、铝合金、实物等制作。  </w:t>
      </w:r>
    </w:p>
    <w:p w14:paraId="4491B8AA">
      <w:pPr>
        <w:numPr>
          <w:ilvl w:val="0"/>
          <w:numId w:val="40"/>
        </w:numPr>
        <w:rPr>
          <w:rFonts w:ascii="宋体" w:hAnsi="宋体" w:eastAsia="宋体" w:cs="宋体"/>
          <w:lang w:eastAsia="zh-CN"/>
        </w:rPr>
      </w:pPr>
      <w:r>
        <w:rPr>
          <w:rFonts w:hint="eastAsia" w:ascii="宋体" w:hAnsi="宋体" w:eastAsia="宋体" w:cs="宋体"/>
          <w:lang w:eastAsia="zh-CN"/>
        </w:rPr>
        <w:t>模型尺寸要求：按照教学实际需求，按比例放大制作。</w:t>
      </w:r>
    </w:p>
    <w:p w14:paraId="31C79352">
      <w:pPr>
        <w:numPr>
          <w:ilvl w:val="0"/>
          <w:numId w:val="40"/>
        </w:numPr>
        <w:spacing w:line="360" w:lineRule="auto"/>
        <w:rPr>
          <w:rFonts w:ascii="宋体" w:hAnsi="宋体" w:eastAsia="宋体" w:cs="宋体"/>
          <w:lang w:eastAsia="zh-CN"/>
        </w:rPr>
      </w:pPr>
      <w:r>
        <w:rPr>
          <w:rFonts w:hint="eastAsia" w:ascii="宋体" w:hAnsi="宋体" w:eastAsia="宋体" w:cs="宋体"/>
          <w:lang w:eastAsia="zh-CN"/>
        </w:rPr>
        <w:t>根据教学需要，配二维与三维动画视频及建模数据库。</w:t>
      </w:r>
    </w:p>
    <w:p w14:paraId="122257A1">
      <w:pPr>
        <w:spacing w:line="360" w:lineRule="auto"/>
        <w:ind w:firstLine="420" w:firstLineChars="200"/>
        <w:rPr>
          <w:rFonts w:ascii="宋体" w:hAnsi="宋体" w:eastAsia="宋体" w:cs="宋体"/>
          <w:b/>
          <w:lang w:eastAsia="zh-CN"/>
        </w:rPr>
      </w:pPr>
      <w:r>
        <w:rPr>
          <w:rFonts w:hint="eastAsia" w:ascii="宋体" w:hAnsi="宋体" w:eastAsia="宋体" w:cs="宋体"/>
          <w:lang w:eastAsia="zh-CN"/>
        </w:rPr>
        <w:t>《数控加工机械基础》教具与数据库的具体要求如下表。</w:t>
      </w:r>
    </w:p>
    <w:tbl>
      <w:tblPr>
        <w:tblStyle w:val="25"/>
        <w:tblW w:w="8639" w:type="dxa"/>
        <w:tblInd w:w="93" w:type="dxa"/>
        <w:tblLayout w:type="fixed"/>
        <w:tblCellMar>
          <w:top w:w="0" w:type="dxa"/>
          <w:left w:w="108" w:type="dxa"/>
          <w:bottom w:w="0" w:type="dxa"/>
          <w:right w:w="108" w:type="dxa"/>
        </w:tblCellMar>
      </w:tblPr>
      <w:tblGrid>
        <w:gridCol w:w="1488"/>
        <w:gridCol w:w="5294"/>
        <w:gridCol w:w="1857"/>
      </w:tblGrid>
      <w:tr w14:paraId="44F937A3">
        <w:trPr>
          <w:trHeight w:val="64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47BD27BE">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知识点</w:t>
            </w:r>
          </w:p>
        </w:tc>
        <w:tc>
          <w:tcPr>
            <w:tcW w:w="5294" w:type="dxa"/>
            <w:tcBorders>
              <w:top w:val="single" w:color="000000" w:sz="4" w:space="0"/>
              <w:left w:val="single" w:color="000000" w:sz="4" w:space="0"/>
              <w:bottom w:val="single" w:color="000000" w:sz="4" w:space="0"/>
              <w:right w:val="single" w:color="000000" w:sz="4" w:space="0"/>
            </w:tcBorders>
            <w:vAlign w:val="center"/>
          </w:tcPr>
          <w:p w14:paraId="7B95F163">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内容</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3B18D2B8">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要求</w:t>
            </w:r>
          </w:p>
        </w:tc>
      </w:tr>
      <w:tr w14:paraId="3C3E925F">
        <w:tblPrEx>
          <w:tblCellMar>
            <w:top w:w="0" w:type="dxa"/>
            <w:left w:w="108" w:type="dxa"/>
            <w:bottom w:w="0" w:type="dxa"/>
            <w:right w:w="108" w:type="dxa"/>
          </w:tblCellMar>
        </w:tblPrEx>
        <w:trPr>
          <w:trHeight w:val="122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173AE7F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金属材料的力学性能</w:t>
            </w:r>
          </w:p>
        </w:tc>
        <w:tc>
          <w:tcPr>
            <w:tcW w:w="5294" w:type="dxa"/>
            <w:tcBorders>
              <w:top w:val="single" w:color="000000" w:sz="4" w:space="0"/>
              <w:left w:val="single" w:color="000000" w:sz="4" w:space="0"/>
              <w:bottom w:val="single" w:color="000000" w:sz="4" w:space="0"/>
              <w:right w:val="single" w:color="000000" w:sz="4" w:space="0"/>
            </w:tcBorders>
            <w:vAlign w:val="center"/>
          </w:tcPr>
          <w:p w14:paraId="301FC02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拉伸试验</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706F285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交互式操作动画</w:t>
            </w:r>
          </w:p>
        </w:tc>
      </w:tr>
      <w:tr w14:paraId="17B2598B">
        <w:tblPrEx>
          <w:tblCellMar>
            <w:top w:w="0" w:type="dxa"/>
            <w:left w:w="108" w:type="dxa"/>
            <w:bottom w:w="0" w:type="dxa"/>
            <w:right w:w="108" w:type="dxa"/>
          </w:tblCellMar>
        </w:tblPrEx>
        <w:trPr>
          <w:trHeight w:val="54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0F01967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平面连杆机构</w:t>
            </w:r>
          </w:p>
        </w:tc>
        <w:tc>
          <w:tcPr>
            <w:tcW w:w="5294" w:type="dxa"/>
            <w:tcBorders>
              <w:top w:val="single" w:color="000000" w:sz="4" w:space="0"/>
              <w:left w:val="single" w:color="000000" w:sz="4" w:space="0"/>
              <w:bottom w:val="single" w:color="000000" w:sz="4" w:space="0"/>
              <w:right w:val="single" w:color="000000" w:sz="4" w:space="0"/>
            </w:tcBorders>
            <w:vAlign w:val="center"/>
          </w:tcPr>
          <w:p w14:paraId="4C21ABD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斯特林发动机、曲柄摇杆机构、双曲柄机构、双摇杆机构、曲柄滑块机构</w:t>
            </w:r>
          </w:p>
        </w:tc>
        <w:tc>
          <w:tcPr>
            <w:tcW w:w="1857" w:type="dxa"/>
            <w:tcBorders>
              <w:top w:val="single" w:color="000000" w:sz="4" w:space="0"/>
              <w:left w:val="single" w:color="000000" w:sz="4" w:space="0"/>
              <w:bottom w:val="single" w:color="000000" w:sz="4" w:space="0"/>
              <w:right w:val="single" w:color="000000" w:sz="4" w:space="0"/>
            </w:tcBorders>
            <w:vAlign w:val="center"/>
          </w:tcPr>
          <w:p w14:paraId="3F31A7D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仿真模型                                                    交互式操作动画</w:t>
            </w:r>
          </w:p>
        </w:tc>
      </w:tr>
      <w:tr w14:paraId="175A6176">
        <w:tblPrEx>
          <w:tblCellMar>
            <w:top w:w="0" w:type="dxa"/>
            <w:left w:w="108" w:type="dxa"/>
            <w:bottom w:w="0" w:type="dxa"/>
            <w:right w:w="108" w:type="dxa"/>
          </w:tblCellMar>
        </w:tblPrEx>
        <w:trPr>
          <w:trHeight w:val="54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1305F01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凸轮机构</w:t>
            </w:r>
          </w:p>
        </w:tc>
        <w:tc>
          <w:tcPr>
            <w:tcW w:w="5294" w:type="dxa"/>
            <w:tcBorders>
              <w:top w:val="single" w:color="000000" w:sz="4" w:space="0"/>
              <w:left w:val="single" w:color="000000" w:sz="4" w:space="0"/>
              <w:bottom w:val="single" w:color="000000" w:sz="4" w:space="0"/>
              <w:right w:val="single" w:color="000000" w:sz="4" w:space="0"/>
            </w:tcBorders>
            <w:vAlign w:val="center"/>
          </w:tcPr>
          <w:p w14:paraId="180BFA4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盘形凸轮、移动凸轮、圆柱凸轮、靠模车削手柄装置、自动送料机构</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567C521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 xml:space="preserve">仿真模型 </w:t>
            </w:r>
          </w:p>
        </w:tc>
      </w:tr>
      <w:tr w14:paraId="1EA91F0B">
        <w:tblPrEx>
          <w:tblCellMar>
            <w:top w:w="0" w:type="dxa"/>
            <w:left w:w="108" w:type="dxa"/>
            <w:bottom w:w="0" w:type="dxa"/>
            <w:right w:w="108" w:type="dxa"/>
          </w:tblCellMar>
        </w:tblPrEx>
        <w:trPr>
          <w:trHeight w:val="81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6F2BF41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间歇机构</w:t>
            </w:r>
          </w:p>
        </w:tc>
        <w:tc>
          <w:tcPr>
            <w:tcW w:w="5294" w:type="dxa"/>
            <w:tcBorders>
              <w:top w:val="single" w:color="000000" w:sz="4" w:space="0"/>
              <w:left w:val="single" w:color="000000" w:sz="4" w:space="0"/>
              <w:bottom w:val="single" w:color="000000" w:sz="4" w:space="0"/>
              <w:right w:val="single" w:color="000000" w:sz="4" w:space="0"/>
            </w:tcBorders>
            <w:vAlign w:val="center"/>
          </w:tcPr>
          <w:p w14:paraId="4B09EC4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棘轮机构、单向驱动棘轮机构、双向驱动棘轮、槽轮机构、单销外槽轮机构、内轮机构和不完全齿轮机构</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6391631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 xml:space="preserve">仿真模型 </w:t>
            </w:r>
          </w:p>
        </w:tc>
      </w:tr>
      <w:tr w14:paraId="0E6C46B2">
        <w:tblPrEx>
          <w:tblCellMar>
            <w:top w:w="0" w:type="dxa"/>
            <w:left w:w="108" w:type="dxa"/>
            <w:bottom w:w="0" w:type="dxa"/>
            <w:right w:w="108" w:type="dxa"/>
          </w:tblCellMar>
        </w:tblPrEx>
        <w:trPr>
          <w:trHeight w:val="108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650F704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键、销连接</w:t>
            </w:r>
          </w:p>
        </w:tc>
        <w:tc>
          <w:tcPr>
            <w:tcW w:w="5294" w:type="dxa"/>
            <w:tcBorders>
              <w:top w:val="single" w:color="000000" w:sz="4" w:space="0"/>
              <w:left w:val="single" w:color="000000" w:sz="4" w:space="0"/>
              <w:bottom w:val="single" w:color="000000" w:sz="4" w:space="0"/>
              <w:right w:val="single" w:color="000000" w:sz="4" w:space="0"/>
            </w:tcBorders>
            <w:vAlign w:val="center"/>
          </w:tcPr>
          <w:p w14:paraId="62DB89C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键联接、普通平键联接、导向平键联接、滑键联接、半圆键联接、切向键联接、锲键联接、销连接、圆柱销连接、圆锥销连接、开口销连接</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2878ED3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 xml:space="preserve">仿真模型 </w:t>
            </w:r>
          </w:p>
        </w:tc>
      </w:tr>
      <w:tr w14:paraId="09193A70">
        <w:tblPrEx>
          <w:tblCellMar>
            <w:top w:w="0" w:type="dxa"/>
            <w:left w:w="108" w:type="dxa"/>
            <w:bottom w:w="0" w:type="dxa"/>
            <w:right w:w="108" w:type="dxa"/>
          </w:tblCellMar>
        </w:tblPrEx>
        <w:trPr>
          <w:trHeight w:val="81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56709CA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螺纹联接</w:t>
            </w:r>
          </w:p>
        </w:tc>
        <w:tc>
          <w:tcPr>
            <w:tcW w:w="5294" w:type="dxa"/>
            <w:tcBorders>
              <w:top w:val="single" w:color="000000" w:sz="4" w:space="0"/>
              <w:left w:val="single" w:color="000000" w:sz="4" w:space="0"/>
              <w:bottom w:val="single" w:color="000000" w:sz="4" w:space="0"/>
              <w:right w:val="single" w:color="000000" w:sz="4" w:space="0"/>
            </w:tcBorders>
            <w:vAlign w:val="center"/>
          </w:tcPr>
          <w:p w14:paraId="65480DA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梯形螺纹、锯齿形螺纹、矩形螺纹、螺栓联接、双头螺纹联接、螺钉联接、紧定螺钉联接</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5081DAD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 xml:space="preserve">仿真模型 </w:t>
            </w:r>
          </w:p>
        </w:tc>
      </w:tr>
      <w:tr w14:paraId="2402FF34">
        <w:tblPrEx>
          <w:tblCellMar>
            <w:top w:w="0" w:type="dxa"/>
            <w:left w:w="108" w:type="dxa"/>
            <w:bottom w:w="0" w:type="dxa"/>
            <w:right w:w="108" w:type="dxa"/>
          </w:tblCellMar>
        </w:tblPrEx>
        <w:trPr>
          <w:trHeight w:val="108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2475217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联轴器、离合器</w:t>
            </w:r>
          </w:p>
        </w:tc>
        <w:tc>
          <w:tcPr>
            <w:tcW w:w="5294" w:type="dxa"/>
            <w:tcBorders>
              <w:top w:val="single" w:color="000000" w:sz="4" w:space="0"/>
              <w:left w:val="single" w:color="000000" w:sz="4" w:space="0"/>
              <w:bottom w:val="single" w:color="000000" w:sz="4" w:space="0"/>
              <w:right w:val="single" w:color="000000" w:sz="4" w:space="0"/>
            </w:tcBorders>
            <w:vAlign w:val="center"/>
          </w:tcPr>
          <w:p w14:paraId="56916C0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套简联轴器、凸缘联轴器、十字滑块联轴器、弹性套柱销联轴器、尼龙柱销联轴器、牙嵌式离合器、摩擦式离合器、超越离合器、胀紧联结套</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726509B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 xml:space="preserve">仿真模型 </w:t>
            </w:r>
          </w:p>
        </w:tc>
      </w:tr>
      <w:tr w14:paraId="65A89CAD">
        <w:tblPrEx>
          <w:tblCellMar>
            <w:top w:w="0" w:type="dxa"/>
            <w:left w:w="108" w:type="dxa"/>
            <w:bottom w:w="0" w:type="dxa"/>
            <w:right w:w="108" w:type="dxa"/>
          </w:tblCellMar>
        </w:tblPrEx>
        <w:trPr>
          <w:trHeight w:val="108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57A2C5A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轴承</w:t>
            </w:r>
          </w:p>
        </w:tc>
        <w:tc>
          <w:tcPr>
            <w:tcW w:w="5294" w:type="dxa"/>
            <w:tcBorders>
              <w:top w:val="single" w:color="000000" w:sz="4" w:space="0"/>
              <w:left w:val="single" w:color="000000" w:sz="4" w:space="0"/>
              <w:bottom w:val="single" w:color="000000" w:sz="4" w:space="0"/>
              <w:right w:val="single" w:color="000000" w:sz="4" w:space="0"/>
            </w:tcBorders>
            <w:vAlign w:val="center"/>
          </w:tcPr>
          <w:p w14:paraId="5A06F9C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滑动轴承、整体式滑动轴承、剖分式滑动轴承、调心滑动轴承、推力滑动轴承，滚动轴承，深沟球轴承、滚动轴承的固定方法</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761EB4B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r w14:paraId="63353D5C">
        <w:tblPrEx>
          <w:tblCellMar>
            <w:top w:w="0" w:type="dxa"/>
            <w:left w:w="108" w:type="dxa"/>
            <w:bottom w:w="0" w:type="dxa"/>
            <w:right w:w="108" w:type="dxa"/>
          </w:tblCellMar>
        </w:tblPrEx>
        <w:trPr>
          <w:trHeight w:val="54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3035930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w:t>
            </w:r>
          </w:p>
        </w:tc>
        <w:tc>
          <w:tcPr>
            <w:tcW w:w="5294" w:type="dxa"/>
            <w:tcBorders>
              <w:top w:val="single" w:color="000000" w:sz="4" w:space="0"/>
              <w:left w:val="single" w:color="000000" w:sz="4" w:space="0"/>
              <w:bottom w:val="single" w:color="000000" w:sz="4" w:space="0"/>
              <w:right w:val="single" w:color="000000" w:sz="4" w:space="0"/>
            </w:tcBorders>
            <w:vAlign w:val="center"/>
          </w:tcPr>
          <w:p w14:paraId="7F6B503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传动轴、芯轴、转轴、直轴、曲轴、轴上零部件固定方式</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5137D52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r w14:paraId="75BB8FC0">
        <w:tblPrEx>
          <w:tblCellMar>
            <w:top w:w="0" w:type="dxa"/>
            <w:left w:w="108" w:type="dxa"/>
            <w:bottom w:w="0" w:type="dxa"/>
            <w:right w:w="108" w:type="dxa"/>
          </w:tblCellMar>
        </w:tblPrEx>
        <w:trPr>
          <w:trHeight w:val="54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5E6BD73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带、链传动</w:t>
            </w:r>
          </w:p>
        </w:tc>
        <w:tc>
          <w:tcPr>
            <w:tcW w:w="5294" w:type="dxa"/>
            <w:tcBorders>
              <w:top w:val="single" w:color="000000" w:sz="4" w:space="0"/>
              <w:left w:val="single" w:color="000000" w:sz="4" w:space="0"/>
              <w:bottom w:val="single" w:color="000000" w:sz="4" w:space="0"/>
              <w:right w:val="single" w:color="000000" w:sz="4" w:space="0"/>
            </w:tcBorders>
            <w:vAlign w:val="center"/>
          </w:tcPr>
          <w:p w14:paraId="635F426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同步带传动、V带传动、带轮结构和链传动</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492A725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r w14:paraId="6962881D">
        <w:tblPrEx>
          <w:tblCellMar>
            <w:top w:w="0" w:type="dxa"/>
            <w:left w:w="108" w:type="dxa"/>
            <w:bottom w:w="0" w:type="dxa"/>
            <w:right w:w="108" w:type="dxa"/>
          </w:tblCellMar>
        </w:tblPrEx>
        <w:trPr>
          <w:trHeight w:val="81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07F5C3D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螺旋传动</w:t>
            </w:r>
          </w:p>
        </w:tc>
        <w:tc>
          <w:tcPr>
            <w:tcW w:w="5294" w:type="dxa"/>
            <w:tcBorders>
              <w:top w:val="single" w:color="000000" w:sz="4" w:space="0"/>
              <w:left w:val="single" w:color="000000" w:sz="4" w:space="0"/>
              <w:bottom w:val="single" w:color="000000" w:sz="4" w:space="0"/>
              <w:right w:val="single" w:color="000000" w:sz="4" w:space="0"/>
            </w:tcBorders>
            <w:vAlign w:val="center"/>
          </w:tcPr>
          <w:p w14:paraId="28621D3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普通螺旋机构和差动螺旋机构、螺旋千斤顶、台虎钳、拉马、滚珠螺旋、车床的丝杠螺母机构</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22ADBE0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r w14:paraId="4D2B86C2">
        <w:tblPrEx>
          <w:tblCellMar>
            <w:top w:w="0" w:type="dxa"/>
            <w:left w:w="108" w:type="dxa"/>
            <w:bottom w:w="0" w:type="dxa"/>
            <w:right w:w="108" w:type="dxa"/>
          </w:tblCellMar>
        </w:tblPrEx>
        <w:trPr>
          <w:trHeight w:val="162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33B6487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齿轮传动</w:t>
            </w:r>
          </w:p>
        </w:tc>
        <w:tc>
          <w:tcPr>
            <w:tcW w:w="5294" w:type="dxa"/>
            <w:tcBorders>
              <w:top w:val="single" w:color="000000" w:sz="4" w:space="0"/>
              <w:left w:val="single" w:color="000000" w:sz="4" w:space="0"/>
              <w:bottom w:val="single" w:color="000000" w:sz="4" w:space="0"/>
              <w:right w:val="single" w:color="000000" w:sz="4" w:space="0"/>
            </w:tcBorders>
            <w:vAlign w:val="center"/>
          </w:tcPr>
          <w:p w14:paraId="2D5E033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直齿圆柱齿轮传动、外呐合直齿圆柱齿轮传动、内啮合直齿圆柱齿轮传动、齿条传动、斜齿轮传动、直齿锥齿轮、曲线齿锥齿轮传动、交错轴斜齿轮传动、齿轮的加工--铣齿、插齿和滚齿和二级齿轮减速器传动</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0A95340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r w14:paraId="246AB2A2">
        <w:tblPrEx>
          <w:tblCellMar>
            <w:top w:w="0" w:type="dxa"/>
            <w:left w:w="108" w:type="dxa"/>
            <w:bottom w:w="0" w:type="dxa"/>
            <w:right w:w="108" w:type="dxa"/>
          </w:tblCellMar>
        </w:tblPrEx>
        <w:trPr>
          <w:trHeight w:val="27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5B0FA2B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蜗杆传动</w:t>
            </w:r>
          </w:p>
        </w:tc>
        <w:tc>
          <w:tcPr>
            <w:tcW w:w="5294" w:type="dxa"/>
            <w:tcBorders>
              <w:top w:val="single" w:color="000000" w:sz="4" w:space="0"/>
              <w:left w:val="single" w:color="000000" w:sz="4" w:space="0"/>
              <w:bottom w:val="single" w:color="000000" w:sz="4" w:space="0"/>
              <w:right w:val="single" w:color="000000" w:sz="4" w:space="0"/>
            </w:tcBorders>
            <w:vAlign w:val="center"/>
          </w:tcPr>
          <w:p w14:paraId="06C1152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蜗杆传动、蜗轮的结构</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0BC090E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r w14:paraId="064F0106">
        <w:tblPrEx>
          <w:tblCellMar>
            <w:top w:w="0" w:type="dxa"/>
            <w:left w:w="108" w:type="dxa"/>
            <w:bottom w:w="0" w:type="dxa"/>
            <w:right w:w="108" w:type="dxa"/>
          </w:tblCellMar>
        </w:tblPrEx>
        <w:trPr>
          <w:trHeight w:val="540" w:hRule="atLeast"/>
        </w:trPr>
        <w:tc>
          <w:tcPr>
            <w:tcW w:w="1488" w:type="dxa"/>
            <w:tcBorders>
              <w:top w:val="single" w:color="000000" w:sz="4" w:space="0"/>
              <w:left w:val="single" w:color="000000" w:sz="4" w:space="0"/>
              <w:bottom w:val="single" w:color="000000" w:sz="4" w:space="0"/>
              <w:right w:val="single" w:color="000000" w:sz="4" w:space="0"/>
            </w:tcBorders>
            <w:noWrap/>
            <w:vAlign w:val="center"/>
          </w:tcPr>
          <w:p w14:paraId="4861300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齿轮系</w:t>
            </w:r>
          </w:p>
        </w:tc>
        <w:tc>
          <w:tcPr>
            <w:tcW w:w="5294" w:type="dxa"/>
            <w:tcBorders>
              <w:top w:val="single" w:color="000000" w:sz="4" w:space="0"/>
              <w:left w:val="single" w:color="000000" w:sz="4" w:space="0"/>
              <w:bottom w:val="single" w:color="000000" w:sz="4" w:space="0"/>
              <w:right w:val="single" w:color="000000" w:sz="4" w:space="0"/>
            </w:tcBorders>
            <w:vAlign w:val="center"/>
          </w:tcPr>
          <w:p w14:paraId="44A0F09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三级齿轮减速器、定轴齿轮系、周转齿轮系、三星轮换向机构</w:t>
            </w:r>
          </w:p>
        </w:tc>
        <w:tc>
          <w:tcPr>
            <w:tcW w:w="1857" w:type="dxa"/>
            <w:tcBorders>
              <w:top w:val="single" w:color="000000" w:sz="4" w:space="0"/>
              <w:left w:val="single" w:color="000000" w:sz="4" w:space="0"/>
              <w:bottom w:val="single" w:color="000000" w:sz="4" w:space="0"/>
              <w:right w:val="single" w:color="000000" w:sz="4" w:space="0"/>
            </w:tcBorders>
            <w:noWrap/>
            <w:vAlign w:val="center"/>
          </w:tcPr>
          <w:p w14:paraId="64AB16C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 xml:space="preserve">仿真模型、交互式操作动画 </w:t>
            </w:r>
          </w:p>
        </w:tc>
      </w:tr>
    </w:tbl>
    <w:p w14:paraId="1C8EA4B7">
      <w:pPr>
        <w:pStyle w:val="10"/>
        <w:ind w:firstLine="422" w:firstLineChars="200"/>
        <w:rPr>
          <w:rFonts w:ascii="宋体" w:hAnsi="宋体"/>
          <w:sz w:val="21"/>
          <w:szCs w:val="21"/>
          <w:lang w:eastAsia="zh-CN"/>
        </w:rPr>
      </w:pPr>
      <w:r>
        <w:rPr>
          <w:rFonts w:hint="eastAsia" w:ascii="宋体" w:hAnsi="宋体"/>
          <w:bCs/>
          <w:sz w:val="21"/>
          <w:szCs w:val="21"/>
          <w:lang w:eastAsia="zh-CN"/>
        </w:rPr>
        <w:t>（2）.《机械识图与计算机绘图</w:t>
      </w:r>
      <w:r>
        <w:rPr>
          <w:rFonts w:hint="eastAsia" w:ascii="宋体" w:hAnsi="宋体"/>
          <w:sz w:val="21"/>
          <w:szCs w:val="21"/>
          <w:lang w:eastAsia="zh-CN"/>
        </w:rPr>
        <w:t>》教具库参数要求</w:t>
      </w:r>
    </w:p>
    <w:p w14:paraId="44C4A037">
      <w:pPr>
        <w:numPr>
          <w:ilvl w:val="0"/>
          <w:numId w:val="41"/>
        </w:numPr>
        <w:rPr>
          <w:rFonts w:ascii="宋体" w:hAnsi="宋体" w:eastAsia="宋体" w:cs="宋体"/>
          <w:lang w:eastAsia="zh-CN"/>
        </w:rPr>
      </w:pPr>
      <w:r>
        <w:rPr>
          <w:rFonts w:hint="eastAsia" w:ascii="宋体" w:hAnsi="宋体" w:eastAsia="宋体" w:cs="宋体"/>
          <w:lang w:eastAsia="zh-CN"/>
        </w:rPr>
        <w:t>满足《机械识图与计算机绘图》基本教学要求。</w:t>
      </w:r>
    </w:p>
    <w:p w14:paraId="3B209EC8">
      <w:pPr>
        <w:numPr>
          <w:ilvl w:val="0"/>
          <w:numId w:val="41"/>
        </w:numPr>
        <w:rPr>
          <w:rFonts w:ascii="宋体" w:hAnsi="宋体" w:eastAsia="宋体" w:cs="宋体"/>
          <w:lang w:eastAsia="zh-CN"/>
        </w:rPr>
      </w:pPr>
      <w:r>
        <w:rPr>
          <w:rFonts w:hint="eastAsia" w:ascii="宋体" w:hAnsi="宋体" w:eastAsia="宋体" w:cs="宋体"/>
          <w:lang w:eastAsia="zh-CN"/>
        </w:rPr>
        <w:t xml:space="preserve">模型材料要求：采用环保工程塑料、亚克力、铝合金、实物等制作。  </w:t>
      </w:r>
    </w:p>
    <w:p w14:paraId="32B350B1">
      <w:pPr>
        <w:numPr>
          <w:ilvl w:val="0"/>
          <w:numId w:val="41"/>
        </w:numPr>
        <w:rPr>
          <w:rFonts w:ascii="宋体" w:hAnsi="宋体" w:eastAsia="宋体" w:cs="宋体"/>
          <w:lang w:eastAsia="zh-CN"/>
        </w:rPr>
      </w:pPr>
      <w:r>
        <w:rPr>
          <w:rFonts w:hint="eastAsia" w:ascii="宋体" w:hAnsi="宋体" w:eastAsia="宋体" w:cs="宋体"/>
          <w:lang w:eastAsia="zh-CN"/>
        </w:rPr>
        <w:t>模型尺寸要求：按照教学实际需求，按比例放大制作。</w:t>
      </w:r>
    </w:p>
    <w:p w14:paraId="610E844B">
      <w:pPr>
        <w:numPr>
          <w:ilvl w:val="0"/>
          <w:numId w:val="41"/>
        </w:numPr>
        <w:spacing w:line="360" w:lineRule="auto"/>
        <w:rPr>
          <w:rFonts w:ascii="宋体" w:hAnsi="宋体" w:eastAsia="宋体" w:cs="宋体"/>
          <w:lang w:eastAsia="zh-CN"/>
        </w:rPr>
      </w:pPr>
      <w:r>
        <w:rPr>
          <w:rFonts w:hint="eastAsia" w:ascii="宋体" w:hAnsi="宋体" w:eastAsia="宋体" w:cs="宋体"/>
          <w:lang w:eastAsia="zh-CN"/>
        </w:rPr>
        <w:t>根据教学需要，配二维与三维动画视频及建模数据库。</w:t>
      </w:r>
    </w:p>
    <w:p w14:paraId="0A4A5791">
      <w:pPr>
        <w:spacing w:line="360" w:lineRule="auto"/>
        <w:ind w:firstLine="420" w:firstLineChars="200"/>
        <w:rPr>
          <w:rFonts w:ascii="宋体" w:hAnsi="宋体" w:eastAsia="宋体" w:cs="宋体"/>
          <w:b/>
          <w:lang w:eastAsia="zh-CN"/>
        </w:rPr>
      </w:pPr>
      <w:r>
        <w:rPr>
          <w:rFonts w:hint="eastAsia" w:ascii="宋体" w:hAnsi="宋体" w:eastAsia="宋体" w:cs="宋体"/>
          <w:lang w:eastAsia="zh-CN"/>
        </w:rPr>
        <w:t>《机械识图与计算机绘图》教具与数据库的具体要求如下表。</w:t>
      </w:r>
    </w:p>
    <w:tbl>
      <w:tblPr>
        <w:tblStyle w:val="25"/>
        <w:tblW w:w="8429" w:type="dxa"/>
        <w:tblInd w:w="93" w:type="dxa"/>
        <w:tblLayout w:type="fixed"/>
        <w:tblCellMar>
          <w:top w:w="0" w:type="dxa"/>
          <w:left w:w="108" w:type="dxa"/>
          <w:bottom w:w="0" w:type="dxa"/>
          <w:right w:w="108" w:type="dxa"/>
        </w:tblCellMar>
      </w:tblPr>
      <w:tblGrid>
        <w:gridCol w:w="1025"/>
        <w:gridCol w:w="1177"/>
        <w:gridCol w:w="4454"/>
        <w:gridCol w:w="1773"/>
      </w:tblGrid>
      <w:tr w14:paraId="5D02A85C">
        <w:tblPrEx>
          <w:tblCellMar>
            <w:top w:w="0" w:type="dxa"/>
            <w:left w:w="108" w:type="dxa"/>
            <w:bottom w:w="0" w:type="dxa"/>
            <w:right w:w="108" w:type="dxa"/>
          </w:tblCellMar>
        </w:tblPrEx>
        <w:trPr>
          <w:trHeight w:val="525"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5FBAE3B">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任务</w:t>
            </w:r>
          </w:p>
        </w:tc>
        <w:tc>
          <w:tcPr>
            <w:tcW w:w="1177" w:type="dxa"/>
            <w:tcBorders>
              <w:top w:val="single" w:color="000000" w:sz="4" w:space="0"/>
              <w:left w:val="single" w:color="000000" w:sz="4" w:space="0"/>
              <w:bottom w:val="single" w:color="000000" w:sz="4" w:space="0"/>
              <w:right w:val="single" w:color="000000" w:sz="4" w:space="0"/>
            </w:tcBorders>
            <w:vAlign w:val="center"/>
          </w:tcPr>
          <w:p w14:paraId="23D99954">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资源类型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C67D30C">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功能要求</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90E42CE">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备注</w:t>
            </w:r>
          </w:p>
        </w:tc>
      </w:tr>
      <w:tr w14:paraId="39CD9204">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CCEB08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制图基本知识</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7379FA1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6669C20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1.设置椭圆尺寸，能交互选择圆心、半径绘制椭圆（游戏新手教程式）</w:t>
            </w:r>
            <w:r>
              <w:rPr>
                <w:rFonts w:hint="eastAsia" w:ascii="宋体" w:hAnsi="宋体" w:eastAsia="宋体" w:cs="宋体"/>
                <w:lang w:eastAsia="zh-CN" w:bidi="ar"/>
              </w:rPr>
              <w:br w:type="textWrapping"/>
            </w:r>
            <w:r>
              <w:rPr>
                <w:rFonts w:hint="eastAsia" w:ascii="宋体" w:hAnsi="宋体" w:eastAsia="宋体" w:cs="宋体"/>
                <w:lang w:eastAsia="zh-CN" w:bidi="ar"/>
              </w:rPr>
              <w:t>2.设置椭圆尺寸，能自动展示同心圆法、四心圆法绘制椭圆</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190654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椭圆画法</w:t>
            </w:r>
          </w:p>
        </w:tc>
      </w:tr>
      <w:tr w14:paraId="14C682A9">
        <w:tblPrEx>
          <w:tblCellMar>
            <w:top w:w="0" w:type="dxa"/>
            <w:left w:w="108" w:type="dxa"/>
            <w:bottom w:w="0" w:type="dxa"/>
            <w:right w:w="108" w:type="dxa"/>
          </w:tblCellMar>
        </w:tblPrEx>
        <w:trPr>
          <w:trHeight w:val="1618"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9EBDB0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制图基本知识</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1F4C515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00A7CC7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1.选择线段，能自动显示相关尺寸，单击后显示线段类型</w:t>
            </w:r>
            <w:r>
              <w:rPr>
                <w:rFonts w:hint="eastAsia" w:ascii="宋体" w:hAnsi="宋体" w:eastAsia="宋体" w:cs="宋体"/>
                <w:lang w:eastAsia="zh-CN" w:bidi="ar"/>
              </w:rPr>
              <w:br w:type="textWrapping"/>
            </w:r>
            <w:r>
              <w:rPr>
                <w:rFonts w:hint="eastAsia" w:ascii="宋体" w:hAnsi="宋体" w:eastAsia="宋体" w:cs="宋体"/>
                <w:lang w:eastAsia="zh-CN" w:bidi="ar"/>
              </w:rPr>
              <w:t>2.选择线段类型，能自动显示对应的线段</w:t>
            </w:r>
            <w:r>
              <w:rPr>
                <w:rFonts w:hint="eastAsia" w:ascii="宋体" w:hAnsi="宋体" w:eastAsia="宋体" w:cs="宋体"/>
                <w:lang w:eastAsia="zh-CN" w:bidi="ar"/>
              </w:rPr>
              <w:br w:type="textWrapping"/>
            </w:r>
            <w:r>
              <w:rPr>
                <w:rFonts w:hint="eastAsia" w:ascii="宋体" w:hAnsi="宋体" w:eastAsia="宋体" w:cs="宋体"/>
                <w:lang w:eastAsia="zh-CN" w:bidi="ar"/>
              </w:rPr>
              <w:t>3.选择绘图过程，能自动显示平面图形绘制过程</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5318E36">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04DF232C">
        <w:tblPrEx>
          <w:tblCellMar>
            <w:top w:w="0" w:type="dxa"/>
            <w:left w:w="108" w:type="dxa"/>
            <w:bottom w:w="0" w:type="dxa"/>
            <w:right w:w="108" w:type="dxa"/>
          </w:tblCellMar>
        </w:tblPrEx>
        <w:trPr>
          <w:trHeight w:val="975"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875241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认识投影法与三视图</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2D47AAD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55C6C4D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1.选定投影类型，拖动空间物体位置，投影能自动变换</w:t>
            </w:r>
            <w:r>
              <w:rPr>
                <w:rFonts w:hint="eastAsia" w:ascii="宋体" w:hAnsi="宋体" w:eastAsia="宋体" w:cs="宋体"/>
                <w:lang w:eastAsia="zh-CN" w:bidi="ar"/>
              </w:rPr>
              <w:br w:type="textWrapping"/>
            </w:r>
            <w:r>
              <w:rPr>
                <w:rFonts w:hint="eastAsia" w:ascii="宋体" w:hAnsi="宋体" w:eastAsia="宋体" w:cs="宋体"/>
                <w:lang w:eastAsia="zh-CN" w:bidi="ar"/>
              </w:rPr>
              <w:t>2.切换投影类型，能自动更新投影</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82649FB">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7E784402">
        <w:tblPrEx>
          <w:tblCellMar>
            <w:top w:w="0" w:type="dxa"/>
            <w:left w:w="108" w:type="dxa"/>
            <w:bottom w:w="0" w:type="dxa"/>
            <w:right w:w="108" w:type="dxa"/>
          </w:tblCellMar>
        </w:tblPrEx>
        <w:trPr>
          <w:trHeight w:val="975"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CF79D7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认识投影法与三视图</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41D615A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25E2FF9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1.更改直线、平面位置，能自动更新投影，显示投影特性</w:t>
            </w:r>
            <w:r>
              <w:rPr>
                <w:rFonts w:hint="eastAsia" w:ascii="宋体" w:hAnsi="宋体" w:eastAsia="宋体" w:cs="宋体"/>
                <w:lang w:eastAsia="zh-CN" w:bidi="ar"/>
              </w:rPr>
              <w:br w:type="textWrapping"/>
            </w:r>
            <w:r>
              <w:rPr>
                <w:rFonts w:hint="eastAsia" w:ascii="宋体" w:hAnsi="宋体" w:eastAsia="宋体" w:cs="宋体"/>
                <w:lang w:eastAsia="zh-CN" w:bidi="ar"/>
              </w:rPr>
              <w:t>2.选择投影性质，能自动展示投影</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D1BA3AD">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2A259218">
        <w:tblPrEx>
          <w:tblCellMar>
            <w:top w:w="0" w:type="dxa"/>
            <w:left w:w="108" w:type="dxa"/>
            <w:bottom w:w="0" w:type="dxa"/>
            <w:right w:w="108" w:type="dxa"/>
          </w:tblCellMar>
        </w:tblPrEx>
        <w:trPr>
          <w:trHeight w:val="975"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A30B96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认识投影法与三视图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6DC1995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779CCC7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1.单击三视图形成按钮，能自动展示三视图形成过程（模型可更换）</w:t>
            </w:r>
            <w:r>
              <w:rPr>
                <w:rFonts w:hint="eastAsia" w:ascii="宋体" w:hAnsi="宋体" w:eastAsia="宋体" w:cs="宋体"/>
                <w:lang w:eastAsia="zh-CN" w:bidi="ar"/>
              </w:rPr>
              <w:br w:type="textWrapping"/>
            </w:r>
            <w:r>
              <w:rPr>
                <w:rFonts w:hint="eastAsia" w:ascii="宋体" w:hAnsi="宋体" w:eastAsia="宋体" w:cs="宋体"/>
                <w:lang w:eastAsia="zh-CN" w:bidi="ar"/>
              </w:rPr>
              <w:t>2.三视图名称可拖动，能自动判断对错</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4F42A80">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1B372311">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7C24D7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认识投影法与三视图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3737CFD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FFE77C3">
            <w:pPr>
              <w:keepNext w:val="0"/>
              <w:keepLines w:val="0"/>
              <w:widowControl/>
              <w:suppressLineNumbers w:val="0"/>
              <w:spacing w:before="0" w:beforeAutospacing="0" w:after="0" w:afterAutospacing="0"/>
              <w:ind w:left="0" w:right="0"/>
              <w:rPr>
                <w:rFonts w:ascii="宋体" w:hAnsi="宋体" w:eastAsia="宋体" w:cs="宋体"/>
              </w:rPr>
            </w:pPr>
            <w:r>
              <w:rPr>
                <w:rFonts w:hint="eastAsia" w:ascii="宋体" w:hAnsi="宋体" w:eastAsia="宋体" w:cs="宋体"/>
                <w:lang w:eastAsia="zh-CN"/>
              </w:rPr>
              <w:t>教材同步</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7916F50">
            <w:pPr>
              <w:keepNext w:val="0"/>
              <w:keepLines w:val="0"/>
              <w:widowControl/>
              <w:suppressLineNumbers w:val="0"/>
              <w:spacing w:before="0" w:beforeAutospacing="0" w:after="0" w:afterAutospacing="0"/>
              <w:ind w:left="0" w:right="0"/>
              <w:rPr>
                <w:rFonts w:ascii="宋体" w:hAnsi="宋体" w:eastAsia="宋体" w:cs="宋体"/>
              </w:rPr>
            </w:pPr>
          </w:p>
        </w:tc>
      </w:tr>
      <w:tr w14:paraId="163F7BEA">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892736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点线面的投影</w:t>
            </w:r>
          </w:p>
        </w:tc>
        <w:tc>
          <w:tcPr>
            <w:tcW w:w="1177" w:type="dxa"/>
            <w:tcBorders>
              <w:top w:val="single" w:color="000000" w:sz="4" w:space="0"/>
              <w:left w:val="single" w:color="000000" w:sz="4" w:space="0"/>
              <w:bottom w:val="single" w:color="000000" w:sz="4" w:space="0"/>
              <w:right w:val="single" w:color="000000" w:sz="4" w:space="0"/>
            </w:tcBorders>
            <w:vAlign w:val="center"/>
          </w:tcPr>
          <w:p w14:paraId="617C004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C28F3C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平面用不同颜色区分</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15FEE6C">
            <w:pPr>
              <w:keepNext w:val="0"/>
              <w:keepLines w:val="0"/>
              <w:widowControl/>
              <w:suppressLineNumbers w:val="0"/>
              <w:spacing w:before="0" w:beforeAutospacing="0" w:after="0" w:afterAutospacing="0"/>
              <w:ind w:left="0" w:right="0"/>
              <w:rPr>
                <w:rFonts w:ascii="宋体" w:hAnsi="宋体" w:eastAsia="宋体" w:cs="宋体"/>
              </w:rPr>
            </w:pPr>
          </w:p>
        </w:tc>
      </w:tr>
      <w:tr w14:paraId="70B81CC8">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0EFF9E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点线面的投影</w:t>
            </w:r>
          </w:p>
        </w:tc>
        <w:tc>
          <w:tcPr>
            <w:tcW w:w="1177" w:type="dxa"/>
            <w:tcBorders>
              <w:top w:val="single" w:color="000000" w:sz="4" w:space="0"/>
              <w:left w:val="single" w:color="000000" w:sz="4" w:space="0"/>
              <w:bottom w:val="single" w:color="000000" w:sz="4" w:space="0"/>
              <w:right w:val="single" w:color="000000" w:sz="4" w:space="0"/>
            </w:tcBorders>
            <w:vAlign w:val="center"/>
          </w:tcPr>
          <w:p w14:paraId="4675931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0AD4A70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平面用不同颜色区分，点标注字母</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007C69C">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65EC45F3">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9E6D87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认识基本体及其表面交线</w:t>
            </w:r>
          </w:p>
        </w:tc>
        <w:tc>
          <w:tcPr>
            <w:tcW w:w="1177" w:type="dxa"/>
            <w:tcBorders>
              <w:top w:val="single" w:color="000000" w:sz="4" w:space="0"/>
              <w:left w:val="single" w:color="000000" w:sz="4" w:space="0"/>
              <w:bottom w:val="single" w:color="000000" w:sz="4" w:space="0"/>
              <w:right w:val="single" w:color="000000" w:sz="4" w:space="0"/>
            </w:tcBorders>
            <w:vAlign w:val="center"/>
          </w:tcPr>
          <w:p w14:paraId="3CE85BD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AA4E54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圆柱与六棱柱可拆分，强力磁铁磁吸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1BA95E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圆柱、六棱柱</w:t>
            </w:r>
          </w:p>
        </w:tc>
      </w:tr>
      <w:tr w14:paraId="419580D4">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F456F7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认识基本体及其表面交线</w:t>
            </w:r>
          </w:p>
        </w:tc>
        <w:tc>
          <w:tcPr>
            <w:tcW w:w="1177" w:type="dxa"/>
            <w:tcBorders>
              <w:top w:val="single" w:color="000000" w:sz="4" w:space="0"/>
              <w:left w:val="single" w:color="000000" w:sz="4" w:space="0"/>
              <w:bottom w:val="single" w:color="000000" w:sz="4" w:space="0"/>
              <w:right w:val="single" w:color="000000" w:sz="4" w:space="0"/>
            </w:tcBorders>
            <w:vAlign w:val="center"/>
          </w:tcPr>
          <w:p w14:paraId="6E308A6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047DDC2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1.选择截交面类型，拖动截交面位置，自动显示截交后的形状和三视图</w:t>
            </w:r>
            <w:r>
              <w:rPr>
                <w:rFonts w:hint="eastAsia" w:ascii="宋体" w:hAnsi="宋体" w:eastAsia="宋体" w:cs="宋体"/>
                <w:lang w:eastAsia="zh-CN" w:bidi="ar"/>
              </w:rPr>
              <w:br w:type="textWrapping"/>
            </w:r>
            <w:r>
              <w:rPr>
                <w:rFonts w:hint="eastAsia" w:ascii="宋体" w:hAnsi="宋体" w:eastAsia="宋体" w:cs="宋体"/>
                <w:lang w:eastAsia="zh-CN" w:bidi="ar"/>
              </w:rPr>
              <w:t>2.选择截交后的形状，能自动生成截交面位置，拖动后会自动变化，生成三视图</w:t>
            </w:r>
          </w:p>
        </w:tc>
        <w:tc>
          <w:tcPr>
            <w:tcW w:w="1773" w:type="dxa"/>
            <w:tcBorders>
              <w:top w:val="single" w:color="000000" w:sz="4" w:space="0"/>
              <w:left w:val="single" w:color="000000" w:sz="4" w:space="0"/>
              <w:bottom w:val="single" w:color="000000" w:sz="4" w:space="0"/>
              <w:right w:val="single" w:color="000000" w:sz="4" w:space="0"/>
            </w:tcBorders>
            <w:vAlign w:val="center"/>
          </w:tcPr>
          <w:p w14:paraId="63336F1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三棱锥、四棱锥、五棱锥</w:t>
            </w:r>
            <w:r>
              <w:rPr>
                <w:rFonts w:hint="eastAsia" w:ascii="宋体" w:hAnsi="宋体" w:eastAsia="宋体" w:cs="宋体"/>
                <w:lang w:eastAsia="zh-CN" w:bidi="ar"/>
              </w:rPr>
              <w:br w:type="textWrapping"/>
            </w:r>
            <w:r>
              <w:rPr>
                <w:rFonts w:hint="eastAsia" w:ascii="宋体" w:hAnsi="宋体" w:eastAsia="宋体" w:cs="宋体"/>
                <w:lang w:eastAsia="zh-CN" w:bidi="ar"/>
              </w:rPr>
              <w:t>三棱柱、四棱柱、五棱柱、六棱柱</w:t>
            </w:r>
          </w:p>
        </w:tc>
      </w:tr>
      <w:tr w14:paraId="696694A8">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08A95C7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认识基本体及其表面交线</w:t>
            </w:r>
          </w:p>
        </w:tc>
        <w:tc>
          <w:tcPr>
            <w:tcW w:w="1177" w:type="dxa"/>
            <w:tcBorders>
              <w:top w:val="single" w:color="000000" w:sz="4" w:space="0"/>
              <w:left w:val="single" w:color="000000" w:sz="4" w:space="0"/>
              <w:bottom w:val="single" w:color="000000" w:sz="4" w:space="0"/>
              <w:right w:val="single" w:color="000000" w:sz="4" w:space="0"/>
            </w:tcBorders>
            <w:vAlign w:val="center"/>
          </w:tcPr>
          <w:p w14:paraId="6D0CB0D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3A4459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可拆分圆台，强力磁铁磁吸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8BD7D3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圆锥</w:t>
            </w:r>
          </w:p>
        </w:tc>
      </w:tr>
      <w:tr w14:paraId="460CA345">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FB7910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认识基本体及其表面交线</w:t>
            </w:r>
          </w:p>
        </w:tc>
        <w:tc>
          <w:tcPr>
            <w:tcW w:w="1177" w:type="dxa"/>
            <w:tcBorders>
              <w:top w:val="single" w:color="000000" w:sz="4" w:space="0"/>
              <w:left w:val="single" w:color="000000" w:sz="4" w:space="0"/>
              <w:bottom w:val="single" w:color="000000" w:sz="4" w:space="0"/>
              <w:right w:val="single" w:color="000000" w:sz="4" w:space="0"/>
            </w:tcBorders>
            <w:vAlign w:val="center"/>
          </w:tcPr>
          <w:p w14:paraId="1F5D9A8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79A578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可拆分半球、1/4球、1/8球，强力磁铁磁吸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BF67D2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球</w:t>
            </w:r>
          </w:p>
        </w:tc>
      </w:tr>
      <w:tr w14:paraId="154D1929">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C1A1A2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认识基本体及其表面交线</w:t>
            </w:r>
            <w:r>
              <w:rPr>
                <w:rFonts w:hint="eastAsia" w:ascii="宋体" w:hAnsi="宋体" w:eastAsia="宋体" w:cs="宋体"/>
                <w:lang w:eastAsia="zh-CN"/>
              </w:rPr>
              <w:t>教材同步</w:t>
            </w:r>
          </w:p>
        </w:tc>
        <w:tc>
          <w:tcPr>
            <w:tcW w:w="1177" w:type="dxa"/>
            <w:tcBorders>
              <w:top w:val="single" w:color="000000" w:sz="4" w:space="0"/>
              <w:left w:val="single" w:color="000000" w:sz="4" w:space="0"/>
              <w:bottom w:val="single" w:color="000000" w:sz="4" w:space="0"/>
              <w:right w:val="single" w:color="000000" w:sz="4" w:space="0"/>
            </w:tcBorders>
            <w:vAlign w:val="center"/>
          </w:tcPr>
          <w:p w14:paraId="2079E98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7CE4A1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可拆分，截交切割</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C9E147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三棱锥</w:t>
            </w:r>
          </w:p>
        </w:tc>
      </w:tr>
      <w:tr w14:paraId="58565A9F">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6859FE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认识基本体及其表面交线</w:t>
            </w:r>
          </w:p>
        </w:tc>
        <w:tc>
          <w:tcPr>
            <w:tcW w:w="1177" w:type="dxa"/>
            <w:tcBorders>
              <w:top w:val="single" w:color="000000" w:sz="4" w:space="0"/>
              <w:left w:val="single" w:color="000000" w:sz="4" w:space="0"/>
              <w:bottom w:val="single" w:color="000000" w:sz="4" w:space="0"/>
              <w:right w:val="single" w:color="000000" w:sz="4" w:space="0"/>
            </w:tcBorders>
            <w:vAlign w:val="center"/>
          </w:tcPr>
          <w:p w14:paraId="0E6AC26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C4A2E94">
            <w:pPr>
              <w:keepNext w:val="0"/>
              <w:keepLines w:val="0"/>
              <w:widowControl/>
              <w:suppressLineNumbers w:val="0"/>
              <w:spacing w:before="0" w:beforeAutospacing="0" w:after="0" w:afterAutospacing="0"/>
              <w:ind w:left="0" w:right="0"/>
              <w:rPr>
                <w:rFonts w:ascii="宋体" w:hAnsi="宋体" w:eastAsia="宋体" w:cs="宋体"/>
              </w:rPr>
            </w:pPr>
            <w:r>
              <w:rPr>
                <w:rFonts w:hint="eastAsia" w:ascii="宋体" w:hAnsi="宋体" w:eastAsia="宋体" w:cs="宋体"/>
                <w:lang w:eastAsia="zh-CN"/>
              </w:rPr>
              <w:t>教材同步</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8159D2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四棱柱</w:t>
            </w:r>
          </w:p>
        </w:tc>
      </w:tr>
      <w:tr w14:paraId="5E80590F">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DDF0C9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D13E3D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943693B">
            <w:pPr>
              <w:keepNext w:val="0"/>
              <w:keepLines w:val="0"/>
              <w:widowControl/>
              <w:suppressLineNumbers w:val="0"/>
              <w:spacing w:before="0" w:beforeAutospacing="0" w:after="0" w:afterAutospacing="0"/>
              <w:ind w:left="0" w:right="0"/>
              <w:rPr>
                <w:rFonts w:ascii="宋体" w:hAnsi="宋体" w:eastAsia="宋体" w:cs="宋体"/>
              </w:rPr>
            </w:pPr>
            <w:r>
              <w:rPr>
                <w:rFonts w:hint="eastAsia" w:ascii="宋体" w:hAnsi="宋体" w:eastAsia="宋体" w:cs="宋体"/>
                <w:lang w:eastAsia="zh-CN"/>
              </w:rPr>
              <w:t>教材同步</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A30D9C3">
            <w:pPr>
              <w:keepNext w:val="0"/>
              <w:keepLines w:val="0"/>
              <w:widowControl/>
              <w:suppressLineNumbers w:val="0"/>
              <w:spacing w:before="0" w:beforeAutospacing="0" w:after="0" w:afterAutospacing="0"/>
              <w:ind w:left="0" w:right="0"/>
              <w:rPr>
                <w:rFonts w:ascii="宋体" w:hAnsi="宋体" w:eastAsia="宋体" w:cs="宋体"/>
              </w:rPr>
            </w:pPr>
          </w:p>
        </w:tc>
      </w:tr>
      <w:tr w14:paraId="5A119111">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0C6DDF9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54377F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E217F97">
            <w:pPr>
              <w:keepNext w:val="0"/>
              <w:keepLines w:val="0"/>
              <w:widowControl/>
              <w:suppressLineNumbers w:val="0"/>
              <w:spacing w:before="0" w:beforeAutospacing="0" w:after="0" w:afterAutospacing="0"/>
              <w:ind w:left="0" w:right="0"/>
              <w:rPr>
                <w:rFonts w:ascii="宋体" w:hAnsi="宋体" w:eastAsia="宋体" w:cs="宋体"/>
              </w:rPr>
            </w:pPr>
            <w:r>
              <w:rPr>
                <w:rFonts w:hint="eastAsia" w:ascii="宋体" w:hAnsi="宋体" w:eastAsia="宋体" w:cs="宋体"/>
                <w:lang w:eastAsia="zh-CN"/>
              </w:rPr>
              <w:t>教材同步</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3666CC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任务实施</w:t>
            </w:r>
          </w:p>
        </w:tc>
      </w:tr>
      <w:tr w14:paraId="25A8A536">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76D8E9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DE8D7D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F74809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可拆分，强力磁铁磁吸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50066DF">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11D48B22">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3918F8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31CB59A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DD5BA6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可拆分，强力磁铁磁吸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D783E9C">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4431F509">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0A638B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6310BE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143C2BA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完整可拆分，强力磁铁磁吸，三种类型</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746AC5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圆柱截交</w:t>
            </w:r>
          </w:p>
        </w:tc>
      </w:tr>
      <w:tr w14:paraId="15533DF9">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ADB013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70A773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AE37EA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完整可拆分，强力磁铁磁吸，圆柱可抽出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970B02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圆柱正相贯</w:t>
            </w:r>
          </w:p>
        </w:tc>
      </w:tr>
      <w:tr w14:paraId="03B36B44">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FED00E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3F7664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17D994F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完整可拆分，圆柱可抽出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F83B1D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圆柱正相贯，直径变化</w:t>
            </w:r>
          </w:p>
        </w:tc>
      </w:tr>
      <w:tr w14:paraId="51552C7A">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135403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44EEDED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79B473E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1.选择截交面类型，拖动截交面位置，自动显示截交后的形状和三视图</w:t>
            </w:r>
            <w:r>
              <w:rPr>
                <w:rFonts w:hint="eastAsia" w:ascii="宋体" w:hAnsi="宋体" w:eastAsia="宋体" w:cs="宋体"/>
                <w:lang w:eastAsia="zh-CN" w:bidi="ar"/>
              </w:rPr>
              <w:br w:type="textWrapping"/>
            </w:r>
            <w:r>
              <w:rPr>
                <w:rFonts w:hint="eastAsia" w:ascii="宋体" w:hAnsi="宋体" w:eastAsia="宋体" w:cs="宋体"/>
                <w:lang w:eastAsia="zh-CN" w:bidi="ar"/>
              </w:rPr>
              <w:t>2.选择截交后的形状，能自动生成截交面位置，拖动后会自动变化，生成三视图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42BF6D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圆锥截交</w:t>
            </w:r>
          </w:p>
        </w:tc>
      </w:tr>
      <w:tr w14:paraId="7513FBDB">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5E7247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64697DA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50F9802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1.选择截交面类型，拖动截交面位置，自动显示截交后的形状和三视图</w:t>
            </w:r>
            <w:r>
              <w:rPr>
                <w:rFonts w:hint="eastAsia" w:ascii="宋体" w:hAnsi="宋体" w:eastAsia="宋体" w:cs="宋体"/>
                <w:lang w:eastAsia="zh-CN" w:bidi="ar"/>
              </w:rPr>
              <w:br w:type="textWrapping"/>
            </w:r>
            <w:r>
              <w:rPr>
                <w:rFonts w:hint="eastAsia" w:ascii="宋体" w:hAnsi="宋体" w:eastAsia="宋体" w:cs="宋体"/>
                <w:lang w:eastAsia="zh-CN" w:bidi="ar"/>
              </w:rPr>
              <w:t>2.选择截交后的形状，能自动生成截交面位置，拖动后会自动变化，生成三视图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1A30C5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球截交</w:t>
            </w:r>
          </w:p>
        </w:tc>
      </w:tr>
      <w:tr w14:paraId="789701B2">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E6A0A5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33D00F2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70EBFBC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1.选择截交面类型，拖动截交面位置，自动显示截交后的形状和三视图</w:t>
            </w:r>
            <w:r>
              <w:rPr>
                <w:rFonts w:hint="eastAsia" w:ascii="宋体" w:hAnsi="宋体" w:eastAsia="宋体" w:cs="宋体"/>
                <w:lang w:eastAsia="zh-CN" w:bidi="ar"/>
              </w:rPr>
              <w:br w:type="textWrapping"/>
            </w:r>
            <w:r>
              <w:rPr>
                <w:rFonts w:hint="eastAsia" w:ascii="宋体" w:hAnsi="宋体" w:eastAsia="宋体" w:cs="宋体"/>
                <w:lang w:eastAsia="zh-CN" w:bidi="ar"/>
              </w:rPr>
              <w:t>2.选择截交后的形状，能自动生成截交面位置，拖动后会自动变化，生成三视图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D0EEDA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球截交</w:t>
            </w:r>
          </w:p>
        </w:tc>
      </w:tr>
      <w:tr w14:paraId="6D9ED99C">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12E6A2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1747271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604CF1F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1.选择基本体类型，改变基本体位置或大小，自动显示相贯后的形状</w:t>
            </w:r>
            <w:r>
              <w:rPr>
                <w:rFonts w:hint="eastAsia" w:ascii="宋体" w:hAnsi="宋体" w:eastAsia="宋体" w:cs="宋体"/>
                <w:lang w:eastAsia="zh-CN" w:bidi="ar"/>
              </w:rPr>
              <w:br w:type="textWrapping"/>
            </w:r>
            <w:r>
              <w:rPr>
                <w:rFonts w:hint="eastAsia" w:ascii="宋体" w:hAnsi="宋体" w:eastAsia="宋体" w:cs="宋体"/>
                <w:lang w:eastAsia="zh-CN" w:bidi="ar"/>
              </w:rPr>
              <w:t>2.选择相贯线的形状，能自动生成相贯体的位置</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4E34DB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增加圆锥+圆柱正交3个</w:t>
            </w:r>
          </w:p>
        </w:tc>
      </w:tr>
      <w:tr w14:paraId="69B564F3">
        <w:tblPrEx>
          <w:tblCellMar>
            <w:top w:w="0" w:type="dxa"/>
            <w:left w:w="108" w:type="dxa"/>
            <w:bottom w:w="0" w:type="dxa"/>
            <w:right w:w="108" w:type="dxa"/>
          </w:tblCellMar>
        </w:tblPrEx>
        <w:trPr>
          <w:trHeight w:val="56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E402EF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002F9E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0A8F08B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圆柱可完整拆分，外形可对半剖开，磁吸组合成整体</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74DB5B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圆柱相贯</w:t>
            </w:r>
          </w:p>
        </w:tc>
      </w:tr>
      <w:tr w14:paraId="29A50219">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44DAF6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任务七 用CAD软件绘制组合体三视图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3FE8074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1B1E4E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3D9BEEF">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2A951A87">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E259AC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任务七 用CAD软件绘制组合体三视图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720812F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170BF97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C006864">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6388A29A">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3B29BB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认识视图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35CAA9B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5EE4F75F">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教材同步</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6F17859">
            <w:pPr>
              <w:keepNext w:val="0"/>
              <w:keepLines w:val="0"/>
              <w:widowControl/>
              <w:suppressLineNumbers w:val="0"/>
              <w:spacing w:before="0" w:beforeAutospacing="0" w:after="0" w:afterAutospacing="0"/>
              <w:ind w:left="0" w:right="0"/>
              <w:rPr>
                <w:rFonts w:ascii="宋体" w:hAnsi="宋体" w:eastAsia="宋体" w:cs="宋体"/>
              </w:rPr>
            </w:pPr>
          </w:p>
        </w:tc>
      </w:tr>
      <w:tr w14:paraId="4ABFA84A">
        <w:tblPrEx>
          <w:tblCellMar>
            <w:top w:w="0" w:type="dxa"/>
            <w:left w:w="108" w:type="dxa"/>
            <w:bottom w:w="0" w:type="dxa"/>
            <w:right w:w="108" w:type="dxa"/>
          </w:tblCellMar>
        </w:tblPrEx>
        <w:trPr>
          <w:trHeight w:val="975"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80F710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认识视图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4DE9BC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5FD8835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1.单击六视图形成按钮，能自动展示六视图形成过程（模型可更换）</w:t>
            </w:r>
            <w:r>
              <w:rPr>
                <w:rFonts w:hint="eastAsia" w:ascii="宋体" w:hAnsi="宋体" w:eastAsia="宋体" w:cs="宋体"/>
                <w:lang w:eastAsia="zh-CN" w:bidi="ar"/>
              </w:rPr>
              <w:br w:type="textWrapping"/>
            </w:r>
            <w:r>
              <w:rPr>
                <w:rFonts w:hint="eastAsia" w:ascii="宋体" w:hAnsi="宋体" w:eastAsia="宋体" w:cs="宋体"/>
                <w:lang w:eastAsia="zh-CN" w:bidi="ar"/>
              </w:rPr>
              <w:t>2.六视图名称可拖动，能自动判断对错</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76338F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基本视图</w:t>
            </w:r>
          </w:p>
        </w:tc>
      </w:tr>
      <w:tr w14:paraId="13979D41">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D66202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认识视图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1B986D5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5488D46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1.向视图名称可拖动，连线或者拖动，能自动判断对错</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CA53A1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向视图</w:t>
            </w:r>
          </w:p>
        </w:tc>
      </w:tr>
      <w:tr w14:paraId="100D13AF">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406EA0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认识视图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6D0193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080BE6E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1.局部剖切位置可拖动，能自动更新模型和视图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0879B1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局部视图</w:t>
            </w:r>
          </w:p>
        </w:tc>
      </w:tr>
      <w:tr w14:paraId="089C60A5">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CEC11E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认识视图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0EFD3F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0F926A36">
            <w:pPr>
              <w:keepNext w:val="0"/>
              <w:keepLines w:val="0"/>
              <w:widowControl/>
              <w:suppressLineNumbers w:val="0"/>
              <w:spacing w:before="0" w:beforeAutospacing="0" w:after="0" w:afterAutospacing="0"/>
              <w:ind w:left="0" w:right="0"/>
              <w:rPr>
                <w:rFonts w:ascii="宋体" w:hAnsi="宋体" w:eastAsia="宋体" w:cs="宋体"/>
              </w:rPr>
            </w:pP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9903CD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斜视图</w:t>
            </w:r>
          </w:p>
        </w:tc>
      </w:tr>
      <w:tr w14:paraId="1266FDF4">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8F4B10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121B9FE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4C48CCD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1.选择模型，设置剖切面种类，拖动剖切位置，能自动显示剖切后的形状和三视图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A6B304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剖视图</w:t>
            </w:r>
          </w:p>
        </w:tc>
      </w:tr>
      <w:tr w14:paraId="5364B79F">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07E9B27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3F84071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6F4325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9060B2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单一剖切面</w:t>
            </w:r>
          </w:p>
        </w:tc>
      </w:tr>
      <w:tr w14:paraId="5BFDB3CD">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0CD8C1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1AD2D19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5B643C1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2A61AF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单一剖切柱面</w:t>
            </w:r>
          </w:p>
        </w:tc>
      </w:tr>
      <w:tr w14:paraId="7939BFDC">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9F2C46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4BC6730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2E9EC1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97F3CB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几个平行剖切平面</w:t>
            </w:r>
          </w:p>
        </w:tc>
      </w:tr>
      <w:tr w14:paraId="1189E37B">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5D4AC9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82ED9C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579E04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DBFB28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几个平行剖切平面</w:t>
            </w:r>
          </w:p>
        </w:tc>
      </w:tr>
      <w:tr w14:paraId="32BE6AEE">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C73CCB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6B572F9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0C6EDE9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完整可拆分，强力磁铁磁吸，剖切面不同颜色显示，倾斜部分可旋转</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E1A82F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几个相交剖切平面</w:t>
            </w:r>
          </w:p>
        </w:tc>
      </w:tr>
      <w:tr w14:paraId="4C3311A1">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0DCDEB5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3565AA3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0A61B28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两个图相结合，要求模型完整可拆分，强力磁铁磁吸，剖切面不同颜色显示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3E9B11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半剖视图</w:t>
            </w:r>
          </w:p>
        </w:tc>
      </w:tr>
      <w:tr w14:paraId="53526087">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0F572E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82032D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B42D1F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526EA3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局部剖</w:t>
            </w:r>
          </w:p>
        </w:tc>
      </w:tr>
      <w:tr w14:paraId="4B67A8B6">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0B50FD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6CE7DAE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B0079D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42178E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全剖</w:t>
            </w:r>
          </w:p>
        </w:tc>
      </w:tr>
      <w:tr w14:paraId="40F9C7E5">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1CB1710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任务二 认识剖视图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A4CD85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BEEB0D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5A851B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全剖</w:t>
            </w:r>
          </w:p>
        </w:tc>
      </w:tr>
      <w:tr w14:paraId="7812BF7A">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843A87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任务三 认识断面图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281B16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1CD2D89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1.拖动剖切面位置，能自动显示是断面形状及移出断面图</w:t>
            </w:r>
            <w:r>
              <w:rPr>
                <w:rFonts w:hint="eastAsia" w:ascii="宋体" w:hAnsi="宋体" w:eastAsia="宋体" w:cs="宋体"/>
                <w:lang w:eastAsia="zh-CN" w:bidi="ar"/>
              </w:rPr>
              <w:br w:type="textWrapping"/>
            </w:r>
            <w:r>
              <w:rPr>
                <w:rFonts w:hint="eastAsia" w:ascii="宋体" w:hAnsi="宋体" w:eastAsia="宋体" w:cs="宋体"/>
                <w:lang w:eastAsia="zh-CN" w:bidi="ar"/>
              </w:rPr>
              <w:t>2.选择移出断面图，能自动定位到断面位置并展示三维模型</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7761E5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移出断面图</w:t>
            </w:r>
          </w:p>
        </w:tc>
      </w:tr>
      <w:tr w14:paraId="5EF03639">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7786D86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任务三 认识断面图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83E288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E96140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完整可拆分，强力磁铁磁吸，剖切面不同颜色显示，图形有修改</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B3E9B0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移出断面图，项目五零件图重复利用</w:t>
            </w:r>
          </w:p>
        </w:tc>
      </w:tr>
      <w:tr w14:paraId="253CF633">
        <w:tblPrEx>
          <w:tblCellMar>
            <w:top w:w="0" w:type="dxa"/>
            <w:left w:w="108" w:type="dxa"/>
            <w:bottom w:w="0" w:type="dxa"/>
            <w:right w:w="108" w:type="dxa"/>
          </w:tblCellMar>
        </w:tblPrEx>
        <w:trPr>
          <w:trHeight w:val="1297"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8848F6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任务三 认识断面图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CABEEB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4D33FE2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1.拖动断面图位置，能自动更新标注</w:t>
            </w:r>
            <w:r>
              <w:rPr>
                <w:rFonts w:hint="eastAsia" w:ascii="宋体" w:hAnsi="宋体" w:eastAsia="宋体" w:cs="宋体"/>
                <w:lang w:eastAsia="zh-CN" w:bidi="ar"/>
              </w:rPr>
              <w:br w:type="textWrapping"/>
            </w:r>
            <w:r>
              <w:rPr>
                <w:rFonts w:hint="eastAsia" w:ascii="宋体" w:hAnsi="宋体" w:eastAsia="宋体" w:cs="宋体"/>
                <w:lang w:eastAsia="zh-CN" w:bidi="ar"/>
              </w:rPr>
              <w:t>2.选择标注完整情况（省略箭头、省略字母、省略剖切符号等），能自动更新断面图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03270D1">
            <w:pPr>
              <w:keepNext w:val="0"/>
              <w:keepLines w:val="0"/>
              <w:widowControl/>
              <w:suppressLineNumbers w:val="0"/>
              <w:spacing w:before="0" w:beforeAutospacing="0" w:after="0" w:afterAutospacing="0"/>
              <w:ind w:left="0" w:right="0"/>
              <w:rPr>
                <w:rFonts w:ascii="宋体" w:hAnsi="宋体" w:eastAsia="宋体" w:cs="宋体"/>
                <w:lang w:eastAsia="zh-CN"/>
              </w:rPr>
            </w:pPr>
          </w:p>
        </w:tc>
      </w:tr>
      <w:tr w14:paraId="5002FC0B">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3F632D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任务三 认识断面图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2168DEE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62258F8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1.拖动剖切面位置，能自动显示是断面形状及重合断面图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FD9CA6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对称重合断面图</w:t>
            </w:r>
          </w:p>
        </w:tc>
      </w:tr>
      <w:tr w14:paraId="0D2B1B03">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D1C6D9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任务三 认识断面图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4D96FFB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10E5622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1.拖动剖切面位置，能自动显示是断面形状及重合断面图</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7FC930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不对称重合断面图</w:t>
            </w:r>
          </w:p>
        </w:tc>
      </w:tr>
      <w:tr w14:paraId="146644BA">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4966B4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任务四 其他表示法</w:t>
            </w:r>
          </w:p>
        </w:tc>
        <w:tc>
          <w:tcPr>
            <w:tcW w:w="1177" w:type="dxa"/>
            <w:tcBorders>
              <w:top w:val="single" w:color="000000" w:sz="4" w:space="0"/>
              <w:left w:val="single" w:color="000000" w:sz="4" w:space="0"/>
              <w:bottom w:val="single" w:color="000000" w:sz="4" w:space="0"/>
              <w:right w:val="single" w:color="000000" w:sz="4" w:space="0"/>
            </w:tcBorders>
            <w:vAlign w:val="center"/>
          </w:tcPr>
          <w:p w14:paraId="125B697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1F69F4D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6D89300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肋板</w:t>
            </w:r>
          </w:p>
        </w:tc>
      </w:tr>
      <w:tr w14:paraId="4E7E84BD">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734C65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任务四 其他表示法</w:t>
            </w:r>
          </w:p>
        </w:tc>
        <w:tc>
          <w:tcPr>
            <w:tcW w:w="1177" w:type="dxa"/>
            <w:tcBorders>
              <w:top w:val="single" w:color="000000" w:sz="4" w:space="0"/>
              <w:left w:val="single" w:color="000000" w:sz="4" w:space="0"/>
              <w:bottom w:val="single" w:color="000000" w:sz="4" w:space="0"/>
              <w:right w:val="single" w:color="000000" w:sz="4" w:space="0"/>
            </w:tcBorders>
            <w:vAlign w:val="center"/>
          </w:tcPr>
          <w:p w14:paraId="1B33EC3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8D595F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CD82D0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轮辐</w:t>
            </w:r>
          </w:p>
        </w:tc>
      </w:tr>
      <w:tr w14:paraId="12A53E9D">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0460FFD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螺纹、螺纹紧固件</w:t>
            </w:r>
          </w:p>
        </w:tc>
        <w:tc>
          <w:tcPr>
            <w:tcW w:w="1177" w:type="dxa"/>
            <w:tcBorders>
              <w:top w:val="single" w:color="000000" w:sz="4" w:space="0"/>
              <w:left w:val="single" w:color="000000" w:sz="4" w:space="0"/>
              <w:bottom w:val="single" w:color="000000" w:sz="4" w:space="0"/>
              <w:right w:val="single" w:color="000000" w:sz="4" w:space="0"/>
            </w:tcBorders>
            <w:vAlign w:val="center"/>
          </w:tcPr>
          <w:p w14:paraId="19F0163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6567F0B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46098A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螺栓连接</w:t>
            </w:r>
          </w:p>
        </w:tc>
      </w:tr>
      <w:tr w14:paraId="2585E7E8">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EAAFB2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螺纹、螺纹紧固件</w:t>
            </w:r>
          </w:p>
        </w:tc>
        <w:tc>
          <w:tcPr>
            <w:tcW w:w="1177" w:type="dxa"/>
            <w:tcBorders>
              <w:top w:val="single" w:color="000000" w:sz="4" w:space="0"/>
              <w:left w:val="single" w:color="000000" w:sz="4" w:space="0"/>
              <w:bottom w:val="single" w:color="000000" w:sz="4" w:space="0"/>
              <w:right w:val="single" w:color="000000" w:sz="4" w:space="0"/>
            </w:tcBorders>
            <w:vAlign w:val="center"/>
          </w:tcPr>
          <w:p w14:paraId="33127C8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54DB5F4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88E046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双头螺柱连接</w:t>
            </w:r>
          </w:p>
        </w:tc>
      </w:tr>
      <w:tr w14:paraId="28D2C93E">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552FFF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螺纹、螺纹紧固件</w:t>
            </w:r>
          </w:p>
        </w:tc>
        <w:tc>
          <w:tcPr>
            <w:tcW w:w="1177" w:type="dxa"/>
            <w:tcBorders>
              <w:top w:val="single" w:color="000000" w:sz="4" w:space="0"/>
              <w:left w:val="single" w:color="000000" w:sz="4" w:space="0"/>
              <w:bottom w:val="single" w:color="000000" w:sz="4" w:space="0"/>
              <w:right w:val="single" w:color="000000" w:sz="4" w:space="0"/>
            </w:tcBorders>
            <w:vAlign w:val="center"/>
          </w:tcPr>
          <w:p w14:paraId="11F2667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8FE579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3629278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螺钉连接</w:t>
            </w:r>
          </w:p>
        </w:tc>
      </w:tr>
      <w:tr w14:paraId="02166981">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679A9B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螺纹、螺纹紧固件</w:t>
            </w:r>
          </w:p>
        </w:tc>
        <w:tc>
          <w:tcPr>
            <w:tcW w:w="1177" w:type="dxa"/>
            <w:tcBorders>
              <w:top w:val="single" w:color="000000" w:sz="4" w:space="0"/>
              <w:left w:val="single" w:color="000000" w:sz="4" w:space="0"/>
              <w:bottom w:val="single" w:color="000000" w:sz="4" w:space="0"/>
              <w:right w:val="single" w:color="000000" w:sz="4" w:space="0"/>
            </w:tcBorders>
            <w:vAlign w:val="center"/>
          </w:tcPr>
          <w:p w14:paraId="5AD4A14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FA65C8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538E12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紧定螺钉</w:t>
            </w:r>
          </w:p>
        </w:tc>
      </w:tr>
      <w:tr w14:paraId="6F220849">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0F0760D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任务四 滚动轴承</w:t>
            </w:r>
          </w:p>
        </w:tc>
        <w:tc>
          <w:tcPr>
            <w:tcW w:w="1177" w:type="dxa"/>
            <w:tcBorders>
              <w:top w:val="single" w:color="000000" w:sz="4" w:space="0"/>
              <w:left w:val="single" w:color="000000" w:sz="4" w:space="0"/>
              <w:bottom w:val="single" w:color="000000" w:sz="4" w:space="0"/>
              <w:right w:val="single" w:color="000000" w:sz="4" w:space="0"/>
            </w:tcBorders>
            <w:vAlign w:val="center"/>
          </w:tcPr>
          <w:p w14:paraId="79E6B3A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245299D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完整可拆分</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463421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滚动轴承</w:t>
            </w:r>
          </w:p>
        </w:tc>
      </w:tr>
      <w:tr w14:paraId="2CA4EB44">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2703937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任务三 识读轴套类零件图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7DFDE85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030D1F0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模型局部放大</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1BCD6E2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砂轮越程槽</w:t>
            </w:r>
          </w:p>
        </w:tc>
      </w:tr>
      <w:tr w14:paraId="32706CEF">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6A70D7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任务三 识读轴套类零件图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96205A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526CAE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468B5F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中心孔</w:t>
            </w:r>
          </w:p>
        </w:tc>
      </w:tr>
      <w:tr w14:paraId="79324858">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5868D2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任务三 识读轴套类零件图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1802E0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028C2A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04BB3F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轴套类零件</w:t>
            </w:r>
          </w:p>
        </w:tc>
      </w:tr>
      <w:tr w14:paraId="62EF6E6E">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7518B1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任务四 识读叉架类零件图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6EF2ACB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54F970B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DD5B06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叉架类零件</w:t>
            </w:r>
          </w:p>
        </w:tc>
      </w:tr>
      <w:tr w14:paraId="6ADE532D">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1C9778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任务四 识读叉架类零件图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6FA66F0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1E2ED78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559E74A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过渡线</w:t>
            </w:r>
          </w:p>
        </w:tc>
      </w:tr>
      <w:tr w14:paraId="31137D04">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2FC865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任务五 识读箱体类零件图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06F2776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0039D6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2865AC0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箱体类零件</w:t>
            </w:r>
          </w:p>
        </w:tc>
      </w:tr>
      <w:tr w14:paraId="5CE65422">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4AFBF60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任务一 识读装配图</w:t>
            </w:r>
          </w:p>
        </w:tc>
        <w:tc>
          <w:tcPr>
            <w:tcW w:w="1177" w:type="dxa"/>
            <w:tcBorders>
              <w:top w:val="single" w:color="000000" w:sz="4" w:space="0"/>
              <w:left w:val="single" w:color="000000" w:sz="4" w:space="0"/>
              <w:bottom w:val="single" w:color="000000" w:sz="4" w:space="0"/>
              <w:right w:val="single" w:color="000000" w:sz="4" w:space="0"/>
            </w:tcBorders>
            <w:vAlign w:val="center"/>
          </w:tcPr>
          <w:p w14:paraId="5A61185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E43C6B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各零件不同颜色区分，整体可多次拆装，传动灵敏</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0DC81B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齿轮泵装配图</w:t>
            </w:r>
          </w:p>
        </w:tc>
      </w:tr>
      <w:tr w14:paraId="56DC38EC">
        <w:tblPrEx>
          <w:tblCellMar>
            <w:top w:w="0" w:type="dxa"/>
            <w:left w:w="108" w:type="dxa"/>
            <w:bottom w:w="0" w:type="dxa"/>
            <w:right w:w="108" w:type="dxa"/>
          </w:tblCellMar>
        </w:tblPrEx>
        <w:trPr>
          <w:trHeight w:val="653"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5F7489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牟合方盖</w:t>
            </w:r>
          </w:p>
        </w:tc>
        <w:tc>
          <w:tcPr>
            <w:tcW w:w="1177" w:type="dxa"/>
            <w:tcBorders>
              <w:top w:val="single" w:color="000000" w:sz="4" w:space="0"/>
              <w:left w:val="single" w:color="000000" w:sz="4" w:space="0"/>
              <w:bottom w:val="single" w:color="000000" w:sz="4" w:space="0"/>
              <w:right w:val="single" w:color="000000" w:sz="4" w:space="0"/>
            </w:tcBorders>
            <w:vAlign w:val="center"/>
          </w:tcPr>
          <w:p w14:paraId="67BCA0E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3272E1C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完整可拆分，强力磁铁磁吸，剖切面不同颜色显示</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DB75CF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形成互动式</w:t>
            </w:r>
          </w:p>
        </w:tc>
      </w:tr>
      <w:tr w14:paraId="085751DB">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349884D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圆柱切割</w:t>
            </w:r>
          </w:p>
        </w:tc>
        <w:tc>
          <w:tcPr>
            <w:tcW w:w="1177" w:type="dxa"/>
            <w:tcBorders>
              <w:top w:val="single" w:color="000000" w:sz="4" w:space="0"/>
              <w:left w:val="single" w:color="000000" w:sz="4" w:space="0"/>
              <w:bottom w:val="single" w:color="000000" w:sz="4" w:space="0"/>
              <w:right w:val="single" w:color="000000" w:sz="4" w:space="0"/>
            </w:tcBorders>
            <w:vAlign w:val="center"/>
          </w:tcPr>
          <w:p w14:paraId="02482A1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765F2F78">
            <w:pPr>
              <w:keepNext w:val="0"/>
              <w:keepLines w:val="0"/>
              <w:widowControl/>
              <w:suppressLineNumbers w:val="0"/>
              <w:spacing w:before="0" w:beforeAutospacing="0" w:after="0" w:afterAutospacing="0"/>
              <w:ind w:left="0" w:right="0"/>
              <w:rPr>
                <w:rFonts w:ascii="宋体" w:hAnsi="宋体" w:eastAsia="宋体" w:cs="宋体"/>
              </w:rPr>
            </w:pP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0C7552F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各种常见类型5个左右</w:t>
            </w:r>
          </w:p>
        </w:tc>
      </w:tr>
      <w:tr w14:paraId="1750E835">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B95A52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球切割</w:t>
            </w:r>
          </w:p>
        </w:tc>
        <w:tc>
          <w:tcPr>
            <w:tcW w:w="1177" w:type="dxa"/>
            <w:tcBorders>
              <w:top w:val="single" w:color="000000" w:sz="4" w:space="0"/>
              <w:left w:val="single" w:color="000000" w:sz="4" w:space="0"/>
              <w:bottom w:val="single" w:color="000000" w:sz="4" w:space="0"/>
              <w:right w:val="single" w:color="000000" w:sz="4" w:space="0"/>
            </w:tcBorders>
            <w:vAlign w:val="center"/>
          </w:tcPr>
          <w:p w14:paraId="2C9D432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216FC33">
            <w:pPr>
              <w:keepNext w:val="0"/>
              <w:keepLines w:val="0"/>
              <w:widowControl/>
              <w:suppressLineNumbers w:val="0"/>
              <w:spacing w:before="0" w:beforeAutospacing="0" w:after="0" w:afterAutospacing="0"/>
              <w:ind w:left="0" w:right="0"/>
              <w:rPr>
                <w:rFonts w:ascii="宋体" w:hAnsi="宋体" w:eastAsia="宋体" w:cs="宋体"/>
              </w:rPr>
            </w:pP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F89A806">
            <w:pPr>
              <w:keepNext w:val="0"/>
              <w:keepLines w:val="0"/>
              <w:widowControl/>
              <w:suppressLineNumbers w:val="0"/>
              <w:spacing w:before="0" w:beforeAutospacing="0" w:after="0" w:afterAutospacing="0"/>
              <w:ind w:left="0" w:right="0"/>
              <w:rPr>
                <w:rFonts w:ascii="宋体" w:hAnsi="宋体" w:eastAsia="宋体" w:cs="宋体"/>
              </w:rPr>
            </w:pPr>
          </w:p>
        </w:tc>
      </w:tr>
      <w:tr w14:paraId="7E9FA997">
        <w:tblPrEx>
          <w:tblCellMar>
            <w:top w:w="0" w:type="dxa"/>
            <w:left w:w="108" w:type="dxa"/>
            <w:bottom w:w="0" w:type="dxa"/>
            <w:right w:w="108" w:type="dxa"/>
          </w:tblCellMar>
        </w:tblPrEx>
        <w:trPr>
          <w:trHeight w:val="33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523EF1D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典型模型</w:t>
            </w:r>
          </w:p>
        </w:tc>
        <w:tc>
          <w:tcPr>
            <w:tcW w:w="1177" w:type="dxa"/>
            <w:tcBorders>
              <w:top w:val="single" w:color="000000" w:sz="4" w:space="0"/>
              <w:left w:val="single" w:color="000000" w:sz="4" w:space="0"/>
              <w:bottom w:val="single" w:color="000000" w:sz="4" w:space="0"/>
              <w:right w:val="single" w:color="000000" w:sz="4" w:space="0"/>
            </w:tcBorders>
            <w:vAlign w:val="center"/>
          </w:tcPr>
          <w:p w14:paraId="308B4E5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数字资源</w:t>
            </w:r>
          </w:p>
        </w:tc>
        <w:tc>
          <w:tcPr>
            <w:tcW w:w="4454" w:type="dxa"/>
            <w:tcBorders>
              <w:top w:val="single" w:color="000000" w:sz="4" w:space="0"/>
              <w:left w:val="single" w:color="000000" w:sz="4" w:space="0"/>
              <w:bottom w:val="single" w:color="000000" w:sz="4" w:space="0"/>
              <w:right w:val="single" w:color="000000" w:sz="4" w:space="0"/>
            </w:tcBorders>
            <w:vAlign w:val="center"/>
          </w:tcPr>
          <w:p w14:paraId="5C9A085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学生可互动</w:t>
            </w: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4D7FDF5F">
            <w:pPr>
              <w:keepNext w:val="0"/>
              <w:keepLines w:val="0"/>
              <w:widowControl/>
              <w:suppressLineNumbers w:val="0"/>
              <w:spacing w:before="0" w:beforeAutospacing="0" w:after="0" w:afterAutospacing="0"/>
              <w:ind w:left="0" w:right="0"/>
              <w:rPr>
                <w:rFonts w:ascii="宋体" w:hAnsi="宋体" w:eastAsia="宋体" w:cs="宋体"/>
              </w:rPr>
            </w:pPr>
          </w:p>
        </w:tc>
      </w:tr>
      <w:tr w14:paraId="2DDB8164">
        <w:tblPrEx>
          <w:tblCellMar>
            <w:top w:w="0" w:type="dxa"/>
            <w:left w:w="108" w:type="dxa"/>
            <w:bottom w:w="0" w:type="dxa"/>
            <w:right w:w="108" w:type="dxa"/>
          </w:tblCellMar>
        </w:tblPrEx>
        <w:trPr>
          <w:trHeight w:val="342" w:hRule="atLeast"/>
        </w:trPr>
        <w:tc>
          <w:tcPr>
            <w:tcW w:w="1025" w:type="dxa"/>
            <w:tcBorders>
              <w:top w:val="single" w:color="000000" w:sz="4" w:space="0"/>
              <w:left w:val="single" w:color="000000" w:sz="4" w:space="0"/>
              <w:bottom w:val="single" w:color="000000" w:sz="4" w:space="0"/>
              <w:right w:val="single" w:color="000000" w:sz="4" w:space="0"/>
            </w:tcBorders>
            <w:noWrap/>
            <w:vAlign w:val="center"/>
          </w:tcPr>
          <w:p w14:paraId="6263E69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典型模型</w:t>
            </w:r>
          </w:p>
        </w:tc>
        <w:tc>
          <w:tcPr>
            <w:tcW w:w="1177" w:type="dxa"/>
            <w:tcBorders>
              <w:top w:val="single" w:color="000000" w:sz="4" w:space="0"/>
              <w:left w:val="single" w:color="000000" w:sz="4" w:space="0"/>
              <w:bottom w:val="single" w:color="000000" w:sz="4" w:space="0"/>
              <w:right w:val="single" w:color="000000" w:sz="4" w:space="0"/>
            </w:tcBorders>
            <w:vAlign w:val="center"/>
          </w:tcPr>
          <w:p w14:paraId="3895E70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实体模型</w:t>
            </w:r>
          </w:p>
        </w:tc>
        <w:tc>
          <w:tcPr>
            <w:tcW w:w="4454" w:type="dxa"/>
            <w:tcBorders>
              <w:top w:val="single" w:color="000000" w:sz="4" w:space="0"/>
              <w:left w:val="single" w:color="000000" w:sz="4" w:space="0"/>
              <w:bottom w:val="single" w:color="000000" w:sz="4" w:space="0"/>
              <w:right w:val="single" w:color="000000" w:sz="4" w:space="0"/>
            </w:tcBorders>
            <w:vAlign w:val="center"/>
          </w:tcPr>
          <w:p w14:paraId="4BF0EB1F">
            <w:pPr>
              <w:keepNext w:val="0"/>
              <w:keepLines w:val="0"/>
              <w:widowControl/>
              <w:suppressLineNumbers w:val="0"/>
              <w:spacing w:before="0" w:beforeAutospacing="0" w:after="0" w:afterAutospacing="0"/>
              <w:ind w:left="0" w:right="0"/>
              <w:rPr>
                <w:rFonts w:ascii="宋体" w:hAnsi="宋体" w:eastAsia="宋体" w:cs="宋体"/>
              </w:rPr>
            </w:pPr>
          </w:p>
        </w:tc>
        <w:tc>
          <w:tcPr>
            <w:tcW w:w="1773" w:type="dxa"/>
            <w:tcBorders>
              <w:top w:val="single" w:color="000000" w:sz="4" w:space="0"/>
              <w:left w:val="single" w:color="000000" w:sz="4" w:space="0"/>
              <w:bottom w:val="single" w:color="000000" w:sz="4" w:space="0"/>
              <w:right w:val="single" w:color="000000" w:sz="4" w:space="0"/>
            </w:tcBorders>
            <w:noWrap/>
            <w:vAlign w:val="center"/>
          </w:tcPr>
          <w:p w14:paraId="7B2C8B4C">
            <w:pPr>
              <w:keepNext w:val="0"/>
              <w:keepLines w:val="0"/>
              <w:widowControl/>
              <w:suppressLineNumbers w:val="0"/>
              <w:spacing w:before="0" w:beforeAutospacing="0" w:after="0" w:afterAutospacing="0"/>
              <w:ind w:left="0" w:right="0"/>
              <w:rPr>
                <w:rFonts w:ascii="宋体" w:hAnsi="宋体" w:eastAsia="宋体" w:cs="宋体"/>
              </w:rPr>
            </w:pPr>
          </w:p>
        </w:tc>
      </w:tr>
    </w:tbl>
    <w:p w14:paraId="7F7C2861">
      <w:pPr>
        <w:pStyle w:val="10"/>
        <w:ind w:firstLine="422" w:firstLineChars="200"/>
        <w:rPr>
          <w:rFonts w:ascii="宋体" w:hAnsi="宋体"/>
          <w:sz w:val="21"/>
          <w:szCs w:val="21"/>
          <w:lang w:eastAsia="zh-CN"/>
        </w:rPr>
      </w:pPr>
      <w:r>
        <w:rPr>
          <w:rFonts w:hint="eastAsia" w:ascii="宋体" w:hAnsi="宋体"/>
          <w:bCs/>
          <w:sz w:val="21"/>
          <w:szCs w:val="21"/>
          <w:lang w:eastAsia="zh-CN"/>
        </w:rPr>
        <w:t>（3）.《零件测量与控制技术</w:t>
      </w:r>
      <w:r>
        <w:rPr>
          <w:rFonts w:hint="eastAsia" w:ascii="宋体" w:hAnsi="宋体"/>
          <w:sz w:val="21"/>
          <w:szCs w:val="21"/>
          <w:lang w:eastAsia="zh-CN"/>
        </w:rPr>
        <w:t>》教具库参数要求</w:t>
      </w:r>
    </w:p>
    <w:p w14:paraId="3F2103C8">
      <w:pPr>
        <w:numPr>
          <w:ilvl w:val="0"/>
          <w:numId w:val="42"/>
        </w:numPr>
        <w:rPr>
          <w:rFonts w:ascii="宋体" w:hAnsi="宋体" w:eastAsia="宋体" w:cs="宋体"/>
          <w:lang w:eastAsia="zh-CN"/>
        </w:rPr>
      </w:pPr>
      <w:r>
        <w:rPr>
          <w:rFonts w:hint="eastAsia" w:ascii="宋体" w:hAnsi="宋体" w:eastAsia="宋体" w:cs="宋体"/>
          <w:lang w:eastAsia="zh-CN"/>
        </w:rPr>
        <w:t>满足《零件测量与控制技术》基本教学要求。</w:t>
      </w:r>
    </w:p>
    <w:p w14:paraId="60C174C3">
      <w:pPr>
        <w:numPr>
          <w:ilvl w:val="0"/>
          <w:numId w:val="42"/>
        </w:numPr>
        <w:spacing w:line="360" w:lineRule="auto"/>
        <w:rPr>
          <w:rFonts w:ascii="宋体" w:hAnsi="宋体" w:eastAsia="宋体" w:cs="宋体"/>
          <w:lang w:eastAsia="zh-CN"/>
        </w:rPr>
      </w:pPr>
      <w:r>
        <w:rPr>
          <w:rFonts w:hint="eastAsia" w:ascii="宋体" w:hAnsi="宋体" w:eastAsia="宋体" w:cs="宋体"/>
          <w:lang w:eastAsia="zh-CN"/>
        </w:rPr>
        <w:t>根据教学需要，配二维与三维互动动画及建模数据库。</w:t>
      </w:r>
    </w:p>
    <w:p w14:paraId="05945654">
      <w:pPr>
        <w:spacing w:line="360" w:lineRule="auto"/>
        <w:ind w:firstLine="420" w:firstLineChars="200"/>
        <w:rPr>
          <w:rFonts w:ascii="宋体" w:hAnsi="宋体" w:eastAsia="宋体" w:cs="宋体"/>
          <w:b/>
          <w:lang w:eastAsia="zh-CN"/>
        </w:rPr>
      </w:pPr>
      <w:r>
        <w:rPr>
          <w:rFonts w:hint="eastAsia" w:ascii="宋体" w:hAnsi="宋体" w:eastAsia="宋体" w:cs="宋体"/>
          <w:lang w:eastAsia="zh-CN"/>
        </w:rPr>
        <w:t>《零件测量与控制技术》数据库的具体要求如下表。</w:t>
      </w:r>
    </w:p>
    <w:tbl>
      <w:tblPr>
        <w:tblStyle w:val="25"/>
        <w:tblW w:w="5000" w:type="pct"/>
        <w:tblInd w:w="0" w:type="dxa"/>
        <w:tblLayout w:type="fixed"/>
        <w:tblCellMar>
          <w:top w:w="0" w:type="dxa"/>
          <w:left w:w="108" w:type="dxa"/>
          <w:bottom w:w="0" w:type="dxa"/>
          <w:right w:w="108" w:type="dxa"/>
        </w:tblCellMar>
      </w:tblPr>
      <w:tblGrid>
        <w:gridCol w:w="1029"/>
        <w:gridCol w:w="1811"/>
        <w:gridCol w:w="3119"/>
        <w:gridCol w:w="3328"/>
      </w:tblGrid>
      <w:tr w14:paraId="66C7885B">
        <w:tblPrEx>
          <w:tblCellMar>
            <w:top w:w="0" w:type="dxa"/>
            <w:left w:w="108" w:type="dxa"/>
            <w:bottom w:w="0" w:type="dxa"/>
            <w:right w:w="108" w:type="dxa"/>
          </w:tblCellMar>
        </w:tblPrEx>
        <w:trPr>
          <w:trHeight w:val="500" w:hRule="atLeast"/>
        </w:trPr>
        <w:tc>
          <w:tcPr>
            <w:tcW w:w="554" w:type="pct"/>
            <w:tcBorders>
              <w:top w:val="single" w:color="000000" w:sz="4" w:space="0"/>
              <w:left w:val="single" w:color="000000" w:sz="4" w:space="0"/>
              <w:bottom w:val="single" w:color="000000" w:sz="4" w:space="0"/>
              <w:right w:val="single" w:color="000000" w:sz="4" w:space="0"/>
            </w:tcBorders>
            <w:noWrap/>
            <w:vAlign w:val="center"/>
          </w:tcPr>
          <w:p w14:paraId="3DDDCB1E">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任务</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8651307">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知识点</w:t>
            </w:r>
          </w:p>
        </w:tc>
        <w:tc>
          <w:tcPr>
            <w:tcW w:w="1678" w:type="pct"/>
            <w:tcBorders>
              <w:top w:val="single" w:color="000000" w:sz="4" w:space="0"/>
              <w:left w:val="single" w:color="000000" w:sz="4" w:space="0"/>
              <w:bottom w:val="single" w:color="000000" w:sz="4" w:space="0"/>
              <w:right w:val="single" w:color="000000" w:sz="4" w:space="0"/>
            </w:tcBorders>
            <w:vAlign w:val="center"/>
          </w:tcPr>
          <w:p w14:paraId="36D55EF8">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功能要求</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199C2D1">
            <w:pPr>
              <w:keepNext w:val="0"/>
              <w:keepLines w:val="0"/>
              <w:widowControl/>
              <w:suppressLineNumbers w:val="0"/>
              <w:spacing w:before="0" w:beforeAutospacing="0" w:after="0" w:afterAutospacing="0"/>
              <w:ind w:left="0" w:right="0"/>
              <w:jc w:val="center"/>
              <w:textAlignment w:val="center"/>
              <w:rPr>
                <w:rFonts w:ascii="宋体" w:hAnsi="宋体" w:eastAsia="宋体" w:cs="宋体"/>
                <w:b/>
                <w:bCs/>
              </w:rPr>
            </w:pPr>
            <w:r>
              <w:rPr>
                <w:rFonts w:hint="eastAsia" w:ascii="宋体" w:hAnsi="宋体" w:eastAsia="宋体" w:cs="宋体"/>
                <w:b/>
                <w:bCs/>
                <w:lang w:eastAsia="zh-CN" w:bidi="ar"/>
              </w:rPr>
              <w:t>功能参考图示1</w:t>
            </w:r>
          </w:p>
        </w:tc>
      </w:tr>
      <w:tr w14:paraId="53417958">
        <w:tblPrEx>
          <w:tblCellMar>
            <w:top w:w="0" w:type="dxa"/>
            <w:left w:w="108" w:type="dxa"/>
            <w:bottom w:w="0" w:type="dxa"/>
            <w:right w:w="108" w:type="dxa"/>
          </w:tblCellMar>
        </w:tblPrEx>
        <w:trPr>
          <w:trHeight w:val="1700" w:hRule="atLeast"/>
        </w:trPr>
        <w:tc>
          <w:tcPr>
            <w:tcW w:w="554" w:type="pct"/>
            <w:tcBorders>
              <w:top w:val="single" w:color="000000" w:sz="4" w:space="0"/>
              <w:left w:val="single" w:color="000000" w:sz="4" w:space="0"/>
              <w:bottom w:val="single" w:color="000000" w:sz="4" w:space="0"/>
              <w:right w:val="single" w:color="000000" w:sz="4" w:space="0"/>
            </w:tcBorders>
            <w:vAlign w:val="center"/>
          </w:tcPr>
          <w:p w14:paraId="4364A51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任务二 认识尺寸公差</w:t>
            </w:r>
            <w:r>
              <w:rPr>
                <w:rFonts w:hint="eastAsia" w:ascii="宋体" w:hAnsi="宋体" w:eastAsia="宋体" w:cs="宋体"/>
                <w:lang w:eastAsia="zh-CN" w:bidi="ar"/>
              </w:rPr>
              <w:br w:type="textWrapping"/>
            </w:r>
            <w:r>
              <w:rPr>
                <w:rFonts w:hint="eastAsia" w:ascii="宋体" w:hAnsi="宋体" w:eastAsia="宋体" w:cs="宋体"/>
                <w:lang w:eastAsia="zh-CN" w:bidi="ar"/>
              </w:rPr>
              <w:t>任务三 认识配合与配合制</w:t>
            </w:r>
          </w:p>
        </w:tc>
        <w:tc>
          <w:tcPr>
            <w:tcW w:w="975" w:type="pct"/>
            <w:tcBorders>
              <w:top w:val="single" w:color="000000" w:sz="4" w:space="0"/>
              <w:left w:val="single" w:color="000000" w:sz="4" w:space="0"/>
              <w:bottom w:val="single" w:color="000000" w:sz="4" w:space="0"/>
              <w:right w:val="single" w:color="000000" w:sz="4" w:space="0"/>
            </w:tcBorders>
            <w:vAlign w:val="center"/>
          </w:tcPr>
          <w:p w14:paraId="25252ED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1.公差带及公差带图</w:t>
            </w:r>
            <w:r>
              <w:rPr>
                <w:rFonts w:hint="eastAsia" w:ascii="宋体" w:hAnsi="宋体" w:eastAsia="宋体" w:cs="宋体"/>
                <w:lang w:eastAsia="zh-CN" w:bidi="ar"/>
              </w:rPr>
              <w:br w:type="textWrapping"/>
            </w:r>
            <w:r>
              <w:rPr>
                <w:rFonts w:hint="eastAsia" w:ascii="宋体" w:hAnsi="宋体" w:eastAsia="宋体" w:cs="宋体"/>
                <w:lang w:eastAsia="zh-CN" w:bidi="ar"/>
              </w:rPr>
              <w:t>2.配合与配合制</w:t>
            </w:r>
          </w:p>
        </w:tc>
        <w:tc>
          <w:tcPr>
            <w:tcW w:w="1678" w:type="pct"/>
            <w:tcBorders>
              <w:top w:val="single" w:color="000000" w:sz="4" w:space="0"/>
              <w:left w:val="single" w:color="000000" w:sz="4" w:space="0"/>
              <w:bottom w:val="single" w:color="000000" w:sz="4" w:space="0"/>
              <w:right w:val="single" w:color="000000" w:sz="4" w:space="0"/>
            </w:tcBorders>
            <w:vAlign w:val="center"/>
          </w:tcPr>
          <w:p w14:paraId="1F1C01E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1.输入基本偏差代号与标准公差等级，能自动生成公差带图</w:t>
            </w:r>
            <w:r>
              <w:rPr>
                <w:rFonts w:hint="eastAsia" w:ascii="宋体" w:hAnsi="宋体" w:eastAsia="宋体" w:cs="宋体"/>
                <w:lang w:eastAsia="zh-CN" w:bidi="ar"/>
              </w:rPr>
              <w:br w:type="textWrapping"/>
            </w:r>
            <w:r>
              <w:rPr>
                <w:rFonts w:hint="eastAsia" w:ascii="宋体" w:hAnsi="宋体" w:eastAsia="宋体" w:cs="宋体"/>
                <w:lang w:eastAsia="zh-CN" w:bidi="ar"/>
              </w:rPr>
              <w:t>2.输入上、下极限偏差值，能自动生成公差带图</w:t>
            </w:r>
            <w:r>
              <w:rPr>
                <w:rFonts w:hint="eastAsia" w:ascii="宋体" w:hAnsi="宋体" w:eastAsia="宋体" w:cs="宋体"/>
                <w:lang w:eastAsia="zh-CN" w:bidi="ar"/>
              </w:rPr>
              <w:br w:type="textWrapping"/>
            </w:r>
            <w:r>
              <w:rPr>
                <w:rFonts w:hint="eastAsia" w:ascii="宋体" w:hAnsi="宋体" w:eastAsia="宋体" w:cs="宋体"/>
                <w:lang w:eastAsia="zh-CN" w:bidi="ar"/>
              </w:rPr>
              <w:t>3.能根据孔、轴公差带自动生成配合类型与极限盈隙值</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DBECC4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49450" cy="715645"/>
                  <wp:effectExtent l="0" t="0" r="3175" b="825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22"/>
                          <a:stretch>
                            <a:fillRect/>
                          </a:stretch>
                        </pic:blipFill>
                        <pic:spPr>
                          <a:xfrm>
                            <a:off x="0" y="0"/>
                            <a:ext cx="1949450" cy="7156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A667C76">
        <w:tblPrEx>
          <w:tblCellMar>
            <w:top w:w="0" w:type="dxa"/>
            <w:left w:w="108" w:type="dxa"/>
            <w:bottom w:w="0" w:type="dxa"/>
            <w:right w:w="108" w:type="dxa"/>
          </w:tblCellMar>
        </w:tblPrEx>
        <w:trPr>
          <w:trHeight w:val="3497"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4BBC7B6C">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任务一 外圆和长度尺寸的测量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593F7A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游标卡尺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43F0413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2.能自由调整游标尺的位置用于读数练习，并能自动生成正确读数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3.有外量爪、内量爪、深度尺的测量动画</w:t>
            </w:r>
            <w:r>
              <w:rPr>
                <w:rFonts w:hint="eastAsia" w:ascii="宋体" w:hAnsi="宋体" w:eastAsia="宋体" w:cs="宋体"/>
                <w:lang w:eastAsia="zh-CN" w:bidi="ar"/>
              </w:rPr>
              <w:br w:type="textWrapping"/>
            </w:r>
            <w:r>
              <w:rPr>
                <w:rFonts w:hint="eastAsia" w:ascii="宋体" w:hAnsi="宋体" w:eastAsia="宋体" w:cs="宋体"/>
                <w:lang w:eastAsia="zh-CN" w:bidi="ar"/>
              </w:rPr>
              <w:t>4.能切换0.02、0.05、0.1不同分度值</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F77A5F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83410" cy="967740"/>
                  <wp:effectExtent l="0" t="0" r="2540" b="381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23"/>
                          <a:stretch>
                            <a:fillRect/>
                          </a:stretch>
                        </pic:blipFill>
                        <pic:spPr>
                          <a:xfrm>
                            <a:off x="0" y="0"/>
                            <a:ext cx="1883410" cy="96774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6EC2110">
        <w:tblPrEx>
          <w:tblCellMar>
            <w:top w:w="0" w:type="dxa"/>
            <w:left w:w="108" w:type="dxa"/>
            <w:bottom w:w="0" w:type="dxa"/>
            <w:right w:w="108" w:type="dxa"/>
          </w:tblCellMar>
        </w:tblPrEx>
        <w:trPr>
          <w:trHeight w:val="2552"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DB570F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DC9F6B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识外径千分尺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7F4593A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2.能自由调整活动套筒的位置用于读数练习，并能自动生成正确读数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3.有测量直径、长度尺寸的动画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B8C604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31975" cy="918845"/>
                  <wp:effectExtent l="0" t="0" r="6350" b="508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24"/>
                          <a:stretch>
                            <a:fillRect/>
                          </a:stretch>
                        </pic:blipFill>
                        <pic:spPr>
                          <a:xfrm>
                            <a:off x="0" y="0"/>
                            <a:ext cx="1831975" cy="9188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7045834">
        <w:tblPrEx>
          <w:tblCellMar>
            <w:top w:w="0" w:type="dxa"/>
            <w:left w:w="108" w:type="dxa"/>
            <w:bottom w:w="0" w:type="dxa"/>
            <w:right w:w="108" w:type="dxa"/>
          </w:tblCellMar>
        </w:tblPrEx>
        <w:trPr>
          <w:trHeight w:val="2694"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52A07E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B8A9DF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深度游标卡尺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40C17FC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2.能自由调整尺身的位置用于读数练习，并能自动生成正确读数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3.有测量深度、台阶的动画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E1FBA5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666875" cy="897890"/>
                  <wp:effectExtent l="0" t="0" r="0" b="698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25"/>
                          <a:stretch>
                            <a:fillRect/>
                          </a:stretch>
                        </pic:blipFill>
                        <pic:spPr>
                          <a:xfrm>
                            <a:off x="0" y="0"/>
                            <a:ext cx="1666875" cy="89789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68C935D">
        <w:tblPrEx>
          <w:tblCellMar>
            <w:top w:w="0" w:type="dxa"/>
            <w:left w:w="108" w:type="dxa"/>
            <w:bottom w:w="0" w:type="dxa"/>
            <w:right w:w="108" w:type="dxa"/>
          </w:tblCellMar>
        </w:tblPrEx>
        <w:trPr>
          <w:trHeight w:val="4573"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1C92980">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6F25FE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量块</w:t>
            </w:r>
          </w:p>
        </w:tc>
        <w:tc>
          <w:tcPr>
            <w:tcW w:w="1678" w:type="pct"/>
            <w:tcBorders>
              <w:top w:val="single" w:color="000000" w:sz="4" w:space="0"/>
              <w:left w:val="single" w:color="000000" w:sz="4" w:space="0"/>
              <w:bottom w:val="single" w:color="000000" w:sz="4" w:space="0"/>
              <w:right w:val="single" w:color="000000" w:sz="4" w:space="0"/>
            </w:tcBorders>
            <w:vAlign w:val="center"/>
          </w:tcPr>
          <w:p w14:paraId="67CE7E5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2.有使用和主要事项动画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CA6053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"C:\\Users\\tx\\AppData\\Local\\Temp\\ksohtml\\clip_cell_image43.png"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72945" cy="1263015"/>
                  <wp:effectExtent l="0" t="0" r="0" b="381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26"/>
                          <a:stretch>
                            <a:fillRect/>
                          </a:stretch>
                        </pic:blipFill>
                        <pic:spPr>
                          <a:xfrm>
                            <a:off x="0" y="0"/>
                            <a:ext cx="1972945" cy="12630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A45CC1D">
        <w:tblPrEx>
          <w:tblCellMar>
            <w:top w:w="0" w:type="dxa"/>
            <w:left w:w="108" w:type="dxa"/>
            <w:bottom w:w="0" w:type="dxa"/>
            <w:right w:w="108" w:type="dxa"/>
          </w:tblCellMar>
        </w:tblPrEx>
        <w:trPr>
          <w:trHeight w:val="5433"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63875A88">
            <w:pPr>
              <w:keepNext w:val="0"/>
              <w:keepLines w:val="0"/>
              <w:widowControl/>
              <w:suppressLineNumbers w:val="0"/>
              <w:spacing w:before="0" w:beforeAutospacing="0" w:after="0" w:afterAutospacing="0"/>
              <w:ind w:left="0" w:right="0"/>
              <w:jc w:val="center"/>
              <w:textAlignment w:val="center"/>
              <w:rPr>
                <w:rFonts w:ascii="宋体" w:hAnsi="宋体" w:eastAsia="宋体" w:cs="宋体"/>
              </w:rPr>
            </w:pPr>
            <w:r>
              <w:rPr>
                <w:rFonts w:hint="eastAsia" w:ascii="宋体" w:hAnsi="宋体" w:eastAsia="宋体" w:cs="宋体"/>
                <w:lang w:eastAsia="zh-CN" w:bidi="ar"/>
              </w:rPr>
              <w:t>任务二 内孔的测量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C45E75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内径百分表</w:t>
            </w:r>
          </w:p>
        </w:tc>
        <w:tc>
          <w:tcPr>
            <w:tcW w:w="1678" w:type="pct"/>
            <w:tcBorders>
              <w:top w:val="single" w:color="000000" w:sz="4" w:space="0"/>
              <w:left w:val="single" w:color="000000" w:sz="4" w:space="0"/>
              <w:bottom w:val="single" w:color="000000" w:sz="4" w:space="0"/>
              <w:right w:val="single" w:color="000000" w:sz="4" w:space="0"/>
            </w:tcBorders>
            <w:vAlign w:val="center"/>
          </w:tcPr>
          <w:p w14:paraId="1C24736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2.能自由调整百分表指针的位置用于读数练习，并能自动生成正确读数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3.有测量孔经的动画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576B56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744980" cy="1610995"/>
                  <wp:effectExtent l="0" t="0" r="7620" b="8255"/>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27"/>
                          <a:stretch>
                            <a:fillRect/>
                          </a:stretch>
                        </pic:blipFill>
                        <pic:spPr>
                          <a:xfrm>
                            <a:off x="0" y="0"/>
                            <a:ext cx="1744980" cy="161099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76562C8">
        <w:tblPrEx>
          <w:tblCellMar>
            <w:top w:w="0" w:type="dxa"/>
            <w:left w:w="108" w:type="dxa"/>
            <w:bottom w:w="0" w:type="dxa"/>
            <w:right w:w="108" w:type="dxa"/>
          </w:tblCellMar>
        </w:tblPrEx>
        <w:trPr>
          <w:trHeight w:val="4507"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2A06531">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0FD5A9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内测千分尺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04616F4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2.能自由调整活动套筒的位置用于读数练习，并能自动生成正确读数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3.有测量孔经的动画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EDEED6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60245" cy="1405890"/>
                  <wp:effectExtent l="0" t="0" r="1905" b="3810"/>
                  <wp:docPr id="6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IMG_262"/>
                          <pic:cNvPicPr>
                            <a:picLocks noChangeAspect="1"/>
                          </pic:cNvPicPr>
                        </pic:nvPicPr>
                        <pic:blipFill>
                          <a:blip r:embed="rId28"/>
                          <a:stretch>
                            <a:fillRect/>
                          </a:stretch>
                        </pic:blipFill>
                        <pic:spPr>
                          <a:xfrm>
                            <a:off x="0" y="0"/>
                            <a:ext cx="1960245" cy="140589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DF7D999">
        <w:tblPrEx>
          <w:tblCellMar>
            <w:top w:w="0" w:type="dxa"/>
            <w:left w:w="108" w:type="dxa"/>
            <w:bottom w:w="0" w:type="dxa"/>
            <w:right w:w="108" w:type="dxa"/>
          </w:tblCellMar>
        </w:tblPrEx>
        <w:trPr>
          <w:trHeight w:val="408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0ECB021">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8E5626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内径干分只</w:t>
            </w:r>
          </w:p>
        </w:tc>
        <w:tc>
          <w:tcPr>
            <w:tcW w:w="1678" w:type="pct"/>
            <w:tcBorders>
              <w:top w:val="single" w:color="000000" w:sz="4" w:space="0"/>
              <w:left w:val="single" w:color="000000" w:sz="4" w:space="0"/>
              <w:bottom w:val="single" w:color="000000" w:sz="4" w:space="0"/>
              <w:right w:val="single" w:color="000000" w:sz="4" w:space="0"/>
            </w:tcBorders>
            <w:vAlign w:val="center"/>
          </w:tcPr>
          <w:p w14:paraId="7448F23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2.能自由调整活动套筒的位置用于读数练习，并能自动生成正确读数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3.有测量孔经的动画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F70E38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31670" cy="1611630"/>
                  <wp:effectExtent l="0" t="0" r="1905" b="7620"/>
                  <wp:docPr id="6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IMG_263"/>
                          <pic:cNvPicPr>
                            <a:picLocks noChangeAspect="1"/>
                          </pic:cNvPicPr>
                        </pic:nvPicPr>
                        <pic:blipFill>
                          <a:blip r:embed="rId29"/>
                          <a:stretch>
                            <a:fillRect/>
                          </a:stretch>
                        </pic:blipFill>
                        <pic:spPr>
                          <a:xfrm>
                            <a:off x="0" y="0"/>
                            <a:ext cx="1931670" cy="16116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B5C3AB1">
        <w:tblPrEx>
          <w:tblCellMar>
            <w:top w:w="0" w:type="dxa"/>
            <w:left w:w="108" w:type="dxa"/>
            <w:bottom w:w="0" w:type="dxa"/>
            <w:right w:w="108" w:type="dxa"/>
          </w:tblCellMar>
        </w:tblPrEx>
        <w:trPr>
          <w:trHeight w:val="412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59B1B2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039DAC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杠杆百分表</w:t>
            </w:r>
          </w:p>
        </w:tc>
        <w:tc>
          <w:tcPr>
            <w:tcW w:w="1678" w:type="pct"/>
            <w:tcBorders>
              <w:top w:val="single" w:color="000000" w:sz="4" w:space="0"/>
              <w:left w:val="single" w:color="000000" w:sz="4" w:space="0"/>
              <w:bottom w:val="single" w:color="000000" w:sz="4" w:space="0"/>
              <w:right w:val="single" w:color="000000" w:sz="4" w:space="0"/>
            </w:tcBorders>
            <w:vAlign w:val="center"/>
          </w:tcPr>
          <w:p w14:paraId="21E4335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2.能自由调整百分表指针的位置用于读数练习，并能自动生成正确读数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3.有测量的动画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005CB8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27555" cy="1478915"/>
                  <wp:effectExtent l="0" t="0" r="1270" b="6985"/>
                  <wp:docPr id="6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IMG_264"/>
                          <pic:cNvPicPr>
                            <a:picLocks noChangeAspect="1"/>
                          </pic:cNvPicPr>
                        </pic:nvPicPr>
                        <pic:blipFill>
                          <a:blip r:embed="rId30"/>
                          <a:stretch>
                            <a:fillRect/>
                          </a:stretch>
                        </pic:blipFill>
                        <pic:spPr>
                          <a:xfrm>
                            <a:off x="0" y="0"/>
                            <a:ext cx="2027555" cy="14789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DFF1225">
        <w:tblPrEx>
          <w:tblCellMar>
            <w:top w:w="0" w:type="dxa"/>
            <w:left w:w="108" w:type="dxa"/>
            <w:bottom w:w="0" w:type="dxa"/>
            <w:right w:w="108" w:type="dxa"/>
          </w:tblCellMar>
        </w:tblPrEx>
        <w:trPr>
          <w:trHeight w:val="2653"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776D6F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E74A00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极限量规</w:t>
            </w:r>
          </w:p>
        </w:tc>
        <w:tc>
          <w:tcPr>
            <w:tcW w:w="1678" w:type="pct"/>
            <w:tcBorders>
              <w:top w:val="single" w:color="000000" w:sz="4" w:space="0"/>
              <w:left w:val="single" w:color="000000" w:sz="4" w:space="0"/>
              <w:bottom w:val="single" w:color="000000" w:sz="4" w:space="0"/>
              <w:right w:val="single" w:color="000000" w:sz="4" w:space="0"/>
            </w:tcBorders>
            <w:vAlign w:val="center"/>
          </w:tcPr>
          <w:p w14:paraId="147E224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2.有测量孔经的动画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CA0A1F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129790" cy="1147445"/>
                  <wp:effectExtent l="0" t="0" r="3810" b="5080"/>
                  <wp:docPr id="6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descr="IMG_265"/>
                          <pic:cNvPicPr>
                            <a:picLocks noChangeAspect="1"/>
                          </pic:cNvPicPr>
                        </pic:nvPicPr>
                        <pic:blipFill>
                          <a:blip r:embed="rId31"/>
                          <a:stretch>
                            <a:fillRect/>
                          </a:stretch>
                        </pic:blipFill>
                        <pic:spPr>
                          <a:xfrm>
                            <a:off x="0" y="0"/>
                            <a:ext cx="2129790" cy="11474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D9D8267">
        <w:tblPrEx>
          <w:tblCellMar>
            <w:top w:w="0" w:type="dxa"/>
            <w:left w:w="108" w:type="dxa"/>
            <w:bottom w:w="0" w:type="dxa"/>
            <w:right w:w="108" w:type="dxa"/>
          </w:tblCellMar>
        </w:tblPrEx>
        <w:trPr>
          <w:trHeight w:val="5863"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129D3A35">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任务三 角度和锥度的测量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11F445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万能角度尺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0C6F840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1.有Ⅰ型、Ⅱ型两种完整的量具外形结构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2.能自由调整游标尺的位置用于读数练习，并能自动生成正确读数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3.有不同组合测量角度的动画</w:t>
            </w:r>
            <w:r>
              <w:rPr>
                <w:rFonts w:hint="eastAsia" w:ascii="宋体" w:hAnsi="宋体" w:eastAsia="宋体" w:cs="宋体"/>
                <w:lang w:eastAsia="zh-CN" w:bidi="ar"/>
              </w:rPr>
              <w:br w:type="textWrapping"/>
            </w:r>
            <w:r>
              <w:rPr>
                <w:rFonts w:hint="eastAsia" w:ascii="宋体" w:hAnsi="宋体" w:eastAsia="宋体" w:cs="宋体"/>
                <w:lang w:eastAsia="zh-CN" w:bidi="ar"/>
              </w:rPr>
              <w:t>4.有测量锥度的动画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DFCB9E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19910" cy="2190750"/>
                  <wp:effectExtent l="0" t="0" r="8890" b="0"/>
                  <wp:docPr id="5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IMG_266"/>
                          <pic:cNvPicPr>
                            <a:picLocks noChangeAspect="1"/>
                          </pic:cNvPicPr>
                        </pic:nvPicPr>
                        <pic:blipFill>
                          <a:blip r:embed="rId32"/>
                          <a:stretch>
                            <a:fillRect/>
                          </a:stretch>
                        </pic:blipFill>
                        <pic:spPr>
                          <a:xfrm>
                            <a:off x="0" y="0"/>
                            <a:ext cx="1819910" cy="219075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6E80DEC5">
        <w:tblPrEx>
          <w:tblCellMar>
            <w:top w:w="0" w:type="dxa"/>
            <w:left w:w="108" w:type="dxa"/>
            <w:bottom w:w="0" w:type="dxa"/>
            <w:right w:w="108" w:type="dxa"/>
          </w:tblCellMar>
        </w:tblPrEx>
        <w:trPr>
          <w:trHeight w:val="382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7691BA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1F74497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正弦规</w:t>
            </w:r>
          </w:p>
        </w:tc>
        <w:tc>
          <w:tcPr>
            <w:tcW w:w="1678" w:type="pct"/>
            <w:tcBorders>
              <w:top w:val="single" w:color="000000" w:sz="4" w:space="0"/>
              <w:left w:val="single" w:color="000000" w:sz="4" w:space="0"/>
              <w:bottom w:val="single" w:color="000000" w:sz="4" w:space="0"/>
              <w:right w:val="single" w:color="000000" w:sz="4" w:space="0"/>
            </w:tcBorders>
            <w:vAlign w:val="center"/>
          </w:tcPr>
          <w:p w14:paraId="2BCBE90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2.能自由调整角度的位置用于读数练习，并能自动生成正确量块组高度、被测工件角度</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30EB45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51990" cy="1526540"/>
                  <wp:effectExtent l="0" t="0" r="635" b="6985"/>
                  <wp:docPr id="5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IMG_267"/>
                          <pic:cNvPicPr>
                            <a:picLocks noChangeAspect="1"/>
                          </pic:cNvPicPr>
                        </pic:nvPicPr>
                        <pic:blipFill>
                          <a:blip r:embed="rId33"/>
                          <a:stretch>
                            <a:fillRect/>
                          </a:stretch>
                        </pic:blipFill>
                        <pic:spPr>
                          <a:xfrm>
                            <a:off x="0" y="0"/>
                            <a:ext cx="1951990" cy="152654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BAA8BD6">
        <w:tblPrEx>
          <w:tblCellMar>
            <w:top w:w="0" w:type="dxa"/>
            <w:left w:w="108" w:type="dxa"/>
            <w:bottom w:w="0" w:type="dxa"/>
            <w:right w:w="108" w:type="dxa"/>
          </w:tblCellMar>
        </w:tblPrEx>
        <w:trPr>
          <w:trHeight w:val="364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4BE7438">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8E9A18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角度样板</w:t>
            </w:r>
          </w:p>
        </w:tc>
        <w:tc>
          <w:tcPr>
            <w:tcW w:w="1678" w:type="pct"/>
            <w:tcBorders>
              <w:top w:val="single" w:color="000000" w:sz="4" w:space="0"/>
              <w:left w:val="single" w:color="000000" w:sz="4" w:space="0"/>
              <w:bottom w:val="single" w:color="000000" w:sz="4" w:space="0"/>
              <w:right w:val="single" w:color="000000" w:sz="4" w:space="0"/>
            </w:tcBorders>
            <w:vAlign w:val="center"/>
          </w:tcPr>
          <w:p w14:paraId="7B496E7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2.有刃磨时检测的动画</w:t>
            </w:r>
            <w:r>
              <w:rPr>
                <w:rFonts w:hint="eastAsia" w:ascii="宋体" w:hAnsi="宋体" w:eastAsia="宋体" w:cs="宋体"/>
                <w:lang w:eastAsia="zh-CN" w:bidi="ar"/>
              </w:rPr>
              <w:br w:type="textWrapping"/>
            </w:r>
            <w:r>
              <w:rPr>
                <w:rFonts w:hint="eastAsia" w:ascii="宋体" w:hAnsi="宋体" w:eastAsia="宋体" w:cs="宋体"/>
                <w:lang w:eastAsia="zh-CN" w:bidi="ar"/>
              </w:rPr>
              <w:t>3.有对刀时检测的动画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DAC45B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38655" cy="1205230"/>
                  <wp:effectExtent l="0" t="0" r="4445" b="4445"/>
                  <wp:docPr id="2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268"/>
                          <pic:cNvPicPr>
                            <a:picLocks noChangeAspect="1"/>
                          </pic:cNvPicPr>
                        </pic:nvPicPr>
                        <pic:blipFill>
                          <a:blip r:embed="rId34"/>
                          <a:stretch>
                            <a:fillRect/>
                          </a:stretch>
                        </pic:blipFill>
                        <pic:spPr>
                          <a:xfrm>
                            <a:off x="0" y="0"/>
                            <a:ext cx="1938655" cy="12052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54593B8">
        <w:tblPrEx>
          <w:tblCellMar>
            <w:top w:w="0" w:type="dxa"/>
            <w:left w:w="108" w:type="dxa"/>
            <w:bottom w:w="0" w:type="dxa"/>
            <w:right w:w="108" w:type="dxa"/>
          </w:tblCellMar>
        </w:tblPrEx>
        <w:trPr>
          <w:trHeight w:val="2418"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AD7D3B3">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0999F6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角尺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78F4BF0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2.有测量角度的动画(透光法)</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380F79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57705" cy="957580"/>
                  <wp:effectExtent l="0" t="0" r="4445" b="4445"/>
                  <wp:docPr id="2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69"/>
                          <pic:cNvPicPr>
                            <a:picLocks noChangeAspect="1"/>
                          </pic:cNvPicPr>
                        </pic:nvPicPr>
                        <pic:blipFill>
                          <a:blip r:embed="rId35"/>
                          <a:stretch>
                            <a:fillRect/>
                          </a:stretch>
                        </pic:blipFill>
                        <pic:spPr>
                          <a:xfrm>
                            <a:off x="0" y="0"/>
                            <a:ext cx="1957705" cy="95758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AD3CD76">
        <w:tblPrEx>
          <w:tblCellMar>
            <w:top w:w="0" w:type="dxa"/>
            <w:left w:w="108" w:type="dxa"/>
            <w:bottom w:w="0" w:type="dxa"/>
            <w:right w:w="108" w:type="dxa"/>
          </w:tblCellMar>
        </w:tblPrEx>
        <w:trPr>
          <w:trHeight w:val="3089"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813D127">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1B8764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角度量块</w:t>
            </w:r>
          </w:p>
        </w:tc>
        <w:tc>
          <w:tcPr>
            <w:tcW w:w="1678" w:type="pct"/>
            <w:tcBorders>
              <w:top w:val="single" w:color="000000" w:sz="4" w:space="0"/>
              <w:left w:val="single" w:color="000000" w:sz="4" w:space="0"/>
              <w:bottom w:val="single" w:color="000000" w:sz="4" w:space="0"/>
              <w:right w:val="single" w:color="000000" w:sz="4" w:space="0"/>
            </w:tcBorders>
            <w:vAlign w:val="center"/>
          </w:tcPr>
          <w:p w14:paraId="012A36B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2.有测量角度的动画(透光法)</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C85FA8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"C:\\Users\\tx\\AppData\\Local\\Temp\\ksohtml\\clip_cell_image27.png"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152015" cy="1350645"/>
                  <wp:effectExtent l="0" t="0" r="635" b="1905"/>
                  <wp:docPr id="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70"/>
                          <pic:cNvPicPr>
                            <a:picLocks noChangeAspect="1"/>
                          </pic:cNvPicPr>
                        </pic:nvPicPr>
                        <pic:blipFill>
                          <a:blip r:embed="rId36"/>
                          <a:stretch>
                            <a:fillRect/>
                          </a:stretch>
                        </pic:blipFill>
                        <pic:spPr>
                          <a:xfrm>
                            <a:off x="0" y="0"/>
                            <a:ext cx="2152015" cy="13506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7B992DE">
        <w:tblPrEx>
          <w:tblCellMar>
            <w:top w:w="0" w:type="dxa"/>
            <w:left w:w="108" w:type="dxa"/>
            <w:bottom w:w="0" w:type="dxa"/>
            <w:right w:w="108" w:type="dxa"/>
          </w:tblCellMar>
        </w:tblPrEx>
        <w:trPr>
          <w:trHeight w:val="443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FDCD8C0">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859EE9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锥度量规</w:t>
            </w:r>
          </w:p>
        </w:tc>
        <w:tc>
          <w:tcPr>
            <w:tcW w:w="1678" w:type="pct"/>
            <w:tcBorders>
              <w:top w:val="single" w:color="000000" w:sz="4" w:space="0"/>
              <w:left w:val="single" w:color="000000" w:sz="4" w:space="0"/>
              <w:bottom w:val="single" w:color="000000" w:sz="4" w:space="0"/>
              <w:right w:val="single" w:color="000000" w:sz="4" w:space="0"/>
            </w:tcBorders>
            <w:vAlign w:val="center"/>
          </w:tcPr>
          <w:p w14:paraId="72AF3E1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2.有测量角度的动画(涂色法)</w:t>
            </w:r>
            <w:r>
              <w:rPr>
                <w:rFonts w:hint="eastAsia" w:ascii="宋体" w:hAnsi="宋体" w:eastAsia="宋体" w:cs="宋体"/>
                <w:lang w:eastAsia="zh-CN" w:bidi="ar"/>
              </w:rPr>
              <w:br w:type="textWrapping"/>
            </w:r>
            <w:r>
              <w:rPr>
                <w:rFonts w:hint="eastAsia" w:ascii="宋体" w:hAnsi="宋体" w:eastAsia="宋体" w:cs="宋体"/>
                <w:lang w:eastAsia="zh-CN" w:bidi="ar"/>
              </w:rPr>
              <w:t>3.能设置不同涂色结果，用于判断锥度合格性练习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CEBD60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"C:\\Users\\tx\\AppData\\Local\\Temp\\ksohtml\\clip_cell_image28.png"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789430" cy="1624330"/>
                  <wp:effectExtent l="0" t="0" r="1270" b="4445"/>
                  <wp:docPr id="2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71"/>
                          <pic:cNvPicPr>
                            <a:picLocks noChangeAspect="1"/>
                          </pic:cNvPicPr>
                        </pic:nvPicPr>
                        <pic:blipFill>
                          <a:blip r:embed="rId37"/>
                          <a:stretch>
                            <a:fillRect/>
                          </a:stretch>
                        </pic:blipFill>
                        <pic:spPr>
                          <a:xfrm>
                            <a:off x="0" y="0"/>
                            <a:ext cx="1789430" cy="16243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A0AF9DD">
        <w:tblPrEx>
          <w:tblCellMar>
            <w:top w:w="0" w:type="dxa"/>
            <w:left w:w="108" w:type="dxa"/>
            <w:bottom w:w="0" w:type="dxa"/>
            <w:right w:w="108" w:type="dxa"/>
          </w:tblCellMar>
        </w:tblPrEx>
        <w:trPr>
          <w:trHeight w:val="1379"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1E0A8727">
            <w:pPr>
              <w:keepNext w:val="0"/>
              <w:keepLines w:val="0"/>
              <w:widowControl/>
              <w:suppressLineNumbers w:val="0"/>
              <w:spacing w:before="0" w:beforeAutospacing="0" w:after="0" w:afterAutospacing="0"/>
              <w:ind w:left="0" w:right="0"/>
              <w:jc w:val="center"/>
              <w:textAlignment w:val="center"/>
              <w:rPr>
                <w:rFonts w:ascii="宋体" w:hAnsi="宋体" w:eastAsia="宋体" w:cs="宋体"/>
              </w:rPr>
            </w:pPr>
            <w:r>
              <w:rPr>
                <w:rFonts w:hint="eastAsia" w:ascii="宋体" w:hAnsi="宋体" w:eastAsia="宋体" w:cs="宋体"/>
                <w:lang w:eastAsia="zh-CN" w:bidi="ar"/>
              </w:rPr>
              <w:t>任务二 直线度的测量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317813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给定平面内直线度公差带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5CDF0B2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两平行直线限制实际直线的动画（随着理想形状的T值趋于0，实际形状被限制的过程）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16C61A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"C:\\Users\\tx\\AppData\\Local\\Temp\\ksohtml\\clip_cell_image47.png"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63420" cy="537845"/>
                  <wp:effectExtent l="0" t="0" r="8255" b="5080"/>
                  <wp:docPr id="2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72"/>
                          <pic:cNvPicPr>
                            <a:picLocks noChangeAspect="1"/>
                          </pic:cNvPicPr>
                        </pic:nvPicPr>
                        <pic:blipFill>
                          <a:blip r:embed="rId38"/>
                          <a:stretch>
                            <a:fillRect/>
                          </a:stretch>
                        </pic:blipFill>
                        <pic:spPr>
                          <a:xfrm>
                            <a:off x="0" y="0"/>
                            <a:ext cx="1963420" cy="5378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6FB99845">
        <w:tblPrEx>
          <w:tblCellMar>
            <w:top w:w="0" w:type="dxa"/>
            <w:left w:w="108" w:type="dxa"/>
            <w:bottom w:w="0" w:type="dxa"/>
            <w:right w:w="108" w:type="dxa"/>
          </w:tblCellMar>
        </w:tblPrEx>
        <w:trPr>
          <w:trHeight w:val="1855"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0C6668F">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B496F2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给定方向上直线度公差带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3536228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两平行平面限制实际直线的动画（随着理想形状的T值趋于0，实际形状被限制的过程）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B9F793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"C:\\Users\\tx\\AppData\\Local\\Temp\\ksohtml\\clip_cell_image46.png"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09445" cy="711200"/>
                  <wp:effectExtent l="0" t="0" r="5080" b="3175"/>
                  <wp:docPr id="3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IMG_273"/>
                          <pic:cNvPicPr>
                            <a:picLocks noChangeAspect="1"/>
                          </pic:cNvPicPr>
                        </pic:nvPicPr>
                        <pic:blipFill>
                          <a:blip r:embed="rId39"/>
                          <a:stretch>
                            <a:fillRect/>
                          </a:stretch>
                        </pic:blipFill>
                        <pic:spPr>
                          <a:xfrm>
                            <a:off x="0" y="0"/>
                            <a:ext cx="1909445" cy="7112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898C58F">
        <w:tblPrEx>
          <w:tblCellMar>
            <w:top w:w="0" w:type="dxa"/>
            <w:left w:w="108" w:type="dxa"/>
            <w:bottom w:w="0" w:type="dxa"/>
            <w:right w:w="108" w:type="dxa"/>
          </w:tblCellMar>
        </w:tblPrEx>
        <w:trPr>
          <w:trHeight w:val="172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EE1CF75">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0B8667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任意方向上直线度公差带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0258A58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圆柱面限制实际直线的动画（随着理想形状的T值趋于0，实际形状被限制的过程）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73CD5E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"C:\\Users\\tx\\AppData\\Local\\Temp\\ksohtml\\clip_cell_image48.png"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07210" cy="622935"/>
                  <wp:effectExtent l="0" t="0" r="2540" b="5715"/>
                  <wp:docPr id="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4"/>
                          <pic:cNvPicPr>
                            <a:picLocks noChangeAspect="1"/>
                          </pic:cNvPicPr>
                        </pic:nvPicPr>
                        <pic:blipFill>
                          <a:blip r:embed="rId40"/>
                          <a:stretch>
                            <a:fillRect/>
                          </a:stretch>
                        </pic:blipFill>
                        <pic:spPr>
                          <a:xfrm>
                            <a:off x="0" y="0"/>
                            <a:ext cx="1807210" cy="62293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6495322A">
        <w:tblPrEx>
          <w:tblCellMar>
            <w:top w:w="0" w:type="dxa"/>
            <w:left w:w="108" w:type="dxa"/>
            <w:bottom w:w="0" w:type="dxa"/>
            <w:right w:w="108" w:type="dxa"/>
          </w:tblCellMar>
        </w:tblPrEx>
        <w:trPr>
          <w:trHeight w:val="252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003C05E">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F5CC6E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打表法测量直线度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39917C2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1F26D8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"C:\\Users\\tx\\AppData\\Local\\Temp\\ksohtml\\clip_cell_image49.png"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45005" cy="993140"/>
                  <wp:effectExtent l="0" t="0" r="7620" b="6985"/>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41"/>
                          <a:stretch>
                            <a:fillRect/>
                          </a:stretch>
                        </pic:blipFill>
                        <pic:spPr>
                          <a:xfrm>
                            <a:off x="0" y="0"/>
                            <a:ext cx="1945005" cy="99314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669F2A3">
        <w:tblPrEx>
          <w:tblCellMar>
            <w:top w:w="0" w:type="dxa"/>
            <w:left w:w="108" w:type="dxa"/>
            <w:bottom w:w="0" w:type="dxa"/>
            <w:right w:w="108" w:type="dxa"/>
          </w:tblCellMar>
        </w:tblPrEx>
        <w:trPr>
          <w:trHeight w:val="2429"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0E23CC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B9ED78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水平仪测量直线度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60374CF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r>
              <w:rPr>
                <w:rFonts w:hint="eastAsia" w:ascii="宋体" w:hAnsi="宋体" w:eastAsia="宋体" w:cs="宋体"/>
                <w:lang w:eastAsia="zh-CN" w:bidi="ar"/>
              </w:rPr>
              <w:br w:type="textWrapping"/>
            </w:r>
            <w:r>
              <w:rPr>
                <w:rFonts w:hint="eastAsia" w:ascii="宋体" w:hAnsi="宋体" w:eastAsia="宋体" w:cs="宋体"/>
                <w:lang w:eastAsia="zh-CN" w:bidi="ar"/>
              </w:rPr>
              <w:t>3.能根据水平仪测量读数生成直线度误差曲线图</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B72D88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23720" cy="723900"/>
                  <wp:effectExtent l="0" t="0" r="5080" b="0"/>
                  <wp:docPr id="3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276"/>
                          <pic:cNvPicPr>
                            <a:picLocks noChangeAspect="1"/>
                          </pic:cNvPicPr>
                        </pic:nvPicPr>
                        <pic:blipFill>
                          <a:blip r:embed="rId42"/>
                          <a:stretch>
                            <a:fillRect/>
                          </a:stretch>
                        </pic:blipFill>
                        <pic:spPr>
                          <a:xfrm>
                            <a:off x="0" y="0"/>
                            <a:ext cx="1823720" cy="7239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D9D8546">
        <w:tblPrEx>
          <w:tblCellMar>
            <w:top w:w="0" w:type="dxa"/>
            <w:left w:w="108" w:type="dxa"/>
            <w:bottom w:w="0" w:type="dxa"/>
            <w:right w:w="108" w:type="dxa"/>
          </w:tblCellMar>
        </w:tblPrEx>
        <w:trPr>
          <w:trHeight w:val="2271"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47BC0935">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任务三 圆度与圆柱度的测量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0F9F59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68D4528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两个同心圆限制实际圆的动画（随着理想形状的T值趋于0，实际形状被限制的过程）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434605B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84045" cy="863600"/>
                  <wp:effectExtent l="0" t="0" r="1905" b="3175"/>
                  <wp:docPr id="3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IMG_277"/>
                          <pic:cNvPicPr>
                            <a:picLocks noChangeAspect="1"/>
                          </pic:cNvPicPr>
                        </pic:nvPicPr>
                        <pic:blipFill>
                          <a:blip r:embed="rId43"/>
                          <a:stretch>
                            <a:fillRect/>
                          </a:stretch>
                        </pic:blipFill>
                        <pic:spPr>
                          <a:xfrm>
                            <a:off x="0" y="0"/>
                            <a:ext cx="1884045" cy="8636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7A0DCE9">
        <w:tblPrEx>
          <w:tblCellMar>
            <w:top w:w="0" w:type="dxa"/>
            <w:left w:w="108" w:type="dxa"/>
            <w:bottom w:w="0" w:type="dxa"/>
            <w:right w:w="108" w:type="dxa"/>
          </w:tblCellMar>
        </w:tblPrEx>
        <w:trPr>
          <w:trHeight w:val="2144"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3C25FAB">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7F1753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圆柱度公差带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D20F70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两个同轴圆柱限制实际圆柱的动画（随着理想形状的T值趋于0，实际形状被限制的过程）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9913C6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767205" cy="767080"/>
                  <wp:effectExtent l="0" t="0" r="4445" b="4445"/>
                  <wp:docPr id="3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G_278"/>
                          <pic:cNvPicPr>
                            <a:picLocks noChangeAspect="1"/>
                          </pic:cNvPicPr>
                        </pic:nvPicPr>
                        <pic:blipFill>
                          <a:blip r:embed="rId44"/>
                          <a:stretch>
                            <a:fillRect/>
                          </a:stretch>
                        </pic:blipFill>
                        <pic:spPr>
                          <a:xfrm>
                            <a:off x="0" y="0"/>
                            <a:ext cx="1767205" cy="76708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34CDA58">
        <w:tblPrEx>
          <w:tblCellMar>
            <w:top w:w="0" w:type="dxa"/>
            <w:left w:w="108" w:type="dxa"/>
            <w:bottom w:w="0" w:type="dxa"/>
            <w:right w:w="108" w:type="dxa"/>
          </w:tblCellMar>
        </w:tblPrEx>
        <w:trPr>
          <w:trHeight w:val="2485"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895AA5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F6A32E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两点法测量圆度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3C139F2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4AA218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741170" cy="878840"/>
                  <wp:effectExtent l="0" t="0" r="1905" b="6985"/>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45"/>
                          <a:stretch>
                            <a:fillRect/>
                          </a:stretch>
                        </pic:blipFill>
                        <pic:spPr>
                          <a:xfrm>
                            <a:off x="0" y="0"/>
                            <a:ext cx="1741170" cy="87884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2EAF17A">
        <w:tblPrEx>
          <w:tblCellMar>
            <w:top w:w="0" w:type="dxa"/>
            <w:left w:w="108" w:type="dxa"/>
            <w:bottom w:w="0" w:type="dxa"/>
            <w:right w:w="108" w:type="dxa"/>
          </w:tblCellMar>
        </w:tblPrEx>
        <w:trPr>
          <w:trHeight w:val="2295"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E2D5FB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D978B0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三点法测量圆度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4B69113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039FA6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44370" cy="903605"/>
                  <wp:effectExtent l="0" t="0" r="8255" b="1270"/>
                  <wp:docPr id="3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IMG_280"/>
                          <pic:cNvPicPr>
                            <a:picLocks noChangeAspect="1"/>
                          </pic:cNvPicPr>
                        </pic:nvPicPr>
                        <pic:blipFill>
                          <a:blip r:embed="rId46"/>
                          <a:stretch>
                            <a:fillRect/>
                          </a:stretch>
                        </pic:blipFill>
                        <pic:spPr>
                          <a:xfrm>
                            <a:off x="0" y="0"/>
                            <a:ext cx="1944370" cy="90360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B5386C4">
        <w:tblPrEx>
          <w:tblCellMar>
            <w:top w:w="0" w:type="dxa"/>
            <w:left w:w="108" w:type="dxa"/>
            <w:bottom w:w="0" w:type="dxa"/>
            <w:right w:w="108" w:type="dxa"/>
          </w:tblCellMar>
        </w:tblPrEx>
        <w:trPr>
          <w:trHeight w:val="252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2E2F9A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A69ADB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V型块测量圆柱度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6DE654D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7E90C95">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"C:\\Users\\tx\\AppData\\Local\\Temp\\ksohtml\\clip_cell_image57.png"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640205" cy="838200"/>
                  <wp:effectExtent l="0" t="0" r="7620" b="0"/>
                  <wp:docPr id="3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IMG_281"/>
                          <pic:cNvPicPr>
                            <a:picLocks noChangeAspect="1"/>
                          </pic:cNvPicPr>
                        </pic:nvPicPr>
                        <pic:blipFill>
                          <a:blip r:embed="rId47"/>
                          <a:stretch>
                            <a:fillRect/>
                          </a:stretch>
                        </pic:blipFill>
                        <pic:spPr>
                          <a:xfrm>
                            <a:off x="0" y="0"/>
                            <a:ext cx="1640205" cy="8382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41309C7">
        <w:tblPrEx>
          <w:tblCellMar>
            <w:top w:w="0" w:type="dxa"/>
            <w:left w:w="108" w:type="dxa"/>
            <w:bottom w:w="0" w:type="dxa"/>
            <w:right w:w="108" w:type="dxa"/>
          </w:tblCellMar>
        </w:tblPrEx>
        <w:trPr>
          <w:trHeight w:val="2006"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577A460D">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任务四 平行度和平面度的测量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58EC16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面对面平行度公差带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2F432CC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相对于基准面的平面平行度的公差带为间距等于公差值t且平行于基准平面的两平行平</w:t>
            </w:r>
            <w:r>
              <w:rPr>
                <w:rFonts w:hint="eastAsia" w:ascii="宋体" w:hAnsi="宋体" w:eastAsia="宋体" w:cs="宋体"/>
                <w:lang w:eastAsia="zh-CN" w:bidi="ar"/>
              </w:rPr>
              <w:br w:type="textWrapping"/>
            </w:r>
            <w:r>
              <w:rPr>
                <w:rFonts w:hint="eastAsia" w:ascii="宋体" w:hAnsi="宋体" w:eastAsia="宋体" w:cs="宋体"/>
                <w:lang w:eastAsia="zh-CN" w:bidi="ar"/>
              </w:rPr>
              <w:t>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22755F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01190" cy="766445"/>
                  <wp:effectExtent l="0" t="0" r="3810" b="5080"/>
                  <wp:docPr id="3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82"/>
                          <pic:cNvPicPr>
                            <a:picLocks noChangeAspect="1"/>
                          </pic:cNvPicPr>
                        </pic:nvPicPr>
                        <pic:blipFill>
                          <a:blip r:embed="rId48"/>
                          <a:stretch>
                            <a:fillRect/>
                          </a:stretch>
                        </pic:blipFill>
                        <pic:spPr>
                          <a:xfrm>
                            <a:off x="0" y="0"/>
                            <a:ext cx="1901190" cy="7664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E735B20">
        <w:tblPrEx>
          <w:tblCellMar>
            <w:top w:w="0" w:type="dxa"/>
            <w:left w:w="108" w:type="dxa"/>
            <w:bottom w:w="0" w:type="dxa"/>
            <w:right w:w="108" w:type="dxa"/>
          </w:tblCellMar>
        </w:tblPrEx>
        <w:trPr>
          <w:trHeight w:val="194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4CD2927">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99DD0F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面对线平行度公差带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0DE0B08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相对于基准直线的平面平行度的公差带为间距等于公差值t且平行于基准轴线的两平行</w:t>
            </w:r>
            <w:r>
              <w:rPr>
                <w:rFonts w:hint="eastAsia" w:ascii="宋体" w:hAnsi="宋体" w:eastAsia="宋体" w:cs="宋体"/>
                <w:lang w:eastAsia="zh-CN" w:bidi="ar"/>
              </w:rPr>
              <w:br w:type="textWrapping"/>
            </w:r>
            <w:r>
              <w:rPr>
                <w:rFonts w:hint="eastAsia" w:ascii="宋体" w:hAnsi="宋体" w:eastAsia="宋体" w:cs="宋体"/>
                <w:lang w:eastAsia="zh-CN" w:bidi="ar"/>
              </w:rPr>
              <w:t>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B50958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"C:\\Users\\tx\\AppData\\Local\\Temp\\ksohtml\\clip_cell_image59.png"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47875" cy="800100"/>
                  <wp:effectExtent l="0" t="0" r="0" b="0"/>
                  <wp:docPr id="37"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IMG_283"/>
                          <pic:cNvPicPr>
                            <a:picLocks noChangeAspect="1"/>
                          </pic:cNvPicPr>
                        </pic:nvPicPr>
                        <pic:blipFill>
                          <a:blip r:embed="rId49"/>
                          <a:stretch>
                            <a:fillRect/>
                          </a:stretch>
                        </pic:blipFill>
                        <pic:spPr>
                          <a:xfrm>
                            <a:off x="0" y="0"/>
                            <a:ext cx="2047875" cy="8001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E9B2EAD">
        <w:tblPrEx>
          <w:tblCellMar>
            <w:top w:w="0" w:type="dxa"/>
            <w:left w:w="108" w:type="dxa"/>
            <w:bottom w:w="0" w:type="dxa"/>
            <w:right w:w="108" w:type="dxa"/>
          </w:tblCellMar>
        </w:tblPrEx>
        <w:trPr>
          <w:trHeight w:val="232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3F96698">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D5064D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线对面平行度公差带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3F81B1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相对于基准面的中心线平行度的公差带为间距等于公差值t且平行于基准平面的两平行</w:t>
            </w:r>
            <w:r>
              <w:rPr>
                <w:rFonts w:hint="eastAsia" w:ascii="宋体" w:hAnsi="宋体" w:eastAsia="宋体" w:cs="宋体"/>
                <w:lang w:eastAsia="zh-CN" w:bidi="ar"/>
              </w:rPr>
              <w:br w:type="textWrapping"/>
            </w:r>
            <w:r>
              <w:rPr>
                <w:rFonts w:hint="eastAsia" w:ascii="宋体" w:hAnsi="宋体" w:eastAsia="宋体" w:cs="宋体"/>
                <w:lang w:eastAsia="zh-CN" w:bidi="ar"/>
              </w:rPr>
              <w:t>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140A43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22475" cy="951865"/>
                  <wp:effectExtent l="0" t="0" r="6350" b="635"/>
                  <wp:docPr id="2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IMG_284"/>
                          <pic:cNvPicPr>
                            <a:picLocks noChangeAspect="1"/>
                          </pic:cNvPicPr>
                        </pic:nvPicPr>
                        <pic:blipFill>
                          <a:blip r:embed="rId50"/>
                          <a:stretch>
                            <a:fillRect/>
                          </a:stretch>
                        </pic:blipFill>
                        <pic:spPr>
                          <a:xfrm>
                            <a:off x="0" y="0"/>
                            <a:ext cx="2022475" cy="95186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F613126">
        <w:tblPrEx>
          <w:tblCellMar>
            <w:top w:w="0" w:type="dxa"/>
            <w:left w:w="108" w:type="dxa"/>
            <w:bottom w:w="0" w:type="dxa"/>
            <w:right w:w="108" w:type="dxa"/>
          </w:tblCellMar>
        </w:tblPrEx>
        <w:trPr>
          <w:trHeight w:val="2137"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D4C7DDE">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53B8E9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线对线平行度公差带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56903A8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相对于基准直线的中心线平行度的公差带为间距等于公差值t且平行于基准轴线的圆柱</w:t>
            </w:r>
            <w:r>
              <w:rPr>
                <w:rFonts w:hint="eastAsia" w:ascii="宋体" w:hAnsi="宋体" w:eastAsia="宋体" w:cs="宋体"/>
                <w:lang w:eastAsia="zh-CN" w:bidi="ar"/>
              </w:rPr>
              <w:br w:type="textWrapping"/>
            </w:r>
            <w:r>
              <w:rPr>
                <w:rFonts w:hint="eastAsia" w:ascii="宋体" w:hAnsi="宋体" w:eastAsia="宋体" w:cs="宋体"/>
                <w:lang w:eastAsia="zh-CN" w:bidi="ar"/>
              </w:rPr>
              <w:t>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4ACDB0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"C:\\Users\\tx\\AppData\\Local\\Temp\\ksohtml\\clip_cell_image61.png"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728470" cy="744855"/>
                  <wp:effectExtent l="0" t="0" r="5080" b="7620"/>
                  <wp:docPr id="6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descr="IMG_285"/>
                          <pic:cNvPicPr>
                            <a:picLocks noChangeAspect="1"/>
                          </pic:cNvPicPr>
                        </pic:nvPicPr>
                        <pic:blipFill>
                          <a:blip r:embed="rId51"/>
                          <a:stretch>
                            <a:fillRect/>
                          </a:stretch>
                        </pic:blipFill>
                        <pic:spPr>
                          <a:xfrm>
                            <a:off x="0" y="0"/>
                            <a:ext cx="1728470" cy="74485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59CDBD0">
        <w:tblPrEx>
          <w:tblCellMar>
            <w:top w:w="0" w:type="dxa"/>
            <w:left w:w="108" w:type="dxa"/>
            <w:bottom w:w="0" w:type="dxa"/>
            <w:right w:w="108" w:type="dxa"/>
          </w:tblCellMar>
        </w:tblPrEx>
        <w:trPr>
          <w:trHeight w:val="1679"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DC2BF49">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D572E0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平面度公差带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C71D66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间距等于公差值t的两平行平面所限定的区域的动画（随着理想形状的T值趋于0，实际形状被限制的过程）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C23E88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"C:\\Users\\tx\\AppData\\Local\\Temp\\ksohtml\\clip_cell_image62.png"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18005" cy="615315"/>
                  <wp:effectExtent l="0" t="0" r="1270" b="3810"/>
                  <wp:docPr id="6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descr="IMG_286"/>
                          <pic:cNvPicPr>
                            <a:picLocks noChangeAspect="1"/>
                          </pic:cNvPicPr>
                        </pic:nvPicPr>
                        <pic:blipFill>
                          <a:blip r:embed="rId52"/>
                          <a:stretch>
                            <a:fillRect/>
                          </a:stretch>
                        </pic:blipFill>
                        <pic:spPr>
                          <a:xfrm>
                            <a:off x="0" y="0"/>
                            <a:ext cx="1818005" cy="6153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7C8E23F">
        <w:tblPrEx>
          <w:tblCellMar>
            <w:top w:w="0" w:type="dxa"/>
            <w:left w:w="108" w:type="dxa"/>
            <w:bottom w:w="0" w:type="dxa"/>
            <w:right w:w="108" w:type="dxa"/>
          </w:tblCellMar>
        </w:tblPrEx>
        <w:trPr>
          <w:trHeight w:val="424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88FF2A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98109F0">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面对面平行度测量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4B66BF66">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1ADC0E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00555" cy="1649095"/>
                  <wp:effectExtent l="0" t="0" r="4445" b="8255"/>
                  <wp:docPr id="7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 descr="IMG_287"/>
                          <pic:cNvPicPr>
                            <a:picLocks noChangeAspect="1"/>
                          </pic:cNvPicPr>
                        </pic:nvPicPr>
                        <pic:blipFill>
                          <a:blip r:embed="rId53"/>
                          <a:stretch>
                            <a:fillRect/>
                          </a:stretch>
                        </pic:blipFill>
                        <pic:spPr>
                          <a:xfrm>
                            <a:off x="0" y="0"/>
                            <a:ext cx="1900555" cy="164909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083806F">
        <w:tblPrEx>
          <w:tblCellMar>
            <w:top w:w="0" w:type="dxa"/>
            <w:left w:w="108" w:type="dxa"/>
            <w:bottom w:w="0" w:type="dxa"/>
            <w:right w:w="108" w:type="dxa"/>
          </w:tblCellMar>
        </w:tblPrEx>
        <w:trPr>
          <w:trHeight w:val="283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0BE4FA9">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BF3FFE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线对面平行度测量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57EDFD7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CCFBF3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44370" cy="1118235"/>
                  <wp:effectExtent l="0" t="0" r="8255" b="5715"/>
                  <wp:docPr id="67"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descr="IMG_288"/>
                          <pic:cNvPicPr>
                            <a:picLocks noChangeAspect="1"/>
                          </pic:cNvPicPr>
                        </pic:nvPicPr>
                        <pic:blipFill>
                          <a:blip r:embed="rId54"/>
                          <a:stretch>
                            <a:fillRect/>
                          </a:stretch>
                        </pic:blipFill>
                        <pic:spPr>
                          <a:xfrm>
                            <a:off x="0" y="0"/>
                            <a:ext cx="1944370" cy="111823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5417FF8">
        <w:tblPrEx>
          <w:tblCellMar>
            <w:top w:w="0" w:type="dxa"/>
            <w:left w:w="108" w:type="dxa"/>
            <w:bottom w:w="0" w:type="dxa"/>
            <w:right w:w="108" w:type="dxa"/>
          </w:tblCellMar>
        </w:tblPrEx>
        <w:trPr>
          <w:trHeight w:val="247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7BB472C">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A187AE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面对线平行度测量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4A57367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DD92E9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30730" cy="1018540"/>
                  <wp:effectExtent l="0" t="0" r="7620" b="635"/>
                  <wp:docPr id="7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descr="IMG_289"/>
                          <pic:cNvPicPr>
                            <a:picLocks noChangeAspect="1"/>
                          </pic:cNvPicPr>
                        </pic:nvPicPr>
                        <pic:blipFill>
                          <a:blip r:embed="rId55"/>
                          <a:stretch>
                            <a:fillRect/>
                          </a:stretch>
                        </pic:blipFill>
                        <pic:spPr>
                          <a:xfrm>
                            <a:off x="0" y="0"/>
                            <a:ext cx="2030730" cy="101854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F7DAE5C">
        <w:tblPrEx>
          <w:tblCellMar>
            <w:top w:w="0" w:type="dxa"/>
            <w:left w:w="108" w:type="dxa"/>
            <w:bottom w:w="0" w:type="dxa"/>
            <w:right w:w="108" w:type="dxa"/>
          </w:tblCellMar>
        </w:tblPrEx>
        <w:trPr>
          <w:trHeight w:val="502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B3EA94E">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AECAE9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线对线平行度测量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4732F25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E376D9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46580" cy="1905000"/>
                  <wp:effectExtent l="0" t="0" r="1270" b="0"/>
                  <wp:docPr id="7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descr="IMG_290"/>
                          <pic:cNvPicPr>
                            <a:picLocks noChangeAspect="1"/>
                          </pic:cNvPicPr>
                        </pic:nvPicPr>
                        <pic:blipFill>
                          <a:blip r:embed="rId56"/>
                          <a:stretch>
                            <a:fillRect/>
                          </a:stretch>
                        </pic:blipFill>
                        <pic:spPr>
                          <a:xfrm>
                            <a:off x="0" y="0"/>
                            <a:ext cx="1846580" cy="19050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C41C937">
        <w:tblPrEx>
          <w:tblCellMar>
            <w:top w:w="0" w:type="dxa"/>
            <w:left w:w="108" w:type="dxa"/>
            <w:bottom w:w="0" w:type="dxa"/>
            <w:right w:w="108" w:type="dxa"/>
          </w:tblCellMar>
        </w:tblPrEx>
        <w:trPr>
          <w:trHeight w:val="2927"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399A83A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F72C65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平面度测量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6D69CA5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FFA238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84045" cy="840740"/>
                  <wp:effectExtent l="0" t="0" r="1905" b="6985"/>
                  <wp:docPr id="72"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 descr="IMG_291"/>
                          <pic:cNvPicPr>
                            <a:picLocks noChangeAspect="1"/>
                          </pic:cNvPicPr>
                        </pic:nvPicPr>
                        <pic:blipFill>
                          <a:blip r:embed="rId57"/>
                          <a:stretch>
                            <a:fillRect/>
                          </a:stretch>
                        </pic:blipFill>
                        <pic:spPr>
                          <a:xfrm>
                            <a:off x="0" y="0"/>
                            <a:ext cx="1884045" cy="84074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7DD61A0">
        <w:tblPrEx>
          <w:tblCellMar>
            <w:top w:w="0" w:type="dxa"/>
            <w:left w:w="108" w:type="dxa"/>
            <w:bottom w:w="0" w:type="dxa"/>
            <w:right w:w="108" w:type="dxa"/>
          </w:tblCellMar>
        </w:tblPrEx>
        <w:trPr>
          <w:trHeight w:val="1407"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24F7A5A9">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任务五 垂直度和位置度的测量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C94103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面对面垂直度公差带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07527FB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公差带为间距等于公差值t,垂直于基准平</w:t>
            </w:r>
            <w:r>
              <w:rPr>
                <w:rFonts w:hint="eastAsia" w:ascii="宋体" w:hAnsi="宋体" w:eastAsia="宋体" w:cs="宋体"/>
                <w:lang w:eastAsia="zh-CN" w:bidi="ar"/>
              </w:rPr>
              <w:br w:type="textWrapping"/>
            </w:r>
            <w:r>
              <w:rPr>
                <w:rFonts w:hint="eastAsia" w:ascii="宋体" w:hAnsi="宋体" w:eastAsia="宋体" w:cs="宋体"/>
                <w:lang w:eastAsia="zh-CN" w:bidi="ar"/>
              </w:rPr>
              <w:t>面的两平行平面所限定的区域的动画（随着理想形状的T值趋于0，实际形状被限制的过程）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CBC4EF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"C:\\Users\\tx\\AppData\\Local\\Temp\\ksohtml\\clip_cell_image69.png"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62150" cy="549910"/>
                  <wp:effectExtent l="0" t="0" r="0" b="2540"/>
                  <wp:docPr id="7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7" descr="IMG_292"/>
                          <pic:cNvPicPr>
                            <a:picLocks noChangeAspect="1"/>
                          </pic:cNvPicPr>
                        </pic:nvPicPr>
                        <pic:blipFill>
                          <a:blip r:embed="rId58"/>
                          <a:stretch>
                            <a:fillRect/>
                          </a:stretch>
                        </pic:blipFill>
                        <pic:spPr>
                          <a:xfrm>
                            <a:off x="0" y="0"/>
                            <a:ext cx="1962150" cy="54991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64ED6009">
        <w:tblPrEx>
          <w:tblCellMar>
            <w:top w:w="0" w:type="dxa"/>
            <w:left w:w="108" w:type="dxa"/>
            <w:bottom w:w="0" w:type="dxa"/>
            <w:right w:w="108" w:type="dxa"/>
          </w:tblCellMar>
        </w:tblPrEx>
        <w:trPr>
          <w:trHeight w:val="1462"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2671221">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85E07B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面对线垂直度公差带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AF87B8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公差带为间距等于公差值t且垂直于基准轴</w:t>
            </w:r>
            <w:r>
              <w:rPr>
                <w:rFonts w:hint="eastAsia" w:ascii="宋体" w:hAnsi="宋体" w:eastAsia="宋体" w:cs="宋体"/>
                <w:lang w:eastAsia="zh-CN" w:bidi="ar"/>
              </w:rPr>
              <w:br w:type="textWrapping"/>
            </w:r>
            <w:r>
              <w:rPr>
                <w:rFonts w:hint="eastAsia" w:ascii="宋体" w:hAnsi="宋体" w:eastAsia="宋体" w:cs="宋体"/>
                <w:lang w:eastAsia="zh-CN" w:bidi="ar"/>
              </w:rPr>
              <w:t>线的两行平面所限定的区域动画（随着理想形状的T值趋于0，实际形状被限制的过程）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537E26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27225" cy="563245"/>
                  <wp:effectExtent l="0" t="0" r="6350" b="8255"/>
                  <wp:docPr id="73"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descr="IMG_293"/>
                          <pic:cNvPicPr>
                            <a:picLocks noChangeAspect="1"/>
                          </pic:cNvPicPr>
                        </pic:nvPicPr>
                        <pic:blipFill>
                          <a:blip r:embed="rId59"/>
                          <a:stretch>
                            <a:fillRect/>
                          </a:stretch>
                        </pic:blipFill>
                        <pic:spPr>
                          <a:xfrm>
                            <a:off x="0" y="0"/>
                            <a:ext cx="1927225" cy="5632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F6DA651">
        <w:tblPrEx>
          <w:tblCellMar>
            <w:top w:w="0" w:type="dxa"/>
            <w:left w:w="108" w:type="dxa"/>
            <w:bottom w:w="0" w:type="dxa"/>
            <w:right w:w="108" w:type="dxa"/>
          </w:tblCellMar>
        </w:tblPrEx>
        <w:trPr>
          <w:trHeight w:val="1699"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6BCBFD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7AA0D8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线对面垂直度公差带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A8759A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公差带为直径等于公差值t且轴线垂直于</w:t>
            </w:r>
            <w:r>
              <w:rPr>
                <w:rFonts w:hint="eastAsia" w:ascii="宋体" w:hAnsi="宋体" w:eastAsia="宋体" w:cs="宋体"/>
                <w:lang w:eastAsia="zh-CN" w:bidi="ar"/>
              </w:rPr>
              <w:br w:type="textWrapping"/>
            </w:r>
            <w:r>
              <w:rPr>
                <w:rFonts w:hint="eastAsia" w:ascii="宋体" w:hAnsi="宋体" w:eastAsia="宋体" w:cs="宋体"/>
                <w:lang w:eastAsia="zh-CN" w:bidi="ar"/>
              </w:rPr>
              <w:t>基准平面的圆柱面所限定的区域的动画（随着理想形状的T值趋于0，实际形状被限制的过程）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04307D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"C:\\Users\\tx\\AppData\\Local\\Temp\\ksohtml\\clip_cell_image71.png"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99310" cy="716915"/>
                  <wp:effectExtent l="0" t="0" r="5715" b="6985"/>
                  <wp:docPr id="7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 descr="IMG_294"/>
                          <pic:cNvPicPr>
                            <a:picLocks noChangeAspect="1"/>
                          </pic:cNvPicPr>
                        </pic:nvPicPr>
                        <pic:blipFill>
                          <a:blip r:embed="rId60"/>
                          <a:stretch>
                            <a:fillRect/>
                          </a:stretch>
                        </pic:blipFill>
                        <pic:spPr>
                          <a:xfrm>
                            <a:off x="0" y="0"/>
                            <a:ext cx="2099310" cy="7169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0FDB34D">
        <w:tblPrEx>
          <w:tblCellMar>
            <w:top w:w="0" w:type="dxa"/>
            <w:left w:w="108" w:type="dxa"/>
            <w:bottom w:w="0" w:type="dxa"/>
            <w:right w:w="108" w:type="dxa"/>
          </w:tblCellMar>
        </w:tblPrEx>
        <w:trPr>
          <w:trHeight w:val="1585"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C863A5E">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119281F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线对线垂直度公差带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2A210F0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公差带为间距等于公差值t且垂直于基准轴</w:t>
            </w:r>
            <w:r>
              <w:rPr>
                <w:rFonts w:hint="eastAsia" w:ascii="宋体" w:hAnsi="宋体" w:eastAsia="宋体" w:cs="宋体"/>
                <w:lang w:eastAsia="zh-CN" w:bidi="ar"/>
              </w:rPr>
              <w:br w:type="textWrapping"/>
            </w:r>
            <w:r>
              <w:rPr>
                <w:rFonts w:hint="eastAsia" w:ascii="宋体" w:hAnsi="宋体" w:eastAsia="宋体" w:cs="宋体"/>
                <w:lang w:eastAsia="zh-CN" w:bidi="ar"/>
              </w:rPr>
              <w:t>线的两平行平面所限定的区域的动画（随着理想形状的T值趋于0，实际形状被限制的过程）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C8DE71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"C:\\Users\\tx\\AppData\\Local\\Temp\\ksohtml\\clip_cell_image72.png"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19605" cy="608330"/>
                  <wp:effectExtent l="0" t="0" r="4445" b="1270"/>
                  <wp:docPr id="64"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IMG_295"/>
                          <pic:cNvPicPr>
                            <a:picLocks noChangeAspect="1"/>
                          </pic:cNvPicPr>
                        </pic:nvPicPr>
                        <pic:blipFill>
                          <a:blip r:embed="rId61"/>
                          <a:stretch>
                            <a:fillRect/>
                          </a:stretch>
                        </pic:blipFill>
                        <pic:spPr>
                          <a:xfrm>
                            <a:off x="0" y="0"/>
                            <a:ext cx="1919605" cy="6083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3ED152B">
        <w:tblPrEx>
          <w:tblCellMar>
            <w:top w:w="0" w:type="dxa"/>
            <w:left w:w="108" w:type="dxa"/>
            <w:bottom w:w="0" w:type="dxa"/>
            <w:right w:w="108" w:type="dxa"/>
          </w:tblCellMar>
        </w:tblPrEx>
        <w:trPr>
          <w:trHeight w:val="165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2C9DB7E">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A17680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点位置度公差带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7CBB3ED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公差带为直径等于公差值t的 圆柱面所限定的区域。该圆球面的中心位置相对于基准平面A、 B、 C的理论正确尺寸确定的动画（随着理想形状的T值趋于0，实际形状被限制的过程）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4BCE41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01190" cy="631825"/>
                  <wp:effectExtent l="0" t="0" r="3810" b="6350"/>
                  <wp:docPr id="6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descr="IMG_296"/>
                          <pic:cNvPicPr>
                            <a:picLocks noChangeAspect="1"/>
                          </pic:cNvPicPr>
                        </pic:nvPicPr>
                        <pic:blipFill>
                          <a:blip r:embed="rId62"/>
                          <a:stretch>
                            <a:fillRect/>
                          </a:stretch>
                        </pic:blipFill>
                        <pic:spPr>
                          <a:xfrm>
                            <a:off x="0" y="0"/>
                            <a:ext cx="1901190" cy="63182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F9D129A">
        <w:tblPrEx>
          <w:tblCellMar>
            <w:top w:w="0" w:type="dxa"/>
            <w:left w:w="108" w:type="dxa"/>
            <w:bottom w:w="0" w:type="dxa"/>
            <w:right w:w="108" w:type="dxa"/>
          </w:tblCellMar>
        </w:tblPrEx>
        <w:trPr>
          <w:trHeight w:val="2029"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C2CF613">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F55DE9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线位置度公差带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5D75FCB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公差带为直径等于公差值T的圆柱面所限定的区域。该圆柱面的轴线位置由相对于基准平</w:t>
            </w:r>
            <w:r>
              <w:rPr>
                <w:rFonts w:hint="eastAsia" w:ascii="宋体" w:hAnsi="宋体" w:eastAsia="宋体" w:cs="宋体"/>
                <w:lang w:eastAsia="zh-CN" w:bidi="ar"/>
              </w:rPr>
              <w:br w:type="textWrapping"/>
            </w:r>
            <w:r>
              <w:rPr>
                <w:rFonts w:hint="eastAsia" w:ascii="宋体" w:hAnsi="宋体" w:eastAsia="宋体" w:cs="宋体"/>
                <w:lang w:eastAsia="zh-CN" w:bidi="ar"/>
              </w:rPr>
              <w:t>面 C、A、B的理论正确尺寸确定的动画（随着理想形状的T值趋于0，实际形状被限制的过程）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2839BB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169795" cy="887730"/>
                  <wp:effectExtent l="0" t="0" r="1905" b="7620"/>
                  <wp:docPr id="76"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2" descr="IMG_297"/>
                          <pic:cNvPicPr>
                            <a:picLocks noChangeAspect="1"/>
                          </pic:cNvPicPr>
                        </pic:nvPicPr>
                        <pic:blipFill>
                          <a:blip r:embed="rId63"/>
                          <a:stretch>
                            <a:fillRect/>
                          </a:stretch>
                        </pic:blipFill>
                        <pic:spPr>
                          <a:xfrm>
                            <a:off x="0" y="0"/>
                            <a:ext cx="2169795" cy="8877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8AB99F0">
        <w:tblPrEx>
          <w:tblCellMar>
            <w:top w:w="0" w:type="dxa"/>
            <w:left w:w="108" w:type="dxa"/>
            <w:bottom w:w="0" w:type="dxa"/>
            <w:right w:w="108" w:type="dxa"/>
          </w:tblCellMar>
        </w:tblPrEx>
        <w:trPr>
          <w:trHeight w:val="1943"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604AF29">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32A84C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面位置度公差带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6463DC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公差带为间距等于公差值T的 两平行平面所</w:t>
            </w:r>
            <w:r>
              <w:rPr>
                <w:rFonts w:hint="eastAsia" w:ascii="宋体" w:hAnsi="宋体" w:eastAsia="宋体" w:cs="宋体"/>
                <w:lang w:eastAsia="zh-CN" w:bidi="ar"/>
              </w:rPr>
              <w:br w:type="textWrapping"/>
            </w:r>
            <w:r>
              <w:rPr>
                <w:rFonts w:hint="eastAsia" w:ascii="宋体" w:hAnsi="宋体" w:eastAsia="宋体" w:cs="宋体"/>
                <w:lang w:eastAsia="zh-CN" w:bidi="ar"/>
              </w:rPr>
              <w:t>限定的区域。该平行平面对称于由相对于基准A、 B的理论正确尺寸所确定的理论正确位置的动画（随着理想形状的T值趋于0，实际形状被限制的过程）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49EBFB3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125980" cy="830580"/>
                  <wp:effectExtent l="0" t="0" r="7620" b="7620"/>
                  <wp:docPr id="77"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3" descr="IMG_298"/>
                          <pic:cNvPicPr>
                            <a:picLocks noChangeAspect="1"/>
                          </pic:cNvPicPr>
                        </pic:nvPicPr>
                        <pic:blipFill>
                          <a:blip r:embed="rId64"/>
                          <a:stretch>
                            <a:fillRect/>
                          </a:stretch>
                        </pic:blipFill>
                        <pic:spPr>
                          <a:xfrm>
                            <a:off x="0" y="0"/>
                            <a:ext cx="2125980" cy="83058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9273B8D">
        <w:tblPrEx>
          <w:tblCellMar>
            <w:top w:w="0" w:type="dxa"/>
            <w:left w:w="108" w:type="dxa"/>
            <w:bottom w:w="0" w:type="dxa"/>
            <w:right w:w="108" w:type="dxa"/>
          </w:tblCellMar>
        </w:tblPrEx>
        <w:trPr>
          <w:trHeight w:val="317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3C3694EC">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FBEFDA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面对面垂直度测量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4BDD0BF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B19285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02460" cy="1229360"/>
                  <wp:effectExtent l="0" t="0" r="2540" b="8890"/>
                  <wp:docPr id="78"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descr="IMG_299"/>
                          <pic:cNvPicPr>
                            <a:picLocks noChangeAspect="1"/>
                          </pic:cNvPicPr>
                        </pic:nvPicPr>
                        <pic:blipFill>
                          <a:blip r:embed="rId65"/>
                          <a:stretch>
                            <a:fillRect/>
                          </a:stretch>
                        </pic:blipFill>
                        <pic:spPr>
                          <a:xfrm>
                            <a:off x="0" y="0"/>
                            <a:ext cx="1902460" cy="122936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8787DCB">
        <w:tblPrEx>
          <w:tblCellMar>
            <w:top w:w="0" w:type="dxa"/>
            <w:left w:w="108" w:type="dxa"/>
            <w:bottom w:w="0" w:type="dxa"/>
            <w:right w:w="108" w:type="dxa"/>
          </w:tblCellMar>
        </w:tblPrEx>
        <w:trPr>
          <w:trHeight w:val="2684"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CDB2506">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23C4BE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面对线垂直度测量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609A972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87F261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"C:\\Users\\tx\\AppData\\Local\\Temp\\ksohtml\\clip_cell_image77.png"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3095625" cy="1685925"/>
                  <wp:effectExtent l="0" t="0" r="0" b="0"/>
                  <wp:docPr id="8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descr="IMG_300"/>
                          <pic:cNvPicPr>
                            <a:picLocks noChangeAspect="1"/>
                          </pic:cNvPicPr>
                        </pic:nvPicPr>
                        <pic:blipFill>
                          <a:blip r:embed="rId66"/>
                          <a:stretch>
                            <a:fillRect/>
                          </a:stretch>
                        </pic:blipFill>
                        <pic:spPr>
                          <a:xfrm>
                            <a:off x="0" y="0"/>
                            <a:ext cx="3095625" cy="168592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A3E1B33">
        <w:tblPrEx>
          <w:tblCellMar>
            <w:top w:w="0" w:type="dxa"/>
            <w:left w:w="108" w:type="dxa"/>
            <w:bottom w:w="0" w:type="dxa"/>
            <w:right w:w="108" w:type="dxa"/>
          </w:tblCellMar>
        </w:tblPrEx>
        <w:trPr>
          <w:trHeight w:val="247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BA370C0">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1FC5742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线对线垂直度测量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3B65B2E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DE872F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36115" cy="970915"/>
                  <wp:effectExtent l="0" t="0" r="6985" b="635"/>
                  <wp:docPr id="6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6" descr="IMG_301"/>
                          <pic:cNvPicPr>
                            <a:picLocks noChangeAspect="1"/>
                          </pic:cNvPicPr>
                        </pic:nvPicPr>
                        <pic:blipFill>
                          <a:blip r:embed="rId67"/>
                          <a:stretch>
                            <a:fillRect/>
                          </a:stretch>
                        </pic:blipFill>
                        <pic:spPr>
                          <a:xfrm>
                            <a:off x="0" y="0"/>
                            <a:ext cx="1936115" cy="9709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3CB1A68">
        <w:tblPrEx>
          <w:tblCellMar>
            <w:top w:w="0" w:type="dxa"/>
            <w:left w:w="108" w:type="dxa"/>
            <w:bottom w:w="0" w:type="dxa"/>
            <w:right w:w="108" w:type="dxa"/>
          </w:tblCellMar>
        </w:tblPrEx>
        <w:trPr>
          <w:trHeight w:val="356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24DFB65">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192579B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线对面垂直度测量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0003FBB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4CCB07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"C:\\Users\\tx\\AppData\\Local\\Temp\\ksohtml\\clip_cell_image79.png"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01190" cy="1380490"/>
                  <wp:effectExtent l="0" t="0" r="3810" b="635"/>
                  <wp:docPr id="5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IMG_302"/>
                          <pic:cNvPicPr>
                            <a:picLocks noChangeAspect="1"/>
                          </pic:cNvPicPr>
                        </pic:nvPicPr>
                        <pic:blipFill>
                          <a:blip r:embed="rId68"/>
                          <a:stretch>
                            <a:fillRect/>
                          </a:stretch>
                        </pic:blipFill>
                        <pic:spPr>
                          <a:xfrm>
                            <a:off x="0" y="0"/>
                            <a:ext cx="1901190" cy="138049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3DE3BF1">
        <w:tblPrEx>
          <w:tblCellMar>
            <w:top w:w="0" w:type="dxa"/>
            <w:left w:w="108" w:type="dxa"/>
            <w:bottom w:w="0" w:type="dxa"/>
            <w:right w:w="108" w:type="dxa"/>
          </w:tblCellMar>
        </w:tblPrEx>
        <w:trPr>
          <w:trHeight w:val="2682"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7C9A01B">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EBB1C4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点位置度测量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681142D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76DCA5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10080" cy="1040130"/>
                  <wp:effectExtent l="0" t="0" r="4445" b="7620"/>
                  <wp:docPr id="5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303"/>
                          <pic:cNvPicPr>
                            <a:picLocks noChangeAspect="1"/>
                          </pic:cNvPicPr>
                        </pic:nvPicPr>
                        <pic:blipFill>
                          <a:blip r:embed="rId69"/>
                          <a:stretch>
                            <a:fillRect/>
                          </a:stretch>
                        </pic:blipFill>
                        <pic:spPr>
                          <a:xfrm>
                            <a:off x="0" y="0"/>
                            <a:ext cx="1910080" cy="10401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B022760">
        <w:tblPrEx>
          <w:tblCellMar>
            <w:top w:w="0" w:type="dxa"/>
            <w:left w:w="108" w:type="dxa"/>
            <w:bottom w:w="0" w:type="dxa"/>
            <w:right w:w="108" w:type="dxa"/>
          </w:tblCellMar>
        </w:tblPrEx>
        <w:trPr>
          <w:trHeight w:val="2004"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2D98BA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B78636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线位置度测量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388192F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781CEB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"C:\\Users\\tx\\AppData\\Local\\Temp\\ksohtml\\clip_cell_image81.png"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255520" cy="909320"/>
                  <wp:effectExtent l="0" t="0" r="1905" b="5080"/>
                  <wp:docPr id="4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descr="IMG_304"/>
                          <pic:cNvPicPr>
                            <a:picLocks noChangeAspect="1"/>
                          </pic:cNvPicPr>
                        </pic:nvPicPr>
                        <pic:blipFill>
                          <a:blip r:embed="rId70"/>
                          <a:stretch>
                            <a:fillRect/>
                          </a:stretch>
                        </pic:blipFill>
                        <pic:spPr>
                          <a:xfrm>
                            <a:off x="0" y="0"/>
                            <a:ext cx="2255520" cy="90932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A622A88">
        <w:tblPrEx>
          <w:tblCellMar>
            <w:top w:w="0" w:type="dxa"/>
            <w:left w:w="108" w:type="dxa"/>
            <w:bottom w:w="0" w:type="dxa"/>
            <w:right w:w="108" w:type="dxa"/>
          </w:tblCellMar>
        </w:tblPrEx>
        <w:trPr>
          <w:trHeight w:val="2878"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F847C9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2B4AD5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面位置度测量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2DB92C4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0DF634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"C:\\Users\\tx\\AppData\\Local\\Temp\\ksohtml\\clip_cell_image82.png"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117090" cy="1237615"/>
                  <wp:effectExtent l="0" t="0" r="6985" b="635"/>
                  <wp:docPr id="4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0" descr="IMG_305"/>
                          <pic:cNvPicPr>
                            <a:picLocks noChangeAspect="1"/>
                          </pic:cNvPicPr>
                        </pic:nvPicPr>
                        <pic:blipFill>
                          <a:blip r:embed="rId71"/>
                          <a:stretch>
                            <a:fillRect/>
                          </a:stretch>
                        </pic:blipFill>
                        <pic:spPr>
                          <a:xfrm>
                            <a:off x="0" y="0"/>
                            <a:ext cx="2117090" cy="12376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6DD79D93">
        <w:tblPrEx>
          <w:tblCellMar>
            <w:top w:w="0" w:type="dxa"/>
            <w:left w:w="108" w:type="dxa"/>
            <w:bottom w:w="0" w:type="dxa"/>
            <w:right w:w="108" w:type="dxa"/>
          </w:tblCellMar>
        </w:tblPrEx>
        <w:trPr>
          <w:trHeight w:val="1677"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2BC90414">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任务六 同轴度和圆跳动的测量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A7A774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同轴度公差带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F225E4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公差带为直径等于公差值T、 以公共基准轴线A-B为轴线的圆柱面所限定的区域的动画（随着理想形状的T值趋于0，实际形状被限制的过程）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63EF80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40255" cy="684530"/>
                  <wp:effectExtent l="0" t="0" r="7620" b="1270"/>
                  <wp:docPr id="4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descr="IMG_306"/>
                          <pic:cNvPicPr>
                            <a:picLocks noChangeAspect="1"/>
                          </pic:cNvPicPr>
                        </pic:nvPicPr>
                        <pic:blipFill>
                          <a:blip r:embed="rId72"/>
                          <a:stretch>
                            <a:fillRect/>
                          </a:stretch>
                        </pic:blipFill>
                        <pic:spPr>
                          <a:xfrm>
                            <a:off x="0" y="0"/>
                            <a:ext cx="2040255" cy="6845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7ADFC6A">
        <w:tblPrEx>
          <w:tblCellMar>
            <w:top w:w="0" w:type="dxa"/>
            <w:left w:w="108" w:type="dxa"/>
            <w:bottom w:w="0" w:type="dxa"/>
            <w:right w:w="108" w:type="dxa"/>
          </w:tblCellMar>
        </w:tblPrEx>
        <w:trPr>
          <w:trHeight w:val="1907"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35177B3">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172941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径向圆跳动公差带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506DFBB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公差带为在任一垂直于基准轴线的横截面内,</w:t>
            </w:r>
            <w:r>
              <w:rPr>
                <w:rFonts w:hint="eastAsia" w:ascii="宋体" w:hAnsi="宋体" w:eastAsia="宋体" w:cs="宋体"/>
                <w:lang w:eastAsia="zh-CN" w:bidi="ar"/>
              </w:rPr>
              <w:br w:type="textWrapping"/>
            </w:r>
            <w:r>
              <w:rPr>
                <w:rFonts w:hint="eastAsia" w:ascii="宋体" w:hAnsi="宋体" w:eastAsia="宋体" w:cs="宋体"/>
                <w:lang w:eastAsia="zh-CN" w:bidi="ar"/>
              </w:rPr>
              <w:t>半径差等于公差值T、 圆心在基准轴线上的两同心圆所限定的区域的动画（随着理想形状的T值趋于0，实际形状被限制的过程）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EFFF7B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60575" cy="792480"/>
                  <wp:effectExtent l="0" t="0" r="6350" b="7620"/>
                  <wp:docPr id="51"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descr="IMG_307"/>
                          <pic:cNvPicPr>
                            <a:picLocks noChangeAspect="1"/>
                          </pic:cNvPicPr>
                        </pic:nvPicPr>
                        <pic:blipFill>
                          <a:blip r:embed="rId73"/>
                          <a:stretch>
                            <a:fillRect/>
                          </a:stretch>
                        </pic:blipFill>
                        <pic:spPr>
                          <a:xfrm>
                            <a:off x="0" y="0"/>
                            <a:ext cx="2060575" cy="79248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25CEEDF">
        <w:tblPrEx>
          <w:tblCellMar>
            <w:top w:w="0" w:type="dxa"/>
            <w:left w:w="108" w:type="dxa"/>
            <w:bottom w:w="0" w:type="dxa"/>
            <w:right w:w="108" w:type="dxa"/>
          </w:tblCellMar>
        </w:tblPrEx>
        <w:trPr>
          <w:trHeight w:val="1787"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B425ECC">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A8779B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轴向圆跳动公差带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180747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公差带为与基准轴线 同轴的任一半径的圆柱</w:t>
            </w:r>
            <w:r>
              <w:rPr>
                <w:rFonts w:hint="eastAsia" w:ascii="宋体" w:hAnsi="宋体" w:eastAsia="宋体" w:cs="宋体"/>
                <w:lang w:eastAsia="zh-CN" w:bidi="ar"/>
              </w:rPr>
              <w:br w:type="textWrapping"/>
            </w:r>
            <w:r>
              <w:rPr>
                <w:rFonts w:hint="eastAsia" w:ascii="宋体" w:hAnsi="宋体" w:eastAsia="宋体" w:cs="宋体"/>
                <w:lang w:eastAsia="zh-CN" w:bidi="ar"/>
              </w:rPr>
              <w:t>截面上,间距等于公差值T的 两圆所限定的圆柱面区域的动画（随着理想形状的T值趋于0，实际形状被限制的过程）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30201F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"C:\\Users\\tx\\AppData\\Local\\Temp\\ksohtml\\clip_cell_image87.png"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74545" cy="746760"/>
                  <wp:effectExtent l="0" t="0" r="1905" b="5715"/>
                  <wp:docPr id="4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descr="IMG_308"/>
                          <pic:cNvPicPr>
                            <a:picLocks noChangeAspect="1"/>
                          </pic:cNvPicPr>
                        </pic:nvPicPr>
                        <pic:blipFill>
                          <a:blip r:embed="rId74"/>
                          <a:stretch>
                            <a:fillRect/>
                          </a:stretch>
                        </pic:blipFill>
                        <pic:spPr>
                          <a:xfrm>
                            <a:off x="0" y="0"/>
                            <a:ext cx="2074545" cy="74676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4EFCC3F">
        <w:tblPrEx>
          <w:tblCellMar>
            <w:top w:w="0" w:type="dxa"/>
            <w:left w:w="108" w:type="dxa"/>
            <w:bottom w:w="0" w:type="dxa"/>
            <w:right w:w="108" w:type="dxa"/>
          </w:tblCellMar>
        </w:tblPrEx>
        <w:trPr>
          <w:trHeight w:val="1828"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9403A82">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5F39FE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斜向圆跳动公差带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6DB4ECD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公差带为在轴线与基准轴线同轴的、具有给定锥角的任一圆锥截面上，间距等于公差值t的两不等圆所限定的区域的动画（随着理想形状的T值趋于0，实际形状被限制的过程）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49B80E3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45005" cy="718185"/>
                  <wp:effectExtent l="0" t="0" r="7620" b="5715"/>
                  <wp:docPr id="40"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descr="IMG_309"/>
                          <pic:cNvPicPr>
                            <a:picLocks noChangeAspect="1"/>
                          </pic:cNvPicPr>
                        </pic:nvPicPr>
                        <pic:blipFill>
                          <a:blip r:embed="rId75"/>
                          <a:stretch>
                            <a:fillRect/>
                          </a:stretch>
                        </pic:blipFill>
                        <pic:spPr>
                          <a:xfrm>
                            <a:off x="0" y="0"/>
                            <a:ext cx="1945005" cy="71818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D8339D6">
        <w:tblPrEx>
          <w:tblCellMar>
            <w:top w:w="0" w:type="dxa"/>
            <w:left w:w="108" w:type="dxa"/>
            <w:bottom w:w="0" w:type="dxa"/>
            <w:right w:w="108" w:type="dxa"/>
          </w:tblCellMar>
        </w:tblPrEx>
        <w:trPr>
          <w:trHeight w:val="144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19DA502">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8D9803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径向全跳动公差带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141BDE7A">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公差带为半径差等于公差值t、与基准轴线同轴的两圆柱面所限定的区城的动画（随着理想形状的T值趋于0，实际形状被限制的过程）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A6A557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"C:\\Users\\tx\\AppData\\Local\\Temp\\ksohtml\\clip_cell_image89.png"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27225" cy="551180"/>
                  <wp:effectExtent l="0" t="0" r="6350" b="1270"/>
                  <wp:docPr id="4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5" descr="IMG_310"/>
                          <pic:cNvPicPr>
                            <a:picLocks noChangeAspect="1"/>
                          </pic:cNvPicPr>
                        </pic:nvPicPr>
                        <pic:blipFill>
                          <a:blip r:embed="rId76"/>
                          <a:stretch>
                            <a:fillRect/>
                          </a:stretch>
                        </pic:blipFill>
                        <pic:spPr>
                          <a:xfrm>
                            <a:off x="0" y="0"/>
                            <a:ext cx="1927225" cy="55118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6F8F30B4">
        <w:tblPrEx>
          <w:tblCellMar>
            <w:top w:w="0" w:type="dxa"/>
            <w:left w:w="108" w:type="dxa"/>
            <w:bottom w:w="0" w:type="dxa"/>
            <w:right w:w="108" w:type="dxa"/>
          </w:tblCellMar>
        </w:tblPrEx>
        <w:trPr>
          <w:trHeight w:val="1368"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56EA9BA">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DE8F02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轴向全跳动公差带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5E4702D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公差带为间距等于公差值T、垂直于基准轴线的两平行平面所限定的区域的动画（随着理想形状的T值趋于0，实际形状被限制的过程）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9CFB61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69770" cy="539115"/>
                  <wp:effectExtent l="0" t="0" r="1905" b="3810"/>
                  <wp:docPr id="4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6" descr="IMG_311"/>
                          <pic:cNvPicPr>
                            <a:picLocks noChangeAspect="1"/>
                          </pic:cNvPicPr>
                        </pic:nvPicPr>
                        <pic:blipFill>
                          <a:blip r:embed="rId77"/>
                          <a:stretch>
                            <a:fillRect/>
                          </a:stretch>
                        </pic:blipFill>
                        <pic:spPr>
                          <a:xfrm>
                            <a:off x="0" y="0"/>
                            <a:ext cx="1969770" cy="5391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287A665">
        <w:tblPrEx>
          <w:tblCellMar>
            <w:top w:w="0" w:type="dxa"/>
            <w:left w:w="108" w:type="dxa"/>
            <w:bottom w:w="0" w:type="dxa"/>
            <w:right w:w="108" w:type="dxa"/>
          </w:tblCellMar>
        </w:tblPrEx>
        <w:trPr>
          <w:trHeight w:val="2604"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072EF4AB">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B798F0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同轴度测量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28AE6EB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974468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"C:\\Users\\tx\\AppData\\Local\\Temp\\ksohtml\\clip_cell_image91.png"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84045" cy="996950"/>
                  <wp:effectExtent l="0" t="0" r="1905" b="3175"/>
                  <wp:docPr id="4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7" descr="IMG_312"/>
                          <pic:cNvPicPr>
                            <a:picLocks noChangeAspect="1"/>
                          </pic:cNvPicPr>
                        </pic:nvPicPr>
                        <pic:blipFill>
                          <a:blip r:embed="rId78"/>
                          <a:stretch>
                            <a:fillRect/>
                          </a:stretch>
                        </pic:blipFill>
                        <pic:spPr>
                          <a:xfrm>
                            <a:off x="0" y="0"/>
                            <a:ext cx="1884045" cy="99695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4688547">
        <w:tblPrEx>
          <w:tblCellMar>
            <w:top w:w="0" w:type="dxa"/>
            <w:left w:w="108" w:type="dxa"/>
            <w:bottom w:w="0" w:type="dxa"/>
            <w:right w:w="108" w:type="dxa"/>
          </w:tblCellMar>
        </w:tblPrEx>
        <w:trPr>
          <w:trHeight w:val="397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7C4EE65B">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191A9C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径向圆跳动测量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166B6252">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9419DE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"C:\\Users\\tx\\AppData\\Local\\Temp\\ksohtml\\clip_cell_image92.png"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546860" cy="1256665"/>
                  <wp:effectExtent l="0" t="0" r="5715" b="635"/>
                  <wp:docPr id="3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8" descr="IMG_313"/>
                          <pic:cNvPicPr>
                            <a:picLocks noChangeAspect="1"/>
                          </pic:cNvPicPr>
                        </pic:nvPicPr>
                        <pic:blipFill>
                          <a:blip r:embed="rId79"/>
                          <a:stretch>
                            <a:fillRect/>
                          </a:stretch>
                        </pic:blipFill>
                        <pic:spPr>
                          <a:xfrm>
                            <a:off x="0" y="0"/>
                            <a:ext cx="1546860" cy="125666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5FABEB2">
        <w:tblPrEx>
          <w:tblCellMar>
            <w:top w:w="0" w:type="dxa"/>
            <w:left w:w="108" w:type="dxa"/>
            <w:bottom w:w="0" w:type="dxa"/>
            <w:right w:w="108" w:type="dxa"/>
          </w:tblCellMar>
        </w:tblPrEx>
        <w:trPr>
          <w:trHeight w:val="2620"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64BD153">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067FA22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轴向圆跳动测量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75C70310">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48345B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14220" cy="1072515"/>
                  <wp:effectExtent l="0" t="0" r="5080" b="3810"/>
                  <wp:docPr id="38"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9" descr="IMG_314"/>
                          <pic:cNvPicPr>
                            <a:picLocks noChangeAspect="1"/>
                          </pic:cNvPicPr>
                        </pic:nvPicPr>
                        <pic:blipFill>
                          <a:blip r:embed="rId80"/>
                          <a:stretch>
                            <a:fillRect/>
                          </a:stretch>
                        </pic:blipFill>
                        <pic:spPr>
                          <a:xfrm>
                            <a:off x="0" y="0"/>
                            <a:ext cx="2014220" cy="10725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F7C0576">
        <w:tblPrEx>
          <w:tblCellMar>
            <w:top w:w="0" w:type="dxa"/>
            <w:left w:w="108" w:type="dxa"/>
            <w:bottom w:w="0" w:type="dxa"/>
            <w:right w:w="108" w:type="dxa"/>
          </w:tblCellMar>
        </w:tblPrEx>
        <w:trPr>
          <w:trHeight w:val="265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D7941CF">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78213F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斜向圆跳动测量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28B00E17">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7933AB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692275" cy="911225"/>
                  <wp:effectExtent l="0" t="0" r="3175" b="3175"/>
                  <wp:docPr id="4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0" descr="IMG_315"/>
                          <pic:cNvPicPr>
                            <a:picLocks noChangeAspect="1"/>
                          </pic:cNvPicPr>
                        </pic:nvPicPr>
                        <pic:blipFill>
                          <a:blip r:embed="rId81"/>
                          <a:stretch>
                            <a:fillRect/>
                          </a:stretch>
                        </pic:blipFill>
                        <pic:spPr>
                          <a:xfrm>
                            <a:off x="0" y="0"/>
                            <a:ext cx="1692275" cy="91122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46DE7E36">
        <w:tblPrEx>
          <w:tblCellMar>
            <w:top w:w="0" w:type="dxa"/>
            <w:left w:w="108" w:type="dxa"/>
            <w:bottom w:w="0" w:type="dxa"/>
            <w:right w:w="108" w:type="dxa"/>
          </w:tblCellMar>
        </w:tblPrEx>
        <w:trPr>
          <w:trHeight w:val="3292"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ACE9499">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6A47BE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径向全圆跳动测量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6C4E5DB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B36B59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24050" cy="1290955"/>
                  <wp:effectExtent l="0" t="0" r="0" b="4445"/>
                  <wp:docPr id="49"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1" descr="IMG_316"/>
                          <pic:cNvPicPr>
                            <a:picLocks noChangeAspect="1"/>
                          </pic:cNvPicPr>
                        </pic:nvPicPr>
                        <pic:blipFill>
                          <a:blip r:embed="rId82"/>
                          <a:stretch>
                            <a:fillRect/>
                          </a:stretch>
                        </pic:blipFill>
                        <pic:spPr>
                          <a:xfrm>
                            <a:off x="0" y="0"/>
                            <a:ext cx="1924050" cy="129095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643E1A1">
        <w:tblPrEx>
          <w:tblCellMar>
            <w:top w:w="0" w:type="dxa"/>
            <w:left w:w="108" w:type="dxa"/>
            <w:bottom w:w="0" w:type="dxa"/>
            <w:right w:w="108" w:type="dxa"/>
          </w:tblCellMar>
        </w:tblPrEx>
        <w:trPr>
          <w:trHeight w:val="382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9729AC6">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5FD26DD">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轴向全圆跳动测量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2CEDF58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4DE41F7">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"C:\\Users\\tx\\AppData\\Local\\Temp\\ksohtml\\clip_cell_image96.png"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134870" cy="1668780"/>
                  <wp:effectExtent l="0" t="0" r="8255" b="7620"/>
                  <wp:docPr id="5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2" descr="IMG_317"/>
                          <pic:cNvPicPr>
                            <a:picLocks noChangeAspect="1"/>
                          </pic:cNvPicPr>
                        </pic:nvPicPr>
                        <pic:blipFill>
                          <a:blip r:embed="rId83"/>
                          <a:stretch>
                            <a:fillRect/>
                          </a:stretch>
                        </pic:blipFill>
                        <pic:spPr>
                          <a:xfrm>
                            <a:off x="0" y="0"/>
                            <a:ext cx="2134870" cy="166878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E16F911">
        <w:tblPrEx>
          <w:tblCellMar>
            <w:top w:w="0" w:type="dxa"/>
            <w:left w:w="108" w:type="dxa"/>
            <w:bottom w:w="0" w:type="dxa"/>
            <w:right w:w="108" w:type="dxa"/>
          </w:tblCellMar>
        </w:tblPrEx>
        <w:trPr>
          <w:trHeight w:val="2414"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4F6F4E54">
            <w:pPr>
              <w:keepNext w:val="0"/>
              <w:keepLines w:val="0"/>
              <w:widowControl/>
              <w:suppressLineNumbers w:val="0"/>
              <w:spacing w:before="0" w:beforeAutospacing="0" w:after="0" w:afterAutospacing="0"/>
              <w:ind w:left="0" w:right="0"/>
              <w:jc w:val="center"/>
              <w:textAlignment w:val="center"/>
              <w:rPr>
                <w:rFonts w:ascii="宋体" w:hAnsi="宋体" w:eastAsia="宋体" w:cs="宋体"/>
              </w:rPr>
            </w:pPr>
            <w:r>
              <w:rPr>
                <w:rFonts w:hint="eastAsia" w:ascii="宋体" w:hAnsi="宋体" w:eastAsia="宋体" w:cs="宋体"/>
                <w:lang w:eastAsia="zh-CN" w:bidi="ar"/>
              </w:rPr>
              <w:t>任务七 对称度的测量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1E3C7C0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对称度公差带</w:t>
            </w:r>
          </w:p>
        </w:tc>
        <w:tc>
          <w:tcPr>
            <w:tcW w:w="1678" w:type="pct"/>
            <w:tcBorders>
              <w:top w:val="single" w:color="000000" w:sz="4" w:space="0"/>
              <w:left w:val="single" w:color="000000" w:sz="4" w:space="0"/>
              <w:bottom w:val="single" w:color="000000" w:sz="4" w:space="0"/>
              <w:right w:val="single" w:color="000000" w:sz="4" w:space="0"/>
            </w:tcBorders>
            <w:vAlign w:val="center"/>
          </w:tcPr>
          <w:p w14:paraId="2D86D27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公差带为间距等于公差值t且对称于基准中</w:t>
            </w:r>
            <w:r>
              <w:rPr>
                <w:rFonts w:hint="eastAsia" w:ascii="宋体" w:hAnsi="宋体" w:eastAsia="宋体" w:cs="宋体"/>
                <w:lang w:eastAsia="zh-CN" w:bidi="ar"/>
              </w:rPr>
              <w:br w:type="textWrapping"/>
            </w:r>
            <w:r>
              <w:rPr>
                <w:rFonts w:hint="eastAsia" w:ascii="宋体" w:hAnsi="宋体" w:eastAsia="宋体" w:cs="宋体"/>
                <w:lang w:eastAsia="zh-CN" w:bidi="ar"/>
              </w:rPr>
              <w:t>心平面的两平行平面所限定的区域的动画（随着理想形状的T值趋于0，实际形状被限制的过程）</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B4B4A32">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"C:\\Users\\tx\\AppData\\Local\\Temp\\ksohtml\\clip_cell_image97.png"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05940" cy="883285"/>
                  <wp:effectExtent l="0" t="0" r="3810" b="2540"/>
                  <wp:docPr id="5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3" descr="IMG_318"/>
                          <pic:cNvPicPr>
                            <a:picLocks noChangeAspect="1"/>
                          </pic:cNvPicPr>
                        </pic:nvPicPr>
                        <pic:blipFill>
                          <a:blip r:embed="rId84"/>
                          <a:stretch>
                            <a:fillRect/>
                          </a:stretch>
                        </pic:blipFill>
                        <pic:spPr>
                          <a:xfrm>
                            <a:off x="0" y="0"/>
                            <a:ext cx="1805940" cy="88328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5C6FE324">
        <w:tblPrEx>
          <w:tblCellMar>
            <w:top w:w="0" w:type="dxa"/>
            <w:left w:w="108" w:type="dxa"/>
            <w:bottom w:w="0" w:type="dxa"/>
            <w:right w:w="108" w:type="dxa"/>
          </w:tblCellMar>
        </w:tblPrEx>
        <w:trPr>
          <w:trHeight w:val="255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2BC0DB0B">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7094C7B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面对面对称度测量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1646730B">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CA3B7C4">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27225" cy="996315"/>
                  <wp:effectExtent l="0" t="0" r="6350" b="3810"/>
                  <wp:docPr id="9"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IMG_319"/>
                          <pic:cNvPicPr>
                            <a:picLocks noChangeAspect="1"/>
                          </pic:cNvPicPr>
                        </pic:nvPicPr>
                        <pic:blipFill>
                          <a:blip r:embed="rId85"/>
                          <a:stretch>
                            <a:fillRect/>
                          </a:stretch>
                        </pic:blipFill>
                        <pic:spPr>
                          <a:xfrm>
                            <a:off x="0" y="0"/>
                            <a:ext cx="1927225" cy="99631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70285689">
        <w:tblPrEx>
          <w:tblCellMar>
            <w:top w:w="0" w:type="dxa"/>
            <w:left w:w="108" w:type="dxa"/>
            <w:bottom w:w="0" w:type="dxa"/>
            <w:right w:w="108" w:type="dxa"/>
          </w:tblCellMar>
        </w:tblPrEx>
        <w:trPr>
          <w:trHeight w:val="2632"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61EB1D7C">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47BF46B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面对线对称度测量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3D3B332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42F7CD9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"C:\\Users\\tx\\AppData\\Local\\Temp\\ksohtml\\clip_cell_image99.png"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70405" cy="1054735"/>
                  <wp:effectExtent l="0" t="0" r="1270" b="2540"/>
                  <wp:docPr id="8"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5" descr="IMG_320"/>
                          <pic:cNvPicPr>
                            <a:picLocks noChangeAspect="1"/>
                          </pic:cNvPicPr>
                        </pic:nvPicPr>
                        <pic:blipFill>
                          <a:blip r:embed="rId86"/>
                          <a:stretch>
                            <a:fillRect/>
                          </a:stretch>
                        </pic:blipFill>
                        <pic:spPr>
                          <a:xfrm>
                            <a:off x="0" y="0"/>
                            <a:ext cx="1970405" cy="105473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17B55029">
        <w:tblPrEx>
          <w:tblCellMar>
            <w:top w:w="0" w:type="dxa"/>
            <w:left w:w="108" w:type="dxa"/>
            <w:bottom w:w="0" w:type="dxa"/>
            <w:right w:w="108" w:type="dxa"/>
          </w:tblCellMar>
        </w:tblPrEx>
        <w:trPr>
          <w:trHeight w:val="2428"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FA5448D">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3B05B5E">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线对面对称度测量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475423E3">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2.有测量动画，可调整不同被测形状显示测量结果，用于计算练习</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4A02C5B">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92300" cy="931545"/>
                  <wp:effectExtent l="0" t="0" r="3175" b="1905"/>
                  <wp:docPr id="12"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6" descr="IMG_321"/>
                          <pic:cNvPicPr>
                            <a:picLocks noChangeAspect="1"/>
                          </pic:cNvPicPr>
                        </pic:nvPicPr>
                        <pic:blipFill>
                          <a:blip r:embed="rId87"/>
                          <a:stretch>
                            <a:fillRect/>
                          </a:stretch>
                        </pic:blipFill>
                        <pic:spPr>
                          <a:xfrm>
                            <a:off x="0" y="0"/>
                            <a:ext cx="1892300" cy="93154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6478FE1">
        <w:tblPrEx>
          <w:tblCellMar>
            <w:top w:w="0" w:type="dxa"/>
            <w:left w:w="108" w:type="dxa"/>
            <w:bottom w:w="0" w:type="dxa"/>
            <w:right w:w="108" w:type="dxa"/>
          </w:tblCellMar>
        </w:tblPrEx>
        <w:trPr>
          <w:trHeight w:val="2414" w:hRule="atLeast"/>
        </w:trPr>
        <w:tc>
          <w:tcPr>
            <w:tcW w:w="554" w:type="pct"/>
            <w:tcBorders>
              <w:top w:val="single" w:color="000000" w:sz="4" w:space="0"/>
              <w:left w:val="single" w:color="000000" w:sz="4" w:space="0"/>
              <w:bottom w:val="single" w:color="000000" w:sz="4" w:space="0"/>
              <w:right w:val="single" w:color="000000" w:sz="4" w:space="0"/>
            </w:tcBorders>
            <w:noWrap/>
            <w:vAlign w:val="center"/>
          </w:tcPr>
          <w:p w14:paraId="367BEFF9">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任务一 认识表面粗糙度</w:t>
            </w:r>
          </w:p>
        </w:tc>
        <w:tc>
          <w:tcPr>
            <w:tcW w:w="975" w:type="pct"/>
            <w:tcBorders>
              <w:top w:val="single" w:color="000000" w:sz="4" w:space="0"/>
              <w:left w:val="single" w:color="000000" w:sz="4" w:space="0"/>
              <w:bottom w:val="single" w:color="000000" w:sz="4" w:space="0"/>
              <w:right w:val="single" w:color="000000" w:sz="4" w:space="0"/>
            </w:tcBorders>
            <w:vAlign w:val="center"/>
          </w:tcPr>
          <w:p w14:paraId="1036529D">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表面粗糙度组成及区别</w:t>
            </w:r>
          </w:p>
        </w:tc>
        <w:tc>
          <w:tcPr>
            <w:tcW w:w="1678" w:type="pct"/>
            <w:tcBorders>
              <w:top w:val="single" w:color="000000" w:sz="4" w:space="0"/>
              <w:left w:val="single" w:color="000000" w:sz="4" w:space="0"/>
              <w:bottom w:val="single" w:color="000000" w:sz="4" w:space="0"/>
              <w:right w:val="single" w:color="000000" w:sz="4" w:space="0"/>
            </w:tcBorders>
            <w:vAlign w:val="center"/>
          </w:tcPr>
          <w:p w14:paraId="3894CEF1">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1.实际表面轮廓通过滤波变成粗糙度的动画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003F71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"C:\\Users\\tx\\AppData\\Local\\Temp\\ksohtml\\clip_cell_image101.png"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30730" cy="993775"/>
                  <wp:effectExtent l="0" t="0" r="7620" b="6350"/>
                  <wp:docPr id="13"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7" descr="IMG_322"/>
                          <pic:cNvPicPr>
                            <a:picLocks noChangeAspect="1"/>
                          </pic:cNvPicPr>
                        </pic:nvPicPr>
                        <pic:blipFill>
                          <a:blip r:embed="rId88"/>
                          <a:stretch>
                            <a:fillRect/>
                          </a:stretch>
                        </pic:blipFill>
                        <pic:spPr>
                          <a:xfrm>
                            <a:off x="0" y="0"/>
                            <a:ext cx="2030730" cy="99377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72F422E">
        <w:tblPrEx>
          <w:tblCellMar>
            <w:top w:w="0" w:type="dxa"/>
            <w:left w:w="108" w:type="dxa"/>
            <w:bottom w:w="0" w:type="dxa"/>
            <w:right w:w="108" w:type="dxa"/>
          </w:tblCellMar>
        </w:tblPrEx>
        <w:trPr>
          <w:trHeight w:val="2714"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69E126C5">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任务二 表面粗糙度的检测</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897834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样块比较法测量表面粗糙度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6A645CE5">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2.有视觉法和触摸法测量动画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C8D153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86915" cy="1094105"/>
                  <wp:effectExtent l="0" t="0" r="0" b="0"/>
                  <wp:docPr id="14"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8" descr="IMG_323"/>
                          <pic:cNvPicPr>
                            <a:picLocks noChangeAspect="1"/>
                          </pic:cNvPicPr>
                        </pic:nvPicPr>
                        <pic:blipFill>
                          <a:blip r:embed="rId89"/>
                          <a:stretch>
                            <a:fillRect/>
                          </a:stretch>
                        </pic:blipFill>
                        <pic:spPr>
                          <a:xfrm>
                            <a:off x="0" y="0"/>
                            <a:ext cx="1986915" cy="1094105"/>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F3B513A">
        <w:tblPrEx>
          <w:tblCellMar>
            <w:top w:w="0" w:type="dxa"/>
            <w:left w:w="108" w:type="dxa"/>
            <w:bottom w:w="0" w:type="dxa"/>
            <w:right w:w="108" w:type="dxa"/>
          </w:tblCellMar>
        </w:tblPrEx>
        <w:trPr>
          <w:trHeight w:val="5577"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54808EE2">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6EEB478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显微镜比较法测量表面粗糙度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02404F9F">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有简单测量动画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7B18096">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"C:\\Users\\tx\\AppData\\Local\\Temp\\ksohtml\\clip_cell_image104.png"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51355" cy="2235200"/>
                  <wp:effectExtent l="0" t="0" r="0" b="0"/>
                  <wp:docPr id="18"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9" descr="IMG_324"/>
                          <pic:cNvPicPr>
                            <a:picLocks noChangeAspect="1"/>
                          </pic:cNvPicPr>
                        </pic:nvPicPr>
                        <pic:blipFill>
                          <a:blip r:embed="rId90"/>
                          <a:stretch>
                            <a:fillRect/>
                          </a:stretch>
                        </pic:blipFill>
                        <pic:spPr>
                          <a:xfrm>
                            <a:off x="0" y="0"/>
                            <a:ext cx="1951355" cy="223520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30A5DE97">
        <w:tblPrEx>
          <w:tblCellMar>
            <w:top w:w="0" w:type="dxa"/>
            <w:left w:w="108" w:type="dxa"/>
            <w:bottom w:w="0" w:type="dxa"/>
            <w:right w:w="108" w:type="dxa"/>
          </w:tblCellMar>
        </w:tblPrEx>
        <w:trPr>
          <w:trHeight w:val="4476"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151CAD31">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361F408F">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电动轮廓仪测量法测量表面粗糙度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4075B7A1">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有简单测量动画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CFE0F4C">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"C:\\Users\\tx\\AppData\\Local\\Temp\\ksohtml\\clip_cell_image105.png"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39620" cy="1870710"/>
                  <wp:effectExtent l="0" t="0" r="0" b="0"/>
                  <wp:docPr id="2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descr="IMG_325"/>
                          <pic:cNvPicPr>
                            <a:picLocks noChangeAspect="1"/>
                          </pic:cNvPicPr>
                        </pic:nvPicPr>
                        <pic:blipFill>
                          <a:blip r:embed="rId91"/>
                          <a:stretch>
                            <a:fillRect/>
                          </a:stretch>
                        </pic:blipFill>
                        <pic:spPr>
                          <a:xfrm>
                            <a:off x="0" y="0"/>
                            <a:ext cx="2039620" cy="187071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9463F96">
        <w:tblPrEx>
          <w:tblCellMar>
            <w:top w:w="0" w:type="dxa"/>
            <w:left w:w="108" w:type="dxa"/>
            <w:bottom w:w="0" w:type="dxa"/>
            <w:right w:w="108" w:type="dxa"/>
          </w:tblCellMar>
        </w:tblPrEx>
        <w:trPr>
          <w:trHeight w:val="3363"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850E3A8">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A1FC3D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光切显微镜测量法测量表面粗糙度</w:t>
            </w:r>
          </w:p>
        </w:tc>
        <w:tc>
          <w:tcPr>
            <w:tcW w:w="1678" w:type="pct"/>
            <w:tcBorders>
              <w:top w:val="single" w:color="000000" w:sz="4" w:space="0"/>
              <w:left w:val="single" w:color="000000" w:sz="4" w:space="0"/>
              <w:bottom w:val="single" w:color="000000" w:sz="4" w:space="0"/>
              <w:right w:val="single" w:color="000000" w:sz="4" w:space="0"/>
            </w:tcBorders>
            <w:vAlign w:val="center"/>
          </w:tcPr>
          <w:p w14:paraId="74DEBA8A">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有简单测量动画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B70B6F4">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rPr>
              <w:drawing>
                <wp:inline distT="0" distB="0" distL="114300" distR="114300">
                  <wp:extent cx="1953895" cy="1527175"/>
                  <wp:effectExtent l="0" t="0" r="8255" b="6350"/>
                  <wp:docPr id="10" name="图片 71" descr="cf3234224983e4f2e8bc0ecedf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descr="cf3234224983e4f2e8bc0ecedfd2ebf"/>
                          <pic:cNvPicPr>
                            <a:picLocks noChangeAspect="1"/>
                          </pic:cNvPicPr>
                        </pic:nvPicPr>
                        <pic:blipFill>
                          <a:blip r:embed="rId92"/>
                          <a:stretch>
                            <a:fillRect/>
                          </a:stretch>
                        </pic:blipFill>
                        <pic:spPr>
                          <a:xfrm>
                            <a:off x="0" y="0"/>
                            <a:ext cx="1953895" cy="1527175"/>
                          </a:xfrm>
                          <a:prstGeom prst="rect">
                            <a:avLst/>
                          </a:prstGeom>
                          <a:noFill/>
                          <a:ln>
                            <a:noFill/>
                          </a:ln>
                        </pic:spPr>
                      </pic:pic>
                    </a:graphicData>
                  </a:graphic>
                </wp:inline>
              </w:drawing>
            </w:r>
          </w:p>
        </w:tc>
      </w:tr>
      <w:tr w14:paraId="3038F4EB">
        <w:tblPrEx>
          <w:tblCellMar>
            <w:top w:w="0" w:type="dxa"/>
            <w:left w:w="108" w:type="dxa"/>
            <w:bottom w:w="0" w:type="dxa"/>
            <w:right w:w="108" w:type="dxa"/>
          </w:tblCellMar>
        </w:tblPrEx>
        <w:trPr>
          <w:trHeight w:val="2732" w:hRule="atLeast"/>
        </w:trPr>
        <w:tc>
          <w:tcPr>
            <w:tcW w:w="554" w:type="pct"/>
            <w:vMerge w:val="restart"/>
            <w:tcBorders>
              <w:top w:val="single" w:color="000000" w:sz="4" w:space="0"/>
              <w:left w:val="single" w:color="000000" w:sz="4" w:space="0"/>
              <w:bottom w:val="single" w:color="000000" w:sz="4" w:space="0"/>
              <w:right w:val="single" w:color="000000" w:sz="4" w:space="0"/>
            </w:tcBorders>
            <w:noWrap/>
            <w:vAlign w:val="center"/>
          </w:tcPr>
          <w:p w14:paraId="4F44EFED">
            <w:pPr>
              <w:keepNext w:val="0"/>
              <w:keepLines w:val="0"/>
              <w:widowControl/>
              <w:suppressLineNumbers w:val="0"/>
              <w:spacing w:before="0" w:beforeAutospacing="0" w:after="0" w:afterAutospacing="0"/>
              <w:ind w:left="0" w:right="0"/>
              <w:jc w:val="center"/>
              <w:textAlignment w:val="center"/>
              <w:rPr>
                <w:rFonts w:ascii="宋体" w:hAnsi="宋体" w:eastAsia="宋体" w:cs="宋体"/>
                <w:lang w:eastAsia="zh-CN"/>
              </w:rPr>
            </w:pPr>
            <w:r>
              <w:rPr>
                <w:rFonts w:hint="eastAsia" w:ascii="宋体" w:hAnsi="宋体" w:eastAsia="宋体" w:cs="宋体"/>
                <w:lang w:eastAsia="zh-CN" w:bidi="ar"/>
              </w:rPr>
              <w:t>任务二 普通螺纹的测量</w:t>
            </w: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2CB663C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螺纹千分尺</w:t>
            </w:r>
          </w:p>
        </w:tc>
        <w:tc>
          <w:tcPr>
            <w:tcW w:w="1678" w:type="pct"/>
            <w:tcBorders>
              <w:top w:val="single" w:color="000000" w:sz="4" w:space="0"/>
              <w:left w:val="single" w:color="000000" w:sz="4" w:space="0"/>
              <w:bottom w:val="single" w:color="000000" w:sz="4" w:space="0"/>
              <w:right w:val="single" w:color="000000" w:sz="4" w:space="0"/>
            </w:tcBorders>
            <w:vAlign w:val="center"/>
          </w:tcPr>
          <w:p w14:paraId="016E28DE">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2.能自由调整活动套筒的位置用于读数练习，并能自动生成正确读数</w:t>
            </w:r>
            <w:r>
              <w:rPr>
                <w:rFonts w:hint="eastAsia" w:ascii="宋体" w:hAnsi="宋体" w:eastAsia="宋体" w:cs="宋体"/>
                <w:lang w:eastAsia="zh-CN" w:bidi="ar"/>
              </w:rPr>
              <w:br w:type="textWrapping"/>
            </w:r>
            <w:r>
              <w:rPr>
                <w:rFonts w:hint="eastAsia" w:ascii="宋体" w:hAnsi="宋体" w:eastAsia="宋体" w:cs="宋体"/>
                <w:lang w:eastAsia="zh-CN" w:bidi="ar"/>
              </w:rPr>
              <w:t>3.有根据螺距更换测头和测量螺纹中径的动画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3C1062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"C:\\Users\\tx\\AppData\\Local\\Temp\\ksohtml\\clip_cell_image108.png"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996440" cy="822960"/>
                  <wp:effectExtent l="0" t="0" r="3810" b="5715"/>
                  <wp:docPr id="57"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2" descr="IMG_327"/>
                          <pic:cNvPicPr>
                            <a:picLocks noChangeAspect="1"/>
                          </pic:cNvPicPr>
                        </pic:nvPicPr>
                        <pic:blipFill>
                          <a:blip r:embed="rId93"/>
                          <a:stretch>
                            <a:fillRect/>
                          </a:stretch>
                        </pic:blipFill>
                        <pic:spPr>
                          <a:xfrm>
                            <a:off x="0" y="0"/>
                            <a:ext cx="1996440" cy="82296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038FCD23">
        <w:tblPrEx>
          <w:tblCellMar>
            <w:top w:w="0" w:type="dxa"/>
            <w:left w:w="108" w:type="dxa"/>
            <w:bottom w:w="0" w:type="dxa"/>
            <w:right w:w="108" w:type="dxa"/>
          </w:tblCellMar>
        </w:tblPrEx>
        <w:trPr>
          <w:trHeight w:val="186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16717B5">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1218967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螺纹量规</w:t>
            </w:r>
          </w:p>
        </w:tc>
        <w:tc>
          <w:tcPr>
            <w:tcW w:w="1678" w:type="pct"/>
            <w:tcBorders>
              <w:top w:val="single" w:color="000000" w:sz="4" w:space="0"/>
              <w:left w:val="single" w:color="000000" w:sz="4" w:space="0"/>
              <w:bottom w:val="single" w:color="000000" w:sz="4" w:space="0"/>
              <w:right w:val="single" w:color="000000" w:sz="4" w:space="0"/>
            </w:tcBorders>
            <w:vAlign w:val="center"/>
          </w:tcPr>
          <w:p w14:paraId="621C77AC">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1.有完整的量具外形结构</w:t>
            </w:r>
            <w:r>
              <w:rPr>
                <w:rFonts w:hint="eastAsia" w:ascii="宋体" w:hAnsi="宋体" w:eastAsia="宋体" w:cs="宋体"/>
                <w:lang w:eastAsia="zh-CN" w:bidi="ar"/>
              </w:rPr>
              <w:br w:type="textWrapping"/>
            </w:r>
            <w:r>
              <w:rPr>
                <w:rFonts w:hint="eastAsia" w:ascii="宋体" w:hAnsi="宋体" w:eastAsia="宋体" w:cs="宋体"/>
                <w:lang w:eastAsia="zh-CN" w:bidi="ar"/>
              </w:rPr>
              <w:t>2.有通、止规分别测量螺纹的动画</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7A482D9">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"C:\\Users\\tx\\AppData\\Local\\Temp\\ksohtml\\clip_cell_image110.png"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1823085" cy="684530"/>
                  <wp:effectExtent l="0" t="0" r="5715" b="1270"/>
                  <wp:docPr id="55"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3" descr="IMG_328"/>
                          <pic:cNvPicPr>
                            <a:picLocks noChangeAspect="1"/>
                          </pic:cNvPicPr>
                        </pic:nvPicPr>
                        <pic:blipFill>
                          <a:blip r:embed="rId94"/>
                          <a:stretch>
                            <a:fillRect/>
                          </a:stretch>
                        </pic:blipFill>
                        <pic:spPr>
                          <a:xfrm>
                            <a:off x="0" y="0"/>
                            <a:ext cx="1823085" cy="6845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r w14:paraId="2DD2FA83">
        <w:tblPrEx>
          <w:tblCellMar>
            <w:top w:w="0" w:type="dxa"/>
            <w:left w:w="108" w:type="dxa"/>
            <w:bottom w:w="0" w:type="dxa"/>
            <w:right w:w="108" w:type="dxa"/>
          </w:tblCellMar>
        </w:tblPrEx>
        <w:trPr>
          <w:trHeight w:val="2411" w:hRule="atLeast"/>
        </w:trPr>
        <w:tc>
          <w:tcPr>
            <w:tcW w:w="554" w:type="pct"/>
            <w:vMerge w:val="continue"/>
            <w:tcBorders>
              <w:top w:val="single" w:color="000000" w:sz="4" w:space="0"/>
              <w:left w:val="single" w:color="000000" w:sz="4" w:space="0"/>
              <w:bottom w:val="single" w:color="000000" w:sz="4" w:space="0"/>
              <w:right w:val="single" w:color="000000" w:sz="4" w:space="0"/>
            </w:tcBorders>
            <w:noWrap/>
            <w:vAlign w:val="center"/>
          </w:tcPr>
          <w:p w14:paraId="41F5A254">
            <w:pPr>
              <w:keepNext w:val="0"/>
              <w:keepLines w:val="0"/>
              <w:widowControl/>
              <w:suppressLineNumbers w:val="0"/>
              <w:spacing w:before="0" w:beforeAutospacing="0" w:after="0" w:afterAutospacing="0"/>
              <w:ind w:left="0" w:right="0"/>
              <w:jc w:val="center"/>
              <w:rPr>
                <w:rFonts w:ascii="宋体" w:hAnsi="宋体" w:eastAsia="宋体" w:cs="宋体"/>
              </w:rPr>
            </w:pPr>
          </w:p>
        </w:tc>
        <w:tc>
          <w:tcPr>
            <w:tcW w:w="975" w:type="pct"/>
            <w:tcBorders>
              <w:top w:val="single" w:color="000000" w:sz="4" w:space="0"/>
              <w:left w:val="single" w:color="000000" w:sz="4" w:space="0"/>
              <w:bottom w:val="single" w:color="000000" w:sz="4" w:space="0"/>
              <w:right w:val="single" w:color="000000" w:sz="4" w:space="0"/>
            </w:tcBorders>
            <w:noWrap/>
            <w:vAlign w:val="center"/>
          </w:tcPr>
          <w:p w14:paraId="56D2FE68">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t>三针法测量</w:t>
            </w:r>
          </w:p>
        </w:tc>
        <w:tc>
          <w:tcPr>
            <w:tcW w:w="1678" w:type="pct"/>
            <w:tcBorders>
              <w:top w:val="single" w:color="000000" w:sz="4" w:space="0"/>
              <w:left w:val="single" w:color="000000" w:sz="4" w:space="0"/>
              <w:bottom w:val="single" w:color="000000" w:sz="4" w:space="0"/>
              <w:right w:val="single" w:color="000000" w:sz="4" w:space="0"/>
            </w:tcBorders>
            <w:vAlign w:val="center"/>
          </w:tcPr>
          <w:p w14:paraId="354831C8">
            <w:pPr>
              <w:keepNext w:val="0"/>
              <w:keepLines w:val="0"/>
              <w:widowControl/>
              <w:suppressLineNumbers w:val="0"/>
              <w:spacing w:before="0" w:beforeAutospacing="0" w:after="0" w:afterAutospacing="0"/>
              <w:ind w:left="0" w:right="0"/>
              <w:textAlignment w:val="center"/>
              <w:rPr>
                <w:rFonts w:ascii="宋体" w:hAnsi="宋体" w:eastAsia="宋体" w:cs="宋体"/>
                <w:lang w:eastAsia="zh-CN"/>
              </w:rPr>
            </w:pPr>
            <w:r>
              <w:rPr>
                <w:rFonts w:hint="eastAsia" w:ascii="宋体" w:hAnsi="宋体" w:eastAsia="宋体" w:cs="宋体"/>
                <w:lang w:eastAsia="zh-CN" w:bidi="ar"/>
              </w:rPr>
              <w:t>1.有完整测量组合的外形结构</w:t>
            </w:r>
            <w:r>
              <w:rPr>
                <w:rFonts w:hint="eastAsia" w:ascii="宋体" w:hAnsi="宋体" w:eastAsia="宋体" w:cs="宋体"/>
                <w:lang w:eastAsia="zh-CN" w:bidi="ar"/>
              </w:rPr>
              <w:br w:type="textWrapping"/>
            </w:r>
            <w:r>
              <w:rPr>
                <w:rFonts w:hint="eastAsia" w:ascii="宋体" w:hAnsi="宋体" w:eastAsia="宋体" w:cs="宋体"/>
                <w:lang w:eastAsia="zh-CN" w:bidi="ar"/>
              </w:rPr>
              <w:t>2.能自由调整活动套筒的位置用于读数练习，并能自动生成正确读数</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0CD42B3">
            <w:pPr>
              <w:keepNext w:val="0"/>
              <w:keepLines w:val="0"/>
              <w:widowControl/>
              <w:suppressLineNumbers w:val="0"/>
              <w:spacing w:before="0" w:beforeAutospacing="0" w:after="0" w:afterAutospacing="0"/>
              <w:ind w:left="0" w:right="0"/>
              <w:textAlignment w:val="center"/>
              <w:rPr>
                <w:rFonts w:ascii="宋体" w:hAnsi="宋体" w:eastAsia="宋体" w:cs="宋体"/>
              </w:rPr>
            </w:pPr>
            <w:r>
              <w:rPr>
                <w:rFonts w:hint="eastAsia" w:ascii="宋体" w:hAnsi="宋体" w:eastAsia="宋体" w:cs="宋体"/>
                <w:lang w:eastAsia="zh-CN" w:bidi="ar"/>
              </w:rPr>
              <w:fldChar w:fldCharType="begin"/>
            </w:r>
            <w:r>
              <w:rPr>
                <w:rFonts w:hint="eastAsia" w:ascii="宋体" w:hAnsi="宋体" w:eastAsia="宋体" w:cs="宋体"/>
                <w:lang w:eastAsia="zh-CN" w:bidi="ar"/>
              </w:rPr>
              <w:instrText xml:space="preserve">INCLUDEPICTURE \d "C:\\Users\\tx\\AppData\\Local\\Temp\\ksohtml\\clip_cell_image113.png" \* MERGEFORMATINET </w:instrText>
            </w:r>
            <w:r>
              <w:rPr>
                <w:rFonts w:hint="eastAsia" w:ascii="宋体" w:hAnsi="宋体" w:eastAsia="宋体" w:cs="宋体"/>
                <w:lang w:eastAsia="zh-CN" w:bidi="ar"/>
              </w:rPr>
              <w:fldChar w:fldCharType="separate"/>
            </w:r>
            <w:r>
              <w:rPr>
                <w:rFonts w:hint="eastAsia" w:ascii="宋体" w:hAnsi="宋体" w:eastAsia="宋体" w:cs="宋体"/>
                <w:lang w:eastAsia="zh-CN"/>
              </w:rPr>
              <w:drawing>
                <wp:inline distT="0" distB="0" distL="114300" distR="114300">
                  <wp:extent cx="2022475" cy="989330"/>
                  <wp:effectExtent l="0" t="0" r="6350" b="1270"/>
                  <wp:docPr id="5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4" descr="IMG_329"/>
                          <pic:cNvPicPr>
                            <a:picLocks noChangeAspect="1"/>
                          </pic:cNvPicPr>
                        </pic:nvPicPr>
                        <pic:blipFill>
                          <a:blip r:embed="rId95"/>
                          <a:stretch>
                            <a:fillRect/>
                          </a:stretch>
                        </pic:blipFill>
                        <pic:spPr>
                          <a:xfrm>
                            <a:off x="0" y="0"/>
                            <a:ext cx="2022475" cy="989330"/>
                          </a:xfrm>
                          <a:prstGeom prst="rect">
                            <a:avLst/>
                          </a:prstGeom>
                          <a:noFill/>
                          <a:ln>
                            <a:noFill/>
                          </a:ln>
                        </pic:spPr>
                      </pic:pic>
                    </a:graphicData>
                  </a:graphic>
                </wp:inline>
              </w:drawing>
            </w:r>
            <w:r>
              <w:rPr>
                <w:rFonts w:hint="eastAsia" w:ascii="宋体" w:hAnsi="宋体" w:eastAsia="宋体" w:cs="宋体"/>
                <w:lang w:eastAsia="zh-CN" w:bidi="ar"/>
              </w:rPr>
              <w:fldChar w:fldCharType="end"/>
            </w:r>
          </w:p>
        </w:tc>
      </w:tr>
    </w:tbl>
    <w:p w14:paraId="5DBB420E">
      <w:pPr>
        <w:rPr>
          <w:rFonts w:ascii="宋体" w:hAnsi="宋体" w:eastAsia="宋体" w:cs="宋体"/>
          <w:b/>
          <w:bCs/>
          <w:lang w:eastAsia="zh-CN"/>
        </w:rPr>
      </w:pPr>
      <w:r>
        <w:rPr>
          <w:rFonts w:hint="eastAsia" w:ascii="宋体" w:hAnsi="宋体" w:eastAsia="宋体" w:cs="宋体"/>
          <w:b/>
          <w:bCs/>
          <w:lang w:eastAsia="zh-CN"/>
        </w:rPr>
        <w:t>（四）、清扫工具车</w:t>
      </w:r>
    </w:p>
    <w:p w14:paraId="28187EB9">
      <w:pPr>
        <w:spacing w:line="360" w:lineRule="auto"/>
        <w:rPr>
          <w:rFonts w:ascii="宋体" w:hAnsi="宋体" w:eastAsia="宋体" w:cs="宋体"/>
          <w:b/>
          <w:color w:val="auto"/>
          <w:lang w:eastAsia="zh-CN"/>
        </w:rPr>
      </w:pPr>
      <w:r>
        <w:rPr>
          <w:rFonts w:hint="eastAsia" w:ascii="宋体" w:hAnsi="宋体" w:eastAsia="宋体" w:cs="宋体"/>
          <w:b/>
          <w:color w:val="auto"/>
          <w:lang w:eastAsia="zh-CN"/>
        </w:rPr>
        <w:t>1、主要功能及配置：</w:t>
      </w:r>
    </w:p>
    <w:p w14:paraId="6B59DF82">
      <w:pPr>
        <w:numPr>
          <w:ilvl w:val="0"/>
          <w:numId w:val="43"/>
        </w:numPr>
        <w:spacing w:line="360" w:lineRule="auto"/>
        <w:rPr>
          <w:rFonts w:ascii="宋体" w:hAnsi="宋体" w:eastAsia="宋体" w:cs="宋体"/>
          <w:color w:val="auto"/>
          <w:lang w:eastAsia="zh-CN"/>
        </w:rPr>
      </w:pPr>
      <w:r>
        <w:rPr>
          <w:rFonts w:hint="eastAsia" w:ascii="宋体" w:hAnsi="宋体" w:eastAsia="宋体" w:cs="宋体"/>
          <w:color w:val="auto"/>
          <w:lang w:eastAsia="zh-CN"/>
        </w:rPr>
        <w:t>一体压铸成型铝合金底盘，刷盘结构简单能够一键拆装，吸水扒具备回水槽设计；</w:t>
      </w:r>
    </w:p>
    <w:p w14:paraId="2360F01E">
      <w:pPr>
        <w:pStyle w:val="10"/>
        <w:numPr>
          <w:ilvl w:val="0"/>
          <w:numId w:val="43"/>
        </w:numPr>
        <w:spacing w:line="360" w:lineRule="auto"/>
        <w:ind w:firstLineChars="0"/>
        <w:rPr>
          <w:rFonts w:ascii="宋体" w:hAnsi="宋体"/>
          <w:color w:val="auto"/>
          <w:sz w:val="21"/>
          <w:szCs w:val="21"/>
          <w:lang w:eastAsia="zh-CN"/>
        </w:rPr>
      </w:pPr>
      <w:r>
        <w:rPr>
          <w:rFonts w:hint="eastAsia" w:ascii="宋体" w:hAnsi="宋体"/>
          <w:color w:val="auto"/>
          <w:sz w:val="21"/>
          <w:szCs w:val="21"/>
          <w:lang w:eastAsia="zh-CN"/>
        </w:rPr>
        <w:t>智能操作面板配置故障代码显示屏、能够快速调换ECO节能模式、软启动模式、吸风/吸水模式、自适应刷地模式等功能；</w:t>
      </w:r>
    </w:p>
    <w:p w14:paraId="7F961B3B">
      <w:pPr>
        <w:pStyle w:val="10"/>
        <w:numPr>
          <w:ilvl w:val="0"/>
          <w:numId w:val="43"/>
        </w:numPr>
        <w:spacing w:line="360" w:lineRule="auto"/>
        <w:ind w:firstLineChars="0"/>
        <w:rPr>
          <w:rFonts w:ascii="宋体" w:hAnsi="宋体"/>
          <w:color w:val="auto"/>
          <w:sz w:val="21"/>
          <w:szCs w:val="21"/>
          <w:lang w:eastAsia="zh-CN"/>
        </w:rPr>
      </w:pPr>
      <w:r>
        <w:rPr>
          <w:rFonts w:hint="eastAsia" w:ascii="宋体" w:hAnsi="宋体"/>
          <w:color w:val="auto"/>
          <w:sz w:val="21"/>
          <w:szCs w:val="21"/>
          <w:lang w:eastAsia="zh-CN"/>
        </w:rPr>
        <w:t>具备脚踏控制设计来操作吸水扒升降；污水箱内设有水满保护装置；</w:t>
      </w:r>
    </w:p>
    <w:p w14:paraId="2DF45077">
      <w:pPr>
        <w:pStyle w:val="10"/>
        <w:numPr>
          <w:ilvl w:val="0"/>
          <w:numId w:val="43"/>
        </w:numPr>
        <w:ind w:firstLineChars="0"/>
        <w:rPr>
          <w:rFonts w:ascii="宋体" w:hAnsi="宋体"/>
          <w:color w:val="auto"/>
          <w:sz w:val="21"/>
          <w:szCs w:val="21"/>
          <w:lang w:eastAsia="zh-CN"/>
        </w:rPr>
      </w:pPr>
      <w:r>
        <w:rPr>
          <w:rFonts w:hint="eastAsia" w:ascii="宋体" w:hAnsi="宋体"/>
          <w:color w:val="auto"/>
          <w:sz w:val="21"/>
          <w:szCs w:val="21"/>
          <w:lang w:eastAsia="zh-CN"/>
        </w:rPr>
        <w:t>车身带有全铝压铸扶手、车载杯托、防撞轮、水位透视管等人性化设计；</w:t>
      </w:r>
    </w:p>
    <w:p w14:paraId="40F7B555">
      <w:pPr>
        <w:pStyle w:val="10"/>
        <w:ind w:firstLine="0" w:firstLineChars="0"/>
        <w:rPr>
          <w:rFonts w:ascii="宋体" w:hAnsi="宋体"/>
          <w:bCs/>
          <w:color w:val="auto"/>
          <w:sz w:val="21"/>
          <w:szCs w:val="21"/>
        </w:rPr>
      </w:pPr>
      <w:r>
        <w:rPr>
          <w:rFonts w:hint="eastAsia" w:ascii="宋体" w:hAnsi="宋体"/>
          <w:bCs/>
          <w:color w:val="auto"/>
          <w:sz w:val="21"/>
          <w:szCs w:val="21"/>
          <w:lang w:eastAsia="zh-CN"/>
        </w:rPr>
        <w:t xml:space="preserve">2、 </w:t>
      </w:r>
      <w:r>
        <w:rPr>
          <w:rFonts w:hint="eastAsia" w:ascii="宋体" w:hAnsi="宋体"/>
          <w:bCs/>
          <w:color w:val="auto"/>
          <w:sz w:val="21"/>
          <w:szCs w:val="21"/>
        </w:rPr>
        <w:t>技术参数要求</w:t>
      </w:r>
    </w:p>
    <w:p w14:paraId="26D4270C">
      <w:pPr>
        <w:numPr>
          <w:ilvl w:val="0"/>
          <w:numId w:val="44"/>
        </w:numPr>
        <w:spacing w:line="276" w:lineRule="auto"/>
        <w:rPr>
          <w:rFonts w:ascii="宋体" w:hAnsi="宋体" w:eastAsia="宋体" w:cs="宋体"/>
          <w:color w:val="auto"/>
        </w:rPr>
      </w:pPr>
      <w:r>
        <w:rPr>
          <w:rFonts w:hint="eastAsia" w:ascii="宋体" w:hAnsi="宋体" w:eastAsia="宋体" w:cs="宋体"/>
          <w:color w:val="auto"/>
        </w:rPr>
        <w:t xml:space="preserve">机身尺寸: ≥800*1296*1000mm </w:t>
      </w:r>
    </w:p>
    <w:p w14:paraId="3EF9F1F4">
      <w:pPr>
        <w:numPr>
          <w:ilvl w:val="0"/>
          <w:numId w:val="44"/>
        </w:numPr>
        <w:spacing w:line="276" w:lineRule="auto"/>
        <w:rPr>
          <w:rFonts w:ascii="宋体" w:hAnsi="宋体" w:eastAsia="宋体" w:cs="宋体"/>
          <w:color w:val="auto"/>
        </w:rPr>
      </w:pPr>
      <w:r>
        <w:rPr>
          <w:rFonts w:hint="eastAsia" w:ascii="宋体" w:hAnsi="宋体" w:eastAsia="宋体" w:cs="宋体"/>
          <w:color w:val="auto"/>
        </w:rPr>
        <w:t>清洁效率: ≥2300m2/h</w:t>
      </w:r>
    </w:p>
    <w:p w14:paraId="421F88B8">
      <w:pPr>
        <w:numPr>
          <w:ilvl w:val="0"/>
          <w:numId w:val="44"/>
        </w:numPr>
        <w:spacing w:line="276" w:lineRule="auto"/>
        <w:rPr>
          <w:rFonts w:ascii="宋体" w:hAnsi="宋体" w:eastAsia="宋体" w:cs="宋体"/>
          <w:color w:val="auto"/>
        </w:rPr>
      </w:pPr>
      <w:r>
        <w:rPr>
          <w:rFonts w:hint="eastAsia" w:ascii="宋体" w:hAnsi="宋体" w:eastAsia="宋体" w:cs="宋体"/>
          <w:color w:val="auto"/>
        </w:rPr>
        <w:t>清洁宽度: ≥510mm</w:t>
      </w:r>
    </w:p>
    <w:p w14:paraId="51CACA2A">
      <w:pPr>
        <w:numPr>
          <w:ilvl w:val="0"/>
          <w:numId w:val="44"/>
        </w:numPr>
        <w:spacing w:line="276" w:lineRule="auto"/>
        <w:rPr>
          <w:rFonts w:ascii="宋体" w:hAnsi="宋体" w:eastAsia="宋体" w:cs="宋体"/>
          <w:color w:val="auto"/>
        </w:rPr>
      </w:pPr>
      <w:r>
        <w:rPr>
          <w:rFonts w:hint="eastAsia" w:ascii="宋体" w:hAnsi="宋体" w:eastAsia="宋体" w:cs="宋体"/>
          <w:color w:val="auto"/>
        </w:rPr>
        <w:t>刷盘宽度: ≥510mm</w:t>
      </w:r>
    </w:p>
    <w:p w14:paraId="26B49072">
      <w:pPr>
        <w:numPr>
          <w:ilvl w:val="0"/>
          <w:numId w:val="44"/>
        </w:numPr>
        <w:spacing w:line="276" w:lineRule="auto"/>
        <w:rPr>
          <w:rFonts w:ascii="宋体" w:hAnsi="宋体" w:eastAsia="宋体" w:cs="宋体"/>
          <w:color w:val="auto"/>
        </w:rPr>
      </w:pPr>
      <w:r>
        <w:rPr>
          <w:rFonts w:hint="eastAsia" w:ascii="宋体" w:hAnsi="宋体" w:eastAsia="宋体" w:cs="宋体"/>
          <w:color w:val="auto"/>
        </w:rPr>
        <w:t>吸水扒宽度: ≥800mm</w:t>
      </w:r>
    </w:p>
    <w:p w14:paraId="4AEAC8B4">
      <w:pPr>
        <w:numPr>
          <w:ilvl w:val="0"/>
          <w:numId w:val="44"/>
        </w:numPr>
        <w:spacing w:line="276" w:lineRule="auto"/>
        <w:rPr>
          <w:rFonts w:ascii="宋体" w:hAnsi="宋体" w:eastAsia="宋体" w:cs="宋体"/>
          <w:color w:val="auto"/>
        </w:rPr>
      </w:pPr>
      <w:r>
        <w:rPr>
          <w:rFonts w:hint="eastAsia" w:ascii="宋体" w:hAnsi="宋体" w:eastAsia="宋体" w:cs="宋体"/>
          <w:color w:val="auto"/>
        </w:rPr>
        <w:t>清水箱容量: ≥55L</w:t>
      </w:r>
    </w:p>
    <w:p w14:paraId="4B6748F3">
      <w:pPr>
        <w:numPr>
          <w:ilvl w:val="0"/>
          <w:numId w:val="44"/>
        </w:numPr>
        <w:spacing w:line="276" w:lineRule="auto"/>
        <w:rPr>
          <w:rFonts w:ascii="宋体" w:hAnsi="宋体" w:eastAsia="宋体" w:cs="宋体"/>
          <w:color w:val="auto"/>
          <w:lang w:eastAsia="zh-CN"/>
        </w:rPr>
      </w:pPr>
      <w:r>
        <w:rPr>
          <w:rFonts w:hint="eastAsia" w:ascii="宋体" w:hAnsi="宋体" w:eastAsia="宋体" w:cs="宋体"/>
          <w:color w:val="auto"/>
          <w:lang w:eastAsia="zh-CN"/>
        </w:rPr>
        <w:t>刷盘电机功率: ≥24VDC/550W</w:t>
      </w:r>
    </w:p>
    <w:p w14:paraId="7FA72281">
      <w:pPr>
        <w:numPr>
          <w:ilvl w:val="0"/>
          <w:numId w:val="44"/>
        </w:numPr>
        <w:spacing w:line="276" w:lineRule="auto"/>
        <w:rPr>
          <w:rFonts w:ascii="宋体" w:hAnsi="宋体" w:eastAsia="宋体" w:cs="宋体"/>
          <w:color w:val="auto"/>
        </w:rPr>
      </w:pPr>
      <w:r>
        <w:rPr>
          <w:rFonts w:hint="eastAsia" w:ascii="宋体" w:hAnsi="宋体" w:eastAsia="宋体" w:cs="宋体"/>
          <w:color w:val="auto"/>
        </w:rPr>
        <w:t>吸水电机功率: ≥24VDC/500W</w:t>
      </w:r>
    </w:p>
    <w:p w14:paraId="44F647AA">
      <w:pPr>
        <w:numPr>
          <w:ilvl w:val="0"/>
          <w:numId w:val="44"/>
        </w:numPr>
        <w:spacing w:line="276" w:lineRule="auto"/>
        <w:rPr>
          <w:rFonts w:ascii="宋体" w:hAnsi="宋体" w:eastAsia="宋体" w:cs="宋体"/>
          <w:color w:val="auto"/>
        </w:rPr>
      </w:pPr>
      <w:r>
        <w:rPr>
          <w:rFonts w:hint="eastAsia" w:ascii="宋体" w:hAnsi="宋体" w:eastAsia="宋体" w:cs="宋体"/>
          <w:color w:val="auto"/>
        </w:rPr>
        <w:t>噪音: ≥65dB</w:t>
      </w:r>
    </w:p>
    <w:p w14:paraId="533FC138">
      <w:pPr>
        <w:pStyle w:val="10"/>
        <w:numPr>
          <w:ilvl w:val="0"/>
          <w:numId w:val="44"/>
        </w:numPr>
        <w:ind w:firstLineChars="0"/>
        <w:rPr>
          <w:rFonts w:ascii="宋体" w:hAnsi="宋体"/>
          <w:color w:val="auto"/>
          <w:sz w:val="21"/>
          <w:szCs w:val="21"/>
        </w:rPr>
      </w:pPr>
      <w:r>
        <w:rPr>
          <w:rFonts w:hint="eastAsia" w:ascii="宋体" w:hAnsi="宋体"/>
          <w:color w:val="auto"/>
          <w:sz w:val="21"/>
          <w:szCs w:val="21"/>
        </w:rPr>
        <w:t>污水箱容量: ≥65L</w:t>
      </w:r>
    </w:p>
    <w:p w14:paraId="2165862F">
      <w:pPr>
        <w:pStyle w:val="10"/>
        <w:numPr>
          <w:ilvl w:val="0"/>
          <w:numId w:val="0"/>
        </w:numPr>
        <w:ind w:leftChars="0"/>
        <w:rPr>
          <w:rFonts w:hint="eastAsia" w:ascii="宋体" w:hAnsi="宋体" w:eastAsia="宋体" w:cs="宋体"/>
          <w:color w:val="auto"/>
          <w:sz w:val="21"/>
          <w:szCs w:val="21"/>
        </w:rPr>
      </w:pPr>
    </w:p>
    <w:p w14:paraId="30C24E9F">
      <w:pPr>
        <w:snapToGrid w:val="0"/>
        <w:spacing w:line="460" w:lineRule="exact"/>
        <w:ind w:firstLine="440"/>
        <w:rPr>
          <w:rFonts w:hint="default" w:ascii="宋体" w:hAnsi="宋体" w:eastAsia="宋体" w:cs="宋体"/>
          <w:color w:val="auto"/>
          <w:sz w:val="22"/>
          <w:szCs w:val="22"/>
          <w:highlight w:val="none"/>
          <w:lang w:val="en-US" w:eastAsia="zh-CN"/>
        </w:rPr>
        <w:sectPr>
          <w:pgSz w:w="11906" w:h="16838"/>
          <w:pgMar w:top="1440" w:right="1304" w:bottom="1089" w:left="1531" w:header="851" w:footer="992" w:gutter="0"/>
          <w:pgNumType w:fmt="decimal"/>
          <w:cols w:space="720" w:num="1"/>
          <w:docGrid w:linePitch="312" w:charSpace="0"/>
        </w:sectPr>
      </w:pPr>
    </w:p>
    <w:p w14:paraId="717305B3">
      <w:pPr>
        <w:snapToGrid w:val="0"/>
        <w:spacing w:line="360" w:lineRule="auto"/>
        <w:ind w:firstLine="422" w:firstLineChars="200"/>
        <w:jc w:val="left"/>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标项2：工业机器人实训室建设</w:t>
      </w:r>
      <w:r>
        <w:rPr>
          <w:rFonts w:hint="eastAsia" w:ascii="宋体" w:hAnsi="宋体" w:eastAsia="宋体" w:cs="宋体"/>
          <w:color w:val="auto"/>
          <w:sz w:val="21"/>
          <w:szCs w:val="21"/>
          <w:highlight w:val="none"/>
          <w:u w:val="none"/>
          <w:lang w:val="en-US" w:eastAsia="zh-CN"/>
        </w:rPr>
        <w:t xml:space="preserve"> </w:t>
      </w:r>
    </w:p>
    <w:p w14:paraId="39D9B1E9">
      <w:pPr>
        <w:snapToGrid w:val="0"/>
        <w:spacing w:line="360" w:lineRule="auto"/>
        <w:ind w:firstLine="420" w:firstLineChars="200"/>
        <w:jc w:val="left"/>
        <w:outlineLvl w:val="2"/>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项目预（概）算</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b w:val="0"/>
          <w:bCs w:val="0"/>
          <w:i w:val="0"/>
          <w:iCs w:val="0"/>
          <w:color w:val="000000"/>
          <w:sz w:val="24"/>
          <w:szCs w:val="24"/>
          <w:u w:val="none"/>
          <w:lang w:val="en-US" w:eastAsia="zh-CN"/>
        </w:rPr>
        <w:t>168</w:t>
      </w:r>
      <w:r>
        <w:rPr>
          <w:rFonts w:hint="eastAsia" w:ascii="宋体" w:hAnsi="宋体" w:eastAsia="宋体" w:cs="宋体"/>
          <w:color w:val="auto"/>
          <w:sz w:val="21"/>
          <w:szCs w:val="21"/>
          <w:highlight w:val="none"/>
          <w:u w:val="none"/>
          <w:lang w:val="en-US" w:eastAsia="zh-CN"/>
        </w:rPr>
        <w:t>万元</w:t>
      </w:r>
    </w:p>
    <w:p w14:paraId="6ED05C59">
      <w:pPr>
        <w:snapToGrid w:val="0"/>
        <w:spacing w:line="360" w:lineRule="auto"/>
        <w:ind w:firstLine="422" w:firstLineChars="200"/>
        <w:jc w:val="left"/>
        <w:outlineLvl w:val="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二、采购内容</w:t>
      </w:r>
    </w:p>
    <w:tbl>
      <w:tblPr>
        <w:tblStyle w:val="25"/>
        <w:tblW w:w="9329" w:type="dxa"/>
        <w:jc w:val="center"/>
        <w:tblLayout w:type="fixed"/>
        <w:tblCellMar>
          <w:top w:w="0" w:type="dxa"/>
          <w:left w:w="108" w:type="dxa"/>
          <w:bottom w:w="0" w:type="dxa"/>
          <w:right w:w="108" w:type="dxa"/>
        </w:tblCellMar>
      </w:tblPr>
      <w:tblGrid>
        <w:gridCol w:w="1163"/>
        <w:gridCol w:w="5422"/>
        <w:gridCol w:w="1178"/>
        <w:gridCol w:w="1566"/>
      </w:tblGrid>
      <w:tr w14:paraId="753ED016">
        <w:tblPrEx>
          <w:tblCellMar>
            <w:top w:w="0" w:type="dxa"/>
            <w:left w:w="108" w:type="dxa"/>
            <w:bottom w:w="0" w:type="dxa"/>
            <w:right w:w="108" w:type="dxa"/>
          </w:tblCellMar>
        </w:tblPrEx>
        <w:trPr>
          <w:trHeight w:val="440" w:hRule="atLeast"/>
          <w:jc w:val="center"/>
        </w:trPr>
        <w:tc>
          <w:tcPr>
            <w:tcW w:w="1163"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2A2D1814">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序号</w:t>
            </w:r>
          </w:p>
        </w:tc>
        <w:tc>
          <w:tcPr>
            <w:tcW w:w="54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982DBA">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货物名称</w:t>
            </w:r>
          </w:p>
        </w:tc>
        <w:tc>
          <w:tcPr>
            <w:tcW w:w="1178"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4CAAE858">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数量</w:t>
            </w:r>
          </w:p>
        </w:tc>
        <w:tc>
          <w:tcPr>
            <w:tcW w:w="1566" w:type="dxa"/>
            <w:tcBorders>
              <w:top w:val="single" w:color="000000" w:sz="4" w:space="0"/>
              <w:left w:val="single" w:color="auto" w:sz="4" w:space="0"/>
              <w:bottom w:val="single" w:color="000000" w:sz="4" w:space="0"/>
              <w:right w:val="single" w:color="000000" w:sz="4" w:space="0"/>
            </w:tcBorders>
            <w:vAlign w:val="center"/>
          </w:tcPr>
          <w:p w14:paraId="2D0EFF92">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备注</w:t>
            </w:r>
          </w:p>
        </w:tc>
      </w:tr>
      <w:tr w14:paraId="1E2B8483">
        <w:tblPrEx>
          <w:tblCellMar>
            <w:top w:w="0" w:type="dxa"/>
            <w:left w:w="108" w:type="dxa"/>
            <w:bottom w:w="0" w:type="dxa"/>
            <w:right w:w="108" w:type="dxa"/>
          </w:tblCellMar>
        </w:tblPrEx>
        <w:trPr>
          <w:trHeight w:val="579" w:hRule="atLeast"/>
          <w:jc w:val="center"/>
        </w:trPr>
        <w:tc>
          <w:tcPr>
            <w:tcW w:w="1163"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0D15ACE2">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1</w:t>
            </w:r>
          </w:p>
        </w:tc>
        <w:tc>
          <w:tcPr>
            <w:tcW w:w="54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4E919F">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sz w:val="22"/>
                <w:szCs w:val="22"/>
              </w:rPr>
              <w:t>工业机器人操作运维实训考核工作站</w:t>
            </w:r>
          </w:p>
        </w:tc>
        <w:tc>
          <w:tcPr>
            <w:tcW w:w="1178"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0C32164E">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6套</w:t>
            </w:r>
          </w:p>
        </w:tc>
        <w:tc>
          <w:tcPr>
            <w:tcW w:w="1566" w:type="dxa"/>
            <w:tcBorders>
              <w:top w:val="single" w:color="000000" w:sz="4" w:space="0"/>
              <w:left w:val="single" w:color="auto" w:sz="4" w:space="0"/>
              <w:bottom w:val="single" w:color="000000" w:sz="4" w:space="0"/>
              <w:right w:val="single" w:color="000000" w:sz="4" w:space="0"/>
            </w:tcBorders>
            <w:vAlign w:val="center"/>
          </w:tcPr>
          <w:p w14:paraId="4440AC3A">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rPr>
              <w:t>核心产品</w:t>
            </w:r>
          </w:p>
        </w:tc>
      </w:tr>
      <w:tr w14:paraId="0C967640">
        <w:tblPrEx>
          <w:tblCellMar>
            <w:top w:w="0" w:type="dxa"/>
            <w:left w:w="108" w:type="dxa"/>
            <w:bottom w:w="0" w:type="dxa"/>
            <w:right w:w="108" w:type="dxa"/>
          </w:tblCellMar>
        </w:tblPrEx>
        <w:trPr>
          <w:trHeight w:val="589" w:hRule="atLeast"/>
          <w:jc w:val="center"/>
        </w:trPr>
        <w:tc>
          <w:tcPr>
            <w:tcW w:w="1163"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1C538836">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2</w:t>
            </w:r>
          </w:p>
        </w:tc>
        <w:tc>
          <w:tcPr>
            <w:tcW w:w="54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F88984">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数字化集成应用系统</w:t>
            </w:r>
          </w:p>
        </w:tc>
        <w:tc>
          <w:tcPr>
            <w:tcW w:w="1178"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3830D112">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1套</w:t>
            </w:r>
          </w:p>
        </w:tc>
        <w:tc>
          <w:tcPr>
            <w:tcW w:w="1566" w:type="dxa"/>
            <w:tcBorders>
              <w:top w:val="single" w:color="000000" w:sz="4" w:space="0"/>
              <w:left w:val="single" w:color="auto" w:sz="4" w:space="0"/>
              <w:bottom w:val="single" w:color="000000" w:sz="4" w:space="0"/>
              <w:right w:val="single" w:color="000000" w:sz="4" w:space="0"/>
            </w:tcBorders>
            <w:vAlign w:val="center"/>
          </w:tcPr>
          <w:p w14:paraId="51FC1F79">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p>
        </w:tc>
      </w:tr>
      <w:tr w14:paraId="79A85CB3">
        <w:tblPrEx>
          <w:tblCellMar>
            <w:top w:w="0" w:type="dxa"/>
            <w:left w:w="108" w:type="dxa"/>
            <w:bottom w:w="0" w:type="dxa"/>
            <w:right w:w="108" w:type="dxa"/>
          </w:tblCellMar>
        </w:tblPrEx>
        <w:trPr>
          <w:trHeight w:val="599" w:hRule="atLeast"/>
          <w:jc w:val="center"/>
        </w:trPr>
        <w:tc>
          <w:tcPr>
            <w:tcW w:w="1163"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141B2C33">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3</w:t>
            </w:r>
          </w:p>
        </w:tc>
        <w:tc>
          <w:tcPr>
            <w:tcW w:w="54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C3FB35">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新宋体" w:hAnsi="新宋体" w:eastAsia="新宋体" w:cs="新宋体"/>
                <w:sz w:val="22"/>
                <w:szCs w:val="22"/>
              </w:rPr>
              <w:t>工业机器人虚拟拆装系统</w:t>
            </w:r>
          </w:p>
        </w:tc>
        <w:tc>
          <w:tcPr>
            <w:tcW w:w="1178"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17C67E4E">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1套</w:t>
            </w:r>
          </w:p>
        </w:tc>
        <w:tc>
          <w:tcPr>
            <w:tcW w:w="1566" w:type="dxa"/>
            <w:tcBorders>
              <w:top w:val="single" w:color="000000" w:sz="4" w:space="0"/>
              <w:left w:val="single" w:color="auto" w:sz="4" w:space="0"/>
              <w:bottom w:val="single" w:color="000000" w:sz="4" w:space="0"/>
              <w:right w:val="single" w:color="000000" w:sz="4" w:space="0"/>
            </w:tcBorders>
            <w:vAlign w:val="center"/>
          </w:tcPr>
          <w:p w14:paraId="6938DD2F">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p>
        </w:tc>
      </w:tr>
      <w:tr w14:paraId="16D704CB">
        <w:tblPrEx>
          <w:tblCellMar>
            <w:top w:w="0" w:type="dxa"/>
            <w:left w:w="108" w:type="dxa"/>
            <w:bottom w:w="0" w:type="dxa"/>
            <w:right w:w="108" w:type="dxa"/>
          </w:tblCellMar>
        </w:tblPrEx>
        <w:trPr>
          <w:trHeight w:val="599" w:hRule="atLeast"/>
          <w:jc w:val="center"/>
        </w:trPr>
        <w:tc>
          <w:tcPr>
            <w:tcW w:w="1163"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5BD482AD">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4</w:t>
            </w:r>
          </w:p>
        </w:tc>
        <w:tc>
          <w:tcPr>
            <w:tcW w:w="54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489F5B">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新宋体" w:hAnsi="新宋体" w:eastAsia="新宋体" w:cs="新宋体"/>
                <w:sz w:val="22"/>
                <w:szCs w:val="22"/>
              </w:rPr>
              <w:t>实训室环境建设</w:t>
            </w:r>
          </w:p>
        </w:tc>
        <w:tc>
          <w:tcPr>
            <w:tcW w:w="1178"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14:paraId="3475217A">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r>
              <w:rPr>
                <w:rFonts w:hint="eastAsia" w:ascii="宋体" w:hAnsi="宋体" w:cs="宋体"/>
                <w:kern w:val="0"/>
                <w:sz w:val="22"/>
                <w:szCs w:val="22"/>
              </w:rPr>
              <w:t>1项</w:t>
            </w:r>
          </w:p>
        </w:tc>
        <w:tc>
          <w:tcPr>
            <w:tcW w:w="1566" w:type="dxa"/>
            <w:tcBorders>
              <w:top w:val="single" w:color="000000" w:sz="4" w:space="0"/>
              <w:left w:val="single" w:color="auto" w:sz="4" w:space="0"/>
              <w:bottom w:val="single" w:color="000000" w:sz="4" w:space="0"/>
              <w:right w:val="single" w:color="000000" w:sz="4" w:space="0"/>
            </w:tcBorders>
            <w:vAlign w:val="center"/>
          </w:tcPr>
          <w:p w14:paraId="1FFF2EC5">
            <w:pPr>
              <w:keepNext w:val="0"/>
              <w:keepLines w:val="0"/>
              <w:widowControl/>
              <w:suppressLineNumbers w:val="0"/>
              <w:spacing w:before="0" w:beforeAutospacing="0" w:after="0" w:afterAutospacing="0" w:line="460" w:lineRule="exact"/>
              <w:ind w:left="0" w:right="0"/>
              <w:jc w:val="center"/>
              <w:rPr>
                <w:rFonts w:hint="eastAsia" w:ascii="宋体" w:hAnsi="宋体" w:cs="宋体"/>
                <w:kern w:val="0"/>
                <w:sz w:val="22"/>
                <w:szCs w:val="22"/>
              </w:rPr>
            </w:pPr>
          </w:p>
        </w:tc>
      </w:tr>
    </w:tbl>
    <w:p w14:paraId="58650CD8">
      <w:pPr>
        <w:snapToGrid w:val="0"/>
        <w:spacing w:line="4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标项2主要采购内容及技术参数要求</w:t>
      </w:r>
    </w:p>
    <w:p w14:paraId="370D81C2">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（一） </w:t>
      </w:r>
      <w:r>
        <w:rPr>
          <w:rFonts w:hint="eastAsia" w:ascii="宋体" w:hAnsi="宋体" w:eastAsia="宋体" w:cs="宋体"/>
          <w:color w:val="auto"/>
          <w:sz w:val="21"/>
          <w:szCs w:val="21"/>
          <w:highlight w:val="none"/>
        </w:rPr>
        <w:t>工</w:t>
      </w:r>
      <w:r>
        <w:rPr>
          <w:rFonts w:hint="eastAsia" w:ascii="宋体" w:hAnsi="宋体" w:eastAsia="宋体" w:cs="宋体"/>
          <w:b/>
          <w:bCs/>
          <w:color w:val="auto"/>
          <w:sz w:val="21"/>
          <w:szCs w:val="21"/>
          <w:highlight w:val="none"/>
          <w:lang w:val="en-US" w:eastAsia="zh-CN"/>
        </w:rPr>
        <w:t>业机器人操作运维实训考核工作站</w:t>
      </w:r>
    </w:p>
    <w:p w14:paraId="26B25F82">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工作台单元</w:t>
      </w:r>
    </w:p>
    <w:p w14:paraId="651983DB">
      <w:pPr>
        <w:numPr>
          <w:ilvl w:val="0"/>
          <w:numId w:val="45"/>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工作台采用铝合金框架结构，型材采用工业级型材</w:t>
      </w:r>
    </w:p>
    <w:p w14:paraId="54794E00">
      <w:pPr>
        <w:numPr>
          <w:ilvl w:val="0"/>
          <w:numId w:val="45"/>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工作台尺寸1500mm（±50mm）（L）×1150mm（±50mm）（W）×700mm（±50mm）（H）</w:t>
      </w:r>
    </w:p>
    <w:p w14:paraId="5F743272">
      <w:pPr>
        <w:numPr>
          <w:ilvl w:val="0"/>
          <w:numId w:val="45"/>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台面为20x80</w:t>
      </w:r>
      <w:r>
        <w:rPr>
          <w:rFonts w:hint="eastAsia" w:ascii="宋体" w:hAnsi="宋体" w:eastAsia="宋体" w:cs="宋体"/>
          <w:color w:val="auto"/>
          <w:sz w:val="21"/>
          <w:szCs w:val="21"/>
          <w:highlight w:val="none"/>
          <w:lang w:val="en-US" w:eastAsia="zh-CN"/>
        </w:rPr>
        <w:t>mm</w:t>
      </w:r>
      <w:r>
        <w:rPr>
          <w:rFonts w:hint="eastAsia" w:ascii="宋体" w:hAnsi="宋体" w:eastAsia="宋体" w:cs="宋体"/>
          <w:color w:val="auto"/>
          <w:sz w:val="21"/>
          <w:szCs w:val="21"/>
          <w:highlight w:val="none"/>
        </w:rPr>
        <w:t>铝型材组合搭建，方便柔性安装</w:t>
      </w:r>
    </w:p>
    <w:p w14:paraId="31AE18DA">
      <w:pPr>
        <w:numPr>
          <w:ilvl w:val="0"/>
          <w:numId w:val="45"/>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体框架采用6060半圆截面和3060矩形截面工业铝合金型材组合结构，台面采用铝合金结构设有等间距8.2mm槽宽，便于模块化组件安装、调整。平台采用前、后双开门设计，可视化亚克力板材质，内部存放设备及物品。</w:t>
      </w:r>
    </w:p>
    <w:p w14:paraId="2C87412D">
      <w:pPr>
        <w:numPr>
          <w:ilvl w:val="0"/>
          <w:numId w:val="45"/>
        </w:numPr>
        <w:spacing w:line="360" w:lineRule="auto"/>
        <w:ind w:left="425" w:leftChars="0" w:hanging="425" w:firstLineChars="0"/>
        <w:rPr>
          <w:rFonts w:hint="eastAsia" w:ascii="宋体" w:hAnsi="宋体" w:eastAsia="宋体" w:cs="宋体"/>
          <w:b/>
          <w:bCs/>
          <w:color w:val="auto"/>
          <w:sz w:val="21"/>
          <w:szCs w:val="21"/>
          <w:highlight w:val="none"/>
          <w:u w:val="single"/>
        </w:rPr>
      </w:pPr>
      <w:r>
        <w:rPr>
          <w:rFonts w:hint="eastAsia" w:ascii="宋体" w:hAnsi="宋体" w:eastAsia="宋体" w:cs="宋体"/>
          <w:color w:val="auto"/>
          <w:sz w:val="21"/>
          <w:szCs w:val="21"/>
          <w:highlight w:val="none"/>
          <w:u w:val="single"/>
        </w:rPr>
        <w:t>★电气部分采用翻转设计，行程角度</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155°，可承重</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30kg，开启状态与地面呈65°（±5</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）设置，满足实操与日常维护保养模式，实操时，可以控制电气部分翻转外露，便于对电控系统进行常规性检查和诊断；空闲时，可以控制电气部分翻转到内部，便于日常维护保养，卫生整理。</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提供真实图片</w:t>
      </w:r>
      <w:r>
        <w:rPr>
          <w:rFonts w:hint="eastAsia" w:ascii="宋体" w:hAnsi="宋体" w:eastAsia="宋体" w:cs="宋体"/>
          <w:color w:val="auto"/>
          <w:sz w:val="21"/>
          <w:szCs w:val="21"/>
          <w:highlight w:val="none"/>
          <w:u w:val="single"/>
          <w:lang w:eastAsia="zh-CN"/>
        </w:rPr>
        <w:t>）</w:t>
      </w:r>
    </w:p>
    <w:p w14:paraId="16112334">
      <w:pPr>
        <w:numPr>
          <w:ilvl w:val="0"/>
          <w:numId w:val="45"/>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底部配置有4个工业级福马轮，即能调节又可以刹车。</w:t>
      </w:r>
    </w:p>
    <w:p w14:paraId="19FA5C77">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、机器人单元</w:t>
      </w:r>
    </w:p>
    <w:p w14:paraId="46971B8B">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机器人轴数：6轴串联关节型</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3922"/>
        <w:gridCol w:w="3096"/>
      </w:tblGrid>
      <w:tr w14:paraId="5C64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220" w:type="pct"/>
            <w:vAlign w:val="center"/>
          </w:tcPr>
          <w:p w14:paraId="0DC1A8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轴运动</w:t>
            </w:r>
          </w:p>
        </w:tc>
        <w:tc>
          <w:tcPr>
            <w:tcW w:w="2112" w:type="pct"/>
            <w:vAlign w:val="center"/>
          </w:tcPr>
          <w:p w14:paraId="5D4697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工作范围</w:t>
            </w:r>
          </w:p>
        </w:tc>
        <w:tc>
          <w:tcPr>
            <w:tcW w:w="1667" w:type="pct"/>
            <w:vAlign w:val="center"/>
          </w:tcPr>
          <w:p w14:paraId="3318BB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最大速度</w:t>
            </w:r>
          </w:p>
        </w:tc>
      </w:tr>
      <w:tr w14:paraId="14D2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Align w:val="center"/>
          </w:tcPr>
          <w:p w14:paraId="2180A1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轴1旋转</w:t>
            </w:r>
          </w:p>
        </w:tc>
        <w:tc>
          <w:tcPr>
            <w:tcW w:w="2112" w:type="pct"/>
            <w:vAlign w:val="center"/>
          </w:tcPr>
          <w:p w14:paraId="109A1C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﹢165°- ﹣165°</w:t>
            </w:r>
          </w:p>
        </w:tc>
        <w:tc>
          <w:tcPr>
            <w:tcW w:w="1667" w:type="pct"/>
            <w:vAlign w:val="center"/>
          </w:tcPr>
          <w:p w14:paraId="4F0F715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250°/S</w:t>
            </w:r>
          </w:p>
        </w:tc>
      </w:tr>
      <w:tr w14:paraId="66B8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Align w:val="center"/>
          </w:tcPr>
          <w:p w14:paraId="08E7E46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轴2手臂</w:t>
            </w:r>
          </w:p>
        </w:tc>
        <w:tc>
          <w:tcPr>
            <w:tcW w:w="2112" w:type="pct"/>
            <w:vAlign w:val="center"/>
          </w:tcPr>
          <w:p w14:paraId="371DA1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﹢110°- ﹣110°</w:t>
            </w:r>
          </w:p>
        </w:tc>
        <w:tc>
          <w:tcPr>
            <w:tcW w:w="1667" w:type="pct"/>
            <w:vAlign w:val="center"/>
          </w:tcPr>
          <w:p w14:paraId="49DEF4C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250°/S</w:t>
            </w:r>
          </w:p>
        </w:tc>
      </w:tr>
      <w:tr w14:paraId="0DF0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Align w:val="center"/>
          </w:tcPr>
          <w:p w14:paraId="270C1C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轴3手臂</w:t>
            </w:r>
          </w:p>
        </w:tc>
        <w:tc>
          <w:tcPr>
            <w:tcW w:w="2112" w:type="pct"/>
            <w:vAlign w:val="center"/>
          </w:tcPr>
          <w:p w14:paraId="69DFFB9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﹢170°- ﹣90°</w:t>
            </w:r>
          </w:p>
        </w:tc>
        <w:tc>
          <w:tcPr>
            <w:tcW w:w="1667" w:type="pct"/>
            <w:vAlign w:val="center"/>
          </w:tcPr>
          <w:p w14:paraId="484C74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250°/S</w:t>
            </w:r>
          </w:p>
        </w:tc>
      </w:tr>
      <w:tr w14:paraId="7F28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Align w:val="center"/>
          </w:tcPr>
          <w:p w14:paraId="1269A23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轴4手腕</w:t>
            </w:r>
          </w:p>
        </w:tc>
        <w:tc>
          <w:tcPr>
            <w:tcW w:w="2112" w:type="pct"/>
            <w:vAlign w:val="center"/>
          </w:tcPr>
          <w:p w14:paraId="1B93A8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﹢160°- ﹣160°</w:t>
            </w:r>
          </w:p>
        </w:tc>
        <w:tc>
          <w:tcPr>
            <w:tcW w:w="1667" w:type="pct"/>
            <w:vAlign w:val="center"/>
          </w:tcPr>
          <w:p w14:paraId="6F3B00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320°/S</w:t>
            </w:r>
          </w:p>
        </w:tc>
      </w:tr>
      <w:tr w14:paraId="52D5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Align w:val="center"/>
          </w:tcPr>
          <w:p w14:paraId="352EDCB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轴5弯曲</w:t>
            </w:r>
          </w:p>
        </w:tc>
        <w:tc>
          <w:tcPr>
            <w:tcW w:w="2112" w:type="pct"/>
            <w:vAlign w:val="center"/>
          </w:tcPr>
          <w:p w14:paraId="33353F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﹢120°- ﹣120</w:t>
            </w:r>
          </w:p>
        </w:tc>
        <w:tc>
          <w:tcPr>
            <w:tcW w:w="1667" w:type="pct"/>
            <w:vAlign w:val="center"/>
          </w:tcPr>
          <w:p w14:paraId="41AB375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320°/S</w:t>
            </w:r>
          </w:p>
        </w:tc>
      </w:tr>
      <w:tr w14:paraId="150D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pct"/>
            <w:vAlign w:val="center"/>
          </w:tcPr>
          <w:p w14:paraId="0E5528A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轴6翻转</w:t>
            </w:r>
          </w:p>
        </w:tc>
        <w:tc>
          <w:tcPr>
            <w:tcW w:w="2112" w:type="pct"/>
            <w:vAlign w:val="center"/>
          </w:tcPr>
          <w:p w14:paraId="5869539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﹢400°- ﹣400°</w:t>
            </w:r>
          </w:p>
        </w:tc>
        <w:tc>
          <w:tcPr>
            <w:tcW w:w="1667" w:type="pct"/>
            <w:vAlign w:val="center"/>
          </w:tcPr>
          <w:p w14:paraId="43582EA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420°/S</w:t>
            </w:r>
          </w:p>
        </w:tc>
      </w:tr>
    </w:tbl>
    <w:p w14:paraId="6392B3F7">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工作范围≥580mm</w:t>
      </w:r>
    </w:p>
    <w:p w14:paraId="4EFC4491">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额定负载≥3kg</w:t>
      </w:r>
    </w:p>
    <w:p w14:paraId="1E67AC2F">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重复定位精度≤0.01mm</w:t>
      </w:r>
    </w:p>
    <w:p w14:paraId="513961EB">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安全性包括安全停、紧急停、2通道安全回路监测、3位启动装置</w:t>
      </w:r>
    </w:p>
    <w:p w14:paraId="78D4372B">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集成信号源为手腕设不少于10路信号</w:t>
      </w:r>
    </w:p>
    <w:p w14:paraId="70E362FC">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集成气源为手腕设不少于4路空气（5bar）</w:t>
      </w:r>
    </w:p>
    <w:p w14:paraId="224F9BAF">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机器人高度≥700 mm</w:t>
      </w:r>
    </w:p>
    <w:p w14:paraId="6198CDC6">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采用高级工业机器人编程语言</w:t>
      </w:r>
    </w:p>
    <w:p w14:paraId="6CDC6AA8">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内置16路输入/16路输出的数字量I/O模块</w:t>
      </w:r>
    </w:p>
    <w:p w14:paraId="403E8D33">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示教器采用图形化彩色触摸屏 、带操纵杆、热插拔、运行时可插拔</w:t>
      </w:r>
    </w:p>
    <w:p w14:paraId="535DF5C8">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机器人底座尺寸≥180mm×180mm×5mm</w:t>
      </w:r>
    </w:p>
    <w:p w14:paraId="49E9DD60">
      <w:pPr>
        <w:numPr>
          <w:ilvl w:val="0"/>
          <w:numId w:val="4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机器人控制器，融合TrueMove、QuickMove等运动控制技术，对提升机器人性能，包括精度、速度、节拍时间、可编程性、外轴设备同步能力等，具有至关重要的作用。其他特性还包括配备触摸屏和操纵杆编程功能的FlexPendant示教器、灵活的RAPID编程语言及强大的通信能力。RobotWare是控制器的核心</w:t>
      </w:r>
    </w:p>
    <w:p w14:paraId="52600C51">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、快换工具单元</w:t>
      </w:r>
    </w:p>
    <w:p w14:paraId="33EC7DE6">
      <w:pPr>
        <w:numPr>
          <w:ilvl w:val="0"/>
          <w:numId w:val="4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工具快换系统：机器人手臂安装有法兰端快换模块，可实现快换工具单元中不同工具间自动快换；主盘负载不小于3kg。位置重复定位精度±0.025，快换母头的每个工具均有一个独立的工具支架，方便移动布局。</w:t>
      </w:r>
    </w:p>
    <w:p w14:paraId="31D8C062">
      <w:pPr>
        <w:numPr>
          <w:ilvl w:val="0"/>
          <w:numId w:val="4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胶枪工具：含有工具端快换模块与法兰端快换模块配套，外壳为铝合金材质，可以配合轨迹图纸实现模拟零件外壳涂胶或绘画的轨迹编程实训，可更换笔芯设计且笔芯可窜动防止碰撞损坏。</w:t>
      </w:r>
    </w:p>
    <w:p w14:paraId="360703C6">
      <w:pPr>
        <w:numPr>
          <w:ilvl w:val="0"/>
          <w:numId w:val="4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夹爪工具：含有工具端快换模块与法兰端快换模块配套，可稳固抓取搬运码垛物料。夹头为铝合金或不锈钢材质，采用气动驱动，重复精度≤±0.05mm，闭合夹持力需保证机器人在快速移动时物料不发生晃动和掉落。</w:t>
      </w:r>
    </w:p>
    <w:p w14:paraId="7373533A">
      <w:pPr>
        <w:numPr>
          <w:ilvl w:val="0"/>
          <w:numId w:val="4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吸盘工具：含有工具端快换模块与法兰端快换模块配套，吸盘支架采用内置式，避免旋转，吸盘（同一直径：15～25mm）2个，两组吸盘采用两路控制回路，可同时工作也可单独工作，可稳固抓取各种形状的芯片零件及盖板。</w:t>
      </w:r>
    </w:p>
    <w:p w14:paraId="6AE0CBF8">
      <w:pPr>
        <w:numPr>
          <w:ilvl w:val="0"/>
          <w:numId w:val="4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焊枪工具：含有工具端快换模块与法兰端快换模块配套，含有一个内置≤4mm激光头的铜质模拟焊枪工具，工作电压DC10-28V,用于焊接动作模拟。</w:t>
      </w:r>
    </w:p>
    <w:p w14:paraId="3367C7C3">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、涂胶单元</w:t>
      </w:r>
    </w:p>
    <w:p w14:paraId="222CC81A">
      <w:pPr>
        <w:numPr>
          <w:ilvl w:val="0"/>
          <w:numId w:val="48"/>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轨迹路径包含圆形、三角形、矩形、复杂轮廓和样条曲线，以及不同位置、不同指向的基准坐标系。</w:t>
      </w:r>
    </w:p>
    <w:p w14:paraId="5EC62060">
      <w:pPr>
        <w:numPr>
          <w:ilvl w:val="0"/>
          <w:numId w:val="48"/>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提供工具TCP参数标定用尖锥，采用金属材质，可以随意固定在轨迹图板的任何位置。</w:t>
      </w:r>
    </w:p>
    <w:p w14:paraId="6B00E322">
      <w:pPr>
        <w:numPr>
          <w:ilvl w:val="0"/>
          <w:numId w:val="48"/>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涂胶单元能实训机器人轨迹学习功能。</w:t>
      </w:r>
    </w:p>
    <w:p w14:paraId="1FA52EDB">
      <w:pPr>
        <w:numPr>
          <w:ilvl w:val="0"/>
          <w:numId w:val="48"/>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设有旋转机构可进行多角度旋转，左右两侧均配有刻度。</w:t>
      </w:r>
    </w:p>
    <w:p w14:paraId="5587E151">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、码垛单元</w:t>
      </w:r>
    </w:p>
    <w:p w14:paraId="19D3A0CB">
      <w:pPr>
        <w:numPr>
          <w:ilvl w:val="0"/>
          <w:numId w:val="49"/>
        </w:numPr>
        <w:spacing w:line="360" w:lineRule="auto"/>
        <w:ind w:left="425" w:leftChars="0" w:hanging="425" w:firstLineChars="0"/>
        <w:rPr>
          <w:rFonts w:hint="eastAsia" w:ascii="宋体" w:hAnsi="宋体" w:eastAsia="宋体" w:cs="宋体"/>
          <w:b/>
          <w:bCs/>
          <w:sz w:val="21"/>
          <w:szCs w:val="21"/>
        </w:rPr>
      </w:pPr>
      <w:r>
        <w:rPr>
          <w:rFonts w:hint="eastAsia" w:ascii="宋体" w:hAnsi="宋体" w:eastAsia="宋体" w:cs="宋体"/>
          <w:sz w:val="21"/>
          <w:szCs w:val="21"/>
          <w:u w:val="single"/>
        </w:rPr>
        <w:t>★原料台由铝型材配合井式料仓结构，利用推料气缸实现物料自动排列，满足不少于8个物料的存储。</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提供真实图片</w:t>
      </w:r>
      <w:r>
        <w:rPr>
          <w:rFonts w:hint="eastAsia" w:ascii="宋体" w:hAnsi="宋体" w:eastAsia="宋体" w:cs="宋体"/>
          <w:sz w:val="21"/>
          <w:szCs w:val="21"/>
          <w:u w:val="single"/>
          <w:lang w:eastAsia="zh-CN"/>
        </w:rPr>
        <w:t>）</w:t>
      </w:r>
    </w:p>
    <w:p w14:paraId="289CBEAD">
      <w:pPr>
        <w:numPr>
          <w:ilvl w:val="0"/>
          <w:numId w:val="49"/>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码垛台由台面和支撑件构成，采用铝合金或不锈钢型材支撑，可满足多种形式的码垛垛型，布局合理。</w:t>
      </w:r>
    </w:p>
    <w:p w14:paraId="40A4325C">
      <w:pPr>
        <w:numPr>
          <w:ilvl w:val="0"/>
          <w:numId w:val="49"/>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包含模拟物料，数量不少于8个，采用吸盘工具方便抓取，可实现在平台间的搬运、码垛拆垛实训。</w:t>
      </w:r>
    </w:p>
    <w:p w14:paraId="09291C04">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6</w:t>
      </w:r>
      <w:r>
        <w:rPr>
          <w:rFonts w:hint="eastAsia" w:ascii="宋体" w:hAnsi="宋体" w:eastAsia="宋体" w:cs="宋体"/>
          <w:b/>
          <w:bCs/>
          <w:sz w:val="21"/>
          <w:szCs w:val="21"/>
        </w:rPr>
        <w:t>、视觉检测单元</w:t>
      </w:r>
    </w:p>
    <w:p w14:paraId="26D1B7A9">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通过简单灵活的配置，便可快速构建机器视觉应用小系统，实现定位、测量、检测等功能，还具备逻辑工具以及数据工具，支持TCP/IP、IO以及串口等多种通信方式。应用于3C制造和电子半导体、汽车、太阳能、医药、食品和饮料行业的机器人引导、放料及取料、高静度定位调整、表面缺陷检测、数字码识别等</w:t>
      </w:r>
    </w:p>
    <w:p w14:paraId="693FBB3C">
      <w:pPr>
        <w:numPr>
          <w:ilvl w:val="0"/>
          <w:numId w:val="5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界面友好操作简单，可通过简单的拖拽选择视觉工具模块；支持多种不同的操作系统和图像采集硬件设备；快速构建视觉应用系统、制定工作流程。兼容性强，支持用户自定义设置</w:t>
      </w:r>
    </w:p>
    <w:p w14:paraId="054395A2">
      <w:pPr>
        <w:numPr>
          <w:ilvl w:val="0"/>
          <w:numId w:val="5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采集包含本地图像、相机图像、图像存储；定位包含快速特征匹配、高精度特征匹配、Blob分析、卡尺、位置修正；几何查找包含圆查找、直线查找、边缘查找、顶点查找、矩形查找、交点查找、平行线查找、间距检测；测量包含点点测量、点线测量、点圆测量、线线测量、线圆测量、圆圆测量、亮度测量、圆拟合、直线拟合、像素统计、直方图统计、几何创建；识别包含条码识别、二维码识别、字符识别；标定包含：标定板标定、N点标定、对位标定、标定转换、单位转换、畸变校正；图像处理包含图像预处理组合、图像滤波、图像增强、图像运算、二值化、形态学、清晰度评估、图像修正、阴影校正、仿射变换、圆环展开、拷贝填充、帧平均、图像归一化；逻辑处理包含条件检测、分支模块、分支字符、文本保存、逻辑运算、格式化、字符比较、循环、脚本、变量计算、点集、耗时统计；通讯包含TCP、UDP、串口、IO、ModBus等功能</w:t>
      </w:r>
    </w:p>
    <w:p w14:paraId="0AFABDA7">
      <w:pPr>
        <w:numPr>
          <w:ilvl w:val="0"/>
          <w:numId w:val="50"/>
        </w:numPr>
        <w:spacing w:line="360" w:lineRule="auto"/>
        <w:ind w:left="425" w:leftChars="0" w:hanging="425" w:firstLineChars="0"/>
        <w:rPr>
          <w:rFonts w:hint="eastAsia" w:ascii="宋体" w:hAnsi="宋体" w:eastAsia="宋体" w:cs="宋体"/>
          <w:color w:val="auto"/>
          <w:sz w:val="21"/>
          <w:szCs w:val="21"/>
        </w:rPr>
      </w:pPr>
      <w:r>
        <w:rPr>
          <w:rFonts w:hint="eastAsia" w:ascii="宋体" w:hAnsi="宋体" w:eastAsia="宋体" w:cs="宋体"/>
          <w:color w:val="auto"/>
          <w:sz w:val="21"/>
          <w:szCs w:val="21"/>
        </w:rPr>
        <w:t>镜头采用焦距12MM手动变焦镜头，f数f2.8-f16，最大靶面1/1.8'',C-Mount接口，光学畸变-0.38%；</w:t>
      </w:r>
    </w:p>
    <w:p w14:paraId="6FE40575">
      <w:pPr>
        <w:numPr>
          <w:ilvl w:val="0"/>
          <w:numId w:val="5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color w:val="auto"/>
          <w:sz w:val="21"/>
          <w:szCs w:val="21"/>
        </w:rPr>
        <w:t>相机采用6百万</w:t>
      </w:r>
      <w:r>
        <w:rPr>
          <w:rFonts w:hint="eastAsia" w:ascii="宋体" w:hAnsi="宋体" w:eastAsia="宋体" w:cs="宋体"/>
          <w:color w:val="auto"/>
          <w:sz w:val="21"/>
          <w:szCs w:val="21"/>
          <w:lang w:val="en-US" w:eastAsia="zh-CN"/>
        </w:rPr>
        <w:t>像素，</w:t>
      </w:r>
      <w:r>
        <w:rPr>
          <w:rFonts w:hint="eastAsia" w:ascii="宋体" w:hAnsi="宋体" w:eastAsia="宋体" w:cs="宋体"/>
          <w:color w:val="auto"/>
          <w:sz w:val="21"/>
          <w:szCs w:val="21"/>
        </w:rPr>
        <w:t>千兆COMS卷帘快门相机，相元尺寸2.4μm*2.4μm，靶面尺寸1/1.8''，分辨率≥3072*2048，最大帧频18fps@3072*2048，曝光时</w:t>
      </w:r>
      <w:r>
        <w:rPr>
          <w:rFonts w:hint="eastAsia" w:ascii="宋体" w:hAnsi="宋体" w:eastAsia="宋体" w:cs="宋体"/>
          <w:sz w:val="21"/>
          <w:szCs w:val="21"/>
        </w:rPr>
        <w:t>间27μs-2.5sec，缓存内存</w:t>
      </w:r>
      <w:r>
        <w:rPr>
          <w:rFonts w:hint="eastAsia" w:ascii="宋体" w:hAnsi="宋体" w:eastAsia="宋体" w:cs="宋体"/>
          <w:color w:val="FF0000"/>
          <w:sz w:val="21"/>
          <w:szCs w:val="21"/>
        </w:rPr>
        <w:t>≥</w:t>
      </w:r>
      <w:r>
        <w:rPr>
          <w:rFonts w:hint="eastAsia" w:ascii="宋体" w:hAnsi="宋体" w:eastAsia="宋体" w:cs="宋体"/>
          <w:sz w:val="21"/>
          <w:szCs w:val="21"/>
        </w:rPr>
        <w:t>128m，供电电压5-15v支持PoE供电，C-Mount接口，重68g。</w:t>
      </w:r>
    </w:p>
    <w:p w14:paraId="2C841433">
      <w:pPr>
        <w:numPr>
          <w:ilvl w:val="0"/>
          <w:numId w:val="5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光源控制器采用高性能稳压可调控制器，功率70W,光源采用无影光源。</w:t>
      </w:r>
    </w:p>
    <w:p w14:paraId="65A3A18A">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7</w:t>
      </w:r>
      <w:r>
        <w:rPr>
          <w:rFonts w:hint="eastAsia" w:ascii="宋体" w:hAnsi="宋体" w:eastAsia="宋体" w:cs="宋体"/>
          <w:b/>
          <w:bCs/>
          <w:sz w:val="21"/>
          <w:szCs w:val="21"/>
        </w:rPr>
        <w:t>、装配及检测单元</w:t>
      </w:r>
    </w:p>
    <w:p w14:paraId="51AA7EA0">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装配检测单元内含装配检测工位，可与工业机器人配合完成模拟工件（如芯片）的安装及检测功能，装配检测工位的安装由铝型材搭建的框架支撑，双装配检测工位尺寸≤350mm×220mm×163mm（长×宽×高）。</w:t>
      </w:r>
    </w:p>
    <w:p w14:paraId="096A606C">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装配检测工位结构为铝合金或不锈钢材质。</w:t>
      </w:r>
    </w:p>
    <w:p w14:paraId="5C609002">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安装平台安装在双列线性滑轨上，采用气动驱动，安全保持力≥140N。</w:t>
      </w:r>
    </w:p>
    <w:p w14:paraId="6EDA2ED4">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检测支架升降由气动驱动，采用双杆气缸，联动钣金支架，检测过程中有红绿灯交替闪烁。</w:t>
      </w:r>
    </w:p>
    <w:p w14:paraId="52F78FEC">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安装有红、绿两色指示灯，用于在检测完成后提示安装是否有误、工件是否有缺陷。</w:t>
      </w:r>
    </w:p>
    <w:p w14:paraId="7DD43861">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包含带有把手的安装底板一块。</w:t>
      </w:r>
    </w:p>
    <w:p w14:paraId="392649D8">
      <w:pPr>
        <w:numPr>
          <w:ilvl w:val="0"/>
          <w:numId w:val="51"/>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单元配备有与气电快插单元连接的航空插头或信号转接板和气路控制电磁阀。</w:t>
      </w:r>
    </w:p>
    <w:p w14:paraId="118F4D6A">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8</w:t>
      </w:r>
      <w:r>
        <w:rPr>
          <w:rFonts w:hint="eastAsia" w:ascii="宋体" w:hAnsi="宋体" w:eastAsia="宋体" w:cs="宋体"/>
          <w:b/>
          <w:bCs/>
          <w:sz w:val="21"/>
          <w:szCs w:val="21"/>
        </w:rPr>
        <w:t>、料库单元</w:t>
      </w:r>
    </w:p>
    <w:p w14:paraId="70E39CB4">
      <w:pPr>
        <w:numPr>
          <w:ilvl w:val="0"/>
          <w:numId w:val="5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单层料区，可用于存放模拟工件、模拟工件装配盒和盖板。</w:t>
      </w:r>
    </w:p>
    <w:p w14:paraId="0F2C74E0">
      <w:pPr>
        <w:numPr>
          <w:ilvl w:val="0"/>
          <w:numId w:val="5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整体设计方便机器人抓取物料。</w:t>
      </w:r>
    </w:p>
    <w:p w14:paraId="7F4F02D5">
      <w:pPr>
        <w:numPr>
          <w:ilvl w:val="0"/>
          <w:numId w:val="5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模拟工件装配盒设计不少于4个的工件放置位置，工件种类不少于4个，代表可放置不少于4种工件，有一个可与某一种工件重复。</w:t>
      </w:r>
    </w:p>
    <w:p w14:paraId="0431B219">
      <w:pPr>
        <w:numPr>
          <w:ilvl w:val="0"/>
          <w:numId w:val="5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拟工件包括圆形、小矩形、大矩形、方形等不同形状和不同颜色的工件，用以代表不同的产品（如CPU、集成电路、电阻、电容、三极管等元件）。</w:t>
      </w:r>
    </w:p>
    <w:p w14:paraId="3C5ADF6D">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9</w:t>
      </w:r>
      <w:r>
        <w:rPr>
          <w:rFonts w:hint="eastAsia" w:ascii="宋体" w:hAnsi="宋体" w:eastAsia="宋体" w:cs="宋体"/>
          <w:b/>
          <w:bCs/>
          <w:sz w:val="21"/>
          <w:szCs w:val="21"/>
        </w:rPr>
        <w:t>、智能料库单元</w:t>
      </w:r>
    </w:p>
    <w:p w14:paraId="24CCB6ED">
      <w:pPr>
        <w:numPr>
          <w:ilvl w:val="0"/>
          <w:numId w:val="5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智能料库单元由上下两层组成，上层可放置不少于2个物料块，下层可放置不少于2个焊接、抛光、打磨用的毛坯原料，且下层每个料位均带有传感器进行缺料检测。</w:t>
      </w:r>
    </w:p>
    <w:p w14:paraId="5A8DA2B7">
      <w:pPr>
        <w:numPr>
          <w:ilvl w:val="0"/>
          <w:numId w:val="5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料库安装在滑轨上，采用气缸驱动，安全保持力≥140N气缸两端安装有传感器，用于检测气缸运动是否到位。</w:t>
      </w:r>
    </w:p>
    <w:p w14:paraId="1457048D">
      <w:pPr>
        <w:numPr>
          <w:ilvl w:val="0"/>
          <w:numId w:val="53"/>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本单元与气电快插单元用航空插头或信号转接板连接。</w:t>
      </w:r>
    </w:p>
    <w:p w14:paraId="69325F9D">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10</w:t>
      </w:r>
      <w:r>
        <w:rPr>
          <w:rFonts w:hint="eastAsia" w:ascii="宋体" w:hAnsi="宋体" w:eastAsia="宋体" w:cs="宋体"/>
          <w:b/>
          <w:bCs/>
          <w:sz w:val="21"/>
          <w:szCs w:val="21"/>
        </w:rPr>
        <w:t>、输送线模块</w:t>
      </w:r>
    </w:p>
    <w:p w14:paraId="402F346B">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主要包含交流减速电机、皮带、出入口光电传感器等组成，配有工业变频器，输入电压AC220V 0.37KW，集成4路数字量输入，2路模拟量输入,支持RS485通讯，集成操作面板。方形光电传感器2个，供电电压DC12-24V,PNP常开输出，检测距离25mm-300mm光斑大小10mm。采用PC+ABS阻燃材料，能在-40℃至80℃下正常工作。电源和每个通道均有LED指示灯显示和表贴，供电电流最大2A，将传感器和执行控制元件均接入转进装置，可实现模块在平台上自由布局。主要技术参数：</w:t>
      </w:r>
    </w:p>
    <w:p w14:paraId="37778DFA">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外形尺寸（mm）：</w:t>
      </w:r>
      <w:r>
        <w:rPr>
          <w:rFonts w:hint="eastAsia" w:ascii="宋体" w:hAnsi="宋体" w:eastAsia="宋体" w:cs="宋体"/>
          <w:color w:val="FF0000"/>
          <w:sz w:val="21"/>
          <w:szCs w:val="21"/>
        </w:rPr>
        <w:t xml:space="preserve">≥ </w:t>
      </w:r>
      <w:r>
        <w:rPr>
          <w:rFonts w:hint="eastAsia" w:ascii="宋体" w:hAnsi="宋体" w:eastAsia="宋体" w:cs="宋体"/>
          <w:sz w:val="21"/>
          <w:szCs w:val="21"/>
        </w:rPr>
        <w:t>540×120×190mm</w:t>
      </w:r>
    </w:p>
    <w:p w14:paraId="166708C9">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传输带尺寸（mm）：</w:t>
      </w:r>
      <w:r>
        <w:rPr>
          <w:rFonts w:hint="eastAsia" w:ascii="宋体" w:hAnsi="宋体" w:eastAsia="宋体" w:cs="宋体"/>
          <w:color w:val="FF0000"/>
          <w:sz w:val="21"/>
          <w:szCs w:val="21"/>
        </w:rPr>
        <w:t>≥</w:t>
      </w:r>
      <w:r>
        <w:rPr>
          <w:rFonts w:hint="eastAsia" w:ascii="宋体" w:hAnsi="宋体" w:eastAsia="宋体" w:cs="宋体"/>
          <w:sz w:val="21"/>
          <w:szCs w:val="21"/>
        </w:rPr>
        <w:t>520×50×2mm</w:t>
      </w:r>
    </w:p>
    <w:p w14:paraId="523D65D0">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输送机长度：</w:t>
      </w:r>
      <w:r>
        <w:rPr>
          <w:rFonts w:hint="eastAsia" w:ascii="宋体" w:hAnsi="宋体" w:eastAsia="宋体" w:cs="宋体"/>
          <w:color w:val="FF0000"/>
          <w:sz w:val="21"/>
          <w:szCs w:val="21"/>
        </w:rPr>
        <w:t>≥</w:t>
      </w:r>
      <w:r>
        <w:rPr>
          <w:rFonts w:hint="eastAsia" w:ascii="宋体" w:hAnsi="宋体" w:eastAsia="宋体" w:cs="宋体"/>
          <w:sz w:val="21"/>
          <w:szCs w:val="21"/>
        </w:rPr>
        <w:t xml:space="preserve">520mm </w:t>
      </w:r>
    </w:p>
    <w:p w14:paraId="09003CFD">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有效工作宽度：</w:t>
      </w:r>
      <w:r>
        <w:rPr>
          <w:rFonts w:hint="eastAsia" w:ascii="宋体" w:hAnsi="宋体" w:eastAsia="宋体" w:cs="宋体"/>
          <w:color w:val="FF0000"/>
          <w:sz w:val="21"/>
          <w:szCs w:val="21"/>
        </w:rPr>
        <w:t>≥</w:t>
      </w:r>
      <w:r>
        <w:rPr>
          <w:rFonts w:hint="eastAsia" w:ascii="宋体" w:hAnsi="宋体" w:eastAsia="宋体" w:cs="宋体"/>
          <w:sz w:val="21"/>
          <w:szCs w:val="21"/>
        </w:rPr>
        <w:t xml:space="preserve">46mm </w:t>
      </w:r>
    </w:p>
    <w:p w14:paraId="0CE32ABD">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 xml:space="preserve">最高速度 ：4m/min </w:t>
      </w:r>
    </w:p>
    <w:p w14:paraId="32047F22">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 xml:space="preserve">电源电压：AC220V </w:t>
      </w:r>
    </w:p>
    <w:p w14:paraId="388F3E58">
      <w:pPr>
        <w:numPr>
          <w:ilvl w:val="0"/>
          <w:numId w:val="5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变频器器电压：单相 AC220V 0.37KW频率：50/60Hz 工作环境：温度：-10c°~+50c°,湿度&lt;90%</w:t>
      </w:r>
    </w:p>
    <w:p w14:paraId="7552D58D">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11</w:t>
      </w:r>
      <w:r>
        <w:rPr>
          <w:rFonts w:hint="eastAsia" w:ascii="宋体" w:hAnsi="宋体" w:eastAsia="宋体" w:cs="宋体"/>
          <w:b/>
          <w:bCs/>
          <w:sz w:val="21"/>
          <w:szCs w:val="21"/>
        </w:rPr>
        <w:t>、井式落料模块</w:t>
      </w:r>
    </w:p>
    <w:p w14:paraId="798AEBBA">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采用井式上料机构，底部设有物料检测传感器，可满足最多8个物料的存储。包含模拟物料，材质POM，尺寸45mm×45mm×20mm。方形光电传感器1个，供电电压DC12-24V,PNP常开输出，检测距离25mm-300mm光斑大小10mm; 采用PC+ABS阻燃材料，能在-40℃至80℃下正常工作。电源和每个通道均有LED指示灯显示和表贴，供电电流最大2A，将传感器和执行控制元件均接入转进装置，可实现模块在平台上自由布局：</w:t>
      </w:r>
    </w:p>
    <w:p w14:paraId="19D8E3A4">
      <w:pPr>
        <w:numPr>
          <w:ilvl w:val="0"/>
          <w:numId w:val="5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用于储存多种零件，根据实训要求，可由机器人控制供料时机</w:t>
      </w:r>
    </w:p>
    <w:p w14:paraId="71F510F7">
      <w:pPr>
        <w:numPr>
          <w:ilvl w:val="0"/>
          <w:numId w:val="5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井式供料机构尺寸：</w:t>
      </w:r>
      <w:r>
        <w:rPr>
          <w:rFonts w:hint="eastAsia" w:ascii="宋体" w:hAnsi="宋体" w:eastAsia="宋体" w:cs="宋体"/>
          <w:color w:val="FF0000"/>
          <w:sz w:val="21"/>
          <w:szCs w:val="21"/>
        </w:rPr>
        <w:t>≥</w:t>
      </w:r>
      <w:r>
        <w:rPr>
          <w:rFonts w:hint="eastAsia" w:ascii="宋体" w:hAnsi="宋体" w:eastAsia="宋体" w:cs="宋体"/>
          <w:sz w:val="21"/>
          <w:szCs w:val="21"/>
        </w:rPr>
        <w:t>180×110×270mm</w:t>
      </w:r>
    </w:p>
    <w:p w14:paraId="4A101A85">
      <w:pPr>
        <w:numPr>
          <w:ilvl w:val="0"/>
          <w:numId w:val="5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铝合金料库深长：</w:t>
      </w:r>
      <w:r>
        <w:rPr>
          <w:rFonts w:hint="eastAsia" w:ascii="宋体" w:hAnsi="宋体" w:eastAsia="宋体" w:cs="宋体"/>
          <w:color w:val="FF0000"/>
          <w:sz w:val="21"/>
          <w:szCs w:val="21"/>
        </w:rPr>
        <w:t>≥</w:t>
      </w:r>
      <w:r>
        <w:rPr>
          <w:rFonts w:hint="eastAsia" w:ascii="宋体" w:hAnsi="宋体" w:eastAsia="宋体" w:cs="宋体"/>
          <w:sz w:val="21"/>
          <w:szCs w:val="21"/>
        </w:rPr>
        <w:t>175mm</w:t>
      </w:r>
    </w:p>
    <w:p w14:paraId="55D9E9FE">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12</w:t>
      </w:r>
      <w:r>
        <w:rPr>
          <w:rFonts w:hint="eastAsia" w:ascii="宋体" w:hAnsi="宋体" w:eastAsia="宋体" w:cs="宋体"/>
          <w:b/>
          <w:bCs/>
          <w:sz w:val="21"/>
          <w:szCs w:val="21"/>
        </w:rPr>
        <w:t>、操控面板</w:t>
      </w:r>
    </w:p>
    <w:p w14:paraId="4DAC37D0">
      <w:pPr>
        <w:numPr>
          <w:ilvl w:val="0"/>
          <w:numId w:val="56"/>
        </w:numPr>
        <w:spacing w:line="360" w:lineRule="auto"/>
        <w:ind w:left="425" w:leftChars="0" w:hanging="425" w:firstLineChars="0"/>
        <w:rPr>
          <w:rFonts w:hint="eastAsia" w:ascii="宋体" w:hAnsi="宋体" w:eastAsia="宋体" w:cs="宋体"/>
          <w:strike/>
          <w:sz w:val="21"/>
          <w:szCs w:val="21"/>
        </w:rPr>
      </w:pPr>
      <w:r>
        <w:rPr>
          <w:rFonts w:hint="eastAsia" w:ascii="宋体" w:hAnsi="宋体" w:eastAsia="宋体" w:cs="宋体"/>
          <w:sz w:val="21"/>
          <w:szCs w:val="21"/>
        </w:rPr>
        <w:t>提供工作站启动、停止、模式控制和急停按钮，可实现对设备运行操作</w:t>
      </w:r>
    </w:p>
    <w:p w14:paraId="69625060">
      <w:pPr>
        <w:numPr>
          <w:ilvl w:val="0"/>
          <w:numId w:val="5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包含工业HMI触摸屏（推荐：西门子/威纶通/昆仑通态）作为人机交互接口，屏幕尺寸≥7寸高亮度TFT液晶显示屏（分辨率800×480），四线电阻式触摸屏，以及具有良好的电磁屏蔽性，预装了Linux嵌入式组态软件(运行版)，具备强大的图像显示和数据处理功能，支持以太网通讯。</w:t>
      </w:r>
    </w:p>
    <w:p w14:paraId="31E7660F">
      <w:pPr>
        <w:numPr>
          <w:ilvl w:val="0"/>
          <w:numId w:val="56"/>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操作面板采用钢折弯成型，与平面成30度夹角，符合人体工程学，表面进行喷塑工艺处理。</w:t>
      </w:r>
    </w:p>
    <w:p w14:paraId="31A644D7">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13</w:t>
      </w:r>
      <w:r>
        <w:rPr>
          <w:rFonts w:hint="eastAsia" w:ascii="宋体" w:hAnsi="宋体" w:eastAsia="宋体" w:cs="宋体"/>
          <w:b/>
          <w:bCs/>
          <w:sz w:val="21"/>
          <w:szCs w:val="21"/>
        </w:rPr>
        <w:t>、总控系统</w:t>
      </w:r>
    </w:p>
    <w:p w14:paraId="1CC7363E">
      <w:pPr>
        <w:numPr>
          <w:ilvl w:val="0"/>
          <w:numId w:val="5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控制系统对标工业安全标准，总控系统开发式安装在工作台面。</w:t>
      </w:r>
      <w:r>
        <w:rPr>
          <w:rFonts w:hint="eastAsia" w:ascii="宋体" w:hAnsi="宋体" w:eastAsia="宋体" w:cs="宋体"/>
          <w:color w:val="0000FF"/>
          <w:sz w:val="21"/>
          <w:szCs w:val="21"/>
        </w:rPr>
        <w:t>采用</w:t>
      </w:r>
      <w:r>
        <w:rPr>
          <w:rFonts w:hint="eastAsia" w:ascii="宋体" w:hAnsi="宋体" w:eastAsia="宋体" w:cs="宋体"/>
          <w:color w:val="0000FF"/>
          <w:sz w:val="21"/>
          <w:szCs w:val="21"/>
          <w:lang w:eastAsia="zh-CN"/>
        </w:rPr>
        <w:t>（</w:t>
      </w:r>
      <w:r>
        <w:rPr>
          <w:rFonts w:hint="eastAsia" w:ascii="宋体" w:hAnsi="宋体" w:eastAsia="宋体" w:cs="宋体"/>
          <w:color w:val="0000FF"/>
          <w:sz w:val="21"/>
          <w:szCs w:val="21"/>
          <w:lang w:val="en-US" w:eastAsia="zh-CN"/>
        </w:rPr>
        <w:t>参照或相当于</w:t>
      </w:r>
      <w:r>
        <w:rPr>
          <w:rFonts w:hint="eastAsia" w:ascii="宋体" w:hAnsi="宋体" w:eastAsia="宋体" w:cs="宋体"/>
          <w:color w:val="0000FF"/>
          <w:sz w:val="21"/>
          <w:szCs w:val="21"/>
        </w:rPr>
        <w:t xml:space="preserve">西门子S-1200/三菱FX3U </w:t>
      </w:r>
      <w:r>
        <w:rPr>
          <w:rFonts w:hint="eastAsia" w:ascii="宋体" w:hAnsi="宋体" w:eastAsia="宋体" w:cs="宋体"/>
          <w:color w:val="0000FF"/>
          <w:sz w:val="21"/>
          <w:szCs w:val="21"/>
          <w:lang w:val="en-US" w:eastAsia="zh-CN"/>
        </w:rPr>
        <w:t>等品牌</w:t>
      </w:r>
      <w:r>
        <w:rPr>
          <w:rFonts w:hint="eastAsia" w:ascii="宋体" w:hAnsi="宋体" w:eastAsia="宋体" w:cs="宋体"/>
          <w:color w:val="0000FF"/>
          <w:sz w:val="21"/>
          <w:szCs w:val="21"/>
          <w:lang w:eastAsia="zh-CN"/>
        </w:rPr>
        <w:t>）</w:t>
      </w:r>
      <w:r>
        <w:rPr>
          <w:rFonts w:hint="eastAsia" w:ascii="宋体" w:hAnsi="宋体" w:eastAsia="宋体" w:cs="宋体"/>
          <w:color w:val="0000FF"/>
          <w:sz w:val="21"/>
          <w:szCs w:val="21"/>
        </w:rPr>
        <w:t>PLC</w:t>
      </w:r>
      <w:r>
        <w:rPr>
          <w:rFonts w:hint="eastAsia" w:ascii="宋体" w:hAnsi="宋体" w:eastAsia="宋体" w:cs="宋体"/>
          <w:sz w:val="21"/>
          <w:szCs w:val="21"/>
        </w:rPr>
        <w:t>可编程控制器以及安全标准的电气原件，构建故障安全型控制系统，确保操作安全。PLC要求：125 KB 工作存储器；24VDC 电源，板载 DI14 x 24VDC 漏型/源型，板载 DQ10 x 24VDC 及 AI2 和 AQ2；板载 6 个高速计数器和 4 个脉冲输出；信号板扩展板载 I/O；多达 3 个用于串行通信的通信模块；多达 8 个用于 I/O 扩展的信号模块；0.04 ms/1000 条指令；2 个 PROFINET 端口，用于编程、HMI 和 PLC 间数据通信</w:t>
      </w:r>
    </w:p>
    <w:p w14:paraId="038149EC">
      <w:pPr>
        <w:numPr>
          <w:ilvl w:val="0"/>
          <w:numId w:val="5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电气控制元件采用优质产品，包含滤波、短路保险等安全机制</w:t>
      </w:r>
    </w:p>
    <w:p w14:paraId="57EDC762">
      <w:pPr>
        <w:numPr>
          <w:ilvl w:val="0"/>
          <w:numId w:val="5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工作台正面提供运行安全装置，采用光栅传感器</w:t>
      </w:r>
    </w:p>
    <w:p w14:paraId="098B23C9">
      <w:pPr>
        <w:numPr>
          <w:ilvl w:val="0"/>
          <w:numId w:val="57"/>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供气系统功率≥600W，排气量≥100L/min，最大压力≥8bar，储气罐≥24L，噪音≤52dB（A），静音无油，配套气路控制元件和真空元件。</w:t>
      </w:r>
    </w:p>
    <w:p w14:paraId="1D5E4D95">
      <w:pPr>
        <w:keepNext w:val="0"/>
        <w:keepLines w:val="0"/>
        <w:pageBreakBefore w:val="0"/>
        <w:widowControl w:val="0"/>
        <w:numPr>
          <w:ilvl w:val="0"/>
          <w:numId w:val="5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rPr>
        <w:t>编程控制终端：内存不小于16G，外存不小于500G，人机界面不小于21.5英寸。</w:t>
      </w:r>
    </w:p>
    <w:p w14:paraId="1EBFCAB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1"/>
          <w:szCs w:val="21"/>
          <w:lang w:val="en-US" w:eastAsia="zh-CN"/>
        </w:rPr>
      </w:pPr>
    </w:p>
    <w:p w14:paraId="1A881176">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 数字化集成应用系统</w:t>
      </w:r>
    </w:p>
    <w:p w14:paraId="6799B81E">
      <w:pPr>
        <w:pStyle w:val="7"/>
        <w:spacing w:before="0" w:after="0"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、系统总体要求</w:t>
      </w:r>
    </w:p>
    <w:p w14:paraId="395932F4">
      <w:pPr>
        <w:pStyle w:val="7"/>
        <w:numPr>
          <w:ilvl w:val="0"/>
          <w:numId w:val="58"/>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系统为虚拟仿真场景与PLC构成的半实物仿真系统，系统需提供丰富的设备库、零件库，利用库中的资源可在场景中自由搭建、配置以及运行；</w:t>
      </w:r>
    </w:p>
    <w:p w14:paraId="1D600E82">
      <w:pPr>
        <w:pStyle w:val="7"/>
        <w:numPr>
          <w:ilvl w:val="0"/>
          <w:numId w:val="58"/>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系统需能够与西门子PLC实时通讯、与博途软件联合仿真，能够用真实的PLC设备来控制虚拟场景中的设备；</w:t>
      </w:r>
    </w:p>
    <w:p w14:paraId="58CEDDA0">
      <w:pPr>
        <w:pStyle w:val="7"/>
        <w:numPr>
          <w:ilvl w:val="0"/>
          <w:numId w:val="58"/>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PLC控制柜设有多组接线座，在使用时可通过接线座插接形式将按钮、灯、步进电机、温度测量模块和PLC相连，用来练习PLC接线；</w:t>
      </w:r>
    </w:p>
    <w:p w14:paraId="67F8F68B">
      <w:pPr>
        <w:pStyle w:val="7"/>
        <w:numPr>
          <w:ilvl w:val="0"/>
          <w:numId w:val="58"/>
        </w:numPr>
        <w:spacing w:before="0" w:after="0" w:line="360" w:lineRule="auto"/>
        <w:ind w:left="425" w:leftChars="0" w:hanging="425" w:firstLineChars="0"/>
        <w:rPr>
          <w:rFonts w:hint="eastAsia" w:ascii="宋体" w:hAnsi="宋体" w:eastAsia="宋体" w:cs="宋体"/>
          <w:color w:val="auto"/>
          <w:sz w:val="21"/>
          <w:szCs w:val="21"/>
        </w:rPr>
      </w:pPr>
      <w:r>
        <w:rPr>
          <w:rFonts w:hint="eastAsia" w:ascii="宋体" w:hAnsi="宋体" w:eastAsia="宋体" w:cs="宋体"/>
          <w:sz w:val="21"/>
          <w:szCs w:val="21"/>
        </w:rPr>
        <w:t>系统需提供模型库包含：工业机器人、立库、车床、加工中心、导轨、传送带、传感器、安全</w:t>
      </w:r>
      <w:r>
        <w:rPr>
          <w:rFonts w:hint="eastAsia" w:ascii="宋体" w:hAnsi="宋体" w:eastAsia="宋体" w:cs="宋体"/>
          <w:color w:val="auto"/>
          <w:sz w:val="21"/>
          <w:szCs w:val="21"/>
        </w:rPr>
        <w:t>围栏、传送装置、光电传感器、控制按钮、变位机等不少于80个；</w:t>
      </w:r>
    </w:p>
    <w:p w14:paraId="3D2ADD79">
      <w:pPr>
        <w:numPr>
          <w:ilvl w:val="0"/>
          <w:numId w:val="58"/>
        </w:numPr>
        <w:spacing w:line="360" w:lineRule="auto"/>
        <w:ind w:left="425" w:leftChars="0" w:hanging="425"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u w:val="none"/>
        </w:rPr>
        <w:t>提供不少于15个不同的案例场景</w:t>
      </w:r>
      <w:r>
        <w:rPr>
          <w:rFonts w:hint="eastAsia" w:ascii="宋体" w:hAnsi="宋体" w:eastAsia="宋体" w:cs="宋体"/>
          <w:color w:val="auto"/>
          <w:sz w:val="21"/>
          <w:szCs w:val="21"/>
          <w:highlight w:val="none"/>
          <w:u w:val="none"/>
          <w:lang w:eastAsia="zh-CN"/>
        </w:rPr>
        <w:t>。</w:t>
      </w:r>
    </w:p>
    <w:p w14:paraId="190A96A5">
      <w:pPr>
        <w:pStyle w:val="7"/>
        <w:numPr>
          <w:ilvl w:val="0"/>
          <w:numId w:val="58"/>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控制器：内存不小于16G，外存不小于500G，人机界面不小于21.5英寸。</w:t>
      </w:r>
    </w:p>
    <w:p w14:paraId="46A932D6">
      <w:pPr>
        <w:pStyle w:val="7"/>
        <w:spacing w:before="0" w:after="0"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、控制柜技术要求</w:t>
      </w:r>
    </w:p>
    <w:p w14:paraId="009A1E33">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控制柜尺寸：长度不小于450mm,宽度不小于360mm，高度不小于205mm；</w:t>
      </w:r>
    </w:p>
    <w:p w14:paraId="0482C107">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触摸屏：不小于7寸，要有网络通信接口；</w:t>
      </w:r>
    </w:p>
    <w:p w14:paraId="5997FA38">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与PLC连接的按钮不少于3个，指示灯不少于3个，蜂鸣器至少一个。按钮、指示灯通孔尺寸不小于16mm；</w:t>
      </w:r>
    </w:p>
    <w:p w14:paraId="7DCE457D">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接线座：PLC的每一个输入输出端口对应一个接线座，控制柜预置3组或以上24V接线座，按钮、灯、电机、温度模块的接线端点对应各自的接线座；</w:t>
      </w:r>
    </w:p>
    <w:p w14:paraId="3890E6CE">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控制柜需要内置24v直流电源，工业交换机，交换机网口数不少于五个，装有空开保险开关，装有两个支持千兆的网口转接头以及千兆网线，一个24v供电的可编程逻辑控制器；</w:t>
      </w:r>
    </w:p>
    <w:p w14:paraId="3F65FC08">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可编程逻辑控制器参数要求：</w:t>
      </w:r>
    </w:p>
    <w:p w14:paraId="50F11CB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①　CPU上集成PROFINET接口，用于编程设备、HMI或其他控制器之间通信；</w:t>
      </w:r>
    </w:p>
    <w:p w14:paraId="67EA657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②　CPU需支持24V直流供电；</w:t>
      </w:r>
    </w:p>
    <w:p w14:paraId="363E27CC">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③　需集成数字量输出24v直流，接口数不少于10个，集成24v直流数字量输入，接口数不少于14个，集成模拟量输入0-10V，接口数不少于2个；</w:t>
      </w:r>
    </w:p>
    <w:p w14:paraId="76ADB6A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④　具有最高频率不低于100kHz的脉冲序列输出、最高频率不低于100kHz的脉宽调制输出和最高频率不低于100kHz的高速计数器；</w:t>
      </w:r>
    </w:p>
    <w:p w14:paraId="6C4D092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⑤　位运算处理时间≤0.08微秒，字运算处理时间≤72纳秒；</w:t>
      </w:r>
    </w:p>
    <w:p w14:paraId="05E1936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⑥　需集成程序存储器/数据存储器不小于50KB；</w:t>
      </w:r>
    </w:p>
    <w:p w14:paraId="4EE6F3B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⑦　设备具有实时时钟，密码保护，时间中断，硬件中断，库功能，在线/离线诊断功能；</w:t>
      </w:r>
    </w:p>
    <w:p w14:paraId="462DF43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⑧　支持TIA Portal软件编辑的程序的下载与运行。</w:t>
      </w:r>
    </w:p>
    <w:p w14:paraId="28B78D15">
      <w:pPr>
        <w:rPr>
          <w:rFonts w:hint="eastAsia" w:ascii="宋体" w:hAnsi="宋体" w:eastAsia="宋体" w:cs="宋体"/>
          <w:sz w:val="21"/>
          <w:szCs w:val="21"/>
        </w:rPr>
      </w:pPr>
    </w:p>
    <w:p w14:paraId="2A1AAEB8">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步进电机能够通过PLC控制正反转及旋转指定的圈数或角度。</w:t>
      </w:r>
    </w:p>
    <w:p w14:paraId="2410F83A">
      <w:pPr>
        <w:pStyle w:val="7"/>
        <w:numPr>
          <w:ilvl w:val="0"/>
          <w:numId w:val="59"/>
        </w:numPr>
        <w:spacing w:before="0" w:after="0"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温度模块能给PLC传电压模拟量信号。并可通过PLC控制升降温度。温度模块最高温度不能超过70度。电压信号在0-10V之间。</w:t>
      </w:r>
    </w:p>
    <w:p w14:paraId="441B751D">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、软件功能要求</w:t>
      </w:r>
    </w:p>
    <w:p w14:paraId="31522302">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需使用unity3D游戏引擎开发，3DMAX和Maya软件进行等比例建模。</w:t>
      </w:r>
    </w:p>
    <w:p w14:paraId="014096AE">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提供模型库包含：预制模型库和外部导入模型库，可以输入设备的名称进行快速查找，库中的设备模型可以拖入场景中，用户可以编辑、复制和删除外部导入模型库中的模型。预制模型库中需包含真实设备产线与教学实训台两个方向总数量不少于140个模型，需包含不少于3种型号的工业机器人、加工中心、大型立体仓库、传送装置和传感器等。</w:t>
      </w:r>
    </w:p>
    <w:p w14:paraId="64A2BA96">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系统能够与RobotStudio多个机器人系统同时建立通讯，需要能够单独给每个机器人进行编程，每个机器人可以独立工作，同时也能够多个机器人之间互相通讯联合工作。</w:t>
      </w:r>
    </w:p>
    <w:p w14:paraId="5FE8BF6E">
      <w:pPr>
        <w:numPr>
          <w:ilvl w:val="0"/>
          <w:numId w:val="60"/>
        </w:numPr>
        <w:spacing w:line="360" w:lineRule="auto"/>
        <w:ind w:left="425" w:leftChars="0" w:hanging="425" w:firstLineChars="0"/>
        <w:rPr>
          <w:rFonts w:hint="eastAsia" w:ascii="宋体" w:hAnsi="宋体" w:eastAsia="宋体" w:cs="宋体"/>
          <w:b/>
          <w:bCs/>
          <w:sz w:val="21"/>
          <w:szCs w:val="21"/>
        </w:rPr>
      </w:pPr>
      <w:r>
        <w:rPr>
          <w:rFonts w:hint="eastAsia" w:ascii="宋体" w:hAnsi="宋体" w:eastAsia="宋体" w:cs="宋体"/>
          <w:sz w:val="21"/>
          <w:szCs w:val="21"/>
        </w:rPr>
        <w:t>★系统需要有独</w:t>
      </w:r>
      <w:r>
        <w:rPr>
          <w:rFonts w:hint="eastAsia" w:ascii="宋体" w:hAnsi="宋体" w:eastAsia="宋体" w:cs="宋体"/>
          <w:color w:val="auto"/>
          <w:sz w:val="21"/>
          <w:szCs w:val="21"/>
        </w:rPr>
        <w:t>立的通讯框架，所有通讯相关的功能集成到一个界面中，能够在这个界面中完成所有通讯相关的设置，不需要调出多个界面分别设置PLC或机器人等通讯内容</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b/>
          <w:bCs/>
          <w:sz w:val="21"/>
          <w:szCs w:val="21"/>
          <w:lang w:val="en-US" w:eastAsia="zh-CN"/>
        </w:rPr>
        <w:t xml:space="preserve"> </w:t>
      </w:r>
    </w:p>
    <w:p w14:paraId="4777A50A">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需满足通讯框架实时获取系统场景中所有设备的信息，自动更新配置设备列表。</w:t>
      </w:r>
    </w:p>
    <w:p w14:paraId="3DF1CA06">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需满足机器人通讯设置流程：</w:t>
      </w:r>
    </w:p>
    <w:p w14:paraId="02C8861C">
      <w:pPr>
        <w:spacing w:line="360" w:lineRule="auto"/>
        <w:rPr>
          <w:rFonts w:hint="eastAsia" w:ascii="宋体" w:hAnsi="宋体" w:eastAsia="宋体" w:cs="宋体"/>
          <w:sz w:val="21"/>
          <w:szCs w:val="21"/>
        </w:rPr>
      </w:pPr>
      <w:r>
        <w:rPr>
          <w:rFonts w:hint="eastAsia" w:ascii="宋体" w:hAnsi="宋体" w:eastAsia="宋体" w:cs="宋体"/>
          <w:sz w:val="21"/>
          <w:szCs w:val="21"/>
        </w:rPr>
        <w:t>①　在配置设备列表选中要设置的机器人；</w:t>
      </w:r>
    </w:p>
    <w:p w14:paraId="41016AC5">
      <w:pPr>
        <w:spacing w:line="360" w:lineRule="auto"/>
        <w:rPr>
          <w:rFonts w:hint="eastAsia" w:ascii="宋体" w:hAnsi="宋体" w:eastAsia="宋体" w:cs="宋体"/>
          <w:sz w:val="21"/>
          <w:szCs w:val="21"/>
        </w:rPr>
      </w:pPr>
      <w:r>
        <w:rPr>
          <w:rFonts w:hint="eastAsia" w:ascii="宋体" w:hAnsi="宋体" w:eastAsia="宋体" w:cs="宋体"/>
          <w:sz w:val="21"/>
          <w:szCs w:val="21"/>
        </w:rPr>
        <w:t>②　选择机器人配置，点击刷新机器人控制器；</w:t>
      </w:r>
    </w:p>
    <w:p w14:paraId="43FEFB47">
      <w:pPr>
        <w:spacing w:line="360" w:lineRule="auto"/>
        <w:rPr>
          <w:rFonts w:hint="eastAsia" w:ascii="宋体" w:hAnsi="宋体" w:eastAsia="宋体" w:cs="宋体"/>
          <w:sz w:val="21"/>
          <w:szCs w:val="21"/>
        </w:rPr>
      </w:pPr>
      <w:r>
        <w:rPr>
          <w:rFonts w:hint="eastAsia" w:ascii="宋体" w:hAnsi="宋体" w:eastAsia="宋体" w:cs="宋体"/>
          <w:sz w:val="21"/>
          <w:szCs w:val="21"/>
        </w:rPr>
        <w:t>③　选中对应的机器人控制器，再点击设置按钮；</w:t>
      </w:r>
    </w:p>
    <w:p w14:paraId="6DD88941">
      <w:pPr>
        <w:spacing w:line="360" w:lineRule="auto"/>
        <w:rPr>
          <w:rFonts w:hint="eastAsia" w:ascii="宋体" w:hAnsi="宋体" w:eastAsia="宋体" w:cs="宋体"/>
          <w:sz w:val="21"/>
          <w:szCs w:val="21"/>
        </w:rPr>
      </w:pPr>
      <w:r>
        <w:rPr>
          <w:rFonts w:hint="eastAsia" w:ascii="宋体" w:hAnsi="宋体" w:eastAsia="宋体" w:cs="宋体"/>
          <w:sz w:val="21"/>
          <w:szCs w:val="21"/>
        </w:rPr>
        <w:t>④　最后在配置设备列表中点击启动按钮，启动数据服务，完成该机器人的通讯设置。</w:t>
      </w:r>
    </w:p>
    <w:p w14:paraId="3E33E705">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需满足PLC通讯设置流程：</w:t>
      </w:r>
    </w:p>
    <w:p w14:paraId="206FA7B4">
      <w:pPr>
        <w:spacing w:line="360" w:lineRule="auto"/>
        <w:rPr>
          <w:rFonts w:hint="eastAsia" w:ascii="宋体" w:hAnsi="宋体" w:eastAsia="宋体" w:cs="宋体"/>
          <w:sz w:val="21"/>
          <w:szCs w:val="21"/>
        </w:rPr>
      </w:pPr>
      <w:r>
        <w:rPr>
          <w:rFonts w:hint="eastAsia" w:ascii="宋体" w:hAnsi="宋体" w:eastAsia="宋体" w:cs="宋体"/>
          <w:sz w:val="21"/>
          <w:szCs w:val="21"/>
        </w:rPr>
        <w:t>①　在配置设备列表选中PLC；</w:t>
      </w:r>
    </w:p>
    <w:p w14:paraId="2157F589">
      <w:pPr>
        <w:spacing w:line="360" w:lineRule="auto"/>
        <w:rPr>
          <w:rFonts w:hint="eastAsia" w:ascii="宋体" w:hAnsi="宋体" w:eastAsia="宋体" w:cs="宋体"/>
          <w:sz w:val="21"/>
          <w:szCs w:val="21"/>
        </w:rPr>
      </w:pPr>
      <w:r>
        <w:rPr>
          <w:rFonts w:hint="eastAsia" w:ascii="宋体" w:hAnsi="宋体" w:eastAsia="宋体" w:cs="宋体"/>
          <w:sz w:val="21"/>
          <w:szCs w:val="21"/>
        </w:rPr>
        <w:t>②　选择PLC配置，输入PLC的IP地址和端口号（端口号不被占用即可）；</w:t>
      </w:r>
    </w:p>
    <w:p w14:paraId="307E4C21">
      <w:pPr>
        <w:spacing w:line="360" w:lineRule="auto"/>
        <w:rPr>
          <w:rFonts w:hint="eastAsia" w:ascii="宋体" w:hAnsi="宋体" w:eastAsia="宋体" w:cs="宋体"/>
          <w:sz w:val="21"/>
          <w:szCs w:val="21"/>
        </w:rPr>
      </w:pPr>
      <w:r>
        <w:rPr>
          <w:rFonts w:hint="eastAsia" w:ascii="宋体" w:hAnsi="宋体" w:eastAsia="宋体" w:cs="宋体"/>
          <w:sz w:val="21"/>
          <w:szCs w:val="21"/>
        </w:rPr>
        <w:t>③　点击设置；</w:t>
      </w:r>
    </w:p>
    <w:p w14:paraId="43032EC3">
      <w:pPr>
        <w:spacing w:line="360" w:lineRule="auto"/>
        <w:rPr>
          <w:rFonts w:hint="eastAsia" w:ascii="宋体" w:hAnsi="宋体" w:eastAsia="宋体" w:cs="宋体"/>
          <w:sz w:val="21"/>
          <w:szCs w:val="21"/>
        </w:rPr>
      </w:pPr>
      <w:r>
        <w:rPr>
          <w:rFonts w:hint="eastAsia" w:ascii="宋体" w:hAnsi="宋体" w:eastAsia="宋体" w:cs="宋体"/>
          <w:sz w:val="21"/>
          <w:szCs w:val="21"/>
        </w:rPr>
        <w:t>④　最后在配置设备列表中点击启动按钮，启动数据服务，完成PLC的通讯设置。</w:t>
      </w:r>
    </w:p>
    <w:p w14:paraId="241B207D">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需包含场景列表功能：列出场景中所有模型的名称以及对应的ID，可显示模型之间的层级关系，可通过列表选择场景中的模型。可对场景中的模型进行居中显示、复制和删除。</w:t>
      </w:r>
    </w:p>
    <w:p w14:paraId="2B692094">
      <w:pPr>
        <w:numPr>
          <w:ilvl w:val="0"/>
          <w:numId w:val="60"/>
        </w:numPr>
        <w:spacing w:line="360" w:lineRule="auto"/>
        <w:ind w:left="425" w:leftChars="0" w:hanging="425" w:firstLineChars="0"/>
        <w:rPr>
          <w:rFonts w:hint="eastAsia" w:ascii="宋体" w:hAnsi="宋体" w:eastAsia="宋体" w:cs="宋体"/>
          <w:color w:val="auto"/>
          <w:sz w:val="21"/>
          <w:szCs w:val="21"/>
        </w:rPr>
      </w:pPr>
      <w:r>
        <w:rPr>
          <w:rFonts w:hint="eastAsia" w:ascii="宋体" w:hAnsi="宋体" w:eastAsia="宋体" w:cs="宋体"/>
          <w:sz w:val="21"/>
          <w:szCs w:val="21"/>
        </w:rPr>
        <w:t>★可以随意拖拽设备库中的设备到场景中进行搭建，选中场景中的设备，同时左侧属性栏中显示该设备属性，包含所选模型的基本信息（显示/隐藏、锁定</w:t>
      </w:r>
      <w:r>
        <w:rPr>
          <w:rFonts w:hint="eastAsia" w:ascii="宋体" w:hAnsi="宋体" w:eastAsia="宋体" w:cs="宋体"/>
          <w:color w:val="auto"/>
          <w:sz w:val="21"/>
          <w:szCs w:val="21"/>
        </w:rPr>
        <w:t>、类型、描述），位置信息（XYZ位置坐标、RYRZ旋转坐标、角度回零），一些模型会有物理属性、特殊属性等内容</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p>
    <w:p w14:paraId="06C69DA6">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需包含清空场景中所有设备的功能。包含设备IO信号面板：显示所选模型的IO信号名称与对应值。输入信号为向模型传输的信号，输出信号是模型向外传输的信号。</w:t>
      </w:r>
    </w:p>
    <w:p w14:paraId="240A1632">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需支持以场景为单位进行存储，可以自定义场景名称，形成的场景文件保存在本地，保存的数据包含：场景中的设备名称、位置、角度、父子关系、锁定状态、属性可调参数、IO信号配置等。</w:t>
      </w:r>
    </w:p>
    <w:p w14:paraId="17C04147">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需包含搭建步骤撤销功能，可撤销场景中物品的移动，最多可撤销最近的10步。</w:t>
      </w:r>
    </w:p>
    <w:p w14:paraId="33BAA6B7">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需包含删除物品功能：删除当前选择的物品；锁定物品功能：锁定状态的物品无法移动；居中显示功能：以当前选择的物体为中心自动调整视角；重命名功能：重新命名物体。</w:t>
      </w:r>
    </w:p>
    <w:p w14:paraId="3D0D354E">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color w:val="auto"/>
          <w:sz w:val="21"/>
          <w:szCs w:val="21"/>
          <w:highlight w:val="none"/>
          <w:u w:val="single"/>
        </w:rPr>
        <w:t>★</w:t>
      </w:r>
      <w:r>
        <w:rPr>
          <w:rFonts w:hint="eastAsia" w:ascii="宋体" w:hAnsi="宋体" w:eastAsia="宋体" w:cs="宋体"/>
          <w:sz w:val="21"/>
          <w:szCs w:val="21"/>
        </w:rPr>
        <w:t>需可以导入外部三维模型，支持STEP、FBX等多种格式模型的导入，可以自动优化导入的模型，也可针对模型进行编辑，改变其中心原点以及坐标轴的方向、模型颜色。</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p>
    <w:p w14:paraId="197FE2BC">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需包含场景视角控制工具，鼠标点击锥形体，视角就会旋转到对应锥形体朝向，鼠标点中心的正方体切换透视与正交显示。</w:t>
      </w:r>
    </w:p>
    <w:p w14:paraId="10A533C3">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系统底部必须有状态栏，状态栏上依次显示PLC设备连接状态、通讯框架状态、当前工作状态和系统提示信息。</w:t>
      </w:r>
    </w:p>
    <w:p w14:paraId="67FF4E4E">
      <w:pPr>
        <w:numPr>
          <w:ilvl w:val="0"/>
          <w:numId w:val="60"/>
        </w:numPr>
        <w:spacing w:line="360" w:lineRule="auto"/>
        <w:ind w:left="425" w:leftChars="0" w:hanging="425" w:firstLineChars="0"/>
        <w:rPr>
          <w:rFonts w:hint="eastAsia" w:ascii="宋体" w:hAnsi="宋体" w:eastAsia="宋体" w:cs="宋体"/>
          <w:color w:val="auto"/>
          <w:sz w:val="21"/>
          <w:szCs w:val="21"/>
        </w:rPr>
      </w:pPr>
      <w:r>
        <w:rPr>
          <w:rFonts w:hint="eastAsia" w:ascii="宋体" w:hAnsi="宋体" w:eastAsia="宋体" w:cs="宋体"/>
          <w:sz w:val="21"/>
          <w:szCs w:val="21"/>
        </w:rPr>
        <w:t>★需包含多选快捷键功能（Ctr</w:t>
      </w:r>
      <w:r>
        <w:rPr>
          <w:rFonts w:hint="eastAsia" w:ascii="宋体" w:hAnsi="宋体" w:eastAsia="宋体" w:cs="宋体"/>
          <w:color w:val="auto"/>
          <w:sz w:val="21"/>
          <w:szCs w:val="21"/>
        </w:rPr>
        <w:t>l+鼠标左键/鼠标左键），鼠标左键选中一个模型，按住Ctrl同时用鼠标左键选中另一个模型，或者在屏幕空白处按住鼠标左键并拖动鼠标，画出的矩形框内的模型都会被选中。多选状态下移动模型不能撤销操作</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p>
    <w:p w14:paraId="0128CD50">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需包含模型删除快捷键功能（按键“Delete”/鼠标右键），选中要删除的模型，按 Delete 键，或者在场景列表中，在想要删除的模型名称位置鼠标右键点击，在弹出菜单中选择删除，在弹出的对话框中选择“确认”进行删除模型，旋转删除后的模型无法恢复。</w:t>
      </w:r>
    </w:p>
    <w:p w14:paraId="35874F6F">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需包含视角居中显示模型快捷键功能（按键“F”），选中模型后按下键盘上的“F”键，视角就会居中显示该模型。</w:t>
      </w:r>
    </w:p>
    <w:p w14:paraId="10708204">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需包含选中模型后按下键盘上的“V”键，鼠标移动到选中模型上想要捕捉对齐的点，按下鼠标拖动鼠标到想要对齐到的目标点。（操作对象带有重力效果会影响对其效果）</w:t>
      </w:r>
    </w:p>
    <w:p w14:paraId="014FB5E5">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需包含设备链接功能，当运行模式下，带有连接属性模型，被对应的被连接模型接触时，被连接模型变为连接模型子物体，被连接模型位置自动到所设置的连接位置，可用于开发工件装配、卡盘装夹工件等功能。</w:t>
      </w:r>
    </w:p>
    <w:p w14:paraId="725E0888">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软件能够自定义分辨率设置，可以适配不同显示环境的电脑，可以设置鼠标灵敏度，包含视角的旋转速度、平移速度和透视视角、正交视角的缩放速度。</w:t>
      </w:r>
    </w:p>
    <w:p w14:paraId="3D5FD175">
      <w:pPr>
        <w:numPr>
          <w:ilvl w:val="0"/>
          <w:numId w:val="60"/>
        </w:numPr>
        <w:spacing w:line="360" w:lineRule="auto"/>
        <w:ind w:left="425" w:leftChars="0" w:hanging="425" w:firstLineChars="0"/>
        <w:rPr>
          <w:rFonts w:hint="eastAsia" w:ascii="宋体" w:hAnsi="宋体" w:eastAsia="宋体" w:cs="宋体"/>
          <w:b/>
          <w:bCs/>
          <w:sz w:val="21"/>
          <w:szCs w:val="21"/>
        </w:rPr>
      </w:pPr>
      <w:r>
        <w:rPr>
          <w:rFonts w:hint="eastAsia" w:ascii="宋体" w:hAnsi="宋体" w:eastAsia="宋体" w:cs="宋体"/>
          <w:sz w:val="21"/>
          <w:szCs w:val="21"/>
        </w:rPr>
        <w:t>需满足设备由信号来控制，信号分为两类：内信号和外信号，内信号为复杂设备内部部件之间相互控制的条件，其不与外界直接连接。外信号直接与外界连接，如与系统通讯的PLC设备，外信号的状态由外界控制，外信号也是工业意义上的信号。信号可以控制运动属性中的动作，也可以控制力的属性值。这样就可以形成信号控制动作，动作执行结束产生反馈信号的逻辑链条，可以模拟真实设备的运行逻辑。</w:t>
      </w:r>
    </w:p>
    <w:p w14:paraId="34655816">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需要能够编辑模型的坐标原点位置和角度，能改变模型的位置中心和旋转轴。</w:t>
      </w:r>
    </w:p>
    <w:p w14:paraId="23D275E3">
      <w:pPr>
        <w:numPr>
          <w:ilvl w:val="0"/>
          <w:numId w:val="60"/>
        </w:numPr>
        <w:spacing w:line="360" w:lineRule="auto"/>
        <w:ind w:left="425" w:leftChars="0" w:hanging="425" w:firstLineChars="0"/>
        <w:rPr>
          <w:rFonts w:hint="eastAsia" w:ascii="宋体" w:hAnsi="宋体" w:eastAsia="宋体" w:cs="宋体"/>
          <w:b/>
          <w:bCs/>
          <w:color w:val="auto"/>
          <w:sz w:val="21"/>
          <w:szCs w:val="21"/>
        </w:rPr>
      </w:pPr>
      <w:bookmarkStart w:id="252" w:name="_Hlk204344020"/>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运动属性包含平移和旋转，给模型添加运动属性，并设置属性参数，包括运动的范围、运动轴、速度以及运动结束后反馈的信号状态等内容。通过运动属性的添加，就可以实现机床开关门、变位机的旋转、气缸伸缩等系列动作。能够给模型添加物理碰撞、相互作用力等，模型带有真实物体的物理属性。利用物理属性可以实现传送带、滚动导轨等装置的功能。能够给模型添加重力效果，模型带有真实物体的物理属性，当物体处于一定角度的倾斜台面时，在重力的作用下可以自动下滑。能够将多种其他属性赋给模型（如颜色变化属性，可以赋给指示灯或者带有指示灯的开关等），通过这些属性可</w:t>
      </w:r>
      <w:r>
        <w:rPr>
          <w:rFonts w:hint="eastAsia" w:ascii="宋体" w:hAnsi="宋体" w:eastAsia="宋体" w:cs="宋体"/>
          <w:color w:val="auto"/>
          <w:sz w:val="21"/>
          <w:szCs w:val="21"/>
        </w:rPr>
        <w:t>以造出不同的设备以及功能组件的特性。通过相关I/O的定义，可实现真实设备与虚拟环境中设备的状态同步</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lang w:val="en-US" w:eastAsia="zh-CN"/>
        </w:rPr>
        <w:t>该功能提供视频演示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bookmarkEnd w:id="252"/>
    </w:p>
    <w:p w14:paraId="594E00CC">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需能够使用ABB RobotStudio软件中的虚拟示教器控制软件中的虚拟机器人设备，对机器人进行示教编程操作。</w:t>
      </w:r>
    </w:p>
    <w:p w14:paraId="1166CBEE">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能够与博途软件联合仿真，能够与博途软件虚拟PLC进行连接，将内部虚拟设备的对外信号通过配置过程，一一映射到虚拟PLC的各个端口，建立虚拟信号与实际信号的关联，虚拟PLC就可以驱动平台内的虚拟设备。</w:t>
      </w:r>
    </w:p>
    <w:p w14:paraId="61A4B77E">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需提供虚拟视觉相机设备，该相机可以在系统中进行拍照，将所拍摄图片保存到本地固定路径，视觉软件可以获取该图片进行分析，并将信息传递给机器人或PLC。</w:t>
      </w:r>
    </w:p>
    <w:p w14:paraId="10338F1E">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能够支持多种设备的复杂产线的设计、PLC编程、机器人编程和整体仿真运行。</w:t>
      </w:r>
    </w:p>
    <w:p w14:paraId="32B37285">
      <w:pPr>
        <w:numPr>
          <w:ilvl w:val="0"/>
          <w:numId w:val="60"/>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需支持工业机器人关节装配实训：</w:t>
      </w:r>
    </w:p>
    <w:p w14:paraId="0E0FF903">
      <w:pPr>
        <w:spacing w:line="360" w:lineRule="auto"/>
        <w:rPr>
          <w:rFonts w:hint="eastAsia" w:ascii="宋体" w:hAnsi="宋体" w:eastAsia="宋体" w:cs="宋体"/>
          <w:sz w:val="21"/>
          <w:szCs w:val="21"/>
        </w:rPr>
      </w:pPr>
      <w:r>
        <w:rPr>
          <w:rFonts w:hint="eastAsia" w:ascii="宋体" w:hAnsi="宋体" w:eastAsia="宋体" w:cs="宋体"/>
          <w:sz w:val="21"/>
          <w:szCs w:val="21"/>
        </w:rPr>
        <w:t>①　场景设计，鼠标左键将库中的设备模型拖拽到场景中，并通过移动和旋转工具调整位置和角度。在场景列表中选中第一个光电传感器，并在属性面板上将名称改为“传送带启动传感器”，之后点击确认修改按钮。通过同样的方法将第二个传感器修改为“传送带停止传感器”。</w:t>
      </w:r>
    </w:p>
    <w:p w14:paraId="1AEC2EE7">
      <w:pPr>
        <w:spacing w:line="360" w:lineRule="auto"/>
        <w:rPr>
          <w:rFonts w:hint="eastAsia" w:ascii="宋体" w:hAnsi="宋体" w:eastAsia="宋体" w:cs="宋体"/>
          <w:sz w:val="21"/>
          <w:szCs w:val="21"/>
        </w:rPr>
      </w:pPr>
      <w:r>
        <w:rPr>
          <w:rFonts w:hint="eastAsia" w:ascii="宋体" w:hAnsi="宋体" w:eastAsia="宋体" w:cs="宋体"/>
          <w:sz w:val="21"/>
          <w:szCs w:val="21"/>
        </w:rPr>
        <w:t>②　设置连接属性，首先选中关节电机，将重力取消勾选，触发器勾选，这样确保调整位置的时候关节电机能方便的移动到关节基座的内部。若不这样操作两个物体会产生物理碰撞效果，会难以确定位置。按住Ctrl按键选中关节基座和关节电机，点击模型选项卡下的链接按钮，进入链接设置模式。先选中关节基座，点击指定父级按钮，关节基座设置为父级。调整关节电机的位置（当触发链接功能时，该模型成为父级模型的子级，位置变为当前设置的位置。）点击应用链接按钮，设置完成，点击关闭按钮退出。</w:t>
      </w:r>
    </w:p>
    <w:p w14:paraId="730B23C0">
      <w:pPr>
        <w:spacing w:line="360" w:lineRule="auto"/>
        <w:rPr>
          <w:rFonts w:hint="eastAsia" w:ascii="宋体" w:hAnsi="宋体" w:eastAsia="宋体" w:cs="宋体"/>
          <w:sz w:val="21"/>
          <w:szCs w:val="21"/>
        </w:rPr>
      </w:pPr>
      <w:r>
        <w:rPr>
          <w:rFonts w:hint="eastAsia" w:ascii="宋体" w:hAnsi="宋体" w:eastAsia="宋体" w:cs="宋体"/>
          <w:sz w:val="21"/>
          <w:szCs w:val="21"/>
        </w:rPr>
        <w:t>③　设备调试，手动调试传送带，在IO选项卡中打开IO信号映射列表，将皮带传送模块的启动信号设置为True，将皮带传送模块的停止信号设置为False，之后点击应用按钮。同时将关机电机模型的重力勾选，触发器取消勾选，用关机电机模型验证皮带传送模块。最后在仿真选项卡中点击运行按钮。关节电机会在传送皮带上运动，直到碰触皮带末端的限位。运行之前查看两个传感器的信号输入，传送带启动传感器为True，传送带停止传感器为False。运行之后关节电机脱离传送带启动传感器，当关节电机移动到皮带末端时，触发传送带停止传感器，这时前查看两个传感器的信号输入，传送带启动传感器为False，传送带停止传感器为True。</w:t>
      </w:r>
    </w:p>
    <w:p w14:paraId="32D1FBDE">
      <w:pPr>
        <w:spacing w:line="360" w:lineRule="auto"/>
        <w:rPr>
          <w:rFonts w:hint="eastAsia" w:ascii="宋体" w:hAnsi="宋体" w:eastAsia="宋体" w:cs="宋体"/>
          <w:sz w:val="21"/>
          <w:szCs w:val="21"/>
        </w:rPr>
      </w:pPr>
      <w:r>
        <w:rPr>
          <w:rFonts w:hint="eastAsia" w:ascii="宋体" w:hAnsi="宋体" w:eastAsia="宋体" w:cs="宋体"/>
          <w:sz w:val="21"/>
          <w:szCs w:val="21"/>
        </w:rPr>
        <w:t>④　配置IO映射表，打开RobotStudio软件，在RobotStudio中建立信号。</w:t>
      </w:r>
    </w:p>
    <w:p w14:paraId="1358C55B">
      <w:pPr>
        <w:spacing w:line="360" w:lineRule="auto"/>
        <w:rPr>
          <w:rFonts w:hint="eastAsia" w:ascii="宋体" w:hAnsi="宋体" w:eastAsia="宋体" w:cs="宋体"/>
          <w:sz w:val="21"/>
          <w:szCs w:val="21"/>
        </w:rPr>
      </w:pPr>
      <w:r>
        <w:rPr>
          <w:rFonts w:hint="eastAsia" w:ascii="宋体" w:hAnsi="宋体" w:eastAsia="宋体" w:cs="宋体"/>
          <w:sz w:val="21"/>
          <w:szCs w:val="21"/>
        </w:rPr>
        <w:t>⑤　连接PLC与RobotStudio，在IO选项卡中打开设备通面板，选择PLC型号，填写PLC的IP地址，点击连接按钮，显示连接成功即可。在机器人仿真选项卡中点击连接RobotStudio，弹出连接窗口，首先确保RobotStudio中控制器启动成功，点击刷新机器人控制器按钮，在显示的控制器上双击进行登录，弹出已登录字样。之后点击连接按钮，显示连接成功即可。点击机器人仿真选项卡中的建立连接，若成功连接，机器人会与RobotStudio中的机器人同步动作。</w:t>
      </w:r>
    </w:p>
    <w:p w14:paraId="6FB68FC3">
      <w:pPr>
        <w:spacing w:line="360" w:lineRule="auto"/>
        <w:rPr>
          <w:rFonts w:hint="eastAsia" w:ascii="宋体" w:hAnsi="宋体" w:eastAsia="宋体" w:cs="宋体"/>
          <w:sz w:val="21"/>
          <w:szCs w:val="21"/>
        </w:rPr>
      </w:pPr>
      <w:r>
        <w:rPr>
          <w:rFonts w:hint="eastAsia" w:ascii="宋体" w:hAnsi="宋体" w:eastAsia="宋体" w:cs="宋体"/>
          <w:sz w:val="21"/>
          <w:szCs w:val="21"/>
        </w:rPr>
        <w:t>⑥　RobotStudio与PLC编程，在场景列表中右键点击抓手，在弹出菜单中选择“到机器人末端”，在弹窗中选择机器人后点击确认。抓手就会自动瞬移到机器人末端。RobotStudio编程逻辑：机器人快换装置紧固抓手；等关节电机运动到皮带末端后，机器人去抓取关节电机；将关节电机抓取到关节基座上方；松开关节电机，让关节电机装配到关节基座中。PLC编程逻辑：传送带由两个信号控制启停，启动信号为True同时停止信号为False时传送带启动，启动信号为False同时停止信号为True时传送带停止，启动信号和停止信号相同时为无效信号。</w:t>
      </w:r>
    </w:p>
    <w:p w14:paraId="2B587998">
      <w:pPr>
        <w:numPr>
          <w:ilvl w:val="0"/>
          <w:numId w:val="60"/>
        </w:numPr>
        <w:spacing w:line="360" w:lineRule="auto"/>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rPr>
        <w:t>需支持工业机器人纸箱分拣实训：</w:t>
      </w:r>
    </w:p>
    <w:p w14:paraId="166B37C8">
      <w:pPr>
        <w:spacing w:line="360" w:lineRule="auto"/>
        <w:rPr>
          <w:rFonts w:hint="eastAsia" w:ascii="宋体" w:hAnsi="宋体" w:eastAsia="宋体" w:cs="宋体"/>
          <w:sz w:val="21"/>
          <w:szCs w:val="21"/>
        </w:rPr>
      </w:pPr>
      <w:r>
        <w:rPr>
          <w:rFonts w:hint="eastAsia" w:ascii="宋体" w:hAnsi="宋体" w:eastAsia="宋体" w:cs="宋体"/>
          <w:sz w:val="21"/>
          <w:szCs w:val="21"/>
        </w:rPr>
        <w:t>①　点击文件选项卡中新建按钮，之后点击保存按钮，在弹窗中选择刚刚创建的文件夹，输入工程名称“机器人分拣实训”，点击Save按钮完成项目保存。</w:t>
      </w:r>
    </w:p>
    <w:p w14:paraId="50AE995D">
      <w:pPr>
        <w:spacing w:line="360" w:lineRule="auto"/>
        <w:rPr>
          <w:rFonts w:hint="eastAsia" w:ascii="宋体" w:hAnsi="宋体" w:eastAsia="宋体" w:cs="宋体"/>
          <w:sz w:val="21"/>
          <w:szCs w:val="21"/>
        </w:rPr>
      </w:pPr>
      <w:r>
        <w:rPr>
          <w:rFonts w:hint="eastAsia" w:ascii="宋体" w:hAnsi="宋体" w:eastAsia="宋体" w:cs="宋体"/>
          <w:sz w:val="21"/>
          <w:szCs w:val="21"/>
        </w:rPr>
        <w:t>②　鼠标左键将库中的设备模型拖拽到场景中，并通过移动和旋转工具调整位置和角度，搭建机器人纸箱分拣场景。</w:t>
      </w:r>
    </w:p>
    <w:p w14:paraId="0CE4CAEF">
      <w:pPr>
        <w:spacing w:line="360" w:lineRule="auto"/>
        <w:rPr>
          <w:rFonts w:hint="eastAsia" w:ascii="宋体" w:hAnsi="宋体" w:eastAsia="宋体" w:cs="宋体"/>
          <w:sz w:val="21"/>
          <w:szCs w:val="21"/>
        </w:rPr>
      </w:pPr>
      <w:r>
        <w:rPr>
          <w:rFonts w:hint="eastAsia" w:ascii="宋体" w:hAnsi="宋体" w:eastAsia="宋体" w:cs="宋体"/>
          <w:sz w:val="21"/>
          <w:szCs w:val="21"/>
        </w:rPr>
        <w:t>③　在IO选项卡中打开设备通面板，选择PLC，填写PLC的IP地址，点击设置按钮，再点击启动按钮，显示连接成功。点击对应的机器人，选择机器人设置，首先确保RobotStudio中控制器启动成功，点击刷新机器人控制器按钮，在显示的控制器列表中选择，点击设置按钮。之后点击启动按钮，显示连接成功。</w:t>
      </w:r>
    </w:p>
    <w:p w14:paraId="5626B4C8">
      <w:pPr>
        <w:spacing w:line="360" w:lineRule="auto"/>
        <w:rPr>
          <w:rFonts w:hint="eastAsia" w:ascii="宋体" w:hAnsi="宋体" w:eastAsia="宋体" w:cs="宋体"/>
          <w:sz w:val="21"/>
          <w:szCs w:val="21"/>
        </w:rPr>
      </w:pPr>
      <w:r>
        <w:rPr>
          <w:rFonts w:hint="eastAsia" w:ascii="宋体" w:hAnsi="宋体" w:eastAsia="宋体" w:cs="宋体"/>
          <w:sz w:val="21"/>
          <w:szCs w:val="21"/>
        </w:rPr>
        <w:t>④　在场景列表中右键点击”吸盘手爪_e型_1”，在弹出菜单中选择“装配到机器人”，在弹窗中选择机器人”ABBIRB2600 1”后点击确认。在场景列表中右键点击”吸盘手爪_e型_2”，在弹出菜单中选择“装配到机器人”，在弹窗中选择机器人”ABBIRB2600 2”后点击确认。</w:t>
      </w:r>
    </w:p>
    <w:p w14:paraId="755A9F75">
      <w:pPr>
        <w:spacing w:line="360" w:lineRule="auto"/>
        <w:rPr>
          <w:rFonts w:hint="eastAsia" w:ascii="宋体" w:hAnsi="宋体" w:eastAsia="宋体" w:cs="宋体"/>
          <w:sz w:val="21"/>
          <w:szCs w:val="21"/>
        </w:rPr>
      </w:pPr>
      <w:r>
        <w:rPr>
          <w:rFonts w:hint="eastAsia" w:ascii="宋体" w:hAnsi="宋体" w:eastAsia="宋体" w:cs="宋体"/>
          <w:sz w:val="21"/>
          <w:szCs w:val="21"/>
        </w:rPr>
        <w:t>⑤　RobotStudio编程实现当机器人di1=1时机器人执行抓取作业。</w:t>
      </w:r>
    </w:p>
    <w:p w14:paraId="13176646">
      <w:pPr>
        <w:widowControl/>
        <w:spacing w:line="360" w:lineRule="auto"/>
        <w:rPr>
          <w:rFonts w:hint="eastAsia" w:ascii="宋体" w:hAnsi="宋体" w:eastAsia="宋体" w:cs="宋体"/>
          <w:sz w:val="21"/>
          <w:szCs w:val="21"/>
        </w:rPr>
      </w:pPr>
      <w:r>
        <w:rPr>
          <w:rFonts w:hint="eastAsia" w:ascii="宋体" w:hAnsi="宋体" w:eastAsia="宋体" w:cs="宋体"/>
          <w:sz w:val="21"/>
          <w:szCs w:val="21"/>
        </w:rPr>
        <w:t>⑥　PLC编程实现当传按下启动按钮，滚动导轨运行、传送带运行、自动出料运行；当传高传感器、低传感器和按下系统停止按钮，传送带停止；当按下系统停止按钮，滚动导轨停止、自动出料停止；当低传感器触发，机器人2运行（该信号应与RobotStudio中对应机器人系统的di1信号一致）；当高传感器触发，机器人1运行（该信号应与RobotStudio中对应机器人系统的di1信号一致）。</w:t>
      </w:r>
    </w:p>
    <w:p w14:paraId="590F1765">
      <w:pPr>
        <w:numPr>
          <w:ilvl w:val="0"/>
          <w:numId w:val="60"/>
        </w:numPr>
        <w:spacing w:line="360" w:lineRule="auto"/>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自动搬运线的设计与控制</w:t>
      </w:r>
    </w:p>
    <w:p w14:paraId="263C14B8">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项目包含产线模型、触摸屏程序、PLC程序及说明和设计说明文档。</w:t>
      </w:r>
    </w:p>
    <w:p w14:paraId="18E608D6">
      <w:pPr>
        <w:pStyle w:val="7"/>
        <w:numPr>
          <w:ilvl w:val="0"/>
          <w:numId w:val="61"/>
        </w:numPr>
        <w:spacing w:before="0" w:after="0" w:line="360" w:lineRule="auto"/>
        <w:ind w:left="0" w:leftChars="0" w:firstLine="40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产线至少包含以下元素：</w:t>
      </w:r>
    </w:p>
    <w:tbl>
      <w:tblPr>
        <w:tblStyle w:val="26"/>
        <w:tblW w:w="47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5544"/>
        <w:gridCol w:w="1834"/>
      </w:tblGrid>
      <w:tr w14:paraId="1786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vAlign w:val="center"/>
          </w:tcPr>
          <w:p w14:paraId="1EBF70FB">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4607" w:type="dxa"/>
            <w:vAlign w:val="center"/>
          </w:tcPr>
          <w:p w14:paraId="24E38821">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524" w:type="dxa"/>
            <w:vAlign w:val="center"/>
          </w:tcPr>
          <w:p w14:paraId="2101FD36">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数量</w:t>
            </w:r>
          </w:p>
        </w:tc>
      </w:tr>
      <w:tr w14:paraId="3119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vAlign w:val="center"/>
          </w:tcPr>
          <w:p w14:paraId="1D1AE20F">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4607" w:type="dxa"/>
            <w:shd w:val="clear" w:color="auto" w:fill="auto"/>
            <w:vAlign w:val="center"/>
          </w:tcPr>
          <w:p w14:paraId="1CD13CBB">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ABBIRB2600</w:t>
            </w:r>
          </w:p>
        </w:tc>
        <w:tc>
          <w:tcPr>
            <w:tcW w:w="1524" w:type="dxa"/>
            <w:shd w:val="clear" w:color="auto" w:fill="auto"/>
            <w:vAlign w:val="center"/>
          </w:tcPr>
          <w:p w14:paraId="1BFB2AC9">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2件</w:t>
            </w:r>
          </w:p>
        </w:tc>
      </w:tr>
      <w:tr w14:paraId="77ED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1CC8A01D">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607" w:type="dxa"/>
            <w:shd w:val="clear" w:color="auto" w:fill="auto"/>
            <w:vAlign w:val="center"/>
          </w:tcPr>
          <w:p w14:paraId="5DC8FCC1">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皮带传送机（6M）</w:t>
            </w:r>
          </w:p>
        </w:tc>
        <w:tc>
          <w:tcPr>
            <w:tcW w:w="1524" w:type="dxa"/>
            <w:shd w:val="clear" w:color="auto" w:fill="auto"/>
            <w:vAlign w:val="center"/>
          </w:tcPr>
          <w:p w14:paraId="7D5CC091">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0729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3541C37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607" w:type="dxa"/>
            <w:shd w:val="clear" w:color="auto" w:fill="auto"/>
            <w:vAlign w:val="center"/>
          </w:tcPr>
          <w:p w14:paraId="1913057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装载输送机</w:t>
            </w:r>
          </w:p>
        </w:tc>
        <w:tc>
          <w:tcPr>
            <w:tcW w:w="1524" w:type="dxa"/>
            <w:shd w:val="clear" w:color="auto" w:fill="auto"/>
            <w:vAlign w:val="center"/>
          </w:tcPr>
          <w:p w14:paraId="330180A4">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34AA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6B69EB80">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607" w:type="dxa"/>
            <w:shd w:val="clear" w:color="auto" w:fill="auto"/>
            <w:vAlign w:val="center"/>
          </w:tcPr>
          <w:p w14:paraId="32591A56">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立库系统</w:t>
            </w:r>
          </w:p>
        </w:tc>
        <w:tc>
          <w:tcPr>
            <w:tcW w:w="1524" w:type="dxa"/>
            <w:shd w:val="clear" w:color="auto" w:fill="auto"/>
            <w:vAlign w:val="center"/>
          </w:tcPr>
          <w:p w14:paraId="0A7B23C7">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1件</w:t>
            </w:r>
          </w:p>
        </w:tc>
      </w:tr>
      <w:tr w14:paraId="4C09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26DCE9B0">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607" w:type="dxa"/>
            <w:shd w:val="clear" w:color="auto" w:fill="auto"/>
            <w:vAlign w:val="center"/>
          </w:tcPr>
          <w:p w14:paraId="0443041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滚动式导轨短</w:t>
            </w:r>
          </w:p>
        </w:tc>
        <w:tc>
          <w:tcPr>
            <w:tcW w:w="1524" w:type="dxa"/>
            <w:shd w:val="clear" w:color="auto" w:fill="auto"/>
            <w:vAlign w:val="center"/>
          </w:tcPr>
          <w:p w14:paraId="3390D80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4C2C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4D18CA38">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4607" w:type="dxa"/>
            <w:shd w:val="clear" w:color="auto" w:fill="auto"/>
            <w:vAlign w:val="center"/>
          </w:tcPr>
          <w:p w14:paraId="3328A600">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滚动式导轨长</w:t>
            </w:r>
          </w:p>
        </w:tc>
        <w:tc>
          <w:tcPr>
            <w:tcW w:w="1524" w:type="dxa"/>
            <w:shd w:val="clear" w:color="auto" w:fill="auto"/>
            <w:vAlign w:val="center"/>
          </w:tcPr>
          <w:p w14:paraId="7DB346CB">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4B27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7669A347">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4607" w:type="dxa"/>
            <w:shd w:val="clear" w:color="auto" w:fill="auto"/>
            <w:vAlign w:val="center"/>
          </w:tcPr>
          <w:p w14:paraId="35A20324">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漫反射光电传感器</w:t>
            </w:r>
          </w:p>
        </w:tc>
        <w:tc>
          <w:tcPr>
            <w:tcW w:w="1524" w:type="dxa"/>
            <w:shd w:val="clear" w:color="auto" w:fill="auto"/>
            <w:vAlign w:val="center"/>
          </w:tcPr>
          <w:p w14:paraId="1D4B7088">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4件</w:t>
            </w:r>
          </w:p>
        </w:tc>
      </w:tr>
      <w:tr w14:paraId="260B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36559DB7">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4607" w:type="dxa"/>
            <w:shd w:val="clear" w:color="auto" w:fill="auto"/>
            <w:vAlign w:val="center"/>
          </w:tcPr>
          <w:p w14:paraId="51E69054">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自动出料</w:t>
            </w:r>
          </w:p>
        </w:tc>
        <w:tc>
          <w:tcPr>
            <w:tcW w:w="1524" w:type="dxa"/>
            <w:shd w:val="clear" w:color="auto" w:fill="auto"/>
            <w:vAlign w:val="center"/>
          </w:tcPr>
          <w:p w14:paraId="36E5E11C">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2件</w:t>
            </w:r>
          </w:p>
        </w:tc>
      </w:tr>
      <w:tr w14:paraId="421B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5EA05ABA">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4607" w:type="dxa"/>
            <w:shd w:val="clear" w:color="auto" w:fill="auto"/>
            <w:vAlign w:val="center"/>
          </w:tcPr>
          <w:p w14:paraId="3DB06F82">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TW" w:eastAsia="zh-TW"/>
              </w:rPr>
            </w:pPr>
            <w:r>
              <w:rPr>
                <w:rFonts w:hint="eastAsia" w:ascii="宋体" w:hAnsi="宋体" w:eastAsia="宋体" w:cs="宋体"/>
                <w:sz w:val="21"/>
                <w:szCs w:val="21"/>
                <w:lang w:val="en-US" w:eastAsia="zh-CN"/>
              </w:rPr>
              <w:t>弧焊焊枪</w:t>
            </w:r>
          </w:p>
        </w:tc>
        <w:tc>
          <w:tcPr>
            <w:tcW w:w="1524" w:type="dxa"/>
            <w:shd w:val="clear" w:color="auto" w:fill="auto"/>
            <w:vAlign w:val="center"/>
          </w:tcPr>
          <w:p w14:paraId="5BF1EAA1">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587A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295C1F08">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4607" w:type="dxa"/>
            <w:shd w:val="clear" w:color="auto" w:fill="auto"/>
            <w:vAlign w:val="center"/>
          </w:tcPr>
          <w:p w14:paraId="1E99A5EC">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升降挡板</w:t>
            </w:r>
          </w:p>
        </w:tc>
        <w:tc>
          <w:tcPr>
            <w:tcW w:w="1524" w:type="dxa"/>
            <w:shd w:val="clear" w:color="auto" w:fill="auto"/>
            <w:vAlign w:val="center"/>
          </w:tcPr>
          <w:p w14:paraId="2F5A91C7">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1件</w:t>
            </w:r>
          </w:p>
        </w:tc>
      </w:tr>
      <w:tr w14:paraId="0022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7EEF92F9">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4607" w:type="dxa"/>
            <w:shd w:val="clear" w:color="auto" w:fill="auto"/>
            <w:vAlign w:val="center"/>
          </w:tcPr>
          <w:p w14:paraId="4F987DF3">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PLC装置</w:t>
            </w:r>
          </w:p>
        </w:tc>
        <w:tc>
          <w:tcPr>
            <w:tcW w:w="1524" w:type="dxa"/>
            <w:shd w:val="clear" w:color="auto" w:fill="auto"/>
            <w:vAlign w:val="center"/>
          </w:tcPr>
          <w:p w14:paraId="55E87152">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1件</w:t>
            </w:r>
          </w:p>
        </w:tc>
      </w:tr>
      <w:tr w14:paraId="6369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244C1E19">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4607" w:type="dxa"/>
            <w:shd w:val="clear" w:color="auto" w:fill="auto"/>
            <w:vAlign w:val="center"/>
          </w:tcPr>
          <w:p w14:paraId="10EA950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ABB 控制柜</w:t>
            </w:r>
          </w:p>
        </w:tc>
        <w:tc>
          <w:tcPr>
            <w:tcW w:w="1524" w:type="dxa"/>
            <w:shd w:val="clear" w:color="auto" w:fill="auto"/>
            <w:vAlign w:val="center"/>
          </w:tcPr>
          <w:p w14:paraId="7C41A55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2件</w:t>
            </w:r>
          </w:p>
        </w:tc>
      </w:tr>
      <w:tr w14:paraId="5D97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22FE7E2D">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4607" w:type="dxa"/>
            <w:shd w:val="clear" w:color="auto" w:fill="auto"/>
            <w:vAlign w:val="center"/>
          </w:tcPr>
          <w:p w14:paraId="0DAE29D8">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平行手爪</w:t>
            </w:r>
          </w:p>
        </w:tc>
        <w:tc>
          <w:tcPr>
            <w:tcW w:w="1524" w:type="dxa"/>
            <w:shd w:val="clear" w:color="auto" w:fill="auto"/>
            <w:vAlign w:val="center"/>
          </w:tcPr>
          <w:p w14:paraId="5AF0CCFA">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3FD5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795AEFFE">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4607" w:type="dxa"/>
            <w:shd w:val="clear" w:color="auto" w:fill="auto"/>
            <w:vAlign w:val="center"/>
          </w:tcPr>
          <w:p w14:paraId="163A0604">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AGV小车</w:t>
            </w:r>
          </w:p>
        </w:tc>
        <w:tc>
          <w:tcPr>
            <w:tcW w:w="1524" w:type="dxa"/>
            <w:shd w:val="clear" w:color="auto" w:fill="auto"/>
            <w:vAlign w:val="center"/>
          </w:tcPr>
          <w:p w14:paraId="71D9D6F8">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1件</w:t>
            </w:r>
          </w:p>
        </w:tc>
      </w:tr>
      <w:tr w14:paraId="16D0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1C793E6F">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4607" w:type="dxa"/>
            <w:shd w:val="clear" w:color="auto" w:fill="auto"/>
            <w:vAlign w:val="center"/>
          </w:tcPr>
          <w:p w14:paraId="5937C73F">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电控箱大</w:t>
            </w:r>
          </w:p>
        </w:tc>
        <w:tc>
          <w:tcPr>
            <w:tcW w:w="1524" w:type="dxa"/>
            <w:shd w:val="clear" w:color="auto" w:fill="auto"/>
            <w:vAlign w:val="center"/>
          </w:tcPr>
          <w:p w14:paraId="4AD4EA1A">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1件</w:t>
            </w:r>
          </w:p>
        </w:tc>
      </w:tr>
      <w:tr w14:paraId="74E2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7C63FD37">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4607" w:type="dxa"/>
            <w:shd w:val="clear" w:color="auto" w:fill="auto"/>
            <w:vAlign w:val="center"/>
          </w:tcPr>
          <w:p w14:paraId="0103D559">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对准器</w:t>
            </w:r>
          </w:p>
        </w:tc>
        <w:tc>
          <w:tcPr>
            <w:tcW w:w="1524" w:type="dxa"/>
            <w:shd w:val="clear" w:color="auto" w:fill="auto"/>
            <w:vAlign w:val="center"/>
          </w:tcPr>
          <w:p w14:paraId="15C67721">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1件</w:t>
            </w:r>
          </w:p>
        </w:tc>
      </w:tr>
      <w:tr w14:paraId="6B77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022064D5">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4607" w:type="dxa"/>
            <w:shd w:val="clear" w:color="auto" w:fill="auto"/>
            <w:vAlign w:val="center"/>
          </w:tcPr>
          <w:p w14:paraId="65ECA234">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角铁</w:t>
            </w:r>
          </w:p>
        </w:tc>
        <w:tc>
          <w:tcPr>
            <w:tcW w:w="1524" w:type="dxa"/>
            <w:shd w:val="clear" w:color="auto" w:fill="auto"/>
            <w:vAlign w:val="center"/>
          </w:tcPr>
          <w:p w14:paraId="6A2099EF">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2件</w:t>
            </w:r>
          </w:p>
        </w:tc>
      </w:tr>
      <w:tr w14:paraId="7510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72356552">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4607" w:type="dxa"/>
            <w:shd w:val="clear" w:color="auto" w:fill="auto"/>
            <w:vAlign w:val="center"/>
          </w:tcPr>
          <w:p w14:paraId="7B795DCB">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基座</w:t>
            </w:r>
          </w:p>
        </w:tc>
        <w:tc>
          <w:tcPr>
            <w:tcW w:w="1524" w:type="dxa"/>
            <w:shd w:val="clear" w:color="auto" w:fill="auto"/>
            <w:vAlign w:val="center"/>
          </w:tcPr>
          <w:p w14:paraId="1F9B3544">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2件</w:t>
            </w:r>
          </w:p>
        </w:tc>
      </w:tr>
      <w:tr w14:paraId="6D25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76" w:type="dxa"/>
            <w:shd w:val="clear" w:color="auto" w:fill="auto"/>
            <w:vAlign w:val="center"/>
          </w:tcPr>
          <w:p w14:paraId="113CFA68">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4607" w:type="dxa"/>
            <w:shd w:val="clear" w:color="auto" w:fill="auto"/>
            <w:vAlign w:val="center"/>
          </w:tcPr>
          <w:p w14:paraId="48C704CD">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栅栏</w:t>
            </w:r>
          </w:p>
        </w:tc>
        <w:tc>
          <w:tcPr>
            <w:tcW w:w="1524" w:type="dxa"/>
            <w:shd w:val="clear" w:color="auto" w:fill="auto"/>
            <w:vAlign w:val="center"/>
          </w:tcPr>
          <w:p w14:paraId="220CF9C5">
            <w:pPr>
              <w:pStyle w:val="7"/>
              <w:keepNext w:val="0"/>
              <w:keepLines w:val="0"/>
              <w:widowControl w:val="0"/>
              <w:suppressLineNumbers w:val="0"/>
              <w:spacing w:before="0" w:beforeAutospacing="0" w:after="0" w:afterAutospacing="0" w:line="360" w:lineRule="auto"/>
              <w:ind w:left="0" w:right="0"/>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若干</w:t>
            </w:r>
          </w:p>
        </w:tc>
      </w:tr>
    </w:tbl>
    <w:p w14:paraId="182F3175">
      <w:pPr>
        <w:pStyle w:val="7"/>
        <w:numPr>
          <w:ilvl w:val="0"/>
          <w:numId w:val="61"/>
        </w:numPr>
        <w:spacing w:before="0" w:after="0" w:line="360" w:lineRule="auto"/>
        <w:ind w:left="0" w:leftChars="0" w:firstLine="40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项目功能包含：</w:t>
      </w:r>
    </w:p>
    <w:p w14:paraId="55EE8834">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1）可在设备触摸屏上设置好入库库位。 </w:t>
      </w:r>
    </w:p>
    <w:p w14:paraId="0C82BB31">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2）按下触摸屏上的产线启动按钮，产线开始运行，产线运行指示灯点亮，产线运行时间开始计时。</w:t>
      </w:r>
    </w:p>
    <w:p w14:paraId="3C577F4B">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3）控制自动出料1产出木托盘，滚动式导轨输送木托盘到升降挡板位置停止，</w:t>
      </w:r>
    </w:p>
    <w:p w14:paraId="790CBACB">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4）控制自动出料2产出焊接零件，皮带传送机输送焊接零件到焊接位置传感器后停止，当焊接传感器触发后，焊接机器人开始执行焊接程序。</w:t>
      </w:r>
    </w:p>
    <w:p w14:paraId="6E6831C9">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5）焊接完成后，触摸屏焊接成品数量增加1个，皮带传送机将焊接成品输送至对准器位置，当搬运传感器触发后，搬运机器人开始执行搬运程序。</w:t>
      </w:r>
    </w:p>
    <w:p w14:paraId="75F50447">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6）2个焊接成品为一组，每组焊接成品搬运完成后，升降挡板下降，滚动式导轨启动，等待每组成品经过后升降挡板上升，将成品输送至AGV小车上。</w:t>
      </w:r>
    </w:p>
    <w:p w14:paraId="7D8FCEA4">
      <w:pPr>
        <w:pStyle w:val="7"/>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7）每组成品由AGV小车运送到装载输送机上，当入库传感器触发后，立库系统执行前入库动作，完成成品入库。</w:t>
      </w:r>
    </w:p>
    <w:p w14:paraId="51E190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8）产线运行过程中，按下触摸屏上的产线停止按钮后，产线停止立即运行，机器人立即停止。</w:t>
      </w:r>
    </w:p>
    <w:p w14:paraId="56761D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以上功能须在签订合同前向采购人提供现场演示。</w:t>
      </w:r>
    </w:p>
    <w:p w14:paraId="24DB33F9">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1"/>
          <w:szCs w:val="21"/>
          <w:lang w:val="en-US" w:eastAsia="zh-CN"/>
        </w:rPr>
      </w:pPr>
    </w:p>
    <w:p w14:paraId="1C3F7556">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  工业机器人虚拟拆装系统</w:t>
      </w:r>
    </w:p>
    <w:p w14:paraId="183699A9">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1.三维模型比例、数量、造型、搭接关系与真实机器人一致，且建设贴图高模，满足实际工业机器人拆装工艺，利用专业工具，分步骤解决拆装问题。</w:t>
      </w:r>
    </w:p>
    <w:p w14:paraId="71AD2B3A">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★2.提供底座部分（不少于30个零件）、上下臂部分（不少于45个零件）、手腕部分（不少于43个零件）、控制柜部分（不少于18个零件</w:t>
      </w:r>
      <w:r>
        <w:rPr>
          <w:rFonts w:hint="eastAsia" w:ascii="宋体" w:hAnsi="宋体" w:eastAsia="宋体" w:cs="宋体"/>
          <w:color w:val="auto"/>
          <w:sz w:val="21"/>
          <w:szCs w:val="21"/>
        </w:rPr>
        <w:t>）零件清单以及每个零件所对应的内六角螺栓的型号与数量</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r>
        <w:rPr>
          <w:rFonts w:hint="eastAsia" w:ascii="宋体" w:hAnsi="宋体" w:eastAsia="宋体" w:cs="宋体"/>
          <w:b/>
          <w:bCs/>
          <w:sz w:val="21"/>
          <w:szCs w:val="21"/>
          <w:lang w:val="en-US" w:eastAsia="zh-CN"/>
        </w:rPr>
        <w:t>。</w:t>
      </w:r>
    </w:p>
    <w:p w14:paraId="7EDD8991">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3.包括工业机器人底座、下臂组件、上下臂组件连接部分、上臂、手腕、工业机器人整体和工业机器人控制柜的拆装7个单元内容；</w:t>
      </w:r>
    </w:p>
    <w:p w14:paraId="24CA9D44">
      <w:pPr>
        <w:spacing w:line="360" w:lineRule="auto"/>
        <w:rPr>
          <w:rFonts w:hint="eastAsia" w:ascii="宋体" w:hAnsi="宋体" w:eastAsia="宋体" w:cs="宋体"/>
          <w:b/>
          <w:bCs/>
          <w:sz w:val="21"/>
          <w:szCs w:val="21"/>
        </w:rPr>
      </w:pPr>
      <w:r>
        <w:rPr>
          <w:rFonts w:hint="eastAsia" w:ascii="宋体" w:hAnsi="宋体" w:eastAsia="宋体" w:cs="宋体"/>
          <w:sz w:val="21"/>
          <w:szCs w:val="21"/>
        </w:rPr>
        <w:t>★4.要求机器人外壳透明可以看到内部机械结构。要求展示J1轴电机通过谐波减速器带动一轴运动的图片。J2轴电机通过谐波减速器带动二轴运动的图片。J3轴电机连接皮带通过谐波减速器带动三轴运动的图片。J4轴电机通过谐波减速器带动四轴运动的图片。J5轴电机连接皮带通过谐波减速器带动五轴运动的图片。J6轴电机通过谐波减速器带动六轴运动的图片</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p>
    <w:p w14:paraId="31DEBADA">
      <w:pPr>
        <w:spacing w:line="360" w:lineRule="auto"/>
        <w:rPr>
          <w:rFonts w:hint="eastAsia" w:ascii="宋体" w:hAnsi="宋体" w:eastAsia="宋体" w:cs="宋体"/>
          <w:sz w:val="21"/>
          <w:szCs w:val="21"/>
        </w:rPr>
      </w:pPr>
      <w:r>
        <w:rPr>
          <w:rFonts w:hint="eastAsia" w:ascii="宋体" w:hAnsi="宋体" w:eastAsia="宋体" w:cs="宋体"/>
          <w:sz w:val="21"/>
          <w:szCs w:val="21"/>
        </w:rPr>
        <w:t>★5.每个单元包括自动拆卸，手动拆卸，拆卸考核、自动安装、手动安装、安装考核6个模块</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p>
    <w:p w14:paraId="6F8ECC05">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6.自动安装拆卸过程采用3D自由视角可自由旋转缩放查看，实时显示当前拆装进度，根据需要进行进度调节，配有速度调节功能可更改拆装过程速度；</w:t>
      </w:r>
    </w:p>
    <w:p w14:paraId="74AE99C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7.手动安装拆卸过程可自由旋转缩放查看，界面左侧显示操作当前组件的全部操作步骤，按照提示反复训练，提供操作错误提醒；</w:t>
      </w:r>
    </w:p>
    <w:p w14:paraId="5E214DC2">
      <w:pPr>
        <w:pStyle w:val="7"/>
        <w:spacing w:before="0" w:after="0" w:line="360" w:lineRule="auto"/>
        <w:rPr>
          <w:rFonts w:hint="eastAsia" w:ascii="宋体" w:hAnsi="宋体" w:eastAsia="宋体" w:cs="宋体"/>
          <w:b w:val="0"/>
          <w:bCs w:val="0"/>
          <w:sz w:val="21"/>
          <w:szCs w:val="21"/>
          <w:lang w:eastAsia="zh-CN"/>
        </w:rPr>
      </w:pPr>
      <w:r>
        <w:rPr>
          <w:rFonts w:hint="eastAsia" w:ascii="宋体" w:hAnsi="宋体" w:eastAsia="宋体" w:cs="宋体"/>
          <w:color w:val="auto"/>
          <w:kern w:val="0"/>
          <w:sz w:val="22"/>
          <w:szCs w:val="22"/>
          <w:highlight w:val="none"/>
        </w:rPr>
        <w:t>●</w:t>
      </w:r>
      <w:r>
        <w:rPr>
          <w:rFonts w:hint="eastAsia" w:ascii="宋体" w:hAnsi="宋体" w:eastAsia="宋体" w:cs="宋体"/>
          <w:b/>
          <w:bCs/>
          <w:sz w:val="21"/>
          <w:szCs w:val="21"/>
        </w:rPr>
        <w:t>8.</w:t>
      </w:r>
      <w:bookmarkStart w:id="253" w:name="_Hlk204344060"/>
      <w:r>
        <w:rPr>
          <w:rFonts w:hint="eastAsia" w:ascii="宋体" w:hAnsi="宋体" w:eastAsia="宋体" w:cs="宋体"/>
          <w:b w:val="0"/>
          <w:bCs w:val="0"/>
          <w:sz w:val="21"/>
          <w:szCs w:val="21"/>
        </w:rPr>
        <w:t>安装拆卸考核过程采用3D自由视角可自由旋转缩放查看，界面上方显示当前分数与当前操作执行的时间，界面右侧配有当前组件拆装过程中所需的全部工具库，工具库中的零部件、工具排列显示必须是随机的，从而杜绝学生在没有掌握拆装工艺的情况下通过考核；界面下方显示当前组件操作的进度，配有提交按钮可随机将当前成绩与所用时间提交；拆装考核界面菜单中显示分数，按照错误减分法，逐渐扣除错误操作的分数；安装拆卸过程根据颜色区分步骤列表中的已完成、当前与未完成的步骤，根据需要可点击列表中的某一步进行跳步骤操作练习，实现快速锁定某一步骤的针对性学习。</w:t>
      </w:r>
      <w:bookmarkEnd w:id="253"/>
      <w:r>
        <w:rPr>
          <w:rFonts w:hint="eastAsia" w:ascii="宋体" w:hAnsi="宋体" w:eastAsia="宋体" w:cs="宋体"/>
          <w:b w:val="0"/>
          <w:bCs w:val="0"/>
          <w:sz w:val="21"/>
          <w:szCs w:val="21"/>
          <w:lang w:eastAsia="zh-CN"/>
        </w:rPr>
        <w:t>（</w:t>
      </w:r>
      <w:r>
        <w:rPr>
          <w:rFonts w:hint="eastAsia" w:ascii="宋体" w:hAnsi="宋体" w:eastAsia="宋体" w:cs="宋体"/>
          <w:b/>
          <w:bCs/>
          <w:sz w:val="21"/>
          <w:szCs w:val="21"/>
        </w:rPr>
        <w:t>该功能提供视频演示</w:t>
      </w:r>
      <w:r>
        <w:rPr>
          <w:rFonts w:hint="eastAsia" w:ascii="宋体" w:hAnsi="宋体" w:eastAsia="宋体" w:cs="宋体"/>
          <w:b w:val="0"/>
          <w:bCs w:val="0"/>
          <w:sz w:val="21"/>
          <w:szCs w:val="21"/>
          <w:lang w:eastAsia="zh-CN"/>
        </w:rPr>
        <w:t>）</w:t>
      </w:r>
    </w:p>
    <w:p w14:paraId="5C58FAF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9.安装拆卸过程界面上方配有当前操作的步骤提示，界面右侧配有当前组件拆装过程中所需的全部工具库，按照操作提示将工具库中的零件与工具跟随鼠标拖拽出来进行安装与拆卸。</w:t>
      </w:r>
    </w:p>
    <w:p w14:paraId="390083E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10.安装拆卸过程当位置合理正确时触发高亮显示松开鼠标实现当前步骤操作，界面下方配有帮助模式与练习模式切换按钮，实现零件的预放位置是否发光显示，视角是否自动切换至放置零件的最佳位置，实现自主练习功能，同时配有重新开始按钮可随时重新开始练习。</w:t>
      </w:r>
    </w:p>
    <w:p w14:paraId="6B919321">
      <w:pPr>
        <w:pStyle w:val="7"/>
        <w:spacing w:before="0" w:after="0" w:line="360" w:lineRule="auto"/>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rPr>
        <w:t>11.工业机器人底座组件的拆装，提供VK盖、底座、电缆导向装置、底座盖、码盘电池组、EIB电路板、电路板平板、电机线缆接口、电路板平板支撑杆、摆动壳、摆动平板电缆支架、电缆固定架、电缆支架固定板、摆动平板、轴1电机及齿轮箱、轴2电机及齿轮箱。</w:t>
      </w:r>
    </w:p>
    <w:p w14:paraId="205A8492">
      <w:pPr>
        <w:spacing w:line="360" w:lineRule="auto"/>
        <w:rPr>
          <w:rFonts w:hint="eastAsia" w:ascii="宋体" w:hAnsi="宋体" w:eastAsia="宋体" w:cs="宋体"/>
          <w:sz w:val="21"/>
          <w:szCs w:val="21"/>
        </w:rPr>
      </w:pPr>
      <w:r>
        <w:rPr>
          <w:rFonts w:hint="eastAsia" w:ascii="宋体" w:hAnsi="宋体" w:eastAsia="宋体" w:cs="宋体"/>
          <w:sz w:val="21"/>
          <w:szCs w:val="21"/>
        </w:rPr>
        <w:t>12.工业机器人下臂组件的拆装，提供皮带轮、轴3电机盖、轴3电机、轴3齿轮箱、固定螺母。</w:t>
      </w:r>
    </w:p>
    <w:p w14:paraId="129AEF49">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13.上下臂组件连接部分的拆装，提供下臂组件、上臂组件、轴3同步带、下臂侧支座、轴3电缆保护盖、下臂侧支座电缆支架、上臂电缆支架、下臂壳、壳盖。</w:t>
      </w:r>
    </w:p>
    <w:p w14:paraId="633DB69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14.上臂组件的拆装，提供壳内盖、连接轴承、外轴承组件、钢轮与柔轮、轴4电机、上臂电缆支架、弧形轴盖、电缆保护器。</w:t>
      </w:r>
    </w:p>
    <w:p w14:paraId="64F34DD9">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15.手腕组件的拆装，提供轴4过渡板、手腕壳、线缆固定支架、胶圈、油封垫片、油封、轴5减速器、腕端、皮带轮、轴6电机、波发生器、法兰、连接器制作、连接器盖、倾斜盖、扎带固定钢片、轴5电机、手腕壳、轴6线缆连接、线缆夹具、同步带、手腕侧盖。</w:t>
      </w:r>
    </w:p>
    <w:p w14:paraId="4A71B84C">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16.工业机器人整体拆装，提供底座、下臂、上下臂链接部分、上臂及手腕全部零件。</w:t>
      </w:r>
    </w:p>
    <w:p w14:paraId="34BB6EBC">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17.工业机器人对密封性要求极高，要求拆装过程中按照密封工艺增加抹布抹灰，螺栓涂密封胶，装配时提供预拧紧，再校紧全部过程。</w:t>
      </w:r>
    </w:p>
    <w:p w14:paraId="2AD7C8C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18.工业机器人控制柜的拆装，提供米字型扳手、主板、轴计算机、备用能源组、配电板、过滤器、安全台、中间层架、系统电源、驱动装置、风扇、泄流器、风扇罩、左右侧盖、顶盖。</w:t>
      </w:r>
    </w:p>
    <w:p w14:paraId="6369EE44">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19.按照ABB控制柜标准提供电气元件的装配、连线、利用专业工具解决专业问题。</w:t>
      </w:r>
    </w:p>
    <w:p w14:paraId="084134C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20.拆装工具包含：活口扳手、螺丝刀、轴承拉马器、内六角扳手等。</w:t>
      </w:r>
    </w:p>
    <w:p w14:paraId="4702F04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21.使用期限无限制。</w:t>
      </w:r>
    </w:p>
    <w:p w14:paraId="762DE81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22.底座部分安装按以下步骤进行：</w:t>
      </w:r>
    </w:p>
    <w:p w14:paraId="2D875BA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（1）安装轴1电机与轴1齿轮箱；</w:t>
      </w:r>
    </w:p>
    <w:p w14:paraId="121DD813">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（2）装上固定螺丝M4*40/12pas；</w:t>
      </w:r>
    </w:p>
    <w:p w14:paraId="58353BE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（3）使用内六角扳手(M4)拧紧；</w:t>
      </w:r>
      <w:r>
        <w:rPr>
          <w:rFonts w:hint="eastAsia" w:ascii="宋体" w:hAnsi="宋体" w:eastAsia="宋体" w:cs="宋体"/>
          <w:sz w:val="21"/>
          <w:szCs w:val="21"/>
        </w:rPr>
        <w:tab/>
      </w:r>
      <w:r>
        <w:rPr>
          <w:rFonts w:hint="eastAsia" w:ascii="宋体" w:hAnsi="宋体" w:eastAsia="宋体" w:cs="宋体"/>
          <w:sz w:val="21"/>
          <w:szCs w:val="21"/>
        </w:rPr>
        <w:tab/>
      </w:r>
    </w:p>
    <w:p w14:paraId="5A67DCDD">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（4）安装电缆导向装置1；</w:t>
      </w:r>
    </w:p>
    <w:p w14:paraId="3B18E4D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（5）装上固定螺丝M3*8/3pcs；</w:t>
      </w:r>
    </w:p>
    <w:p w14:paraId="68DCFFDB">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（6）使用内六角扳手(M3)拧紧；</w:t>
      </w:r>
    </w:p>
    <w:p w14:paraId="1EDCD296">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（7）安装轴1电机线缆接口固定架；</w:t>
      </w:r>
    </w:p>
    <w:p w14:paraId="78986E28">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（8）装上固定螺丝M3*8/2pcs；</w:t>
      </w:r>
    </w:p>
    <w:p w14:paraId="1820D3E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（9）使用内六角扳手(M3)拧紧；</w:t>
      </w:r>
    </w:p>
    <w:p w14:paraId="64BE7DC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（10）安装VK盖；</w:t>
      </w:r>
    </w:p>
    <w:p w14:paraId="2E725035">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（11）安装电路板平板支撑杆；</w:t>
      </w:r>
    </w:p>
    <w:p w14:paraId="197A7F9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（12）安装EIB电路板架；</w:t>
      </w:r>
    </w:p>
    <w:p w14:paraId="6F53A3A4">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（13）装上固定螺丝M3*8/4pcs；</w:t>
      </w:r>
    </w:p>
    <w:p w14:paraId="7BB040F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（14）使用内六角扳手(M3)拧紧；</w:t>
      </w:r>
    </w:p>
    <w:p w14:paraId="0424A3E1">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（15）安装底座壳；</w:t>
      </w:r>
    </w:p>
    <w:p w14:paraId="130653F9">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（16）装上固定螺丝M4*25/4pcs；</w:t>
      </w:r>
    </w:p>
    <w:p w14:paraId="3CBF3A11">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（17）使用内六角扳手(M4)拧紧；</w:t>
      </w:r>
    </w:p>
    <w:p w14:paraId="226995B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（18）拿出摆动平板；</w:t>
      </w:r>
    </w:p>
    <w:p w14:paraId="6EC2F5D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（19）安装电缆导向装置2；</w:t>
      </w:r>
    </w:p>
    <w:p w14:paraId="08AA480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（20）装上固定螺丝M3*8/3pcs；</w:t>
      </w:r>
    </w:p>
    <w:p w14:paraId="4A7DA81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（21）使用内六角扳手(M3)拧紧；</w:t>
      </w:r>
    </w:p>
    <w:p w14:paraId="4E70FAA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（22）安装电缆固定架；</w:t>
      </w:r>
    </w:p>
    <w:p w14:paraId="1D3C0B28">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（23）装上固定螺丝M3*8/2pcs；</w:t>
      </w:r>
    </w:p>
    <w:p w14:paraId="22C9A49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（24）使用内六角扳手(M3)拧紧；</w:t>
      </w:r>
    </w:p>
    <w:p w14:paraId="48FA92D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（25）安装摆动壳；</w:t>
      </w:r>
    </w:p>
    <w:p w14:paraId="1DAE26DD">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（26）装上固定螺丝M4*25/8pcs；</w:t>
      </w:r>
    </w:p>
    <w:p w14:paraId="3A1E61B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（27）使用内六角扳手(M4)拧紧；</w:t>
      </w:r>
    </w:p>
    <w:p w14:paraId="4554936C">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（28）装上固定螺丝M4*25/16pcs；</w:t>
      </w:r>
    </w:p>
    <w:p w14:paraId="6A3AFAE4">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（29）使用内六角扳手(M4)拧紧；</w:t>
      </w:r>
    </w:p>
    <w:p w14:paraId="01AB6C5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（30）安装摆动平板电缆支架；</w:t>
      </w:r>
    </w:p>
    <w:p w14:paraId="7A74ECA6">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（31）装上固定螺丝M3*8/4pcs；</w:t>
      </w:r>
    </w:p>
    <w:p w14:paraId="3D3E01A4">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（32）使用内六角扳手(M3)拧紧；</w:t>
      </w:r>
    </w:p>
    <w:p w14:paraId="46C60F8B">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（33）安装电缆支架固定板；</w:t>
      </w:r>
    </w:p>
    <w:p w14:paraId="6108F2A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（34）装上固定螺丝M3*8/2pcs；</w:t>
      </w:r>
    </w:p>
    <w:p w14:paraId="35E8252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（35）使用内六角扳手(M3)拧紧；</w:t>
      </w:r>
    </w:p>
    <w:p w14:paraId="183F005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（36）安装轴2电机与轴2齿轮箱；</w:t>
      </w:r>
    </w:p>
    <w:p w14:paraId="268ADE6D">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（37）装上固定螺丝M4*40/12pcs；</w:t>
      </w:r>
    </w:p>
    <w:p w14:paraId="661A7C6E">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（38）使用内六角扳手(M4)拧紧；</w:t>
      </w:r>
    </w:p>
    <w:p w14:paraId="2806C56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（39）安装电缆导向装置3；</w:t>
      </w:r>
    </w:p>
    <w:p w14:paraId="4AF49DE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（40）装上固定螺丝M3*8/2pcs；</w:t>
      </w:r>
    </w:p>
    <w:p w14:paraId="2D345E86">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（41）使用内六角扳手(M3)拧紧。</w:t>
      </w:r>
    </w:p>
    <w:p w14:paraId="074925A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23.手腕部分拆卸按以下步骤进行：</w:t>
      </w:r>
    </w:p>
    <w:p w14:paraId="4153E28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（1）使用内六角扳手拆卸手腕侧壳（右侧）螺丝，卸下手腕侧壳（右侧）；</w:t>
      </w:r>
    </w:p>
    <w:p w14:paraId="2A2F4191">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（2）使用内六角扳手拆卸手腕侧壳（左侧）螺丝，卸下手腕侧壳（左侧）；</w:t>
      </w:r>
    </w:p>
    <w:p w14:paraId="5BD408D9">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（3）使用内六角扳手拆卸轴6电机接口线夹具连接螺钉，然后卸下轴6电机接口夹具；</w:t>
      </w:r>
    </w:p>
    <w:p w14:paraId="5124881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（4）使用内六角扳手拆卸连接器支座螺钉，然后卸下连接器支座；</w:t>
      </w:r>
    </w:p>
    <w:p w14:paraId="7C51BB5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（5）使用内六角扳手拆卸轴6电机线扎带固定钢片螺钉，然后卸下6轴电机线扎带固定钢片；</w:t>
      </w:r>
    </w:p>
    <w:p w14:paraId="53EDAFC2">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（6）使用内六角扳手拆卸手腕壳螺钉，然后卸下手腕壳；</w:t>
      </w:r>
    </w:p>
    <w:p w14:paraId="52A38E76">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（7）使用内六角扳手拆卸倾斜盖螺钉，然后拆卸倾斜盖；</w:t>
      </w:r>
    </w:p>
    <w:p w14:paraId="0AF4A194">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（8）使用内六角扳手拆卸轴6电机线缆连接器盖螺钉，然后卸下轴6电机线缆连接器盖；</w:t>
      </w:r>
    </w:p>
    <w:p w14:paraId="40EC459F">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（9）使用内六角扳手拆卸轴6电机线缆连接器螺钉，然后卸下轴6电机线缆连接器；</w:t>
      </w:r>
    </w:p>
    <w:p w14:paraId="7DCE3EB9">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（10）使用内六角扳手拆卸轴5电机螺钉；</w:t>
      </w:r>
    </w:p>
    <w:p w14:paraId="39845DB7">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（11）拆卸同步带；</w:t>
      </w:r>
    </w:p>
    <w:p w14:paraId="122732F4">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（12）拆卸轴5电机，拆卸完毕后翻转5轴到合适位置；</w:t>
      </w:r>
    </w:p>
    <w:p w14:paraId="765316A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（13）使用内六角扳手拆卸轴6减速器法兰螺钉，然后拆卸轴6减速器法兰；</w:t>
      </w:r>
    </w:p>
    <w:p w14:paraId="630A1225">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（14）使用一字螺丝刀拆卸轴6减速器波发生器螺钉，然后卸下轴6减速器波发生器；</w:t>
      </w:r>
    </w:p>
    <w:p w14:paraId="7766109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（15）使用内六角扳手拆卸轴6电机螺丝钉，然后卸下轴6电机；</w:t>
      </w:r>
    </w:p>
    <w:p w14:paraId="4F9B43DD">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（16）使用一字螺丝刀拆卸轴6同步带轮螺钉，然后卸下轴6同步带皮带轮；</w:t>
      </w:r>
    </w:p>
    <w:p w14:paraId="0CAD6660">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（17）使用内六角扳手拆卸腕端轴5减速器轴承连接螺钉，然后拆卸腕端；</w:t>
      </w:r>
    </w:p>
    <w:p w14:paraId="255CFF7A">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（18）使用内六角扳手拆卸轴5减速器螺钉，然后卸下轴5减速器（同时卸下油封垫片，油封，胶圈）；</w:t>
      </w:r>
    </w:p>
    <w:p w14:paraId="1DAE49A6">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（19）使用内六角扳手拆卸电缆支架螺钉，然后卸下电缆支架；</w:t>
      </w:r>
    </w:p>
    <w:p w14:paraId="34E27D6B">
      <w:pPr>
        <w:pStyle w:val="7"/>
        <w:spacing w:before="0" w:after="0" w:line="360" w:lineRule="auto"/>
        <w:rPr>
          <w:rFonts w:hint="eastAsia" w:ascii="宋体" w:hAnsi="宋体" w:eastAsia="宋体" w:cs="宋体"/>
          <w:sz w:val="21"/>
          <w:szCs w:val="21"/>
        </w:rPr>
      </w:pPr>
      <w:r>
        <w:rPr>
          <w:rFonts w:hint="eastAsia" w:ascii="宋体" w:hAnsi="宋体" w:eastAsia="宋体" w:cs="宋体"/>
          <w:sz w:val="21"/>
          <w:szCs w:val="21"/>
        </w:rPr>
        <w:t>（20）使用内六角扳手拆卸手腕壳连接螺钉，然后卸下手腕壳；</w:t>
      </w:r>
    </w:p>
    <w:p w14:paraId="0CACD8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rPr>
        <w:t>（21）使用内六角扳手拆卸轴4过渡板连接螺钉，然后将轴4过渡板从销上卸下。</w:t>
      </w:r>
    </w:p>
    <w:p w14:paraId="3DF22C6F">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1"/>
          <w:szCs w:val="21"/>
          <w:lang w:val="en-US" w:eastAsia="zh-CN"/>
        </w:rPr>
      </w:pPr>
    </w:p>
    <w:p w14:paraId="14D0F1F9">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  实训室环境建设</w:t>
      </w:r>
    </w:p>
    <w:p w14:paraId="3C485EEF">
      <w:pPr>
        <w:widowControl/>
        <w:spacing w:line="360" w:lineRule="auto"/>
        <w:rPr>
          <w:rFonts w:hint="eastAsia" w:ascii="宋体" w:hAnsi="宋体" w:eastAsia="宋体" w:cs="宋体"/>
          <w:b/>
          <w:kern w:val="0"/>
          <w:sz w:val="21"/>
          <w:szCs w:val="21"/>
          <w:lang w:val="en-US" w:eastAsia="zh-CN"/>
        </w:rPr>
      </w:pPr>
      <w:r>
        <w:rPr>
          <w:rFonts w:hint="eastAsia" w:ascii="宋体" w:hAnsi="宋体" w:eastAsia="宋体" w:cs="宋体"/>
          <w:sz w:val="21"/>
          <w:szCs w:val="21"/>
        </w:rPr>
        <w:t>★</w:t>
      </w:r>
      <w:r>
        <w:rPr>
          <w:rFonts w:hint="eastAsia" w:ascii="宋体" w:hAnsi="宋体" w:eastAsia="宋体" w:cs="宋体"/>
          <w:bCs/>
          <w:kern w:val="0"/>
          <w:sz w:val="21"/>
          <w:szCs w:val="21"/>
        </w:rPr>
        <w:t>1.平面规划图及效果图：场地功能区划分清晰、合理，意思表达清楚，效果图体现设计效果并贴近实施效果</w:t>
      </w:r>
      <w:r>
        <w:rPr>
          <w:rFonts w:hint="eastAsia" w:ascii="宋体" w:hAnsi="宋体" w:eastAsia="宋体" w:cs="宋体"/>
          <w:bCs/>
          <w:kern w:val="0"/>
          <w:sz w:val="21"/>
          <w:szCs w:val="21"/>
          <w:lang w:eastAsia="zh-CN"/>
        </w:rPr>
        <w:t>（</w:t>
      </w:r>
      <w:r>
        <w:rPr>
          <w:rFonts w:hint="eastAsia" w:ascii="宋体" w:hAnsi="宋体" w:eastAsia="宋体" w:cs="宋体"/>
          <w:b/>
          <w:kern w:val="0"/>
          <w:sz w:val="21"/>
          <w:szCs w:val="21"/>
        </w:rPr>
        <w:t>提供规划图和效果图</w:t>
      </w:r>
      <w:r>
        <w:rPr>
          <w:rFonts w:hint="eastAsia" w:ascii="宋体" w:hAnsi="宋体" w:eastAsia="宋体" w:cs="宋体"/>
          <w:bCs/>
          <w:kern w:val="0"/>
          <w:sz w:val="21"/>
          <w:szCs w:val="21"/>
          <w:lang w:eastAsia="zh-CN"/>
        </w:rPr>
        <w:t>）</w:t>
      </w:r>
      <w:r>
        <w:rPr>
          <w:rFonts w:hint="eastAsia" w:ascii="宋体" w:hAnsi="宋体" w:eastAsia="宋体" w:cs="宋体"/>
          <w:b/>
          <w:kern w:val="0"/>
          <w:sz w:val="21"/>
          <w:szCs w:val="21"/>
          <w:lang w:val="en-US" w:eastAsia="zh-CN"/>
        </w:rPr>
        <w:t>。</w:t>
      </w:r>
    </w:p>
    <w:p w14:paraId="152F8695">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2.实训室综合布线等建设</w:t>
      </w:r>
    </w:p>
    <w:p w14:paraId="2F2D377E">
      <w:pPr>
        <w:spacing w:line="360" w:lineRule="auto"/>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rPr>
        <w:t>实训室内设备电路及网络综合布线（含空开、网络机柜、交换机等配套设备）及施工材料技术服务等。</w:t>
      </w:r>
      <w:r>
        <w:rPr>
          <w:rFonts w:hint="eastAsia" w:ascii="宋体" w:hAnsi="宋体" w:eastAsia="宋体" w:cs="宋体"/>
          <w:bCs/>
          <w:kern w:val="0"/>
          <w:sz w:val="21"/>
          <w:szCs w:val="21"/>
          <w:lang w:val="en-US" w:eastAsia="zh-CN"/>
        </w:rPr>
        <w:t>配套桌椅一批不少于45工位。</w:t>
      </w:r>
    </w:p>
    <w:p w14:paraId="0D732549">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3.实训室文化展板</w:t>
      </w:r>
    </w:p>
    <w:p w14:paraId="17179462">
      <w:pPr>
        <w:widowControl/>
        <w:spacing w:line="360" w:lineRule="auto"/>
        <w:rPr>
          <w:rFonts w:hint="eastAsia" w:ascii="宋体" w:hAnsi="宋体" w:eastAsia="宋体" w:cs="宋体"/>
          <w:kern w:val="0"/>
          <w:sz w:val="21"/>
          <w:szCs w:val="21"/>
        </w:rPr>
      </w:pPr>
      <w:r>
        <w:rPr>
          <w:rFonts w:hint="eastAsia" w:ascii="宋体" w:hAnsi="宋体" w:eastAsia="宋体" w:cs="宋体"/>
          <w:bCs/>
          <w:kern w:val="0"/>
          <w:sz w:val="21"/>
          <w:szCs w:val="21"/>
        </w:rPr>
        <w:t>每块展板尺寸≥600*800m，雪弗板+亚克力材质，内容包含实训室介绍、实训室标牌、实训室管理制度、设备操作规范等。</w:t>
      </w:r>
    </w:p>
    <w:p w14:paraId="2FD6A1B7">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4.学生信息化在线考试系统</w:t>
      </w:r>
    </w:p>
    <w:p w14:paraId="410FCD00">
      <w:pPr>
        <w:widowControl/>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★（1）符合工业机器人技术应用理论考试的要求，提供符合工业机器人技术项目的理论题库不少于200道；具有理论考试C/S客户端，账号1个。</w:t>
      </w:r>
    </w:p>
    <w:p w14:paraId="3DD2BEC2">
      <w:pPr>
        <w:widowControl/>
        <w:spacing w:line="360" w:lineRule="auto"/>
        <w:rPr>
          <w:rFonts w:hint="eastAsia" w:ascii="宋体" w:hAnsi="宋体" w:eastAsia="宋体" w:cs="宋体"/>
          <w:bCs/>
          <w:kern w:val="0"/>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
          <w:bCs/>
          <w:kern w:val="0"/>
          <w:sz w:val="21"/>
          <w:szCs w:val="21"/>
        </w:rPr>
        <w:t>（2）提供全省技能竞赛数据分析的可视化，以下5个功能提供视频演示：</w:t>
      </w:r>
    </w:p>
    <w:p w14:paraId="74991B61">
      <w:pPr>
        <w:widowControl/>
        <w:spacing w:line="360" w:lineRule="auto"/>
        <w:rPr>
          <w:rFonts w:hint="eastAsia" w:ascii="宋体" w:hAnsi="宋体" w:eastAsia="宋体" w:cs="宋体"/>
          <w:bCs/>
          <w:kern w:val="0"/>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Cs/>
          <w:kern w:val="0"/>
          <w:sz w:val="21"/>
          <w:szCs w:val="21"/>
        </w:rPr>
        <w:t>1）能够按照A类学生、B类学生、C类学生所在学校进行分类排名；</w:t>
      </w:r>
    </w:p>
    <w:p w14:paraId="2516580F">
      <w:pPr>
        <w:widowControl/>
        <w:spacing w:line="360" w:lineRule="auto"/>
        <w:rPr>
          <w:rFonts w:hint="eastAsia" w:ascii="宋体" w:hAnsi="宋体" w:eastAsia="宋体" w:cs="宋体"/>
          <w:bCs/>
          <w:kern w:val="0"/>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Cs/>
          <w:kern w:val="0"/>
          <w:sz w:val="21"/>
          <w:szCs w:val="21"/>
        </w:rPr>
        <w:t>2）能够实现ABC类高分学生所在学校排名；</w:t>
      </w:r>
    </w:p>
    <w:p w14:paraId="6129D228">
      <w:pPr>
        <w:widowControl/>
        <w:spacing w:line="360" w:lineRule="auto"/>
        <w:rPr>
          <w:rFonts w:hint="eastAsia" w:ascii="宋体" w:hAnsi="宋体" w:eastAsia="宋体" w:cs="宋体"/>
          <w:bCs/>
          <w:kern w:val="0"/>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Cs/>
          <w:kern w:val="0"/>
          <w:sz w:val="21"/>
          <w:szCs w:val="21"/>
        </w:rPr>
        <w:t>3）实现各个地市知识点分布雷达图，对知识点掌握情况准确分析；</w:t>
      </w:r>
    </w:p>
    <w:p w14:paraId="0C96B076">
      <w:pPr>
        <w:widowControl/>
        <w:spacing w:line="360" w:lineRule="auto"/>
        <w:rPr>
          <w:rFonts w:hint="eastAsia" w:ascii="宋体" w:hAnsi="宋体" w:eastAsia="宋体" w:cs="宋体"/>
          <w:bCs/>
          <w:kern w:val="0"/>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Cs/>
          <w:kern w:val="0"/>
          <w:sz w:val="21"/>
          <w:szCs w:val="21"/>
        </w:rPr>
        <w:t>4）能够提供地市的排名，分数的正态分布，合格水平；</w:t>
      </w:r>
    </w:p>
    <w:p w14:paraId="6D5B92C7">
      <w:pPr>
        <w:spacing w:line="360" w:lineRule="auto"/>
        <w:rPr>
          <w:rFonts w:hint="eastAsia" w:ascii="宋体" w:hAnsi="宋体" w:eastAsia="宋体" w:cs="宋体"/>
          <w:bCs/>
          <w:kern w:val="0"/>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Cs/>
          <w:kern w:val="0"/>
          <w:sz w:val="21"/>
          <w:szCs w:val="21"/>
        </w:rPr>
        <w:t>5）地市数据使用地图显示，点击地图中的地市，可实现每个地市的ABC类高分学生所在学校排名，每个地市的平均分，ABC类得分情况和具体分布。</w:t>
      </w:r>
    </w:p>
    <w:p w14:paraId="474290F9">
      <w:pPr>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w:t>
      </w:r>
      <w:r>
        <w:rPr>
          <w:rFonts w:hint="eastAsia" w:ascii="宋体" w:hAnsi="宋体" w:eastAsia="宋体" w:cs="宋体"/>
          <w:b w:val="0"/>
          <w:bCs w:val="0"/>
          <w:color w:val="000000" w:themeColor="text1"/>
          <w:sz w:val="21"/>
          <w:szCs w:val="21"/>
          <w14:textFill>
            <w14:solidFill>
              <w14:schemeClr w14:val="tx1"/>
            </w14:solidFill>
          </w14:textFill>
        </w:rPr>
        <w:t>实训室教师端布置一套智擎Pro多模态交互平台</w:t>
      </w:r>
    </w:p>
    <w:p w14:paraId="22F8B0F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多模态智能引擎架构，支持DeepSeek、Qwen、豆包等主流大模型无缝接入，结合私有化RAG（检索增强生成）引擎与动态微调技术，构建可扩展的认知计算中枢。通过Web/移动多端智能适配，提供全栈式AI能力开放接口，实现知识检索与生成能力的深度融合；支持输入输出管理、公有库调用、用户管理、AI题库管理，可以用于基础知识视频学习、实训项目教学指导、样例程序编写、程序纠错、AI出题。</w:t>
      </w:r>
    </w:p>
    <w:p w14:paraId="7BD5181A">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智能交互中枢：多模态输入系统，支持文本/语音双通道智能识别，集成多方言语音识别引擎。动态意图解析引擎，基于RAG技术实现三级问题聚焦（领域判定→知识库精准检索→模糊问题推荐），关联问题推荐准确率&gt;92%。，全媒体内容生成：支持文本/表格/图表/视频的多模态输出。投标时提供技术佐证材料。</w:t>
      </w:r>
    </w:p>
    <w:p w14:paraId="0A21253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工业级RAG知识中枢：公有知识库由管理员后台管理，包含液压与气动类知识库，机电一体化类知识库，工业机器人类知识库，机械与钳工类知识库，数控机床类知识库，制冷与热工类知识库、楼宇与建筑类知识库，电工电子类知识库，超50万条结构化知识单元；智能检索增强引擎采用动态上下文感知技术，支持多模态数据（文档/视频/代码）的语义检索与知识关联。投标时提供技术佐证材料。</w:t>
      </w:r>
    </w:p>
    <w:p w14:paraId="3BBFE12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智能评估中枢：设定考核工种及等级，可自动输出理论考卷和实操考卷。理论部分支持单选题、多选题、判断题、简答题，单一类型出题，也可混合出题，并输出参考答案，实操部分支持实操任务书和评分表。投标时提供技术佐证材料。</w:t>
      </w:r>
    </w:p>
    <w:p w14:paraId="176F3CDE">
      <w:pPr>
        <w:pStyle w:val="9"/>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平台扩展能力：支持混合云RAG架构，兼容主流向量数据库与语义检索框架。提供知识库增量学习接口，支持行业专属知识的低代码快速迭代。内置服务监控看板，实时追踪检索命中率、生成相关性等30+项AI核心指标。</w:t>
      </w:r>
    </w:p>
    <w:p w14:paraId="7037F356">
      <w:pPr>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6.</w:t>
      </w:r>
      <w:r>
        <w:rPr>
          <w:rFonts w:hint="eastAsia" w:ascii="宋体" w:hAnsi="宋体" w:eastAsia="宋体" w:cs="宋体"/>
          <w:b w:val="0"/>
          <w:bCs w:val="0"/>
          <w:color w:val="000000" w:themeColor="text1"/>
          <w:sz w:val="21"/>
          <w:szCs w:val="21"/>
          <w14:textFill>
            <w14:solidFill>
              <w14:schemeClr w14:val="tx1"/>
            </w14:solidFill>
          </w14:textFill>
        </w:rPr>
        <w:t>赛训一体数字化教学管理系统</w:t>
      </w:r>
    </w:p>
    <w:p w14:paraId="610E086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包含日常教学实训管理、在线理论考试、赛项模拟、成绩查看、赛项议程、专家库、视频监控等功能。强调在教学过程中将学习、实训、竞赛和监控四个环节有机整合。赛训一体化教学创新模式结合了信息化技术和赛训课程管理内容，可用于院校日常实训课程管理、学业测评、技能鉴定考核、技能竞赛等。通过赛训一体激发学生学习的兴趣，检验技能的掌握程度，打造赛训一体的教学模式。同时为便于用户的访问与操作，以下功能需在同一平台内，不接受各软件子系统采用不同厂商产品集成运用的解决方案，以免影响系统的整体兼容性、稳定性以及造成项目维护升级的不便利性。</w:t>
      </w:r>
    </w:p>
    <w:p w14:paraId="43CF352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实训教学管理</w:t>
      </w:r>
    </w:p>
    <w:p w14:paraId="06218E2C">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（1）实训方案管理：根据实训教学安排，创建对应的实训方案，并以列表形式呈现实训信息（如：方案标题、方案内容、实训目标、负责人、开始时间、结束时间等）。在线实训课程排课预约；</w:t>
      </w:r>
    </w:p>
    <w:p w14:paraId="016B958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实训资源管理：可实现实训课程对应的实训资源管理，支持PPT、word、PDF等格式资源上传到资源库，以列表形式列出所选实训课程的课件资源信息（如：资源名称、资源类型、创建人、状态、创建时间等）可实现实训资源移动端查看，师生可在微信小程序点击查看相关资源；</w:t>
      </w:r>
    </w:p>
    <w:p w14:paraId="62B6C10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（3）实训学生管理：可批量编辑一键导入学生信息。可实现实训课程对应的学生管理，并以列表形式呈现学生信息（如：学号、学生姓名、邮箱、手机、课程评分、创建时间等）；</w:t>
      </w:r>
    </w:p>
    <w:p w14:paraId="735F8211">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（4）实训考勤：支持教师通过考勤二维码，学生可通过扫描考勤二维码和微信小程序完成考勤；支持按时间段查看学生考勤信息，并批量导出考勤报表（如工号、日期、姓名、部门、状态）；</w:t>
      </w:r>
    </w:p>
    <w:p w14:paraId="7B934E34">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（5）实训结果报告：负责人可对实训教学效果评估，包含效果评估、结果报告、状态和报告人等信息。</w:t>
      </w:r>
    </w:p>
    <w:p w14:paraId="2EA3942D">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在线理论考核</w:t>
      </w:r>
    </w:p>
    <w:p w14:paraId="277CDCE5">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试卷管理：提供单选、多选、判断等题型及答案解析的录入；组卷规则：可配置各类题型、分值，师生考试时候可根据所选题库中的题目组卷。难度等级包含较难与普通。可上传试题图片和填写试题解析。正确答案勾选、选取文件上传和答案解析。</w:t>
      </w:r>
    </w:p>
    <w:p w14:paraId="4C67000C">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AI智能组卷：系统支持将PDF、Word、ppt等多种格式的文件转换为自然语言，并支持根据得到的自然语言一键出题，且需支持多种题目类型的生成，至少包括单选题、多选题、判断题；生成的题目需支持一键导入到题库，方便教师组卷；组卷题目可以选择题库自定义题目数量，题目类型然后一键随机生成。</w:t>
      </w:r>
    </w:p>
    <w:p w14:paraId="7353A36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（3）在线考试：可分享二维码，考生扫描登录考试和PC登录在线考试两种模式；支持一键excel导出考试明细，方便教师对考试成绩进行统计。</w:t>
      </w:r>
    </w:p>
    <w:p w14:paraId="5E100DD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考试应用</w:t>
      </w:r>
      <w:r>
        <w:rPr>
          <w:rFonts w:hint="eastAsia" w:ascii="宋体" w:hAnsi="宋体" w:eastAsia="宋体" w:cs="宋体"/>
          <w:color w:val="auto"/>
          <w:sz w:val="21"/>
          <w:szCs w:val="21"/>
          <w:highlight w:val="none"/>
        </w:rPr>
        <w:t>实操管理</w:t>
      </w:r>
    </w:p>
    <w:p w14:paraId="3FE3BA86">
      <w:pPr>
        <w:widowControl/>
        <w:spacing w:line="360" w:lineRule="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w:t>
      </w:r>
      <w:r>
        <w:rPr>
          <w:rFonts w:hint="eastAsia" w:ascii="宋体" w:hAnsi="宋体" w:eastAsia="宋体" w:cs="宋体"/>
          <w:bCs/>
          <w:color w:val="auto"/>
          <w:kern w:val="0"/>
          <w:sz w:val="21"/>
          <w:szCs w:val="21"/>
          <w:highlight w:val="none"/>
          <w:lang w:val="en-US" w:eastAsia="zh-CN"/>
        </w:rPr>
        <w:t>考试</w:t>
      </w:r>
      <w:r>
        <w:rPr>
          <w:rFonts w:hint="eastAsia" w:ascii="宋体" w:hAnsi="宋体" w:eastAsia="宋体" w:cs="宋体"/>
          <w:bCs/>
          <w:color w:val="auto"/>
          <w:kern w:val="0"/>
          <w:sz w:val="21"/>
          <w:szCs w:val="21"/>
          <w:highlight w:val="none"/>
        </w:rPr>
        <w:t>管理：根据实际情况创建对应</w:t>
      </w:r>
      <w:r>
        <w:rPr>
          <w:rFonts w:hint="eastAsia" w:ascii="宋体" w:hAnsi="宋体" w:eastAsia="宋体" w:cs="宋体"/>
          <w:bCs/>
          <w:color w:val="auto"/>
          <w:kern w:val="0"/>
          <w:sz w:val="21"/>
          <w:szCs w:val="21"/>
          <w:highlight w:val="none"/>
          <w:lang w:val="en-US" w:eastAsia="zh-CN"/>
        </w:rPr>
        <w:t>项目内容</w:t>
      </w:r>
      <w:r>
        <w:rPr>
          <w:rFonts w:hint="eastAsia" w:ascii="宋体" w:hAnsi="宋体" w:eastAsia="宋体" w:cs="宋体"/>
          <w:bCs/>
          <w:color w:val="auto"/>
          <w:kern w:val="0"/>
          <w:sz w:val="21"/>
          <w:szCs w:val="21"/>
          <w:highlight w:val="none"/>
        </w:rPr>
        <w:t>，并以列表形式呈现信息（如：名称、介绍、状态、创建时间、负责人、所属部门、评分类型（包含平均值、去掉最值平均值和自定义比例计分）等）；</w:t>
      </w:r>
    </w:p>
    <w:p w14:paraId="19A3AABB">
      <w:pPr>
        <w:widowControl/>
        <w:spacing w:line="360" w:lineRule="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w:t>
      </w:r>
      <w:r>
        <w:rPr>
          <w:rFonts w:hint="eastAsia" w:ascii="宋体" w:hAnsi="宋体" w:eastAsia="宋体" w:cs="宋体"/>
          <w:bCs/>
          <w:color w:val="auto"/>
          <w:kern w:val="0"/>
          <w:sz w:val="21"/>
          <w:szCs w:val="21"/>
          <w:highlight w:val="none"/>
          <w:lang w:val="en-US" w:eastAsia="zh-CN"/>
        </w:rPr>
        <w:t>考试项目</w:t>
      </w:r>
      <w:r>
        <w:rPr>
          <w:rFonts w:hint="eastAsia" w:ascii="宋体" w:hAnsi="宋体" w:eastAsia="宋体" w:cs="宋体"/>
          <w:bCs/>
          <w:color w:val="auto"/>
          <w:kern w:val="0"/>
          <w:sz w:val="21"/>
          <w:szCs w:val="21"/>
          <w:highlight w:val="none"/>
        </w:rPr>
        <w:t>管理：支持</w:t>
      </w:r>
      <w:r>
        <w:rPr>
          <w:rFonts w:hint="eastAsia" w:ascii="宋体" w:hAnsi="宋体" w:eastAsia="宋体" w:cs="宋体"/>
          <w:bCs/>
          <w:color w:val="auto"/>
          <w:kern w:val="0"/>
          <w:sz w:val="21"/>
          <w:szCs w:val="21"/>
          <w:highlight w:val="none"/>
          <w:lang w:val="en-US" w:eastAsia="zh-CN"/>
        </w:rPr>
        <w:t>该项目内容</w:t>
      </w:r>
      <w:r>
        <w:rPr>
          <w:rFonts w:hint="eastAsia" w:ascii="宋体" w:hAnsi="宋体" w:eastAsia="宋体" w:cs="宋体"/>
          <w:bCs/>
          <w:color w:val="auto"/>
          <w:kern w:val="0"/>
          <w:sz w:val="21"/>
          <w:szCs w:val="21"/>
          <w:highlight w:val="none"/>
        </w:rPr>
        <w:t>管理，支持创建自定义并以列表呈现信息（如：名称、介绍、开始时间、结束时间、创建时间、赛项状态）；并可以按照组织架构批量导入人员；</w:t>
      </w:r>
    </w:p>
    <w:p w14:paraId="3FE40E1F">
      <w:pPr>
        <w:spacing w:line="360" w:lineRule="auto"/>
        <w:rPr>
          <w:rFonts w:hint="eastAsia" w:ascii="宋体" w:hAnsi="宋体" w:eastAsia="宋体" w:cs="宋体"/>
          <w:color w:val="auto"/>
          <w:sz w:val="21"/>
          <w:szCs w:val="21"/>
        </w:rPr>
      </w:pPr>
      <w:r>
        <w:rPr>
          <w:rFonts w:hint="eastAsia" w:ascii="宋体" w:hAnsi="宋体" w:eastAsia="宋体" w:cs="宋体"/>
          <w:bCs/>
          <w:color w:val="auto"/>
          <w:kern w:val="0"/>
          <w:sz w:val="21"/>
          <w:szCs w:val="21"/>
          <w:highlight w:val="none"/>
        </w:rPr>
        <w:t>（3）专家资源：支持拥有评委角色的用户发起专家资格申请，系统通过审核实现专家</w:t>
      </w:r>
      <w:r>
        <w:rPr>
          <w:rFonts w:hint="eastAsia" w:ascii="宋体" w:hAnsi="宋体" w:eastAsia="宋体" w:cs="宋体"/>
          <w:bCs/>
          <w:color w:val="auto"/>
          <w:kern w:val="0"/>
          <w:sz w:val="21"/>
          <w:szCs w:val="21"/>
          <w:highlight w:val="none"/>
          <w:lang w:val="en-US" w:eastAsia="zh-CN"/>
        </w:rPr>
        <w:t>评委</w:t>
      </w:r>
      <w:r>
        <w:rPr>
          <w:rFonts w:hint="eastAsia" w:ascii="宋体" w:hAnsi="宋体" w:eastAsia="宋体" w:cs="宋体"/>
          <w:bCs/>
          <w:color w:val="auto"/>
          <w:kern w:val="0"/>
          <w:sz w:val="21"/>
          <w:szCs w:val="21"/>
          <w:highlight w:val="none"/>
        </w:rPr>
        <w:t>库的添加；同时需支持添加专家，并以列表的形式呈现专家信息</w:t>
      </w:r>
      <w:r>
        <w:rPr>
          <w:rFonts w:hint="eastAsia" w:ascii="宋体" w:hAnsi="宋体" w:eastAsia="宋体" w:cs="宋体"/>
          <w:color w:val="auto"/>
          <w:sz w:val="21"/>
          <w:szCs w:val="21"/>
        </w:rPr>
        <w:t>（如：专家名称、专家手机、专家职称、专家来源、入库时间、状态等）；支持专家信息以excel的格式批量导入并提供导入模板。</w:t>
      </w:r>
    </w:p>
    <w:p w14:paraId="500B741E">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（4）合作机构：系统需支持合作机构的管理，并以列表形式呈现合作机构信息（如：机构名称、跳转链接、创建时间、状态等）。</w:t>
      </w:r>
    </w:p>
    <w:p w14:paraId="0FBD3C93">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（5）赛事评分：支持专家账号登录评分和管理员手动输入评分两种模式；支持一键excel导出考试明细，方便教师对考试成绩进行统计。</w:t>
      </w:r>
    </w:p>
    <w:p w14:paraId="438F8DC3">
      <w:pPr>
        <w:spacing w:line="360" w:lineRule="auto"/>
        <w:rPr>
          <w:rFonts w:hint="eastAsia" w:ascii="宋体" w:hAnsi="宋体" w:eastAsia="宋体" w:cs="宋体"/>
          <w:b/>
          <w:bCs/>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数据大屏统计</w:t>
      </w:r>
    </w:p>
    <w:p w14:paraId="243A8A9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rPr>
        <w:t>（1）数据大屏自动统计在线理论考核和赛训实操管</w:t>
      </w:r>
      <w:r>
        <w:rPr>
          <w:rFonts w:hint="eastAsia" w:ascii="宋体" w:hAnsi="宋体" w:eastAsia="宋体" w:cs="宋体"/>
          <w:color w:val="000000" w:themeColor="text1"/>
          <w:sz w:val="21"/>
          <w:szCs w:val="21"/>
          <w14:textFill>
            <w14:solidFill>
              <w14:schemeClr w14:val="tx1"/>
            </w14:solidFill>
          </w14:textFill>
        </w:rPr>
        <w:t>理数据。实时显示理论考核成绩排行榜、实操考核成绩排行榜、赛事完成率、赛事未完成率、赛项数量、赛事状态等信息。形成物联综合大数据并以可视化形式展示，以供参观、决策使用。</w:t>
      </w:r>
    </w:p>
    <w:p w14:paraId="467EF64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（2）数据大屏支持自定义显示前几名人员的信息，头像等；理论实操平均分数等数据进行综合统计分析，月度棒图显示。</w:t>
      </w:r>
    </w:p>
    <w:p w14:paraId="60E6EB8E">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作业活动管理</w:t>
      </w:r>
    </w:p>
    <w:p w14:paraId="7D74542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（1）活动管理：系统可实现实训室活动的管理，并以列表形式列出创建的活动信息（如：活动名称、活动简介、开始时间、结束时间、报名人数、创建时间、活动状态）；并且可以查看报名人员列表的信息 （如：工号、姓名、手机、所属学院）；支持报名人员信息以excel的格式批量导入并提供导入模板。</w:t>
      </w:r>
    </w:p>
    <w:p w14:paraId="24D22B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1"/>
          <w:szCs w:val="21"/>
          <w14:textFill>
            <w14:solidFill>
              <w14:schemeClr w14:val="tx1"/>
            </w14:solidFill>
          </w14:textFill>
        </w:rPr>
        <w:sectPr>
          <w:pgSz w:w="11906" w:h="16838"/>
          <w:pgMar w:top="1440" w:right="1304" w:bottom="1089" w:left="1531" w:header="851" w:footer="992" w:gutter="0"/>
          <w:pgNumType w:fmt="decimal"/>
          <w:cols w:space="720" w:num="1"/>
          <w:docGrid w:linePitch="312" w:charSpace="0"/>
        </w:sectPr>
      </w:pPr>
      <w:r>
        <w:rPr>
          <w:rFonts w:hint="eastAsia" w:ascii="宋体" w:hAnsi="宋体" w:eastAsia="宋体" w:cs="宋体"/>
          <w:color w:val="000000" w:themeColor="text1"/>
          <w:sz w:val="21"/>
          <w:szCs w:val="21"/>
          <w14:textFill>
            <w14:solidFill>
              <w14:schemeClr w14:val="tx1"/>
            </w14:solidFill>
          </w14:textFill>
        </w:rPr>
        <w:t>（2）活动评分：系统支持评委评分，分数显示。</w:t>
      </w:r>
    </w:p>
    <w:p w14:paraId="4101E9A2">
      <w:pPr>
        <w:snapToGrid w:val="0"/>
        <w:spacing w:line="360" w:lineRule="auto"/>
        <w:ind w:firstLine="422" w:firstLineChars="200"/>
        <w:jc w:val="left"/>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标项3：电子电工技能实训建设</w:t>
      </w:r>
      <w:r>
        <w:rPr>
          <w:rFonts w:hint="eastAsia" w:ascii="宋体" w:hAnsi="宋体" w:eastAsia="宋体" w:cs="宋体"/>
          <w:color w:val="auto"/>
          <w:sz w:val="21"/>
          <w:szCs w:val="21"/>
          <w:highlight w:val="none"/>
          <w:u w:val="none"/>
          <w:lang w:val="en-US" w:eastAsia="zh-CN"/>
        </w:rPr>
        <w:t xml:space="preserve"> </w:t>
      </w:r>
    </w:p>
    <w:p w14:paraId="3A9AC013">
      <w:pPr>
        <w:snapToGrid w:val="0"/>
        <w:spacing w:line="360" w:lineRule="auto"/>
        <w:ind w:firstLine="420" w:firstLineChars="200"/>
        <w:jc w:val="left"/>
        <w:outlineLvl w:val="2"/>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项目预（概）算</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54.6万元</w:t>
      </w:r>
    </w:p>
    <w:p w14:paraId="7F0EED1E">
      <w:pPr>
        <w:snapToGrid w:val="0"/>
        <w:spacing w:line="360" w:lineRule="auto"/>
        <w:ind w:firstLine="422" w:firstLineChars="200"/>
        <w:jc w:val="left"/>
        <w:outlineLvl w:val="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二、采购内容</w:t>
      </w:r>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5074"/>
        <w:gridCol w:w="825"/>
        <w:gridCol w:w="825"/>
        <w:gridCol w:w="1490"/>
      </w:tblGrid>
      <w:tr w14:paraId="50C5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8" w:type="dxa"/>
            <w:noWrap w:val="0"/>
            <w:vAlign w:val="center"/>
          </w:tcPr>
          <w:p w14:paraId="00D6A0BC">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序号</w:t>
            </w:r>
          </w:p>
        </w:tc>
        <w:tc>
          <w:tcPr>
            <w:tcW w:w="5074" w:type="dxa"/>
            <w:noWrap w:val="0"/>
            <w:vAlign w:val="center"/>
          </w:tcPr>
          <w:p w14:paraId="488AAB05">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设备名称</w:t>
            </w:r>
          </w:p>
        </w:tc>
        <w:tc>
          <w:tcPr>
            <w:tcW w:w="825" w:type="dxa"/>
            <w:noWrap w:val="0"/>
            <w:vAlign w:val="center"/>
          </w:tcPr>
          <w:p w14:paraId="5019D35D">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数量</w:t>
            </w:r>
          </w:p>
        </w:tc>
        <w:tc>
          <w:tcPr>
            <w:tcW w:w="825" w:type="dxa"/>
            <w:noWrap w:val="0"/>
            <w:vAlign w:val="center"/>
          </w:tcPr>
          <w:p w14:paraId="7AC1EF1B">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单位</w:t>
            </w:r>
          </w:p>
        </w:tc>
        <w:tc>
          <w:tcPr>
            <w:tcW w:w="1490" w:type="dxa"/>
            <w:noWrap w:val="0"/>
            <w:vAlign w:val="center"/>
          </w:tcPr>
          <w:p w14:paraId="407150E9">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备注</w:t>
            </w:r>
          </w:p>
        </w:tc>
      </w:tr>
      <w:tr w14:paraId="0170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8" w:type="dxa"/>
            <w:noWrap w:val="0"/>
            <w:vAlign w:val="center"/>
          </w:tcPr>
          <w:p w14:paraId="685D857D">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1</w:t>
            </w:r>
          </w:p>
        </w:tc>
        <w:tc>
          <w:tcPr>
            <w:tcW w:w="5074" w:type="dxa"/>
            <w:noWrap w:val="0"/>
            <w:vAlign w:val="center"/>
          </w:tcPr>
          <w:p w14:paraId="7C592DD4">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电子电工综合装调与应用实训平台</w:t>
            </w:r>
          </w:p>
        </w:tc>
        <w:tc>
          <w:tcPr>
            <w:tcW w:w="825" w:type="dxa"/>
            <w:noWrap w:val="0"/>
            <w:vAlign w:val="center"/>
          </w:tcPr>
          <w:p w14:paraId="44B4E3F7">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825" w:type="dxa"/>
            <w:noWrap w:val="0"/>
            <w:vAlign w:val="center"/>
          </w:tcPr>
          <w:p w14:paraId="14015F57">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套</w:t>
            </w:r>
          </w:p>
        </w:tc>
        <w:tc>
          <w:tcPr>
            <w:tcW w:w="1490" w:type="dxa"/>
            <w:noWrap w:val="0"/>
            <w:vAlign w:val="center"/>
          </w:tcPr>
          <w:p w14:paraId="5A87C293">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p>
        </w:tc>
      </w:tr>
      <w:tr w14:paraId="4CD1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8" w:type="dxa"/>
            <w:noWrap w:val="0"/>
            <w:vAlign w:val="center"/>
          </w:tcPr>
          <w:p w14:paraId="24A50D80">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2</w:t>
            </w:r>
          </w:p>
        </w:tc>
        <w:tc>
          <w:tcPr>
            <w:tcW w:w="5074" w:type="dxa"/>
            <w:noWrap w:val="0"/>
            <w:vAlign w:val="center"/>
          </w:tcPr>
          <w:p w14:paraId="7731D5E1">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项目实施配套资源建设</w:t>
            </w:r>
          </w:p>
        </w:tc>
        <w:tc>
          <w:tcPr>
            <w:tcW w:w="825" w:type="dxa"/>
            <w:noWrap w:val="0"/>
            <w:vAlign w:val="center"/>
          </w:tcPr>
          <w:p w14:paraId="79F18F87">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1</w:t>
            </w:r>
          </w:p>
        </w:tc>
        <w:tc>
          <w:tcPr>
            <w:tcW w:w="825" w:type="dxa"/>
            <w:noWrap w:val="0"/>
            <w:vAlign w:val="center"/>
          </w:tcPr>
          <w:p w14:paraId="0C6627ED">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仿宋"/>
              </w:rPr>
              <w:t>项</w:t>
            </w:r>
          </w:p>
        </w:tc>
        <w:tc>
          <w:tcPr>
            <w:tcW w:w="1490" w:type="dxa"/>
            <w:noWrap w:val="0"/>
            <w:vAlign w:val="center"/>
          </w:tcPr>
          <w:p w14:paraId="0353FB7C">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p>
        </w:tc>
      </w:tr>
      <w:tr w14:paraId="2DEC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8" w:type="dxa"/>
            <w:noWrap w:val="0"/>
            <w:vAlign w:val="center"/>
          </w:tcPr>
          <w:p w14:paraId="5FC7B491">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5074" w:type="dxa"/>
            <w:noWrap w:val="0"/>
            <w:vAlign w:val="center"/>
          </w:tcPr>
          <w:p w14:paraId="59AD4369">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r>
              <w:rPr>
                <w:rFonts w:hint="eastAsia" w:ascii="仿宋" w:hAnsi="仿宋" w:eastAsia="仿宋" w:cs="宋体"/>
                <w:szCs w:val="21"/>
              </w:rPr>
              <w:t>实训室</w:t>
            </w:r>
            <w:r>
              <w:rPr>
                <w:rFonts w:hint="eastAsia" w:ascii="仿宋" w:hAnsi="仿宋" w:eastAsia="仿宋" w:cs="宋体"/>
                <w:szCs w:val="21"/>
                <w:lang w:val="en-US" w:eastAsia="zh-CN"/>
              </w:rPr>
              <w:t>文化及综合布线</w:t>
            </w:r>
            <w:r>
              <w:rPr>
                <w:rFonts w:hint="eastAsia" w:ascii="仿宋" w:hAnsi="仿宋" w:eastAsia="仿宋" w:cs="宋体"/>
                <w:szCs w:val="21"/>
              </w:rPr>
              <w:t>建设</w:t>
            </w:r>
          </w:p>
        </w:tc>
        <w:tc>
          <w:tcPr>
            <w:tcW w:w="825" w:type="dxa"/>
            <w:noWrap w:val="0"/>
            <w:vAlign w:val="center"/>
          </w:tcPr>
          <w:p w14:paraId="2FD29D7A">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825" w:type="dxa"/>
            <w:noWrap w:val="0"/>
            <w:vAlign w:val="center"/>
          </w:tcPr>
          <w:p w14:paraId="7840BEFE">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lang w:val="en-US" w:eastAsia="zh-CN"/>
              </w:rPr>
            </w:pPr>
            <w:r>
              <w:rPr>
                <w:rFonts w:hint="eastAsia" w:ascii="仿宋" w:hAnsi="仿宋" w:eastAsia="仿宋" w:cs="仿宋"/>
                <w:lang w:val="en-US" w:eastAsia="zh-CN"/>
              </w:rPr>
              <w:t>项</w:t>
            </w:r>
          </w:p>
        </w:tc>
        <w:tc>
          <w:tcPr>
            <w:tcW w:w="1490" w:type="dxa"/>
            <w:noWrap w:val="0"/>
            <w:vAlign w:val="center"/>
          </w:tcPr>
          <w:p w14:paraId="7BAD8631">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rPr>
            </w:pPr>
          </w:p>
        </w:tc>
      </w:tr>
    </w:tbl>
    <w:p w14:paraId="3113CEC7">
      <w:pPr>
        <w:snapToGrid w:val="0"/>
        <w:spacing w:line="4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标项3主要采购内容及技术参数要求</w:t>
      </w:r>
    </w:p>
    <w:p w14:paraId="317192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708B85A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 电子电工综合装调与应用实训平台</w:t>
      </w:r>
    </w:p>
    <w:p w14:paraId="200DCB66">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、简述</w:t>
      </w:r>
    </w:p>
    <w:p w14:paraId="0030A46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实训装置要求主要由实训桌、控制屏、电气考核板和电子技能套件等组成，电气考核板可以根据操作者身高和操作习惯进行角度调节，符合人机工程需求。</w:t>
      </w:r>
    </w:p>
    <w:p w14:paraId="61662A8D">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、设备主要参数要求</w:t>
      </w:r>
    </w:p>
    <w:p w14:paraId="627CFF52">
      <w:pPr>
        <w:numPr>
          <w:ilvl w:val="0"/>
          <w:numId w:val="62"/>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工作电源要求：三相五线AC380V±10%  50Hz；</w:t>
      </w:r>
    </w:p>
    <w:p w14:paraId="4A7104B8">
      <w:pPr>
        <w:numPr>
          <w:ilvl w:val="0"/>
          <w:numId w:val="62"/>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工作环境要求：温度-10℃～+40℃  相对湿度＜85%(25℃)  海拔＜4000m；</w:t>
      </w:r>
    </w:p>
    <w:p w14:paraId="36D5FE1B">
      <w:pPr>
        <w:numPr>
          <w:ilvl w:val="0"/>
          <w:numId w:val="62"/>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装置容量要求：＜1.5kVA；</w:t>
      </w:r>
    </w:p>
    <w:p w14:paraId="358588F1">
      <w:pPr>
        <w:numPr>
          <w:ilvl w:val="0"/>
          <w:numId w:val="62"/>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外形尺寸要求：1650mm</w:t>
      </w:r>
      <w:r>
        <w:rPr>
          <w:rFonts w:hint="eastAsia" w:ascii="宋体" w:hAnsi="宋体" w:eastAsia="宋体" w:cs="宋体"/>
          <w:color w:val="auto"/>
          <w:sz w:val="21"/>
          <w:szCs w:val="21"/>
          <w:highlight w:val="none"/>
          <w:lang w:val="en-US" w:eastAsia="zh-CN"/>
        </w:rPr>
        <w:t>(±10mm)</w:t>
      </w:r>
      <w:r>
        <w:rPr>
          <w:rFonts w:hint="eastAsia" w:ascii="宋体" w:hAnsi="宋体" w:eastAsia="宋体" w:cs="宋体"/>
          <w:color w:val="auto"/>
          <w:sz w:val="21"/>
          <w:szCs w:val="21"/>
          <w:highlight w:val="none"/>
        </w:rPr>
        <w:t>×1050mm</w:t>
      </w:r>
      <w:r>
        <w:rPr>
          <w:rFonts w:hint="eastAsia" w:ascii="宋体" w:hAnsi="宋体" w:eastAsia="宋体" w:cs="宋体"/>
          <w:color w:val="auto"/>
          <w:sz w:val="21"/>
          <w:szCs w:val="21"/>
          <w:highlight w:val="none"/>
          <w:lang w:val="en-US" w:eastAsia="zh-CN"/>
        </w:rPr>
        <w:t>(±10mm)</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00mm</w:t>
      </w:r>
      <w:r>
        <w:rPr>
          <w:rFonts w:hint="eastAsia" w:ascii="宋体" w:hAnsi="宋体" w:eastAsia="宋体" w:cs="宋体"/>
          <w:color w:val="auto"/>
          <w:sz w:val="21"/>
          <w:szCs w:val="21"/>
          <w:highlight w:val="none"/>
          <w:lang w:val="en-US" w:eastAsia="zh-CN"/>
        </w:rPr>
        <w:t>(±30mm)</w:t>
      </w:r>
      <w:r>
        <w:rPr>
          <w:rFonts w:hint="eastAsia" w:ascii="宋体" w:hAnsi="宋体" w:eastAsia="宋体" w:cs="宋体"/>
          <w:color w:val="auto"/>
          <w:sz w:val="21"/>
          <w:szCs w:val="21"/>
          <w:highlight w:val="none"/>
        </w:rPr>
        <w:t>；</w:t>
      </w:r>
    </w:p>
    <w:p w14:paraId="0235B352">
      <w:pPr>
        <w:numPr>
          <w:ilvl w:val="0"/>
          <w:numId w:val="62"/>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安全保护要求：具有接地、漏电压、漏电流保护，安全指标符合国家标准；</w:t>
      </w:r>
    </w:p>
    <w:p w14:paraId="6B0AEEDA">
      <w:pPr>
        <w:numPr>
          <w:ilvl w:val="0"/>
          <w:numId w:val="62"/>
        </w:numPr>
        <w:spacing w:line="360" w:lineRule="auto"/>
        <w:ind w:left="425" w:leftChars="0" w:hanging="425"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设备主机控制终端要求：内存不小于16g ,外存不小于500g 。</w:t>
      </w:r>
    </w:p>
    <w:p w14:paraId="100D9217">
      <w:pPr>
        <w:numPr>
          <w:ilvl w:val="0"/>
          <w:numId w:val="62"/>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r>
        <w:rPr>
          <w:rFonts w:hint="eastAsia" w:ascii="宋体" w:hAnsi="宋体" w:eastAsia="宋体" w:cs="宋体"/>
          <w:color w:val="auto"/>
          <w:sz w:val="21"/>
          <w:szCs w:val="21"/>
          <w:highlight w:val="none"/>
          <w:lang w:eastAsia="zh-CN"/>
        </w:rPr>
        <w:t>省级</w:t>
      </w:r>
      <w:r>
        <w:rPr>
          <w:rFonts w:hint="eastAsia" w:ascii="宋体" w:hAnsi="宋体" w:eastAsia="宋体" w:cs="宋体"/>
          <w:color w:val="auto"/>
          <w:sz w:val="21"/>
          <w:szCs w:val="21"/>
          <w:highlight w:val="none"/>
        </w:rPr>
        <w:t>职业院校电子电路安装与调试技能相关竞赛技术参数要求。</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自行</w:t>
      </w:r>
      <w:r>
        <w:rPr>
          <w:rFonts w:hint="eastAsia" w:ascii="宋体" w:hAnsi="宋体" w:eastAsia="宋体" w:cs="宋体"/>
          <w:b/>
          <w:bCs/>
          <w:color w:val="auto"/>
          <w:spacing w:val="0"/>
          <w:kern w:val="0"/>
          <w:sz w:val="21"/>
          <w:szCs w:val="21"/>
          <w:highlight w:val="none"/>
        </w:rPr>
        <w:t>提供证明材料</w:t>
      </w:r>
      <w:r>
        <w:rPr>
          <w:rFonts w:hint="eastAsia" w:ascii="宋体" w:hAnsi="宋体" w:eastAsia="宋体" w:cs="宋体"/>
          <w:b/>
          <w:bCs/>
          <w:color w:val="auto"/>
          <w:sz w:val="21"/>
          <w:szCs w:val="21"/>
          <w:highlight w:val="none"/>
          <w:lang w:eastAsia="zh-CN"/>
        </w:rPr>
        <w:t>）</w:t>
      </w:r>
    </w:p>
    <w:p w14:paraId="3173E913">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、设备组成及功能要求</w:t>
      </w:r>
    </w:p>
    <w:p w14:paraId="5183B897">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实训装置要求由实训桌、控制屏、电气考核板、电子技能套件、综合实训套件、工具等组成，电气考核板可以根据操作者身高和操作习惯进行角度调节，符合人机工程需求。</w:t>
      </w:r>
    </w:p>
    <w:p w14:paraId="56CF895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）实训桌要求</w:t>
      </w:r>
    </w:p>
    <w:p w14:paraId="5B36A53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主体部分要求采用优质钢管和钢板做骨架，经过机械加工成型，外表面喷涂彩色环氧聚塑处理。桌体要求配有储物抽屉、储物柜、电脑柜和键盘托盘，配有带刹车的万向轮，方便移动和固定。</w:t>
      </w:r>
    </w:p>
    <w:p w14:paraId="17B3297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）电源控制屏要求</w:t>
      </w:r>
    </w:p>
    <w:p w14:paraId="1E82DE1E">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控制屏电源模块要求提供三相五线电源，采用航空插座结构输入，控制屏采用厚度＞1.5mm的优级钢板焊接而成，表面经磷化酸洗防锈喷塑处理，外观颜色要美观大方。电源输入经漏电保护器，通过刷卡模块控制接触器通断来控制电源控制屏的交流电源输出（并具有可通过上位机软件进行统一控制功能），并设有急停按钮。强电部分具有短路报警装置。</w:t>
      </w:r>
    </w:p>
    <w:p w14:paraId="23361DF7">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电源经漏电保护器后有设备通电指示，表示电进入正常；</w:t>
      </w:r>
    </w:p>
    <w:p w14:paraId="3CD8C436">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控制屏配有智能触摸屏，智能触摸屏具有运行DGUS II系统，工业级产品。5.0英寸，800*480分辨率，16.7M色，IPS屏，宽视角。支持RS232与RS485通信。电阻触摸屏。带三防工艺。CPU具有512kB存储，擦写次数大于十万次，16MB闪存，可以扩展64MBflashJI接口，预留WIFI模块，支持RS485接口。能够计算设备常用电源的电压电流和功率使用情况，涵盖设备信息包括产品型号、名称、出厂日期、厂商联系方式、设备操作说明等信息。</w:t>
      </w:r>
    </w:p>
    <w:p w14:paraId="3001C19F">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电源控制屏上要求提供AC36V三相交流电源，1路DC24V、±DC12V、±DC5V直流电源，1路0～15V直流可调恒压源，1路0-20毫安直流可调恒流源，采用安全导线插座接口，可通过安全实验导线进行电源的供给。</w:t>
      </w:r>
    </w:p>
    <w:p w14:paraId="22CCFE8E">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电源控制屏上要求配有AC220V防触电插座，可为外配设备提供工作电源。</w:t>
      </w:r>
    </w:p>
    <w:p w14:paraId="2BEC3F40">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lang w:val="en-US" w:eastAsia="zh-CN"/>
        </w:rPr>
        <w:t xml:space="preserve">设备主机控制终端要求：内存不小于16g ,外存不小于500g </w:t>
      </w:r>
    </w:p>
    <w:p w14:paraId="7DEBCD5D">
      <w:pPr>
        <w:numPr>
          <w:ilvl w:val="0"/>
          <w:numId w:val="63"/>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电源控制屏上方要求配有照明灯带，照明工作台面方便完成手工作业。</w:t>
      </w:r>
    </w:p>
    <w:p w14:paraId="3010D0ED">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）电气考核板要求</w:t>
      </w:r>
    </w:p>
    <w:p w14:paraId="1CCC1D9A">
      <w:pPr>
        <w:numPr>
          <w:ilvl w:val="0"/>
          <w:numId w:val="64"/>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器件要求</w:t>
      </w:r>
    </w:p>
    <w:p w14:paraId="45F53DEC">
      <w:pPr>
        <w:spacing w:line="360" w:lineRule="auto"/>
        <w:rPr>
          <w:rFonts w:hint="eastAsia" w:ascii="宋体" w:hAnsi="宋体" w:eastAsia="宋体" w:cs="宋体"/>
          <w:b/>
          <w:bCs/>
          <w:color w:val="auto"/>
          <w:spacing w:val="0"/>
          <w:kern w:val="0"/>
          <w:sz w:val="21"/>
          <w:szCs w:val="21"/>
          <w:highlight w:val="yellow"/>
          <w:lang w:val="en-US" w:eastAsia="zh-CN"/>
        </w:rPr>
      </w:pPr>
      <w:r>
        <w:rPr>
          <w:rFonts w:hint="eastAsia" w:ascii="宋体" w:hAnsi="宋体" w:eastAsia="宋体" w:cs="宋体"/>
          <w:sz w:val="21"/>
          <w:szCs w:val="21"/>
        </w:rPr>
        <w:t>★电气板用于学生电气接线实训和考核。电气板上要求配有PLC、空气开关、熔断器、交流接触器、时间继电器、热继电器、按钮、指示灯等各种实训所需的元器件，且要求所有器件的接线都在接线端子排上进行</w:t>
      </w:r>
      <w:r>
        <w:rPr>
          <w:rFonts w:hint="eastAsia" w:ascii="宋体" w:hAnsi="宋体" w:eastAsia="宋体" w:cs="宋体"/>
          <w:color w:val="auto"/>
          <w:sz w:val="21"/>
          <w:szCs w:val="21"/>
        </w:rPr>
        <w:t>接线，避免了因长期在器件本身进行走线而导致元器件的损坏，通过走线槽进行走线，进行工艺布线</w:t>
      </w:r>
      <w:r>
        <w:rPr>
          <w:rFonts w:hint="eastAsia" w:ascii="宋体" w:hAnsi="宋体" w:eastAsia="宋体" w:cs="宋体"/>
          <w:color w:val="auto"/>
          <w:sz w:val="21"/>
          <w:szCs w:val="21"/>
          <w:lang w:eastAsia="zh-CN"/>
        </w:rPr>
        <w:t>（</w:t>
      </w:r>
      <w:r>
        <w:rPr>
          <w:rFonts w:hint="eastAsia" w:ascii="宋体" w:hAnsi="宋体" w:eastAsia="宋体" w:cs="宋体"/>
          <w:b/>
          <w:bCs/>
          <w:color w:val="auto"/>
          <w:spacing w:val="0"/>
          <w:kern w:val="0"/>
          <w:sz w:val="21"/>
          <w:szCs w:val="21"/>
          <w:highlight w:val="none"/>
        </w:rPr>
        <w:t>提供</w:t>
      </w:r>
      <w:r>
        <w:rPr>
          <w:rFonts w:hint="eastAsia" w:ascii="宋体" w:hAnsi="宋体" w:eastAsia="宋体" w:cs="宋体"/>
          <w:b/>
          <w:bCs/>
          <w:color w:val="auto"/>
          <w:spacing w:val="0"/>
          <w:kern w:val="0"/>
          <w:sz w:val="21"/>
          <w:szCs w:val="21"/>
          <w:highlight w:val="none"/>
          <w:lang w:val="en-US" w:eastAsia="zh-CN"/>
        </w:rPr>
        <w:t>真实图片</w:t>
      </w:r>
      <w:r>
        <w:rPr>
          <w:rFonts w:hint="eastAsia" w:ascii="宋体" w:hAnsi="宋体" w:eastAsia="宋体" w:cs="宋体"/>
          <w:color w:val="auto"/>
          <w:sz w:val="21"/>
          <w:szCs w:val="21"/>
          <w:lang w:eastAsia="zh-CN"/>
        </w:rPr>
        <w:t>）</w:t>
      </w:r>
      <w:r>
        <w:rPr>
          <w:rFonts w:hint="eastAsia" w:ascii="宋体" w:hAnsi="宋体" w:eastAsia="宋体" w:cs="宋体"/>
          <w:b/>
          <w:bCs/>
          <w:color w:val="auto"/>
          <w:spacing w:val="0"/>
          <w:kern w:val="0"/>
          <w:sz w:val="21"/>
          <w:szCs w:val="21"/>
          <w:highlight w:val="none"/>
          <w:lang w:val="en-US" w:eastAsia="zh-CN"/>
        </w:rPr>
        <w:t>。</w:t>
      </w:r>
    </w:p>
    <w:p w14:paraId="01CBB5E7">
      <w:pPr>
        <w:numPr>
          <w:ilvl w:val="0"/>
          <w:numId w:val="6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PLC：集成不少于16路数字量输入/16路数字量继电器输出，内置不低于64000步RAM存储器、7680点辅助继电器、512点定时器、2点模拟量电位器、高速计数器，集成RS422接口，支持RS232、RS422、RS485、N:N网络、MODBUS、CC-LinK通讯，配有通信编程电缆，预装相应品牌PLC的编程软件，并完成功能调试。</w:t>
      </w:r>
    </w:p>
    <w:p w14:paraId="3EC6672B">
      <w:pPr>
        <w:numPr>
          <w:ilvl w:val="0"/>
          <w:numId w:val="6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触摸屏：供电电压24±20%VDC，Cortex-A7 CPU，主频800MHz,内存256M；7英寸高亮度TFT液晶显示屏，分辨率800×480，四线电阻式触摸屏（分辨率4096×4096）；集成以太网接口、RS232、RS485、USB接口，能够使学员了解工业触摸屏的功能及使用方法、掌握与PLC之间的通信知识，并掌握复位、置位、交替等功能键、图形（曲线）显示、动态画面跟踪在触摸屏中的实现方法。要求可以和PLC组建PROFINET网络，预装相应品牌的触摸屏编程软件和组态软件，并完成功能调试。</w:t>
      </w:r>
    </w:p>
    <w:p w14:paraId="26584609">
      <w:pPr>
        <w:numPr>
          <w:ilvl w:val="0"/>
          <w:numId w:val="65"/>
        </w:numPr>
        <w:spacing w:line="360" w:lineRule="auto"/>
        <w:ind w:left="425" w:leftChars="0" w:hanging="425"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控制终端要求：内存不小于16g ,外存不小于500g。</w:t>
      </w:r>
    </w:p>
    <w:p w14:paraId="400D3EB9">
      <w:pPr>
        <w:numPr>
          <w:ilvl w:val="0"/>
          <w:numId w:val="64"/>
        </w:numPr>
        <w:spacing w:line="360" w:lineRule="auto"/>
        <w:ind w:left="0" w:leftChars="0" w:firstLine="4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★升降控制要求</w:t>
      </w:r>
    </w:p>
    <w:p w14:paraId="7F376554">
      <w:pPr>
        <w:numPr>
          <w:ilvl w:val="0"/>
          <w:numId w:val="64"/>
        </w:numPr>
        <w:spacing w:line="360" w:lineRule="auto"/>
        <w:ind w:left="0" w:leftChars="0" w:firstLine="40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电气板的活动范围由电动推杆来控制，通过控制电源控制屏上的上升、下降按钮来控制电气板的调角度节（调节范围0～45°）。学生可以根据身高和操作习惯进行角度调节，符合人机工程需求</w:t>
      </w:r>
      <w:r>
        <w:rPr>
          <w:rFonts w:hint="eastAsia" w:ascii="宋体" w:hAnsi="宋体" w:eastAsia="宋体" w:cs="宋体"/>
          <w:color w:val="auto"/>
          <w:sz w:val="21"/>
          <w:szCs w:val="21"/>
          <w:lang w:eastAsia="zh-CN"/>
        </w:rPr>
        <w:t>（</w:t>
      </w:r>
      <w:r>
        <w:rPr>
          <w:rFonts w:hint="eastAsia" w:ascii="宋体" w:hAnsi="宋体" w:eastAsia="宋体" w:cs="宋体"/>
          <w:b/>
          <w:bCs/>
          <w:color w:val="auto"/>
          <w:spacing w:val="0"/>
          <w:kern w:val="0"/>
          <w:sz w:val="21"/>
          <w:szCs w:val="21"/>
          <w:highlight w:val="none"/>
        </w:rPr>
        <w:t>提供</w:t>
      </w:r>
      <w:r>
        <w:rPr>
          <w:rFonts w:hint="eastAsia" w:ascii="宋体" w:hAnsi="宋体" w:eastAsia="宋体" w:cs="宋体"/>
          <w:b/>
          <w:bCs/>
          <w:color w:val="auto"/>
          <w:spacing w:val="0"/>
          <w:kern w:val="0"/>
          <w:sz w:val="21"/>
          <w:szCs w:val="21"/>
          <w:highlight w:val="none"/>
          <w:lang w:val="en-US" w:eastAsia="zh-CN"/>
        </w:rPr>
        <w:t>真实图片</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lang w:val="en-US" w:eastAsia="zh-CN"/>
        </w:rPr>
        <w:t>。</w:t>
      </w:r>
    </w:p>
    <w:p w14:paraId="2FF95A5C">
      <w:pPr>
        <w:numPr>
          <w:ilvl w:val="0"/>
          <w:numId w:val="64"/>
        </w:numPr>
        <w:spacing w:line="360" w:lineRule="auto"/>
        <w:ind w:left="0" w:leftChars="0" w:firstLine="40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★要求配备不少于400路信号采集模块，安装于考核板背部，不影响正面实训操作</w:t>
      </w:r>
      <w:r>
        <w:rPr>
          <w:rFonts w:hint="eastAsia" w:ascii="宋体" w:hAnsi="宋体" w:eastAsia="宋体" w:cs="宋体"/>
          <w:color w:val="auto"/>
          <w:sz w:val="21"/>
          <w:szCs w:val="21"/>
          <w:lang w:eastAsia="zh-CN"/>
        </w:rPr>
        <w:t>（</w:t>
      </w:r>
      <w:r>
        <w:rPr>
          <w:rFonts w:hint="eastAsia" w:ascii="宋体" w:hAnsi="宋体" w:eastAsia="宋体" w:cs="宋体"/>
          <w:b/>
          <w:bCs/>
          <w:color w:val="auto"/>
          <w:spacing w:val="0"/>
          <w:kern w:val="0"/>
          <w:sz w:val="21"/>
          <w:szCs w:val="21"/>
          <w:highlight w:val="none"/>
        </w:rPr>
        <w:t>提供</w:t>
      </w:r>
      <w:r>
        <w:rPr>
          <w:rFonts w:hint="eastAsia" w:ascii="宋体" w:hAnsi="宋体" w:eastAsia="宋体" w:cs="宋体"/>
          <w:b/>
          <w:bCs/>
          <w:color w:val="auto"/>
          <w:spacing w:val="0"/>
          <w:kern w:val="0"/>
          <w:sz w:val="21"/>
          <w:szCs w:val="21"/>
          <w:highlight w:val="none"/>
          <w:lang w:val="en-US" w:eastAsia="zh-CN"/>
        </w:rPr>
        <w:t>真实图片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highlight w:val="none"/>
          <w:lang w:val="en-US" w:eastAsia="zh-CN"/>
        </w:rPr>
        <w:t>。</w:t>
      </w:r>
    </w:p>
    <w:p w14:paraId="246E4E5B">
      <w:pPr>
        <w:numPr>
          <w:ilvl w:val="0"/>
          <w:numId w:val="64"/>
        </w:numPr>
        <w:spacing w:line="360" w:lineRule="auto"/>
        <w:ind w:left="0" w:leftChars="0" w:firstLine="4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要求配备线路隔离控制器，不少于400路信号隔离控制，通过工业柔性电缆与信号采集板进行连接；</w:t>
      </w:r>
    </w:p>
    <w:p w14:paraId="22827DFE">
      <w:pPr>
        <w:numPr>
          <w:ilvl w:val="0"/>
          <w:numId w:val="64"/>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要求配备自动检测主板，采用32位控制器进行检测运算，内部进行主从通讯，通过线路隔离控制器，达到线路检测的目的，主板连接WiFi串口服务器与教师机进行通讯；</w:t>
      </w:r>
    </w:p>
    <w:p w14:paraId="2BF98056">
      <w:pPr>
        <w:numPr>
          <w:ilvl w:val="0"/>
          <w:numId w:val="64"/>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考核系统要求采用独立电源供电，避免与实训器件发生干扰；</w:t>
      </w:r>
    </w:p>
    <w:p w14:paraId="390E5E51">
      <w:pPr>
        <w:numPr>
          <w:ilvl w:val="0"/>
          <w:numId w:val="64"/>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实训人员完成接线后，要求能够在软件界面确认，检测主板进行检测工作，自动判断学生接线情况，可实现对学生接线的接线次数、接线数量、接对数量、错误连线等信息进行可视化的显示，当检测出操作人员接线错误时，安全插座不会输出电源，可对实训设备以及实训人员的安全进行保护。当设备接线正确时，设备上电，实训人员操作实训设备，验证电路运行情况。</w:t>
      </w:r>
    </w:p>
    <w:p w14:paraId="22949390">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）电子实训套件要求</w:t>
      </w:r>
    </w:p>
    <w:p w14:paraId="23F15A67">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套件模块面板要求采用PCB板制作而成，器件和信号接口均已引至板上的专用插座，实训模块有四个弹性插脚，与专用实训孔板配套使用。</w:t>
      </w:r>
    </w:p>
    <w:p w14:paraId="25BD7322">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①</w:t>
      </w:r>
      <w:r>
        <w:rPr>
          <w:rFonts w:hint="eastAsia" w:ascii="宋体" w:hAnsi="宋体" w:eastAsia="宋体" w:cs="宋体"/>
          <w:sz w:val="21"/>
          <w:szCs w:val="21"/>
          <w:lang w:eastAsia="zh-CN"/>
        </w:rPr>
        <w:t>.</w:t>
      </w:r>
      <w:r>
        <w:rPr>
          <w:rFonts w:hint="eastAsia" w:ascii="宋体" w:hAnsi="宋体" w:eastAsia="宋体" w:cs="宋体"/>
          <w:sz w:val="21"/>
          <w:szCs w:val="21"/>
        </w:rPr>
        <w:t>数码管控制电路要求</w:t>
      </w:r>
    </w:p>
    <w:p w14:paraId="23B7638A">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主要功能说明：本电路是异步清零、同步预置、四位二进制加计数显示器，电路由脉冲输入电路、计数电路、译码驱动电路、数码显示电路组成。可进行稳压电源和计数显示电路的焊接、调试和检测实训。</w:t>
      </w:r>
    </w:p>
    <w:p w14:paraId="56B4EA0B">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w:t>
      </w:r>
      <w:r>
        <w:rPr>
          <w:rFonts w:hint="eastAsia" w:ascii="宋体" w:hAnsi="宋体" w:eastAsia="宋体" w:cs="宋体"/>
          <w:sz w:val="21"/>
          <w:szCs w:val="21"/>
        </w:rPr>
        <w:t>助听器电路要求</w:t>
      </w:r>
    </w:p>
    <w:p w14:paraId="0A024C21">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主要功能说明：主要由话筒、前置低放、功率放大电路和耳机等组成，可进行助听器电路的总装、调试和检测实训。</w:t>
      </w:r>
    </w:p>
    <w:p w14:paraId="641ED3CC">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③.</w:t>
      </w:r>
      <w:r>
        <w:rPr>
          <w:rFonts w:hint="eastAsia" w:ascii="宋体" w:hAnsi="宋体" w:eastAsia="宋体" w:cs="宋体"/>
          <w:sz w:val="21"/>
          <w:szCs w:val="21"/>
        </w:rPr>
        <w:t>OCL功率放大电路、NE555振荡电路要求</w:t>
      </w:r>
    </w:p>
    <w:p w14:paraId="7EB33286">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主要功能说明：主要由OCL功率放大电路、NE555振荡电路等电路组成。电路工作后，可在输出端产生一定频率的矩形波。</w:t>
      </w:r>
    </w:p>
    <w:p w14:paraId="511CABCF">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③.</w:t>
      </w:r>
      <w:r>
        <w:rPr>
          <w:rFonts w:hint="eastAsia" w:ascii="宋体" w:hAnsi="宋体" w:eastAsia="宋体" w:cs="宋体"/>
          <w:sz w:val="21"/>
          <w:szCs w:val="21"/>
        </w:rPr>
        <w:t>信号源与电动机驱动焊接要求</w:t>
      </w:r>
    </w:p>
    <w:p w14:paraId="13032DA8">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主要功能说明：本电路由电机驱动电路和信号源电路组成，发光二极管构成模拟电机，红灯亮表示模拟电机处于正转状态，绿灯亮表示模拟电机处于反转状态。可进行电路的焊接、调试和电路数据的测试实训。</w:t>
      </w:r>
    </w:p>
    <w:p w14:paraId="1C439899">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⑤.</w:t>
      </w:r>
      <w:r>
        <w:rPr>
          <w:rFonts w:hint="eastAsia" w:ascii="宋体" w:hAnsi="宋体" w:eastAsia="宋体" w:cs="宋体"/>
          <w:sz w:val="21"/>
          <w:szCs w:val="21"/>
        </w:rPr>
        <w:t>触发器电路要求</w:t>
      </w:r>
    </w:p>
    <w:p w14:paraId="36AF9C94">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主要功能说明：通过对元器件的认识、电路板的焊接和调试，掌握触发器的工作原理，对电路进行检测和判断。</w:t>
      </w:r>
    </w:p>
    <w:p w14:paraId="406ECF63">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⑥.</w:t>
      </w:r>
      <w:r>
        <w:rPr>
          <w:rFonts w:hint="eastAsia" w:ascii="宋体" w:hAnsi="宋体" w:eastAsia="宋体" w:cs="宋体"/>
          <w:sz w:val="21"/>
          <w:szCs w:val="21"/>
        </w:rPr>
        <w:t>光控流水灯电路要求</w:t>
      </w:r>
    </w:p>
    <w:p w14:paraId="1789E286">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主要功能说明：该电路利用可调电阻、光敏电阻对光控灵敏度调节、流水灯亮起间隔时间和开启时间进行调节。可进行电路的创新设计、焊接、调试和检测实训。</w:t>
      </w:r>
    </w:p>
    <w:p w14:paraId="53420ACB">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⑦</w:t>
      </w:r>
      <w:r>
        <w:rPr>
          <w:rFonts w:hint="eastAsia" w:ascii="宋体" w:hAnsi="宋体" w:eastAsia="宋体" w:cs="宋体"/>
          <w:sz w:val="21"/>
          <w:szCs w:val="21"/>
          <w:lang w:eastAsia="zh-CN"/>
        </w:rPr>
        <w:t>.</w:t>
      </w:r>
      <w:r>
        <w:rPr>
          <w:rFonts w:hint="eastAsia" w:ascii="宋体" w:hAnsi="宋体" w:eastAsia="宋体" w:cs="宋体"/>
          <w:sz w:val="21"/>
          <w:szCs w:val="21"/>
        </w:rPr>
        <w:t>无线传感隧道栏杆及红外限高检测电路要求</w:t>
      </w:r>
    </w:p>
    <w:p w14:paraId="5D352E82">
      <w:pPr>
        <w:spacing w:line="360" w:lineRule="auto"/>
        <w:rPr>
          <w:rFonts w:hint="eastAsia" w:ascii="宋体" w:hAnsi="宋体" w:eastAsia="宋体" w:cs="宋体"/>
          <w:sz w:val="21"/>
          <w:szCs w:val="21"/>
        </w:rPr>
      </w:pPr>
      <w:r>
        <w:rPr>
          <w:rFonts w:hint="eastAsia" w:ascii="宋体" w:hAnsi="宋体" w:eastAsia="宋体" w:cs="宋体"/>
          <w:sz w:val="21"/>
          <w:szCs w:val="21"/>
        </w:rPr>
        <w:t>主要功能说明：电路由五个模块电路组成：红外线发射（带调制）模块、红外线接收放大模块、信号解调模块、信号输出模块以及为各模块提供能源的电源模块。</w:t>
      </w:r>
    </w:p>
    <w:p w14:paraId="74C85414">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）机床电路考核组件要求</w:t>
      </w:r>
    </w:p>
    <w:p w14:paraId="3392022B">
      <w:pPr>
        <w:spacing w:line="360" w:lineRule="auto"/>
        <w:rPr>
          <w:rFonts w:hint="eastAsia" w:ascii="宋体" w:hAnsi="宋体" w:eastAsia="宋体" w:cs="宋体"/>
          <w:sz w:val="21"/>
          <w:szCs w:val="21"/>
        </w:rPr>
      </w:pPr>
      <w:r>
        <w:rPr>
          <w:rFonts w:hint="eastAsia" w:ascii="宋体" w:hAnsi="宋体" w:eastAsia="宋体" w:cs="宋体"/>
          <w:sz w:val="21"/>
          <w:szCs w:val="21"/>
        </w:rPr>
        <w:t>要求提供以下元器件</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902"/>
        <w:gridCol w:w="2859"/>
        <w:gridCol w:w="2508"/>
      </w:tblGrid>
      <w:tr w14:paraId="2BFC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1A9F8272">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62" w:type="pct"/>
            <w:noWrap w:val="0"/>
            <w:vAlign w:val="center"/>
          </w:tcPr>
          <w:p w14:paraId="62258CAB">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39" w:type="pct"/>
            <w:noWrap w:val="0"/>
            <w:vAlign w:val="center"/>
          </w:tcPr>
          <w:p w14:paraId="4D28ECAB">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r>
              <w:rPr>
                <w:rFonts w:hint="eastAsia" w:ascii="宋体" w:hAnsi="宋体" w:eastAsia="宋体" w:cs="宋体"/>
                <w:sz w:val="21"/>
                <w:szCs w:val="21"/>
              </w:rPr>
              <w:t>数量</w:t>
            </w:r>
          </w:p>
        </w:tc>
        <w:tc>
          <w:tcPr>
            <w:tcW w:w="1350" w:type="pct"/>
            <w:noWrap w:val="0"/>
            <w:vAlign w:val="center"/>
          </w:tcPr>
          <w:p w14:paraId="4C16551B">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r>
              <w:rPr>
                <w:rFonts w:hint="eastAsia" w:ascii="宋体" w:hAnsi="宋体" w:eastAsia="宋体" w:cs="宋体"/>
                <w:sz w:val="21"/>
                <w:szCs w:val="21"/>
              </w:rPr>
              <w:t>备注</w:t>
            </w:r>
          </w:p>
        </w:tc>
      </w:tr>
      <w:tr w14:paraId="09A8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21FEF446">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4CC778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小型断路器</w:t>
            </w:r>
          </w:p>
        </w:tc>
        <w:tc>
          <w:tcPr>
            <w:tcW w:w="1539" w:type="pct"/>
            <w:noWrap w:val="0"/>
            <w:vAlign w:val="center"/>
          </w:tcPr>
          <w:p w14:paraId="17D7131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1只</w:t>
            </w:r>
          </w:p>
        </w:tc>
        <w:tc>
          <w:tcPr>
            <w:tcW w:w="1350" w:type="pct"/>
            <w:noWrap w:val="0"/>
            <w:vAlign w:val="center"/>
          </w:tcPr>
          <w:p w14:paraId="5EA3F5C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2D70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56C40E03">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86CF6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保险丝座</w:t>
            </w:r>
          </w:p>
        </w:tc>
        <w:tc>
          <w:tcPr>
            <w:tcW w:w="1539" w:type="pct"/>
            <w:noWrap w:val="0"/>
            <w:vAlign w:val="center"/>
          </w:tcPr>
          <w:p w14:paraId="1A84B32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10只</w:t>
            </w:r>
          </w:p>
        </w:tc>
        <w:tc>
          <w:tcPr>
            <w:tcW w:w="1350" w:type="pct"/>
            <w:noWrap w:val="0"/>
            <w:vAlign w:val="center"/>
          </w:tcPr>
          <w:p w14:paraId="42F79F8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0F48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64940CC9">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1F87EE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熔断器</w:t>
            </w:r>
          </w:p>
        </w:tc>
        <w:tc>
          <w:tcPr>
            <w:tcW w:w="1539" w:type="pct"/>
            <w:noWrap w:val="0"/>
            <w:vAlign w:val="center"/>
          </w:tcPr>
          <w:p w14:paraId="08908C3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6只</w:t>
            </w:r>
          </w:p>
        </w:tc>
        <w:tc>
          <w:tcPr>
            <w:tcW w:w="1350" w:type="pct"/>
            <w:noWrap w:val="0"/>
            <w:vAlign w:val="center"/>
          </w:tcPr>
          <w:p w14:paraId="20AB0317">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p>
        </w:tc>
      </w:tr>
      <w:tr w14:paraId="0460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0042AE08">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4ADAF5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熔断器</w:t>
            </w:r>
          </w:p>
        </w:tc>
        <w:tc>
          <w:tcPr>
            <w:tcW w:w="1539" w:type="pct"/>
            <w:noWrap w:val="0"/>
            <w:vAlign w:val="center"/>
          </w:tcPr>
          <w:p w14:paraId="01C357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4只</w:t>
            </w:r>
          </w:p>
        </w:tc>
        <w:tc>
          <w:tcPr>
            <w:tcW w:w="1350" w:type="pct"/>
            <w:noWrap w:val="0"/>
            <w:vAlign w:val="center"/>
          </w:tcPr>
          <w:p w14:paraId="3CF04B5A">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p>
        </w:tc>
      </w:tr>
      <w:tr w14:paraId="6992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786D01BB">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5B45F6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交流接触器</w:t>
            </w:r>
          </w:p>
        </w:tc>
        <w:tc>
          <w:tcPr>
            <w:tcW w:w="1539" w:type="pct"/>
            <w:noWrap w:val="0"/>
            <w:vAlign w:val="center"/>
          </w:tcPr>
          <w:p w14:paraId="7ABC3E7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6只</w:t>
            </w:r>
          </w:p>
        </w:tc>
        <w:tc>
          <w:tcPr>
            <w:tcW w:w="1350" w:type="pct"/>
            <w:noWrap w:val="0"/>
            <w:vAlign w:val="center"/>
          </w:tcPr>
          <w:p w14:paraId="0DB177D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3750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2ABB75AC">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4113337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接触器辅助触头</w:t>
            </w:r>
          </w:p>
        </w:tc>
        <w:tc>
          <w:tcPr>
            <w:tcW w:w="1539" w:type="pct"/>
            <w:noWrap w:val="0"/>
            <w:vAlign w:val="center"/>
          </w:tcPr>
          <w:p w14:paraId="2F3D4E5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6只</w:t>
            </w:r>
          </w:p>
        </w:tc>
        <w:tc>
          <w:tcPr>
            <w:tcW w:w="1350" w:type="pct"/>
            <w:noWrap w:val="0"/>
            <w:vAlign w:val="center"/>
          </w:tcPr>
          <w:p w14:paraId="219AE8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70B7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2FBA15D6">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BF66F3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热过载继电器</w:t>
            </w:r>
          </w:p>
        </w:tc>
        <w:tc>
          <w:tcPr>
            <w:tcW w:w="1539" w:type="pct"/>
            <w:noWrap w:val="0"/>
            <w:vAlign w:val="center"/>
          </w:tcPr>
          <w:p w14:paraId="34986E2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3只</w:t>
            </w:r>
          </w:p>
        </w:tc>
        <w:tc>
          <w:tcPr>
            <w:tcW w:w="1350" w:type="pct"/>
            <w:noWrap w:val="0"/>
            <w:vAlign w:val="center"/>
          </w:tcPr>
          <w:p w14:paraId="13C4DB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18CA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7BB2DA93">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50674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时间继电器</w:t>
            </w:r>
          </w:p>
        </w:tc>
        <w:tc>
          <w:tcPr>
            <w:tcW w:w="1539" w:type="pct"/>
            <w:noWrap w:val="0"/>
            <w:vAlign w:val="center"/>
          </w:tcPr>
          <w:p w14:paraId="5282435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1只</w:t>
            </w:r>
          </w:p>
        </w:tc>
        <w:tc>
          <w:tcPr>
            <w:tcW w:w="1350" w:type="pct"/>
            <w:noWrap w:val="0"/>
            <w:vAlign w:val="center"/>
          </w:tcPr>
          <w:p w14:paraId="1C4F4AE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4935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103F5A5C">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3E3CB74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时间继电器座</w:t>
            </w:r>
          </w:p>
        </w:tc>
        <w:tc>
          <w:tcPr>
            <w:tcW w:w="1539" w:type="pct"/>
            <w:noWrap w:val="0"/>
            <w:vAlign w:val="center"/>
          </w:tcPr>
          <w:p w14:paraId="282866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1只</w:t>
            </w:r>
          </w:p>
        </w:tc>
        <w:tc>
          <w:tcPr>
            <w:tcW w:w="1350" w:type="pct"/>
            <w:noWrap w:val="0"/>
            <w:vAlign w:val="center"/>
          </w:tcPr>
          <w:p w14:paraId="6860738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504F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786F951C">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85AF9C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4孔开关按钮盒</w:t>
            </w:r>
          </w:p>
        </w:tc>
        <w:tc>
          <w:tcPr>
            <w:tcW w:w="1539" w:type="pct"/>
            <w:noWrap w:val="0"/>
            <w:vAlign w:val="center"/>
          </w:tcPr>
          <w:p w14:paraId="2F9A41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2组</w:t>
            </w:r>
          </w:p>
        </w:tc>
        <w:tc>
          <w:tcPr>
            <w:tcW w:w="1350" w:type="pct"/>
            <w:noWrap w:val="0"/>
            <w:vAlign w:val="center"/>
          </w:tcPr>
          <w:p w14:paraId="5593047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6122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7B2EE614">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1A483B1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行程开关</w:t>
            </w:r>
          </w:p>
        </w:tc>
        <w:tc>
          <w:tcPr>
            <w:tcW w:w="1539" w:type="pct"/>
            <w:noWrap w:val="0"/>
            <w:vAlign w:val="center"/>
          </w:tcPr>
          <w:p w14:paraId="1BF7621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2只</w:t>
            </w:r>
          </w:p>
        </w:tc>
        <w:tc>
          <w:tcPr>
            <w:tcW w:w="1350" w:type="pct"/>
            <w:noWrap w:val="0"/>
            <w:vAlign w:val="center"/>
          </w:tcPr>
          <w:p w14:paraId="6362EC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5C58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27A87197">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4269E5C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行程开关</w:t>
            </w:r>
          </w:p>
        </w:tc>
        <w:tc>
          <w:tcPr>
            <w:tcW w:w="1539" w:type="pct"/>
            <w:noWrap w:val="0"/>
            <w:vAlign w:val="center"/>
          </w:tcPr>
          <w:p w14:paraId="3531FEC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2只</w:t>
            </w:r>
          </w:p>
        </w:tc>
        <w:tc>
          <w:tcPr>
            <w:tcW w:w="1350" w:type="pct"/>
            <w:noWrap w:val="0"/>
            <w:vAlign w:val="center"/>
          </w:tcPr>
          <w:p w14:paraId="3F7C462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3F47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3E64FB5D">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C0E441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走线槽</w:t>
            </w:r>
          </w:p>
        </w:tc>
        <w:tc>
          <w:tcPr>
            <w:tcW w:w="1539" w:type="pct"/>
            <w:noWrap w:val="0"/>
            <w:vAlign w:val="center"/>
          </w:tcPr>
          <w:p w14:paraId="4BA8A2D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6米</w:t>
            </w:r>
          </w:p>
        </w:tc>
        <w:tc>
          <w:tcPr>
            <w:tcW w:w="1350" w:type="pct"/>
            <w:noWrap w:val="0"/>
            <w:vAlign w:val="center"/>
          </w:tcPr>
          <w:p w14:paraId="7D6761DF">
            <w:pPr>
              <w:keepNext w:val="0"/>
              <w:keepLines w:val="0"/>
              <w:widowControl/>
              <w:suppressLineNumbers w:val="0"/>
              <w:tabs>
                <w:tab w:val="left" w:pos="432"/>
              </w:tabs>
              <w:spacing w:before="0" w:beforeAutospacing="0" w:after="0" w:afterAutospacing="0" w:line="360" w:lineRule="auto"/>
              <w:ind w:left="432" w:right="0" w:hanging="432"/>
              <w:jc w:val="center"/>
              <w:rPr>
                <w:rFonts w:hint="eastAsia" w:ascii="宋体" w:hAnsi="宋体" w:eastAsia="宋体" w:cs="宋体"/>
                <w:sz w:val="21"/>
                <w:szCs w:val="21"/>
              </w:rPr>
            </w:pPr>
          </w:p>
        </w:tc>
      </w:tr>
      <w:tr w14:paraId="67F1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3C305DD4">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74DC173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三通接线端子</w:t>
            </w:r>
          </w:p>
        </w:tc>
        <w:tc>
          <w:tcPr>
            <w:tcW w:w="1539" w:type="pct"/>
            <w:noWrap w:val="0"/>
            <w:vAlign w:val="center"/>
          </w:tcPr>
          <w:p w14:paraId="09782A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80片</w:t>
            </w:r>
          </w:p>
        </w:tc>
        <w:tc>
          <w:tcPr>
            <w:tcW w:w="1350" w:type="pct"/>
            <w:noWrap w:val="0"/>
            <w:vAlign w:val="center"/>
          </w:tcPr>
          <w:p w14:paraId="2290773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36F1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3E4EB10E">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546A0C0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导轨</w:t>
            </w:r>
          </w:p>
        </w:tc>
        <w:tc>
          <w:tcPr>
            <w:tcW w:w="1539" w:type="pct"/>
            <w:noWrap w:val="0"/>
            <w:vAlign w:val="center"/>
          </w:tcPr>
          <w:p w14:paraId="76A9B0A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3根</w:t>
            </w:r>
          </w:p>
        </w:tc>
        <w:tc>
          <w:tcPr>
            <w:tcW w:w="1350" w:type="pct"/>
            <w:noWrap w:val="0"/>
            <w:vAlign w:val="center"/>
          </w:tcPr>
          <w:p w14:paraId="3F613FD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r w14:paraId="16A7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14:paraId="46664B2B">
            <w:pPr>
              <w:keepNext w:val="0"/>
              <w:keepLines w:val="0"/>
              <w:widowControl/>
              <w:numPr>
                <w:ilvl w:val="0"/>
                <w:numId w:val="66"/>
              </w:numPr>
              <w:suppressLineNumbers w:val="0"/>
              <w:spacing w:before="0" w:beforeAutospacing="0" w:after="0" w:afterAutospacing="0" w:line="360" w:lineRule="auto"/>
              <w:ind w:right="0"/>
              <w:jc w:val="center"/>
              <w:rPr>
                <w:rFonts w:hint="eastAsia" w:ascii="宋体" w:hAnsi="宋体" w:eastAsia="宋体" w:cs="宋体"/>
                <w:sz w:val="21"/>
                <w:szCs w:val="21"/>
              </w:rPr>
            </w:pPr>
          </w:p>
        </w:tc>
        <w:tc>
          <w:tcPr>
            <w:tcW w:w="1562" w:type="pct"/>
            <w:noWrap w:val="0"/>
            <w:vAlign w:val="center"/>
          </w:tcPr>
          <w:p w14:paraId="47BEF3F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三相鼠笼异步电动机</w:t>
            </w:r>
          </w:p>
        </w:tc>
        <w:tc>
          <w:tcPr>
            <w:tcW w:w="1539" w:type="pct"/>
            <w:noWrap w:val="0"/>
            <w:vAlign w:val="center"/>
          </w:tcPr>
          <w:p w14:paraId="0BC7372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3台</w:t>
            </w:r>
          </w:p>
        </w:tc>
        <w:tc>
          <w:tcPr>
            <w:tcW w:w="1350" w:type="pct"/>
            <w:noWrap w:val="0"/>
            <w:vAlign w:val="center"/>
          </w:tcPr>
          <w:p w14:paraId="23FCEA8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p>
        </w:tc>
      </w:tr>
    </w:tbl>
    <w:p w14:paraId="7CA66786">
      <w:pPr>
        <w:spacing w:line="360" w:lineRule="auto"/>
        <w:rPr>
          <w:rFonts w:hint="eastAsia" w:ascii="宋体" w:hAnsi="宋体" w:eastAsia="宋体" w:cs="宋体"/>
          <w:color w:val="auto"/>
          <w:sz w:val="21"/>
          <w:szCs w:val="21"/>
        </w:rPr>
      </w:pPr>
      <w:r>
        <w:rPr>
          <w:rFonts w:hint="eastAsia" w:ascii="宋体" w:hAnsi="宋体" w:eastAsia="宋体" w:cs="宋体"/>
          <w:sz w:val="21"/>
          <w:szCs w:val="21"/>
        </w:rPr>
        <w:t>要求可完成机床电气控制线路搭建。设备均采用通用的电器，因而它可作为社会电工类职</w:t>
      </w:r>
      <w:r>
        <w:rPr>
          <w:rFonts w:hint="eastAsia" w:ascii="宋体" w:hAnsi="宋体" w:eastAsia="宋体" w:cs="宋体"/>
          <w:color w:val="auto"/>
          <w:sz w:val="21"/>
          <w:szCs w:val="21"/>
        </w:rPr>
        <w:t>业培训中机床电气维修方面的实训设备。</w:t>
      </w:r>
    </w:p>
    <w:p w14:paraId="32A7D5F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）滑台模组要求</w:t>
      </w:r>
    </w:p>
    <w:p w14:paraId="64B5255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单轨直线模组：拥有良好的运动平稳性、运动速度、定位精度。</w:t>
      </w:r>
    </w:p>
    <w:p w14:paraId="1BAB1C2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★要求配有AC36V三相交流电机，实现直线定位功能，运动控制功能，通过接线配合完成复杂的运动轨迹控制</w:t>
      </w:r>
      <w:r>
        <w:rPr>
          <w:rFonts w:hint="eastAsia" w:ascii="宋体" w:hAnsi="宋体" w:eastAsia="宋体" w:cs="宋体"/>
          <w:color w:val="auto"/>
          <w:sz w:val="21"/>
          <w:szCs w:val="21"/>
          <w:lang w:eastAsia="zh-CN"/>
        </w:rPr>
        <w:t>（</w:t>
      </w:r>
      <w:r>
        <w:rPr>
          <w:rFonts w:hint="eastAsia" w:ascii="宋体" w:hAnsi="宋体" w:eastAsia="宋体" w:cs="宋体"/>
          <w:b/>
          <w:bCs/>
          <w:color w:val="auto"/>
          <w:spacing w:val="0"/>
          <w:kern w:val="0"/>
          <w:sz w:val="21"/>
          <w:szCs w:val="21"/>
          <w:highlight w:val="none"/>
        </w:rPr>
        <w:t>提供</w:t>
      </w:r>
      <w:r>
        <w:rPr>
          <w:rFonts w:hint="eastAsia" w:ascii="宋体" w:hAnsi="宋体" w:eastAsia="宋体" w:cs="宋体"/>
          <w:b/>
          <w:bCs/>
          <w:color w:val="auto"/>
          <w:spacing w:val="0"/>
          <w:kern w:val="0"/>
          <w:sz w:val="21"/>
          <w:szCs w:val="21"/>
          <w:highlight w:val="none"/>
          <w:lang w:val="en-US" w:eastAsia="zh-CN"/>
        </w:rPr>
        <w:t>真实图片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highlight w:val="none"/>
        </w:rPr>
        <w:t>；</w:t>
      </w:r>
    </w:p>
    <w:p w14:paraId="59C5ABA1">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要求配有行程开关四个，用于搭建电机往复运动系统。</w:t>
      </w:r>
    </w:p>
    <w:p w14:paraId="7E283F3F">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）PLC实训套件要求</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474"/>
        <w:gridCol w:w="5831"/>
      </w:tblGrid>
      <w:tr w14:paraId="5989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527" w:type="pct"/>
            <w:noWrap w:val="0"/>
            <w:vAlign w:val="center"/>
          </w:tcPr>
          <w:p w14:paraId="55ADEBFA">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w:t>
            </w:r>
          </w:p>
        </w:tc>
        <w:tc>
          <w:tcPr>
            <w:tcW w:w="1332" w:type="pct"/>
            <w:noWrap w:val="0"/>
            <w:vAlign w:val="center"/>
          </w:tcPr>
          <w:p w14:paraId="2EF36A6E">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水泵排水</w:t>
            </w:r>
          </w:p>
        </w:tc>
        <w:tc>
          <w:tcPr>
            <w:tcW w:w="3140" w:type="pct"/>
            <w:noWrap w:val="0"/>
            <w:vAlign w:val="center"/>
          </w:tcPr>
          <w:p w14:paraId="3E1A04A1">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通过对水泵排水控制的模拟，掌握水泵排水故障及正常运行流程的程序编写。</w:t>
            </w:r>
          </w:p>
        </w:tc>
      </w:tr>
      <w:tr w14:paraId="0CEF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27" w:type="pct"/>
            <w:noWrap w:val="0"/>
            <w:vAlign w:val="center"/>
          </w:tcPr>
          <w:p w14:paraId="2EB92708">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p>
        </w:tc>
        <w:tc>
          <w:tcPr>
            <w:tcW w:w="1332" w:type="pct"/>
            <w:noWrap w:val="0"/>
            <w:vAlign w:val="center"/>
          </w:tcPr>
          <w:p w14:paraId="0E49F836">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水库三级船闸</w:t>
            </w:r>
          </w:p>
        </w:tc>
        <w:tc>
          <w:tcPr>
            <w:tcW w:w="3140" w:type="pct"/>
            <w:noWrap w:val="0"/>
            <w:vAlign w:val="center"/>
          </w:tcPr>
          <w:p w14:paraId="2439BB7A">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通过对水库三级船闸运行流程的熟悉，编写PLC控制程序，强化编程学习的应用性。</w:t>
            </w:r>
          </w:p>
        </w:tc>
      </w:tr>
      <w:tr w14:paraId="271B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27" w:type="pct"/>
            <w:noWrap w:val="0"/>
            <w:vAlign w:val="center"/>
          </w:tcPr>
          <w:p w14:paraId="7E827D02">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p>
        </w:tc>
        <w:tc>
          <w:tcPr>
            <w:tcW w:w="1332" w:type="pct"/>
            <w:noWrap w:val="0"/>
            <w:vAlign w:val="center"/>
          </w:tcPr>
          <w:p w14:paraId="395A8FE3">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奶瓶封装</w:t>
            </w:r>
          </w:p>
        </w:tc>
        <w:tc>
          <w:tcPr>
            <w:tcW w:w="3140" w:type="pct"/>
            <w:noWrap w:val="0"/>
            <w:vAlign w:val="center"/>
          </w:tcPr>
          <w:p w14:paraId="3C527597">
            <w:pPr>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通过奶瓶封装过程的PLC程序编程，熟悉PLC基本指令及复杂逻辑控制程序的编写。</w:t>
            </w:r>
          </w:p>
        </w:tc>
      </w:tr>
    </w:tbl>
    <w:p w14:paraId="6FB2AEBA">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）监控系统要求</w:t>
      </w:r>
    </w:p>
    <w:p w14:paraId="372F07FC">
      <w:pPr>
        <w:spacing w:line="360" w:lineRule="auto"/>
        <w:rPr>
          <w:rFonts w:hint="eastAsia" w:ascii="宋体" w:hAnsi="宋体" w:eastAsia="宋体" w:cs="宋体"/>
          <w:sz w:val="21"/>
          <w:szCs w:val="21"/>
        </w:rPr>
      </w:pPr>
      <w:r>
        <w:rPr>
          <w:rFonts w:hint="eastAsia" w:ascii="宋体" w:hAnsi="宋体" w:eastAsia="宋体" w:cs="宋体"/>
          <w:sz w:val="21"/>
          <w:szCs w:val="21"/>
        </w:rPr>
        <w:t>要求配备摄像头，可记录整个实验操作过程，能够实现高质量回溯。通过该模块可以记录学生的考核过程，同时通过回溯查看操作过程中的错误点，针对性进行提高和改正。</w:t>
      </w:r>
    </w:p>
    <w:p w14:paraId="3125E759">
      <w:pPr>
        <w:spacing w:line="360" w:lineRule="auto"/>
        <w:rPr>
          <w:rFonts w:hint="eastAsia" w:ascii="宋体" w:hAnsi="宋体" w:eastAsia="宋体" w:cs="宋体"/>
          <w:sz w:val="21"/>
          <w:szCs w:val="21"/>
        </w:rPr>
      </w:pPr>
      <w:r>
        <w:rPr>
          <w:rFonts w:hint="eastAsia" w:ascii="宋体" w:hAnsi="宋体" w:eastAsia="宋体" w:cs="宋体"/>
          <w:sz w:val="21"/>
          <w:szCs w:val="21"/>
        </w:rPr>
        <w:t>主要技术参数要求：像素≥200万像素，1080P高清；镜头≥4mm；支持背光补偿，智能报警，3D降噪，红外≥20-30米。具有联网设置。</w:t>
      </w:r>
    </w:p>
    <w:p w14:paraId="2C77A19E">
      <w:pPr>
        <w:numPr>
          <w:ilvl w:val="0"/>
          <w:numId w:val="0"/>
        </w:num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w:t>
      </w:r>
      <w:r>
        <w:rPr>
          <w:rFonts w:hint="eastAsia" w:ascii="宋体" w:hAnsi="宋体" w:eastAsia="宋体" w:cs="宋体"/>
          <w:sz w:val="21"/>
          <w:szCs w:val="21"/>
        </w:rPr>
        <w:t>工具要求</w:t>
      </w:r>
    </w:p>
    <w:p w14:paraId="7BEB01FC">
      <w:pPr>
        <w:pStyle w:val="15"/>
        <w:numPr>
          <w:ilvl w:val="0"/>
          <w:numId w:val="0"/>
        </w:numPr>
        <w:spacing w:line="360" w:lineRule="auto"/>
        <w:ind w:firstLine="210" w:firstLineChars="100"/>
        <w:rPr>
          <w:rFonts w:hint="eastAsia" w:ascii="宋体" w:hAnsi="宋体" w:eastAsia="宋体" w:cs="宋体"/>
          <w:snapToGrid/>
          <w:color w:val="auto"/>
          <w:kern w:val="2"/>
          <w:sz w:val="21"/>
          <w:szCs w:val="21"/>
          <w:lang w:val="en-US" w:eastAsia="zh-CN" w:bidi="ar-SA"/>
        </w:rPr>
      </w:pPr>
      <w:r>
        <w:rPr>
          <w:rFonts w:hint="eastAsia" w:ascii="宋体" w:hAnsi="宋体" w:eastAsia="宋体" w:cs="宋体"/>
          <w:snapToGrid/>
          <w:color w:val="auto"/>
          <w:kern w:val="2"/>
          <w:sz w:val="21"/>
          <w:szCs w:val="21"/>
          <w:lang w:val="en-US" w:eastAsia="zh-CN" w:bidi="ar-SA"/>
        </w:rPr>
        <w:t>中号十字螺丝刀、小号一字螺丝刀、一字验电笔、斜口钳、剥线钳、压线钳、剪刀、尖嘴钳、镊子、电工胶带、锡枪、焊锡丝；</w:t>
      </w:r>
    </w:p>
    <w:p w14:paraId="2AAE802C">
      <w:pPr>
        <w:pStyle w:val="15"/>
        <w:numPr>
          <w:ilvl w:val="0"/>
          <w:numId w:val="0"/>
        </w:numPr>
        <w:spacing w:line="360" w:lineRule="auto"/>
        <w:rPr>
          <w:rFonts w:hint="eastAsia" w:ascii="宋体" w:hAnsi="宋体" w:eastAsia="宋体" w:cs="宋体"/>
          <w:snapToGrid/>
          <w:color w:val="auto"/>
          <w:kern w:val="2"/>
          <w:sz w:val="21"/>
          <w:szCs w:val="21"/>
          <w:lang w:val="en-US" w:eastAsia="zh-CN" w:bidi="ar-SA"/>
        </w:rPr>
      </w:pPr>
      <w:r>
        <w:rPr>
          <w:rFonts w:hint="eastAsia" w:ascii="宋体" w:hAnsi="宋体" w:eastAsia="宋体" w:cs="宋体"/>
          <w:snapToGrid/>
          <w:color w:val="auto"/>
          <w:kern w:val="2"/>
          <w:sz w:val="21"/>
          <w:szCs w:val="21"/>
          <w:lang w:val="en-US" w:eastAsia="zh-CN" w:bidi="ar-SA"/>
        </w:rPr>
        <w:t>恒温烙铁要求采用数显焊台，具有自动休眠功能；超细硅胶手柄线（≥3.9mm线径硅胶线），防烫防折；插拔-发热芯，更换方便； 全新的外观手柄，握感好；直插式手柄接头（塑胶啤头直插式）；温度范围≥80-480℃，温度恒定度±50℃，待机温度≥200℃。</w:t>
      </w:r>
    </w:p>
    <w:p w14:paraId="2F1DA7CA">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、配套教学资源要求</w:t>
      </w:r>
    </w:p>
    <w:p w14:paraId="74896825">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rPr>
        <w:t>）可编程控制器AR实时仿真软件：</w:t>
      </w:r>
    </w:p>
    <w:p w14:paraId="6A875913">
      <w:pPr>
        <w:numPr>
          <w:ilvl w:val="0"/>
          <w:numId w:val="67"/>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要求能够通过扫描二维码、图片作为AR入口；通过双指基于两点中心的缩放控制，实现场景模型的放大、缩小、旋转、移动；</w:t>
      </w:r>
    </w:p>
    <w:p w14:paraId="1FDEBB58">
      <w:pPr>
        <w:numPr>
          <w:ilvl w:val="0"/>
          <w:numId w:val="67"/>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提供包含电梯控制模块、扶梯模块、水泵排水模块、刀库捷径模块等不少于10个PLC实训模块。内置AI智能语音助手，点击模型相应位置，自动语音讲解其功能。</w:t>
      </w:r>
    </w:p>
    <w:p w14:paraId="2BE8B9EE">
      <w:pPr>
        <w:numPr>
          <w:ilvl w:val="0"/>
          <w:numId w:val="67"/>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通用功能要求</w:t>
      </w:r>
    </w:p>
    <w:p w14:paraId="08BFAB01">
      <w:pPr>
        <w:spacing w:line="360" w:lineRule="auto"/>
        <w:rPr>
          <w:rFonts w:hint="eastAsia" w:ascii="宋体" w:hAnsi="宋体" w:eastAsia="宋体" w:cs="宋体"/>
          <w:sz w:val="21"/>
          <w:szCs w:val="21"/>
        </w:rPr>
      </w:pPr>
      <w:r>
        <w:rPr>
          <w:rFonts w:hint="eastAsia" w:ascii="宋体" w:hAnsi="宋体" w:eastAsia="宋体" w:cs="宋体"/>
          <w:sz w:val="21"/>
          <w:szCs w:val="21"/>
        </w:rPr>
        <w:t>1）模块介绍要求：360度自由展示，含组硬件组成和主要功能解说。硬件组成每个模块均不一样，点击模块功能区域，自动识别手势并讲解；</w:t>
      </w:r>
    </w:p>
    <w:p w14:paraId="20C83895">
      <w:pPr>
        <w:spacing w:line="360" w:lineRule="auto"/>
        <w:rPr>
          <w:rFonts w:hint="eastAsia" w:ascii="宋体" w:hAnsi="宋体" w:eastAsia="宋体" w:cs="宋体"/>
          <w:sz w:val="21"/>
          <w:szCs w:val="21"/>
        </w:rPr>
      </w:pPr>
      <w:r>
        <w:rPr>
          <w:rFonts w:hint="eastAsia" w:ascii="宋体" w:hAnsi="宋体" w:eastAsia="宋体" w:cs="宋体"/>
          <w:sz w:val="21"/>
          <w:szCs w:val="21"/>
        </w:rPr>
        <w:t>2）实训目的要求：提供实训目的，通过实训目的的解读，有目标的进行学习和练习；</w:t>
      </w:r>
    </w:p>
    <w:p w14:paraId="2B6BEFA9">
      <w:pPr>
        <w:spacing w:line="360" w:lineRule="auto"/>
        <w:rPr>
          <w:rFonts w:hint="eastAsia" w:ascii="宋体" w:hAnsi="宋体" w:eastAsia="宋体" w:cs="宋体"/>
          <w:sz w:val="21"/>
          <w:szCs w:val="21"/>
        </w:rPr>
      </w:pPr>
      <w:r>
        <w:rPr>
          <w:rFonts w:hint="eastAsia" w:ascii="宋体" w:hAnsi="宋体" w:eastAsia="宋体" w:cs="宋体"/>
          <w:sz w:val="21"/>
          <w:szCs w:val="21"/>
        </w:rPr>
        <w:t>3）实训原理要求：提供动作流程图，通过流程图的熟悉，有目的的编写控制程序；</w:t>
      </w:r>
    </w:p>
    <w:p w14:paraId="749F394E">
      <w:pPr>
        <w:spacing w:line="360" w:lineRule="auto"/>
        <w:rPr>
          <w:rFonts w:hint="eastAsia" w:ascii="宋体" w:hAnsi="宋体" w:eastAsia="宋体" w:cs="宋体"/>
          <w:sz w:val="21"/>
          <w:szCs w:val="21"/>
        </w:rPr>
      </w:pPr>
      <w:r>
        <w:rPr>
          <w:rFonts w:hint="eastAsia" w:ascii="宋体" w:hAnsi="宋体" w:eastAsia="宋体" w:cs="宋体"/>
          <w:sz w:val="21"/>
          <w:szCs w:val="21"/>
        </w:rPr>
        <w:t>4）实训流程要求：提供I/O接线表，自动生成PLC主机模型，依次点击实训对象和主机模型接线端子，完成I/O接线，接线错误会有提示；线缆仿真实际导线；</w:t>
      </w:r>
    </w:p>
    <w:p w14:paraId="6FFD11F4">
      <w:pPr>
        <w:spacing w:line="360" w:lineRule="auto"/>
        <w:rPr>
          <w:rFonts w:hint="eastAsia" w:ascii="宋体" w:hAnsi="宋体" w:eastAsia="宋体" w:cs="宋体"/>
          <w:sz w:val="21"/>
          <w:szCs w:val="21"/>
        </w:rPr>
      </w:pPr>
      <w:r>
        <w:rPr>
          <w:rFonts w:hint="eastAsia" w:ascii="宋体" w:hAnsi="宋体" w:eastAsia="宋体" w:cs="宋体"/>
          <w:sz w:val="21"/>
          <w:szCs w:val="21"/>
        </w:rPr>
        <w:t>5）模型离线仿真要求：模型采用LED指示灯、按钮开关、接线端子、喷绘图形的形式进行展现，点击离线仿真，拨动按钮开关，通过LED指示灯的闪亮模拟相应的动作流程；</w:t>
      </w:r>
    </w:p>
    <w:p w14:paraId="791E0EB3">
      <w:pPr>
        <w:spacing w:line="360" w:lineRule="auto"/>
        <w:rPr>
          <w:rFonts w:hint="eastAsia" w:ascii="宋体" w:hAnsi="宋体" w:eastAsia="宋体" w:cs="宋体"/>
          <w:sz w:val="21"/>
          <w:szCs w:val="21"/>
        </w:rPr>
      </w:pPr>
      <w:r>
        <w:rPr>
          <w:rFonts w:hint="eastAsia" w:ascii="宋体" w:hAnsi="宋体" w:eastAsia="宋体" w:cs="宋体"/>
          <w:sz w:val="21"/>
          <w:szCs w:val="21"/>
        </w:rPr>
        <w:t>6）模型在线仿真要求：点击在线仿真，在网络区输入PLC的IP地址和端口号，连接成功后，网络图表变绿，通过PLC在线编程控制模型中的LED指示灯，对应实训原理的流程实时展运行情况；实现PLC编程的虚拟控制训练；</w:t>
      </w:r>
    </w:p>
    <w:p w14:paraId="25A1015F">
      <w:pPr>
        <w:spacing w:line="360" w:lineRule="auto"/>
        <w:rPr>
          <w:rFonts w:hint="eastAsia" w:ascii="宋体" w:hAnsi="宋体" w:eastAsia="宋体" w:cs="宋体"/>
          <w:sz w:val="21"/>
          <w:szCs w:val="21"/>
        </w:rPr>
      </w:pPr>
      <w:r>
        <w:rPr>
          <w:rFonts w:hint="eastAsia" w:ascii="宋体" w:hAnsi="宋体" w:eastAsia="宋体" w:cs="宋体"/>
          <w:sz w:val="21"/>
          <w:szCs w:val="21"/>
        </w:rPr>
        <w:t>7）离线实景仿真要求：模型采用三维立体空间形式，通过实景式情景化的场景展现，真实的反应工业/生活中的应用场景；</w:t>
      </w:r>
    </w:p>
    <w:p w14:paraId="451977E9">
      <w:pPr>
        <w:spacing w:line="360" w:lineRule="auto"/>
        <w:rPr>
          <w:rFonts w:hint="eastAsia" w:ascii="宋体" w:hAnsi="宋体" w:eastAsia="宋体" w:cs="宋体"/>
          <w:sz w:val="21"/>
          <w:szCs w:val="21"/>
        </w:rPr>
      </w:pPr>
      <w:r>
        <w:rPr>
          <w:rFonts w:hint="eastAsia" w:ascii="宋体" w:hAnsi="宋体" w:eastAsia="宋体" w:cs="宋体"/>
          <w:sz w:val="21"/>
          <w:szCs w:val="21"/>
        </w:rPr>
        <w:t>8）在线实景仿真要求：实景模式下点击在线仿真，在网络区输入PLC的IP地址和端口号，连接成功后，网络图表变绿，通过PLC在线编程控制实景中的自动化场景按流程运行，实现PLC编程的虚拟场景化控制训练。</w:t>
      </w:r>
    </w:p>
    <w:p w14:paraId="5E5D0C88">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）PLC虚拟实时仿真软件要求</w:t>
      </w:r>
    </w:p>
    <w:p w14:paraId="4078B029">
      <w:pPr>
        <w:spacing w:line="360" w:lineRule="auto"/>
        <w:rPr>
          <w:rFonts w:hint="eastAsia" w:ascii="宋体" w:hAnsi="宋体" w:eastAsia="宋体" w:cs="宋体"/>
          <w:sz w:val="21"/>
          <w:szCs w:val="21"/>
        </w:rPr>
      </w:pPr>
      <w:r>
        <w:rPr>
          <w:rFonts w:hint="eastAsia" w:ascii="宋体" w:hAnsi="宋体" w:eastAsia="宋体" w:cs="宋体"/>
          <w:sz w:val="21"/>
          <w:szCs w:val="21"/>
        </w:rPr>
        <w:t>软件要求采用C++语言开发，基于AI深度开发，运行环境支持Windows7以上版本；</w:t>
      </w:r>
    </w:p>
    <w:p w14:paraId="32369863">
      <w:pPr>
        <w:spacing w:line="360" w:lineRule="auto"/>
        <w:rPr>
          <w:rFonts w:hint="eastAsia" w:ascii="宋体" w:hAnsi="宋体" w:eastAsia="宋体" w:cs="宋体"/>
          <w:sz w:val="21"/>
          <w:szCs w:val="21"/>
        </w:rPr>
      </w:pPr>
      <w:r>
        <w:rPr>
          <w:rFonts w:hint="eastAsia" w:ascii="宋体" w:hAnsi="宋体" w:eastAsia="宋体" w:cs="宋体"/>
          <w:sz w:val="21"/>
          <w:szCs w:val="21"/>
        </w:rPr>
        <w:t>要求通过鼠标的控制，实现场景模型的放大、缩小、旋转、移动；</w:t>
      </w:r>
    </w:p>
    <w:p w14:paraId="67E4B72F">
      <w:pPr>
        <w:spacing w:line="360" w:lineRule="auto"/>
        <w:rPr>
          <w:rFonts w:hint="eastAsia" w:ascii="宋体" w:hAnsi="宋体" w:eastAsia="宋体" w:cs="宋体"/>
          <w:sz w:val="21"/>
          <w:szCs w:val="21"/>
        </w:rPr>
      </w:pPr>
      <w:r>
        <w:rPr>
          <w:rFonts w:hint="eastAsia" w:ascii="宋体" w:hAnsi="宋体" w:eastAsia="宋体" w:cs="宋体"/>
          <w:sz w:val="21"/>
          <w:szCs w:val="21"/>
        </w:rPr>
        <w:t>要求提供不少于8个功能自动化场景，涵盖多自由度机械手、自动循环供料、机械自动冲压、物料输送分拣、码垛堆积控制、自动仓储控制、四自由度机械手控制、恒压供水控制等自动化模型。</w:t>
      </w:r>
    </w:p>
    <w:p w14:paraId="030D1A05">
      <w:pPr>
        <w:spacing w:line="360" w:lineRule="auto"/>
        <w:rPr>
          <w:rFonts w:hint="eastAsia" w:ascii="宋体" w:hAnsi="宋体" w:eastAsia="宋体" w:cs="宋体"/>
          <w:sz w:val="21"/>
          <w:szCs w:val="21"/>
        </w:rPr>
      </w:pPr>
      <w:r>
        <w:rPr>
          <w:rFonts w:hint="eastAsia" w:ascii="宋体" w:hAnsi="宋体" w:eastAsia="宋体" w:cs="宋体"/>
          <w:sz w:val="21"/>
          <w:szCs w:val="21"/>
        </w:rPr>
        <w:t>通用功能要求</w:t>
      </w:r>
    </w:p>
    <w:p w14:paraId="5FF9B9D6">
      <w:pPr>
        <w:numPr>
          <w:ilvl w:val="0"/>
          <w:numId w:val="68"/>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信号指示区要求：集成设备控制的传感器信号，直观的反馈设备运行动作信号；</w:t>
      </w:r>
    </w:p>
    <w:p w14:paraId="779AB50F">
      <w:pPr>
        <w:numPr>
          <w:ilvl w:val="0"/>
          <w:numId w:val="68"/>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模型展示区要求：提供自动化模型，配合PLC控制，实现自动化运行；</w:t>
      </w:r>
    </w:p>
    <w:p w14:paraId="113201D7">
      <w:pPr>
        <w:numPr>
          <w:ilvl w:val="0"/>
          <w:numId w:val="68"/>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操作区要求：提供多种规格按钮，实现对设备的控制；</w:t>
      </w:r>
    </w:p>
    <w:p w14:paraId="5D629316">
      <w:pPr>
        <w:numPr>
          <w:ilvl w:val="0"/>
          <w:numId w:val="68"/>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启动、停止、复位：脱机仿真时，实现自动化设备的启停控制和复位出厂设置控制；联机仿真时，提供三个信号给PLC，由PLC根据程序自行确定控制流程。</w:t>
      </w:r>
    </w:p>
    <w:p w14:paraId="62D59A49">
      <w:pPr>
        <w:numPr>
          <w:ilvl w:val="0"/>
          <w:numId w:val="68"/>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脱机仿真要求：不用连接PLC，自动化设备按固定的流程模拟运行，可以根据任务要求或者模拟运行流程，自行编写PLC程序，实现PLC编程的在线仿真控制；</w:t>
      </w:r>
    </w:p>
    <w:p w14:paraId="424C77A2">
      <w:pPr>
        <w:numPr>
          <w:ilvl w:val="0"/>
          <w:numId w:val="68"/>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在线仿真要求：在网络区输入PLC的IP地址和端口号，连接成功后，显示“已连接”，通过PLC在线编程控制自动化模型动作，实现PLC编程的虚拟控制训练。</w:t>
      </w:r>
    </w:p>
    <w:p w14:paraId="4250A697">
      <w:pPr>
        <w:spacing w:line="360" w:lineRule="auto"/>
        <w:rPr>
          <w:rFonts w:hint="eastAsia" w:ascii="宋体" w:hAnsi="宋体" w:eastAsia="宋体" w:cs="宋体"/>
          <w:color w:val="auto"/>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color w:val="auto"/>
          <w:sz w:val="21"/>
          <w:szCs w:val="21"/>
        </w:rPr>
        <w:t>安全用电考核系统（每年一次更新服务，题库全部开放，并提供培训）</w:t>
      </w:r>
    </w:p>
    <w:p w14:paraId="790788BC">
      <w:pPr>
        <w:numPr>
          <w:ilvl w:val="0"/>
          <w:numId w:val="69"/>
        </w:numPr>
        <w:spacing w:line="360" w:lineRule="auto"/>
        <w:ind w:left="0" w:leftChars="0" w:firstLine="400" w:firstLineChars="0"/>
        <w:rPr>
          <w:rFonts w:hint="eastAsia" w:ascii="宋体" w:hAnsi="宋体" w:eastAsia="宋体" w:cs="宋体"/>
          <w:color w:val="auto"/>
          <w:sz w:val="21"/>
          <w:szCs w:val="21"/>
        </w:rPr>
      </w:pPr>
      <w:r>
        <w:rPr>
          <w:rFonts w:hint="eastAsia" w:ascii="宋体" w:hAnsi="宋体" w:eastAsia="宋体" w:cs="宋体"/>
          <w:color w:val="auto"/>
          <w:sz w:val="21"/>
          <w:szCs w:val="21"/>
          <w:highlight w:val="none"/>
        </w:rPr>
        <w:t>★软件采用C/S架构，可实现客户端成绩显示，并能将用户成绩汇总服务端，客户端操作界面美观，交互友好，设有答题卡板块、答题区板块和计时板块；</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提供软件功能截图</w:t>
      </w:r>
      <w:r>
        <w:rPr>
          <w:rFonts w:hint="eastAsia" w:ascii="宋体" w:hAnsi="宋体" w:eastAsia="宋体" w:cs="宋体"/>
          <w:color w:val="auto"/>
          <w:sz w:val="21"/>
          <w:szCs w:val="21"/>
          <w:lang w:eastAsia="zh-CN"/>
        </w:rPr>
        <w:t>）</w:t>
      </w:r>
    </w:p>
    <w:p w14:paraId="5112CF93">
      <w:pPr>
        <w:numPr>
          <w:ilvl w:val="0"/>
          <w:numId w:val="69"/>
        </w:numPr>
        <w:spacing w:line="360" w:lineRule="auto"/>
        <w:ind w:left="0" w:leftChars="0" w:firstLine="400" w:firstLineChars="0"/>
        <w:rPr>
          <w:rFonts w:hint="eastAsia" w:ascii="宋体" w:hAnsi="宋体" w:eastAsia="宋体" w:cs="宋体"/>
          <w:b/>
          <w:bCs/>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b/>
          <w:bCs/>
          <w:sz w:val="21"/>
          <w:szCs w:val="21"/>
        </w:rPr>
        <w:t>针对用电安全知识进行考核，包含以下6个功能模块：（</w:t>
      </w:r>
      <w:r>
        <w:rPr>
          <w:rFonts w:hint="eastAsia" w:ascii="宋体" w:hAnsi="宋体" w:eastAsia="宋体" w:cs="宋体"/>
          <w:b/>
          <w:bCs/>
          <w:color w:val="000000"/>
          <w:kern w:val="0"/>
          <w:sz w:val="21"/>
          <w:szCs w:val="21"/>
          <w:lang w:bidi="ar"/>
        </w:rPr>
        <w:t>该功能需提供视频演示</w:t>
      </w:r>
      <w:r>
        <w:rPr>
          <w:rFonts w:hint="eastAsia" w:ascii="宋体" w:hAnsi="宋体" w:eastAsia="宋体" w:cs="宋体"/>
          <w:b/>
          <w:bCs/>
          <w:color w:val="000000"/>
          <w:sz w:val="21"/>
          <w:szCs w:val="21"/>
        </w:rPr>
        <w:t>）</w:t>
      </w:r>
    </w:p>
    <w:p w14:paraId="6FEB98C4">
      <w:pPr>
        <w:spacing w:line="360" w:lineRule="auto"/>
        <w:rPr>
          <w:rFonts w:hint="eastAsia" w:ascii="宋体" w:hAnsi="宋体" w:eastAsia="宋体" w:cs="宋体"/>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1）考试管理：管理员身份登录，可进行考生管理、比赛管理、成绩查看等操作，设置完考试后，可以通过考生身份登录进行答题；</w:t>
      </w:r>
    </w:p>
    <w:p w14:paraId="33B67761">
      <w:pPr>
        <w:spacing w:line="360" w:lineRule="auto"/>
        <w:rPr>
          <w:rFonts w:hint="eastAsia" w:ascii="宋体" w:hAnsi="宋体" w:eastAsia="宋体" w:cs="宋体"/>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2）题目类型：软件题目资源类型要包括图文类、动画类和虚拟仿真类；动画类资源有虚拟卡通人物，并能配合题目内容作出相应的动作，形象生动；动画资源带有字幕和语音，方便用户阅读题目内容；</w:t>
      </w:r>
    </w:p>
    <w:p w14:paraId="37AB5056">
      <w:pPr>
        <w:spacing w:line="360" w:lineRule="auto"/>
        <w:rPr>
          <w:rFonts w:hint="eastAsia" w:ascii="宋体" w:hAnsi="宋体" w:eastAsia="宋体" w:cs="宋体"/>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 xml:space="preserve">3）电缆识别：将三线电缆中不同颜色的导线对应的文字名称拖曳到相应的位置，如需调换，可将标记的文字拖回到原位置后进行调换；按确定按钮完成答题； </w:t>
      </w:r>
    </w:p>
    <w:p w14:paraId="266625D8">
      <w:pPr>
        <w:spacing w:line="360" w:lineRule="auto"/>
        <w:rPr>
          <w:rFonts w:hint="eastAsia" w:ascii="宋体" w:hAnsi="宋体" w:eastAsia="宋体" w:cs="宋体"/>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4）电机接线：可在工具栏中选择对应颜色的线缆通过鼠标拖拽的方式将其移动到目标位置将电机、开关和电源相连；</w:t>
      </w:r>
    </w:p>
    <w:p w14:paraId="48AFB23B">
      <w:pPr>
        <w:spacing w:line="360" w:lineRule="auto"/>
        <w:rPr>
          <w:rFonts w:hint="eastAsia" w:ascii="宋体" w:hAnsi="宋体" w:eastAsia="宋体" w:cs="宋体"/>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5）元件选型：根据三相电机的接线图，从下方工具栏选择正确的工具，通过鼠标拖拽的方式将其移动到目标位置完成操作；如果想对连接的接线进行修改，可以通过单击鼠标右键将已连接部分删除；</w:t>
      </w:r>
    </w:p>
    <w:p w14:paraId="76596917">
      <w:pPr>
        <w:spacing w:line="360" w:lineRule="auto"/>
        <w:rPr>
          <w:rFonts w:hint="eastAsia" w:ascii="宋体" w:hAnsi="宋体" w:eastAsia="宋体" w:cs="宋体"/>
          <w:sz w:val="21"/>
          <w:szCs w:val="21"/>
        </w:rPr>
      </w:pPr>
      <w:r>
        <w:rPr>
          <w:rFonts w:hint="eastAsia" w:ascii="宋体" w:hAnsi="宋体" w:eastAsia="宋体" w:cs="宋体"/>
          <w:b/>
          <w:bCs/>
          <w:color w:val="auto"/>
          <w:kern w:val="0"/>
          <w:sz w:val="22"/>
          <w:szCs w:val="22"/>
          <w:highlight w:val="none"/>
        </w:rPr>
        <w:t>●</w:t>
      </w:r>
      <w:r>
        <w:rPr>
          <w:rFonts w:hint="eastAsia" w:ascii="宋体" w:hAnsi="宋体" w:eastAsia="宋体" w:cs="宋体"/>
          <w:sz w:val="21"/>
          <w:szCs w:val="21"/>
        </w:rPr>
        <w:t>6）安全警示：拥有检修供电线路相关题目，可从工具栏中选择正确的工具或指示牌完成操作，无需工具的可直接单击。</w:t>
      </w:r>
    </w:p>
    <w:p w14:paraId="0E92AEB2">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动画类型的资源要将题目进行标注，通过标签的方式锁定题目位置；动画亦可通过播放器进行播放暂停以及进度调节等具体操作；</w:t>
      </w:r>
    </w:p>
    <w:p w14:paraId="2E23F073">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动画播放时可调节音量大小，也可关闭声音；</w:t>
      </w:r>
    </w:p>
    <w:p w14:paraId="39E3C071">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虚拟仿真资源以三维交互仿真形式展现，通过Unity引擎开发，可以通过交互操作完成用电安全相关任务的操作；</w:t>
      </w:r>
    </w:p>
    <w:p w14:paraId="608AA836">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仿真中的人物着装要规范，形象真实自然，动作连贯；</w:t>
      </w:r>
    </w:p>
    <w:p w14:paraId="78EBF2EF">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软件兼容win10操作系统；</w:t>
      </w:r>
    </w:p>
    <w:p w14:paraId="03A13F80">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答题卡板块中题目标注清晰，能通过不同的图示对题目类型加以区别，并使用不同的颜色对作答过的题目进行标记；</w:t>
      </w:r>
    </w:p>
    <w:p w14:paraId="54D3B230">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答题卡中题目顺序随机，避免同一考场有相同试卷；</w:t>
      </w:r>
    </w:p>
    <w:p w14:paraId="4496FC5F">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能通过点击答题卡的题目图标进行题目的切换，也可通过点击“上一题”和“下一题”按钮进行切换，对于当前正在作答的题目界面上要有显示；</w:t>
      </w:r>
    </w:p>
    <w:p w14:paraId="410BF300">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可通过题库自主组卷，也可根据题型概率进行组卷，题型概率可调；</w:t>
      </w:r>
    </w:p>
    <w:p w14:paraId="21703009">
      <w:pPr>
        <w:numPr>
          <w:ilvl w:val="0"/>
          <w:numId w:val="69"/>
        </w:numPr>
        <w:spacing w:line="360" w:lineRule="auto"/>
        <w:ind w:left="0" w:leftChars="0" w:firstLine="400" w:firstLineChars="0"/>
        <w:rPr>
          <w:rFonts w:hint="eastAsia" w:ascii="宋体" w:hAnsi="宋体" w:eastAsia="宋体" w:cs="宋体"/>
          <w:color w:val="auto"/>
          <w:sz w:val="21"/>
          <w:szCs w:val="21"/>
          <w:highlight w:val="none"/>
        </w:rPr>
      </w:pPr>
      <w:r>
        <w:rPr>
          <w:rFonts w:hint="eastAsia" w:ascii="宋体" w:hAnsi="宋体" w:eastAsia="宋体" w:cs="宋体"/>
          <w:sz w:val="21"/>
          <w:szCs w:val="21"/>
        </w:rPr>
        <w:t>★要包含触电急救虚</w:t>
      </w:r>
      <w:r>
        <w:rPr>
          <w:rFonts w:hint="eastAsia" w:ascii="宋体" w:hAnsi="宋体" w:eastAsia="宋体" w:cs="宋体"/>
          <w:color w:val="auto"/>
          <w:sz w:val="21"/>
          <w:szCs w:val="21"/>
          <w:highlight w:val="none"/>
        </w:rPr>
        <w:t>拟仿真题目；</w:t>
      </w:r>
    </w:p>
    <w:p w14:paraId="335AEA64">
      <w:pPr>
        <w:spacing w:line="360" w:lineRule="auto"/>
        <w:rPr>
          <w:rFonts w:hint="eastAsia" w:ascii="宋体" w:hAnsi="宋体" w:eastAsia="宋体" w:cs="宋体"/>
          <w:sz w:val="21"/>
          <w:szCs w:val="21"/>
        </w:rPr>
      </w:pPr>
      <w:r>
        <w:rPr>
          <w:rFonts w:hint="eastAsia" w:ascii="宋体" w:hAnsi="宋体" w:eastAsia="宋体" w:cs="宋体"/>
          <w:color w:val="auto"/>
          <w:sz w:val="21"/>
          <w:szCs w:val="21"/>
          <w:highlight w:val="none"/>
        </w:rPr>
        <w:t>1)能虚拟工人触电急救的过程，要求能通过键盘鼠标控制视角自由</w:t>
      </w:r>
      <w:r>
        <w:rPr>
          <w:rFonts w:hint="eastAsia" w:ascii="宋体" w:hAnsi="宋体" w:eastAsia="宋体" w:cs="宋体"/>
          <w:sz w:val="21"/>
          <w:szCs w:val="21"/>
        </w:rPr>
        <w:t>查看;</w:t>
      </w:r>
    </w:p>
    <w:p w14:paraId="4BEB29A1">
      <w:pPr>
        <w:spacing w:line="360" w:lineRule="auto"/>
        <w:rPr>
          <w:rFonts w:hint="eastAsia" w:ascii="宋体" w:hAnsi="宋体" w:eastAsia="宋体" w:cs="宋体"/>
          <w:sz w:val="21"/>
          <w:szCs w:val="21"/>
        </w:rPr>
      </w:pPr>
      <w:r>
        <w:rPr>
          <w:rFonts w:hint="eastAsia" w:ascii="宋体" w:hAnsi="宋体" w:eastAsia="宋体" w:cs="宋体"/>
          <w:sz w:val="21"/>
          <w:szCs w:val="21"/>
        </w:rPr>
        <w:t>2)通过交互完成关闭电源、将伤者移出危险区域和心肺复苏操作过程;</w:t>
      </w:r>
    </w:p>
    <w:p w14:paraId="305E9387">
      <w:pPr>
        <w:spacing w:line="360" w:lineRule="auto"/>
        <w:rPr>
          <w:rFonts w:hint="eastAsia" w:ascii="宋体" w:hAnsi="宋体" w:eastAsia="宋体" w:cs="宋体"/>
          <w:sz w:val="21"/>
          <w:szCs w:val="21"/>
        </w:rPr>
      </w:pPr>
      <w:r>
        <w:rPr>
          <w:rFonts w:hint="eastAsia" w:ascii="宋体" w:hAnsi="宋体" w:eastAsia="宋体" w:cs="宋体"/>
          <w:sz w:val="21"/>
          <w:szCs w:val="21"/>
        </w:rPr>
        <w:t>3)通过三维仿真肺部扩张以及心脏供血的动态效果；</w:t>
      </w:r>
    </w:p>
    <w:p w14:paraId="6FA27A30">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包含三相电机的接线虚拟仿真题目；</w:t>
      </w:r>
    </w:p>
    <w:p w14:paraId="095743B8">
      <w:pPr>
        <w:spacing w:line="360" w:lineRule="auto"/>
        <w:rPr>
          <w:rFonts w:hint="eastAsia" w:ascii="宋体" w:hAnsi="宋体" w:eastAsia="宋体" w:cs="宋体"/>
          <w:sz w:val="21"/>
          <w:szCs w:val="21"/>
        </w:rPr>
      </w:pPr>
      <w:r>
        <w:rPr>
          <w:rFonts w:hint="eastAsia" w:ascii="宋体" w:hAnsi="宋体" w:eastAsia="宋体" w:cs="宋体"/>
          <w:sz w:val="21"/>
          <w:szCs w:val="21"/>
        </w:rPr>
        <w:t>1)要设置线材库，可以通过鼠标拖拽的形式将线材放置到指定位置；</w:t>
      </w:r>
    </w:p>
    <w:p w14:paraId="0281D237">
      <w:pPr>
        <w:spacing w:line="360" w:lineRule="auto"/>
        <w:rPr>
          <w:rFonts w:hint="eastAsia" w:ascii="宋体" w:hAnsi="宋体" w:eastAsia="宋体" w:cs="宋体"/>
          <w:sz w:val="21"/>
          <w:szCs w:val="21"/>
        </w:rPr>
      </w:pPr>
      <w:r>
        <w:rPr>
          <w:rFonts w:hint="eastAsia" w:ascii="宋体" w:hAnsi="宋体" w:eastAsia="宋体" w:cs="宋体"/>
          <w:sz w:val="21"/>
          <w:szCs w:val="21"/>
        </w:rPr>
        <w:t>2)通过点击开关可以对链接的线路进行供电；</w:t>
      </w:r>
    </w:p>
    <w:p w14:paraId="4FD0D8EA">
      <w:pPr>
        <w:spacing w:line="360" w:lineRule="auto"/>
        <w:rPr>
          <w:rFonts w:hint="eastAsia" w:ascii="宋体" w:hAnsi="宋体" w:eastAsia="宋体" w:cs="宋体"/>
          <w:sz w:val="21"/>
          <w:szCs w:val="21"/>
        </w:rPr>
      </w:pPr>
      <w:r>
        <w:rPr>
          <w:rFonts w:hint="eastAsia" w:ascii="宋体" w:hAnsi="宋体" w:eastAsia="宋体" w:cs="宋体"/>
          <w:sz w:val="21"/>
          <w:szCs w:val="21"/>
        </w:rPr>
        <w:t>3)要能通过电机的旋转表现电源的接通情况；</w:t>
      </w:r>
    </w:p>
    <w:p w14:paraId="54034D21">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包含电源检修前准备安全仿真；</w:t>
      </w:r>
    </w:p>
    <w:p w14:paraId="6CF5F3BA">
      <w:pPr>
        <w:spacing w:line="360" w:lineRule="auto"/>
        <w:rPr>
          <w:rFonts w:hint="eastAsia" w:ascii="宋体" w:hAnsi="宋体" w:eastAsia="宋体" w:cs="宋体"/>
          <w:sz w:val="21"/>
          <w:szCs w:val="21"/>
        </w:rPr>
      </w:pPr>
      <w:r>
        <w:rPr>
          <w:rFonts w:hint="eastAsia" w:ascii="宋体" w:hAnsi="宋体" w:eastAsia="宋体" w:cs="宋体"/>
          <w:sz w:val="21"/>
          <w:szCs w:val="21"/>
        </w:rPr>
        <w:t>1)模拟配电箱场景；</w:t>
      </w:r>
    </w:p>
    <w:p w14:paraId="38FC185F">
      <w:pPr>
        <w:spacing w:line="360" w:lineRule="auto"/>
        <w:rPr>
          <w:rFonts w:hint="eastAsia" w:ascii="宋体" w:hAnsi="宋体" w:eastAsia="宋体" w:cs="宋体"/>
          <w:sz w:val="21"/>
          <w:szCs w:val="21"/>
        </w:rPr>
      </w:pPr>
      <w:r>
        <w:rPr>
          <w:rFonts w:hint="eastAsia" w:ascii="宋体" w:hAnsi="宋体" w:eastAsia="宋体" w:cs="宋体"/>
          <w:sz w:val="21"/>
          <w:szCs w:val="21"/>
        </w:rPr>
        <w:t>2)提供工具库，工具库内设有配电箱钥匙和警告牌等工具；</w:t>
      </w:r>
    </w:p>
    <w:p w14:paraId="668DC1C7">
      <w:pPr>
        <w:spacing w:line="360" w:lineRule="auto"/>
        <w:rPr>
          <w:rFonts w:hint="eastAsia" w:ascii="宋体" w:hAnsi="宋体" w:eastAsia="宋体" w:cs="宋体"/>
          <w:sz w:val="21"/>
          <w:szCs w:val="21"/>
        </w:rPr>
      </w:pPr>
      <w:r>
        <w:rPr>
          <w:rFonts w:hint="eastAsia" w:ascii="宋体" w:hAnsi="宋体" w:eastAsia="宋体" w:cs="宋体"/>
          <w:sz w:val="21"/>
          <w:szCs w:val="21"/>
        </w:rPr>
        <w:t>3)能对配电箱进行开合电闸、开关门和放置警告牌等操作；</w:t>
      </w:r>
    </w:p>
    <w:p w14:paraId="06129AB2">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包括电器接线图绘制仿真题目；</w:t>
      </w:r>
    </w:p>
    <w:p w14:paraId="74A7403F">
      <w:pPr>
        <w:spacing w:line="360" w:lineRule="auto"/>
        <w:rPr>
          <w:rFonts w:hint="eastAsia" w:ascii="宋体" w:hAnsi="宋体" w:eastAsia="宋体" w:cs="宋体"/>
          <w:sz w:val="21"/>
          <w:szCs w:val="21"/>
        </w:rPr>
      </w:pPr>
      <w:r>
        <w:rPr>
          <w:rFonts w:hint="eastAsia" w:ascii="宋体" w:hAnsi="宋体" w:eastAsia="宋体" w:cs="宋体"/>
          <w:sz w:val="21"/>
          <w:szCs w:val="21"/>
        </w:rPr>
        <w:t>1)包含电器元件库，库中包含继电器、热保护继电器、电阻、接触器和熔断器等电器元件；</w:t>
      </w:r>
    </w:p>
    <w:p w14:paraId="6A7ADB51">
      <w:pPr>
        <w:spacing w:line="360" w:lineRule="auto"/>
        <w:rPr>
          <w:rFonts w:hint="eastAsia" w:ascii="宋体" w:hAnsi="宋体" w:eastAsia="宋体" w:cs="宋体"/>
          <w:sz w:val="21"/>
          <w:szCs w:val="21"/>
        </w:rPr>
      </w:pPr>
      <w:r>
        <w:rPr>
          <w:rFonts w:hint="eastAsia" w:ascii="宋体" w:hAnsi="宋体" w:eastAsia="宋体" w:cs="宋体"/>
          <w:sz w:val="21"/>
          <w:szCs w:val="21"/>
        </w:rPr>
        <w:t>2)可以通过鼠标拖拽的形式将电器库中的电器元件放置到电气图中；</w:t>
      </w:r>
    </w:p>
    <w:p w14:paraId="7F61DCA3">
      <w:pPr>
        <w:spacing w:line="360" w:lineRule="auto"/>
        <w:rPr>
          <w:rFonts w:hint="eastAsia" w:ascii="宋体" w:hAnsi="宋体" w:eastAsia="宋体" w:cs="宋体"/>
          <w:sz w:val="21"/>
          <w:szCs w:val="21"/>
        </w:rPr>
      </w:pPr>
      <w:r>
        <w:rPr>
          <w:rFonts w:hint="eastAsia" w:ascii="宋体" w:hAnsi="宋体" w:eastAsia="宋体" w:cs="宋体"/>
          <w:sz w:val="21"/>
          <w:szCs w:val="21"/>
        </w:rPr>
        <w:t>3)可以调整电器元件的位置和类型；</w:t>
      </w:r>
    </w:p>
    <w:p w14:paraId="3269143B">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包括三线电缆零线、火线、地线的标记；</w:t>
      </w:r>
    </w:p>
    <w:p w14:paraId="32437412">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1)显示零线、火线、地线名称按钮列表；</w:t>
      </w:r>
      <w:r>
        <w:rPr>
          <w:rFonts w:hint="eastAsia" w:ascii="宋体" w:hAnsi="宋体" w:eastAsia="宋体" w:cs="宋体"/>
          <w:sz w:val="21"/>
          <w:szCs w:val="21"/>
        </w:rPr>
        <w:tab/>
      </w:r>
    </w:p>
    <w:p w14:paraId="15BA2307">
      <w:pPr>
        <w:numPr>
          <w:ilvl w:val="0"/>
          <w:numId w:val="0"/>
        </w:numPr>
        <w:spacing w:line="360" w:lineRule="auto"/>
        <w:ind w:left="400" w:leftChars="0"/>
        <w:rPr>
          <w:rFonts w:hint="eastAsia" w:ascii="宋体" w:hAnsi="宋体" w:eastAsia="宋体" w:cs="宋体"/>
          <w:sz w:val="21"/>
          <w:szCs w:val="21"/>
        </w:rPr>
      </w:pPr>
      <w:r>
        <w:rPr>
          <w:rFonts w:hint="eastAsia" w:ascii="宋体" w:hAnsi="宋体" w:eastAsia="宋体" w:cs="宋体"/>
          <w:sz w:val="21"/>
          <w:szCs w:val="21"/>
        </w:rPr>
        <w:t>2)可以通过鼠标拖拽名称到电线；</w:t>
      </w:r>
    </w:p>
    <w:p w14:paraId="2E033B1E">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包括在用电环境下完成高空作业的仿真；</w:t>
      </w:r>
    </w:p>
    <w:p w14:paraId="0D74A885">
      <w:pPr>
        <w:spacing w:line="360" w:lineRule="auto"/>
        <w:rPr>
          <w:rFonts w:hint="eastAsia" w:ascii="宋体" w:hAnsi="宋体" w:eastAsia="宋体" w:cs="宋体"/>
          <w:sz w:val="21"/>
          <w:szCs w:val="21"/>
        </w:rPr>
      </w:pPr>
      <w:r>
        <w:rPr>
          <w:rFonts w:hint="eastAsia" w:ascii="宋体" w:hAnsi="宋体" w:eastAsia="宋体" w:cs="宋体"/>
          <w:sz w:val="21"/>
          <w:szCs w:val="21"/>
        </w:rPr>
        <w:t>1)包括工具库，内有警示牌、金属梯子、木质梯子等工具；</w:t>
      </w:r>
    </w:p>
    <w:p w14:paraId="57EF2431">
      <w:pPr>
        <w:spacing w:line="360" w:lineRule="auto"/>
        <w:rPr>
          <w:rFonts w:hint="eastAsia" w:ascii="宋体" w:hAnsi="宋体" w:eastAsia="宋体" w:cs="宋体"/>
          <w:sz w:val="21"/>
          <w:szCs w:val="21"/>
        </w:rPr>
      </w:pPr>
      <w:r>
        <w:rPr>
          <w:rFonts w:hint="eastAsia" w:ascii="宋体" w:hAnsi="宋体" w:eastAsia="宋体" w:cs="宋体"/>
          <w:sz w:val="21"/>
          <w:szCs w:val="21"/>
        </w:rPr>
        <w:t>2)可通过拖拽的方式使用工具；</w:t>
      </w:r>
    </w:p>
    <w:p w14:paraId="361C2540">
      <w:pPr>
        <w:spacing w:line="360" w:lineRule="auto"/>
        <w:rPr>
          <w:rFonts w:hint="eastAsia" w:ascii="宋体" w:hAnsi="宋体" w:eastAsia="宋体" w:cs="宋体"/>
          <w:sz w:val="21"/>
          <w:szCs w:val="21"/>
        </w:rPr>
      </w:pPr>
      <w:r>
        <w:rPr>
          <w:rFonts w:hint="eastAsia" w:ascii="宋体" w:hAnsi="宋体" w:eastAsia="宋体" w:cs="宋体"/>
          <w:sz w:val="21"/>
          <w:szCs w:val="21"/>
        </w:rPr>
        <w:t>3)可完成关闭电源、放置警示牌、使用木质梯子等操作；</w:t>
      </w:r>
    </w:p>
    <w:p w14:paraId="39A5D96C">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包括三相电机星形接法和三角接法，可选择铜片任意链接电机接线端子；</w:t>
      </w:r>
    </w:p>
    <w:p w14:paraId="668C480D">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启动资源时要显示实时的加载进度；</w:t>
      </w:r>
    </w:p>
    <w:p w14:paraId="3129A5A3">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相同类型的资源功能要统一，降低学习成本；</w:t>
      </w:r>
    </w:p>
    <w:p w14:paraId="2A22CF20">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21</w:t>
      </w:r>
      <w:r>
        <w:rPr>
          <w:rFonts w:hint="eastAsia" w:ascii="宋体" w:hAnsi="宋体" w:eastAsia="宋体" w:cs="宋体"/>
          <w:sz w:val="21"/>
          <w:szCs w:val="21"/>
          <w:lang w:eastAsia="zh-CN"/>
        </w:rPr>
        <w:t>.</w:t>
      </w:r>
      <w:r>
        <w:rPr>
          <w:rFonts w:hint="eastAsia" w:ascii="宋体" w:hAnsi="宋体" w:eastAsia="宋体" w:cs="宋体"/>
          <w:sz w:val="21"/>
          <w:szCs w:val="21"/>
        </w:rPr>
        <w:t>软件中每个资源都要在固定区域设置帮助提示按钮，提供基本的功能介绍和操作引导；</w:t>
      </w:r>
    </w:p>
    <w:p w14:paraId="64F3F4D2">
      <w:pPr>
        <w:numPr>
          <w:ilvl w:val="0"/>
          <w:numId w:val="69"/>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22</w:t>
      </w:r>
      <w:r>
        <w:rPr>
          <w:rFonts w:hint="eastAsia" w:ascii="宋体" w:hAnsi="宋体" w:eastAsia="宋体" w:cs="宋体"/>
          <w:sz w:val="21"/>
          <w:szCs w:val="21"/>
          <w:lang w:eastAsia="zh-CN"/>
        </w:rPr>
        <w:t>.</w:t>
      </w:r>
      <w:r>
        <w:rPr>
          <w:rFonts w:hint="eastAsia" w:ascii="宋体" w:hAnsi="宋体" w:eastAsia="宋体" w:cs="宋体"/>
          <w:sz w:val="21"/>
          <w:szCs w:val="21"/>
        </w:rPr>
        <w:t>动画题目资源要包含用电操作规范、触电事故、检查设备、配电线路、配电箱、三相五线制（TN-S）、试电笔、手持电动工具和照明线路等资源。</w:t>
      </w:r>
    </w:p>
    <w:p w14:paraId="6873BB46">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、实训项目要求</w:t>
      </w:r>
    </w:p>
    <w:p w14:paraId="1E0CB08A">
      <w:pPr>
        <w:spacing w:line="360" w:lineRule="auto"/>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w:t>
      </w:r>
      <w:r>
        <w:rPr>
          <w:rFonts w:hint="eastAsia" w:ascii="宋体" w:hAnsi="宋体" w:eastAsia="宋体" w:cs="宋体"/>
          <w:color w:val="FF0000"/>
          <w:sz w:val="21"/>
          <w:szCs w:val="21"/>
          <w:highlight w:val="none"/>
          <w:lang w:val="en-US" w:eastAsia="zh-CN"/>
        </w:rPr>
        <w:t>1</w:t>
      </w:r>
      <w:r>
        <w:rPr>
          <w:rFonts w:hint="eastAsia" w:ascii="宋体" w:hAnsi="宋体" w:eastAsia="宋体" w:cs="宋体"/>
          <w:color w:val="FF0000"/>
          <w:sz w:val="21"/>
          <w:szCs w:val="21"/>
          <w:highlight w:val="none"/>
        </w:rPr>
        <w:t>）电气实训项目</w:t>
      </w:r>
    </w:p>
    <w:p w14:paraId="5794E0A8">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电气线路线图的符号；</w:t>
      </w:r>
    </w:p>
    <w:p w14:paraId="18CD6659">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电气线路图的器件选择；</w:t>
      </w:r>
    </w:p>
    <w:p w14:paraId="49CA8142">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用万用检测电气元器件方法；</w:t>
      </w:r>
    </w:p>
    <w:p w14:paraId="1CEA54C1">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用万用测量电压、电阻、电流的方法；</w:t>
      </w:r>
    </w:p>
    <w:p w14:paraId="64AA7BC1">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三相异步电动机点动控制电路；</w:t>
      </w:r>
    </w:p>
    <w:p w14:paraId="112DA75B">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三相异步电机的自锁控制控制线路的接线；</w:t>
      </w:r>
    </w:p>
    <w:p w14:paraId="61A0EBEE">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三相异步电机的正反转控制线路的接线；</w:t>
      </w:r>
    </w:p>
    <w:p w14:paraId="1799C020">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三相异步电机的连续与点动混合控制线路的接线；</w:t>
      </w:r>
    </w:p>
    <w:p w14:paraId="44E7D434">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三相异步电机的接触器控制的Y—△降压启动控制线路的接线；</w:t>
      </w:r>
    </w:p>
    <w:p w14:paraId="0B2EC238">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三相异步电机的时间继电器控制的Y—△降压启动控制线路的接线；</w:t>
      </w:r>
    </w:p>
    <w:p w14:paraId="02410521">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三相异步电机A、B两地往返运动；</w:t>
      </w:r>
    </w:p>
    <w:p w14:paraId="04816C5F">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三相异步电机A、C两地往返运动；</w:t>
      </w:r>
    </w:p>
    <w:p w14:paraId="469FC032">
      <w:pPr>
        <w:numPr>
          <w:ilvl w:val="0"/>
          <w:numId w:val="70"/>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三相异步电机A、D两地往返运动；</w:t>
      </w:r>
    </w:p>
    <w:p w14:paraId="392A83E1">
      <w:pPr>
        <w:spacing w:line="360" w:lineRule="auto"/>
        <w:rPr>
          <w:rFonts w:hint="eastAsia" w:ascii="宋体" w:hAnsi="宋体" w:eastAsia="宋体" w:cs="宋体"/>
          <w:color w:val="FF0000"/>
          <w:sz w:val="21"/>
          <w:szCs w:val="21"/>
          <w:highlight w:val="none"/>
          <w:lang w:eastAsia="zh-CN"/>
        </w:rPr>
      </w:pPr>
      <w:r>
        <w:rPr>
          <w:rFonts w:hint="eastAsia" w:ascii="宋体" w:hAnsi="宋体" w:eastAsia="宋体" w:cs="宋体"/>
          <w:color w:val="FF0000"/>
          <w:sz w:val="21"/>
          <w:szCs w:val="21"/>
          <w:highlight w:val="none"/>
        </w:rPr>
        <w:t>（</w:t>
      </w:r>
      <w:r>
        <w:rPr>
          <w:rFonts w:hint="eastAsia" w:ascii="宋体" w:hAnsi="宋体" w:eastAsia="宋体" w:cs="宋体"/>
          <w:color w:val="FF0000"/>
          <w:sz w:val="21"/>
          <w:szCs w:val="21"/>
          <w:highlight w:val="none"/>
          <w:lang w:val="en-US" w:eastAsia="zh-CN"/>
        </w:rPr>
        <w:t>2</w:t>
      </w:r>
      <w:r>
        <w:rPr>
          <w:rFonts w:hint="eastAsia" w:ascii="宋体" w:hAnsi="宋体" w:eastAsia="宋体" w:cs="宋体"/>
          <w:color w:val="FF0000"/>
          <w:sz w:val="21"/>
          <w:szCs w:val="21"/>
          <w:highlight w:val="none"/>
        </w:rPr>
        <w:t>）PLC实训项目</w:t>
      </w:r>
    </w:p>
    <w:p w14:paraId="25D84C40">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PLC基本指令的使用；</w:t>
      </w:r>
    </w:p>
    <w:p w14:paraId="147BAD55">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PLC的联机控制的操作；</w:t>
      </w:r>
    </w:p>
    <w:p w14:paraId="544F31BD">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PLC控制三相异步电机启停控制的接线和程序；</w:t>
      </w:r>
    </w:p>
    <w:p w14:paraId="64653D82">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PLC控制三相异步电机点动控制的接线和程序；</w:t>
      </w:r>
    </w:p>
    <w:p w14:paraId="377681E8">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PLC控制三相异步电机的接触器控制的Y—△降压启动控制的接线和程序；</w:t>
      </w:r>
    </w:p>
    <w:p w14:paraId="132BCD61">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PLC控制三相异步电机的时间继电器控制的Y—△降压启动控制的接线和程序；</w:t>
      </w:r>
    </w:p>
    <w:p w14:paraId="6796D370">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PLC控制信号灯依次点亮接线及程序调试；</w:t>
      </w:r>
    </w:p>
    <w:p w14:paraId="4CB7AF6B">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信号灯模拟红灯在单向车道中交通信号灯的变化；</w:t>
      </w:r>
    </w:p>
    <w:p w14:paraId="2330BCD9">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PLC水泵排水控制；</w:t>
      </w:r>
    </w:p>
    <w:p w14:paraId="2F1B1673">
      <w:pPr>
        <w:numPr>
          <w:ilvl w:val="0"/>
          <w:numId w:val="71"/>
        </w:numPr>
        <w:spacing w:line="360" w:lineRule="auto"/>
        <w:ind w:left="0" w:leftChars="0" w:firstLine="400"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lang w:val="en-US" w:eastAsia="zh-CN"/>
        </w:rPr>
        <w:t>包含</w:t>
      </w:r>
      <w:r>
        <w:rPr>
          <w:rFonts w:hint="eastAsia" w:ascii="宋体" w:hAnsi="宋体" w:eastAsia="宋体" w:cs="宋体"/>
          <w:color w:val="FF0000"/>
          <w:sz w:val="21"/>
          <w:szCs w:val="21"/>
          <w:highlight w:val="none"/>
        </w:rPr>
        <w:t>PLC水库船闸控制；</w:t>
      </w:r>
    </w:p>
    <w:p w14:paraId="532FF890">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）基本电子装套实训项目</w:t>
      </w:r>
    </w:p>
    <w:p w14:paraId="2457118F">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电子元器件的识别；</w:t>
      </w:r>
    </w:p>
    <w:p w14:paraId="7A47D169">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电子元器件的检测；</w:t>
      </w:r>
    </w:p>
    <w:p w14:paraId="13DEED66">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仪器仪表的使用；</w:t>
      </w:r>
    </w:p>
    <w:p w14:paraId="5B3B89F5">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数码管控制电路的焊接与调试；</w:t>
      </w:r>
    </w:p>
    <w:p w14:paraId="23A9BE62">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助听器电路的焊接与调试；</w:t>
      </w:r>
    </w:p>
    <w:p w14:paraId="4A375BB3">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OCL功率放大电路、NE555振荡电路的焊接与调试；</w:t>
      </w:r>
    </w:p>
    <w:p w14:paraId="0D84614E">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信号源与电动机驱动焊接与调试；</w:t>
      </w:r>
    </w:p>
    <w:p w14:paraId="302838E5">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触发器电路的焊接与调试；</w:t>
      </w:r>
    </w:p>
    <w:p w14:paraId="352F1EFB">
      <w:pPr>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光控流水灯电路的焊接与调试；</w:t>
      </w:r>
    </w:p>
    <w:p w14:paraId="78C83B69">
      <w:pPr>
        <w:pStyle w:val="53"/>
        <w:numPr>
          <w:ilvl w:val="0"/>
          <w:numId w:val="72"/>
        </w:numPr>
        <w:spacing w:line="360" w:lineRule="auto"/>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无线传感隧道栏杆电路红外限高检测的焊接与调试</w:t>
      </w:r>
    </w:p>
    <w:p w14:paraId="3CF1139A">
      <w:pPr>
        <w:pStyle w:val="53"/>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(4）项目式案例</w:t>
      </w:r>
    </w:p>
    <w:p w14:paraId="06BCE518">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①.</w:t>
      </w:r>
      <w:r>
        <w:rPr>
          <w:rFonts w:hint="eastAsia" w:ascii="宋体" w:hAnsi="宋体" w:eastAsia="宋体" w:cs="宋体"/>
          <w:sz w:val="21"/>
          <w:szCs w:val="21"/>
        </w:rPr>
        <w:t>小车控制电路装接与调试</w:t>
      </w:r>
    </w:p>
    <w:p w14:paraId="1F799C2E">
      <w:pPr>
        <w:spacing w:line="360" w:lineRule="auto"/>
        <w:rPr>
          <w:rFonts w:hint="eastAsia" w:ascii="宋体" w:hAnsi="宋体" w:eastAsia="宋体" w:cs="宋体"/>
          <w:sz w:val="21"/>
          <w:szCs w:val="21"/>
        </w:rPr>
      </w:pPr>
      <w:r>
        <w:rPr>
          <w:rFonts w:hint="eastAsia" w:ascii="宋体" w:hAnsi="宋体" w:eastAsia="宋体" w:cs="宋体"/>
          <w:sz w:val="21"/>
          <w:szCs w:val="21"/>
        </w:rPr>
        <w:t>项目包含遥控板和主控板两套电路板套件及原理图、电气线路安装原理图。</w:t>
      </w:r>
    </w:p>
    <w:p w14:paraId="03876B12">
      <w:pPr>
        <w:spacing w:line="360" w:lineRule="auto"/>
        <w:rPr>
          <w:rFonts w:hint="eastAsia" w:ascii="宋体" w:hAnsi="宋体" w:eastAsia="宋体" w:cs="宋体"/>
          <w:sz w:val="21"/>
          <w:szCs w:val="21"/>
        </w:rPr>
      </w:pPr>
      <w:r>
        <w:rPr>
          <w:rFonts w:hint="eastAsia" w:ascii="宋体" w:hAnsi="宋体" w:eastAsia="宋体" w:cs="宋体"/>
          <w:sz w:val="21"/>
          <w:szCs w:val="21"/>
        </w:rPr>
        <w:t>1）主控板套件至少包含以下元器件：</w:t>
      </w:r>
    </w:p>
    <w:tbl>
      <w:tblPr>
        <w:tblStyle w:val="25"/>
        <w:tblW w:w="4998" w:type="pct"/>
        <w:tblInd w:w="0" w:type="dxa"/>
        <w:tblLayout w:type="autofit"/>
        <w:tblCellMar>
          <w:top w:w="0" w:type="dxa"/>
          <w:left w:w="0" w:type="dxa"/>
          <w:bottom w:w="0" w:type="dxa"/>
          <w:right w:w="0" w:type="dxa"/>
        </w:tblCellMar>
      </w:tblPr>
      <w:tblGrid>
        <w:gridCol w:w="1784"/>
        <w:gridCol w:w="1706"/>
        <w:gridCol w:w="871"/>
        <w:gridCol w:w="1369"/>
        <w:gridCol w:w="2306"/>
        <w:gridCol w:w="1051"/>
      </w:tblGrid>
      <w:tr w14:paraId="4B2397D2">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B5E17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序列</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5A4E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参数</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D50F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数量</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CD3C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序列</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D701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参数</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49E2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数量</w:t>
            </w:r>
          </w:p>
        </w:tc>
      </w:tr>
      <w:tr w14:paraId="5C36951D">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819A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C1,C3</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0663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104</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325B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2669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LED3</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CF6E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绿色发光二极管</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CEB8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2EFFEAD4">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C2E7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C2</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BBAF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470uF</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7BE9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1016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SW1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1A43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六脚自锁开关</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B84B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1E3ACFD2">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7001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C4</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C764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100uF</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993B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B7DE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SW2</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5D9C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四脚开关</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F8AC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206FC4E6">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3B5E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C5</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969F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1uF</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D9A4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A9F4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U1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083A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STC89C52RC</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9B37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542C5DC1">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31AD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C6,C7</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9307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20pF</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F8A5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FAFD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U2</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4758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AMS1117</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9C21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5D2EFDA1">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F5D7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R1,R2,R7,R9</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8DD2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2kΩ</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A0AA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2920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芯片插座</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A52D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DIP-40</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013C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743F2A89">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0F28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R3,R4</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20C2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10kΩ</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CF43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0A67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1433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HDR1x2P</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D215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78D4C5AF">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EE23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R5,R12,R13</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4950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4.7kΩ</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D10D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66B0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H2</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7CE2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HDR1x6P</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1E6D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2EEEA6FF">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B823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R6,R8</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B0EB9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510Ω</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B8AD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8480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D1-D9</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8BED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1N4007</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AD33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9</w:t>
            </w:r>
          </w:p>
        </w:tc>
      </w:tr>
      <w:tr w14:paraId="63FCF002">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2F64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R10,R11,R14,R15</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B190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1kΩ</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D2FD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5F81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P1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DA27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7.62-4P</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E8F6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56E5D52B">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7D01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Q1,Q2,Q3</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43F9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B772</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8262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EF3D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P2</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E666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7.62-6P</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0A0C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568976BE">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2403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Q4,Q8,Q9,Q10,Q11</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2667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8550</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A577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8BA7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MG1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19C5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电机+叶片</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2315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1D2B0954">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568E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Q5,Q6</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FCB8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D882</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B215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2DCF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X1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EE89B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11.0592MHz</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420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6F2DA541">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7479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Q7</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DD6D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8050</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9476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A8CB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HL1</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1404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黄色交流灯</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D065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42F27991">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A85D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K1,K2,K3,K4</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AC49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SRA-05VDC-CL</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8E38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54C4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HL2</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4B7C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绿色交流灯</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B9DE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2C73E128">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8983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LED1,LED4</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C1A5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红色发光二极管</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2AA5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9D0C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HL3</w:t>
            </w: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58D5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红色交流灯</w:t>
            </w: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AC1D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21B056E0">
        <w:tblPrEx>
          <w:tblCellMar>
            <w:top w:w="0" w:type="dxa"/>
            <w:left w:w="0" w:type="dxa"/>
            <w:bottom w:w="0" w:type="dxa"/>
            <w:right w:w="0" w:type="dxa"/>
          </w:tblCellMar>
        </w:tblPrEx>
        <w:trPr>
          <w:trHeight w:val="369" w:hRule="atLeast"/>
        </w:trPr>
        <w:tc>
          <w:tcPr>
            <w:tcW w:w="878"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2D5D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LED2</w:t>
            </w:r>
          </w:p>
        </w:tc>
        <w:tc>
          <w:tcPr>
            <w:tcW w:w="95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CC62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黄色发光二极管</w:t>
            </w:r>
          </w:p>
        </w:tc>
        <w:tc>
          <w:tcPr>
            <w:tcW w:w="5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B822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7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BE62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p>
        </w:tc>
        <w:tc>
          <w:tcPr>
            <w:tcW w:w="128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35F6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p>
        </w:tc>
        <w:tc>
          <w:tcPr>
            <w:tcW w:w="598"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FE09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p>
        </w:tc>
      </w:tr>
    </w:tbl>
    <w:p w14:paraId="468088CA">
      <w:pPr>
        <w:spacing w:line="360" w:lineRule="auto"/>
        <w:rPr>
          <w:rFonts w:hint="eastAsia" w:ascii="宋体" w:hAnsi="宋体" w:eastAsia="宋体" w:cs="宋体"/>
          <w:sz w:val="21"/>
          <w:szCs w:val="21"/>
        </w:rPr>
      </w:pPr>
      <w:r>
        <w:rPr>
          <w:rFonts w:hint="eastAsia" w:ascii="宋体" w:hAnsi="宋体" w:eastAsia="宋体" w:cs="宋体"/>
          <w:sz w:val="21"/>
          <w:szCs w:val="21"/>
        </w:rPr>
        <w:t>2）遥控板套件至少包含以下元器件：</w:t>
      </w:r>
    </w:p>
    <w:tbl>
      <w:tblPr>
        <w:tblStyle w:val="25"/>
        <w:tblW w:w="4999" w:type="pct"/>
        <w:tblInd w:w="0" w:type="dxa"/>
        <w:tblLayout w:type="autofit"/>
        <w:tblCellMar>
          <w:top w:w="0" w:type="dxa"/>
          <w:left w:w="0" w:type="dxa"/>
          <w:bottom w:w="0" w:type="dxa"/>
          <w:right w:w="0" w:type="dxa"/>
        </w:tblCellMar>
      </w:tblPr>
      <w:tblGrid>
        <w:gridCol w:w="1700"/>
        <w:gridCol w:w="1818"/>
        <w:gridCol w:w="907"/>
        <w:gridCol w:w="1818"/>
        <w:gridCol w:w="1987"/>
        <w:gridCol w:w="859"/>
      </w:tblGrid>
      <w:tr w14:paraId="729913A8">
        <w:tblPrEx>
          <w:tblCellMar>
            <w:top w:w="0" w:type="dxa"/>
            <w:left w:w="0" w:type="dxa"/>
            <w:bottom w:w="0" w:type="dxa"/>
            <w:right w:w="0" w:type="dxa"/>
          </w:tblCellMar>
        </w:tblPrEx>
        <w:trPr>
          <w:trHeight w:val="425" w:hRule="atLeast"/>
        </w:trPr>
        <w:tc>
          <w:tcPr>
            <w:tcW w:w="935"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2D6F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序列</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BF4B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参数</w:t>
            </w:r>
          </w:p>
        </w:tc>
        <w:tc>
          <w:tcPr>
            <w:tcW w:w="49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328E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数量</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D9C3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序列</w:t>
            </w:r>
          </w:p>
        </w:tc>
        <w:tc>
          <w:tcPr>
            <w:tcW w:w="109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A0C5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参数</w:t>
            </w:r>
          </w:p>
        </w:tc>
        <w:tc>
          <w:tcPr>
            <w:tcW w:w="472"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AEAD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数量</w:t>
            </w:r>
          </w:p>
        </w:tc>
      </w:tr>
      <w:tr w14:paraId="7A71E7B2">
        <w:tblPrEx>
          <w:tblCellMar>
            <w:top w:w="0" w:type="dxa"/>
            <w:left w:w="0" w:type="dxa"/>
            <w:bottom w:w="0" w:type="dxa"/>
            <w:right w:w="0" w:type="dxa"/>
          </w:tblCellMar>
        </w:tblPrEx>
        <w:trPr>
          <w:trHeight w:val="425" w:hRule="atLeast"/>
        </w:trPr>
        <w:tc>
          <w:tcPr>
            <w:tcW w:w="935"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48C8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H1</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3F38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HDR_5.08_1x2P</w:t>
            </w:r>
          </w:p>
        </w:tc>
        <w:tc>
          <w:tcPr>
            <w:tcW w:w="49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700C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8E02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芯片底座</w:t>
            </w:r>
          </w:p>
        </w:tc>
        <w:tc>
          <w:tcPr>
            <w:tcW w:w="109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068C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DIP-18</w:t>
            </w:r>
          </w:p>
        </w:tc>
        <w:tc>
          <w:tcPr>
            <w:tcW w:w="472"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4DB2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12D2A812">
        <w:tblPrEx>
          <w:tblCellMar>
            <w:top w:w="0" w:type="dxa"/>
            <w:left w:w="0" w:type="dxa"/>
            <w:bottom w:w="0" w:type="dxa"/>
            <w:right w:w="0" w:type="dxa"/>
          </w:tblCellMar>
        </w:tblPrEx>
        <w:trPr>
          <w:trHeight w:val="425" w:hRule="atLeast"/>
        </w:trPr>
        <w:tc>
          <w:tcPr>
            <w:tcW w:w="935"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743E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SW1,SW2,SW3,SW4</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09B8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四脚开关</w:t>
            </w:r>
          </w:p>
        </w:tc>
        <w:tc>
          <w:tcPr>
            <w:tcW w:w="49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6861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7DD5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J</w:t>
            </w:r>
          </w:p>
        </w:tc>
        <w:tc>
          <w:tcPr>
            <w:tcW w:w="109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B227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HDR_2.54_3x8P</w:t>
            </w:r>
          </w:p>
        </w:tc>
        <w:tc>
          <w:tcPr>
            <w:tcW w:w="472"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9C56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33D3FDB9">
        <w:tblPrEx>
          <w:tblCellMar>
            <w:top w:w="0" w:type="dxa"/>
            <w:left w:w="0" w:type="dxa"/>
            <w:bottom w:w="0" w:type="dxa"/>
            <w:right w:w="0" w:type="dxa"/>
          </w:tblCellMar>
        </w:tblPrEx>
        <w:trPr>
          <w:trHeight w:val="425" w:hRule="atLeast"/>
        </w:trPr>
        <w:tc>
          <w:tcPr>
            <w:tcW w:w="935"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4C7D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R2</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EE9B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4.7MΩ</w:t>
            </w:r>
          </w:p>
        </w:tc>
        <w:tc>
          <w:tcPr>
            <w:tcW w:w="49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071D9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4BE9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D1-D8</w:t>
            </w:r>
          </w:p>
        </w:tc>
        <w:tc>
          <w:tcPr>
            <w:tcW w:w="109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52F61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1N5819</w:t>
            </w:r>
          </w:p>
        </w:tc>
        <w:tc>
          <w:tcPr>
            <w:tcW w:w="472"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453DA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8</w:t>
            </w:r>
          </w:p>
        </w:tc>
      </w:tr>
      <w:tr w14:paraId="3EDFBD3C">
        <w:tblPrEx>
          <w:tblCellMar>
            <w:top w:w="0" w:type="dxa"/>
            <w:left w:w="0" w:type="dxa"/>
            <w:bottom w:w="0" w:type="dxa"/>
            <w:right w:w="0" w:type="dxa"/>
          </w:tblCellMar>
        </w:tblPrEx>
        <w:trPr>
          <w:trHeight w:val="425" w:hRule="atLeast"/>
        </w:trPr>
        <w:tc>
          <w:tcPr>
            <w:tcW w:w="935" w:type="pct"/>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6FFF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R3,R4,R5,R6</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10203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2.7kΩ</w:t>
            </w:r>
          </w:p>
        </w:tc>
        <w:tc>
          <w:tcPr>
            <w:tcW w:w="499"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61687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000"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38C02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3P排母</w:t>
            </w:r>
          </w:p>
        </w:tc>
        <w:tc>
          <w:tcPr>
            <w:tcW w:w="1093"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2FFF5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HDR_2.54_1x3P</w:t>
            </w:r>
          </w:p>
        </w:tc>
        <w:tc>
          <w:tcPr>
            <w:tcW w:w="472" w:type="pct"/>
            <w:tcBorders>
              <w:top w:val="single" w:color="auto" w:sz="4" w:space="0"/>
              <w:left w:val="nil"/>
              <w:bottom w:val="single" w:color="auto" w:sz="4" w:space="0"/>
              <w:right w:val="single" w:color="auto" w:sz="4" w:space="0"/>
            </w:tcBorders>
            <w:noWrap/>
            <w:tcMar>
              <w:top w:w="10" w:type="dxa"/>
              <w:left w:w="10" w:type="dxa"/>
              <w:bottom w:w="0" w:type="dxa"/>
              <w:right w:w="10" w:type="dxa"/>
            </w:tcMar>
            <w:vAlign w:val="center"/>
          </w:tcPr>
          <w:p w14:paraId="75421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2"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w:t>
            </w:r>
          </w:p>
        </w:tc>
      </w:tr>
    </w:tbl>
    <w:p w14:paraId="638E354F">
      <w:pPr>
        <w:spacing w:line="360" w:lineRule="auto"/>
        <w:rPr>
          <w:rFonts w:hint="eastAsia" w:ascii="宋体" w:hAnsi="宋体" w:eastAsia="宋体" w:cs="宋体"/>
          <w:sz w:val="21"/>
          <w:szCs w:val="21"/>
        </w:rPr>
      </w:pPr>
      <w:r>
        <w:rPr>
          <w:rFonts w:hint="eastAsia" w:ascii="宋体" w:hAnsi="宋体" w:eastAsia="宋体" w:cs="宋体"/>
          <w:sz w:val="21"/>
          <w:szCs w:val="21"/>
        </w:rPr>
        <w:t>3）项目功能包含：</w:t>
      </w:r>
    </w:p>
    <w:p w14:paraId="47B44739">
      <w:pPr>
        <w:numPr>
          <w:ilvl w:val="0"/>
          <w:numId w:val="73"/>
        </w:numPr>
        <w:spacing w:line="360" w:lineRule="auto"/>
        <w:ind w:left="0" w:leftChars="0" w:firstLine="420" w:firstLineChars="0"/>
        <w:rPr>
          <w:rFonts w:hint="eastAsia" w:ascii="宋体" w:hAnsi="宋体" w:eastAsia="宋体" w:cs="宋体"/>
          <w:sz w:val="21"/>
          <w:szCs w:val="21"/>
        </w:rPr>
      </w:pPr>
      <w:r>
        <w:rPr>
          <w:rFonts w:hint="eastAsia" w:ascii="宋体" w:hAnsi="宋体" w:eastAsia="宋体" w:cs="宋体"/>
          <w:sz w:val="21"/>
          <w:szCs w:val="21"/>
        </w:rPr>
        <w:t>按下遥控板SW1实现三相异步电机正转启动功能；小车前进；</w:t>
      </w:r>
    </w:p>
    <w:p w14:paraId="6C54F47B">
      <w:pPr>
        <w:numPr>
          <w:ilvl w:val="0"/>
          <w:numId w:val="73"/>
        </w:numPr>
        <w:spacing w:line="360" w:lineRule="auto"/>
        <w:ind w:left="0" w:leftChars="0" w:firstLine="420" w:firstLineChars="0"/>
        <w:rPr>
          <w:rFonts w:hint="eastAsia" w:ascii="宋体" w:hAnsi="宋体" w:eastAsia="宋体" w:cs="宋体"/>
          <w:sz w:val="21"/>
          <w:szCs w:val="21"/>
        </w:rPr>
      </w:pPr>
      <w:r>
        <w:rPr>
          <w:rFonts w:hint="eastAsia" w:ascii="宋体" w:hAnsi="宋体" w:eastAsia="宋体" w:cs="宋体"/>
          <w:sz w:val="21"/>
          <w:szCs w:val="21"/>
        </w:rPr>
        <w:t>按下遥控板SW3实现三相异步电机停止功能；小车停止；</w:t>
      </w:r>
    </w:p>
    <w:p w14:paraId="5D8E513E">
      <w:pPr>
        <w:numPr>
          <w:ilvl w:val="0"/>
          <w:numId w:val="73"/>
        </w:numPr>
        <w:spacing w:line="360" w:lineRule="auto"/>
        <w:ind w:left="0" w:leftChars="0" w:firstLine="420" w:firstLineChars="0"/>
        <w:rPr>
          <w:rFonts w:hint="eastAsia" w:ascii="宋体" w:hAnsi="宋体" w:eastAsia="宋体" w:cs="宋体"/>
          <w:sz w:val="21"/>
          <w:szCs w:val="21"/>
        </w:rPr>
      </w:pPr>
      <w:r>
        <w:rPr>
          <w:rFonts w:hint="eastAsia" w:ascii="宋体" w:hAnsi="宋体" w:eastAsia="宋体" w:cs="宋体"/>
          <w:sz w:val="21"/>
          <w:szCs w:val="21"/>
        </w:rPr>
        <w:t>按下遥控板SW2实现三相异步电机反转启动功能；小车后退；</w:t>
      </w:r>
    </w:p>
    <w:p w14:paraId="119CD4C5">
      <w:pPr>
        <w:numPr>
          <w:ilvl w:val="0"/>
          <w:numId w:val="73"/>
        </w:numPr>
        <w:spacing w:line="360" w:lineRule="auto"/>
        <w:ind w:left="0" w:leftChars="0" w:firstLine="420" w:firstLineChars="0"/>
        <w:rPr>
          <w:rFonts w:hint="eastAsia" w:ascii="宋体" w:hAnsi="宋体" w:eastAsia="宋体" w:cs="宋体"/>
          <w:sz w:val="21"/>
          <w:szCs w:val="21"/>
        </w:rPr>
      </w:pPr>
      <w:r>
        <w:rPr>
          <w:rFonts w:hint="eastAsia" w:ascii="宋体" w:hAnsi="宋体" w:eastAsia="宋体" w:cs="宋体"/>
          <w:sz w:val="21"/>
          <w:szCs w:val="21"/>
        </w:rPr>
        <w:t>按下遥控板SW4实现三相异步电机“Y-△”运行模式切换；</w:t>
      </w:r>
    </w:p>
    <w:p w14:paraId="1B3A591C">
      <w:pPr>
        <w:numPr>
          <w:ilvl w:val="0"/>
          <w:numId w:val="73"/>
        </w:numPr>
        <w:spacing w:line="360" w:lineRule="auto"/>
        <w:ind w:left="0" w:leftChars="0" w:firstLine="420" w:firstLineChars="0"/>
        <w:rPr>
          <w:rFonts w:hint="eastAsia" w:ascii="宋体" w:hAnsi="宋体" w:eastAsia="宋体" w:cs="宋体"/>
          <w:sz w:val="21"/>
          <w:szCs w:val="21"/>
        </w:rPr>
      </w:pPr>
      <w:r>
        <w:rPr>
          <w:rFonts w:hint="eastAsia" w:ascii="宋体" w:hAnsi="宋体" w:eastAsia="宋体" w:cs="宋体"/>
          <w:sz w:val="21"/>
          <w:szCs w:val="21"/>
        </w:rPr>
        <w:t>电路板上绿色指示灯HL2实现电机正转运行状态指示功能；小车绿色指示灯点亮；</w:t>
      </w:r>
    </w:p>
    <w:p w14:paraId="62D3E366">
      <w:pPr>
        <w:numPr>
          <w:ilvl w:val="0"/>
          <w:numId w:val="73"/>
        </w:numPr>
        <w:spacing w:line="360" w:lineRule="auto"/>
        <w:ind w:left="0" w:leftChars="0" w:firstLine="420" w:firstLineChars="0"/>
        <w:rPr>
          <w:rFonts w:hint="eastAsia" w:ascii="宋体" w:hAnsi="宋体" w:eastAsia="宋体" w:cs="宋体"/>
          <w:sz w:val="21"/>
          <w:szCs w:val="21"/>
        </w:rPr>
      </w:pPr>
      <w:r>
        <w:rPr>
          <w:rFonts w:hint="eastAsia" w:ascii="宋体" w:hAnsi="宋体" w:eastAsia="宋体" w:cs="宋体"/>
          <w:sz w:val="21"/>
          <w:szCs w:val="21"/>
        </w:rPr>
        <w:t>电路板上黄色指示灯HL1实现电机反转运行状态指示功能；小车黄色指示灯点亮；</w:t>
      </w:r>
    </w:p>
    <w:p w14:paraId="12167EFC">
      <w:pPr>
        <w:keepNext w:val="0"/>
        <w:keepLines w:val="0"/>
        <w:pageBreakBefore w:val="0"/>
        <w:widowControl w:val="0"/>
        <w:numPr>
          <w:ilvl w:val="0"/>
          <w:numId w:val="73"/>
        </w:numPr>
        <w:kinsoku/>
        <w:wordWrap/>
        <w:overflowPunct/>
        <w:topLinePunct w:val="0"/>
        <w:autoSpaceDE/>
        <w:autoSpaceDN/>
        <w:bidi w:val="0"/>
        <w:adjustRightInd/>
        <w:snapToGrid/>
        <w:spacing w:line="360" w:lineRule="auto"/>
        <w:ind w:left="0" w:leftChars="0" w:firstLine="42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电路板上红色指示灯HL3实现电机切换运行状态指示功能。小车红色指示灯点亮。</w:t>
      </w:r>
    </w:p>
    <w:p w14:paraId="51562B5E">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0" w:firstLine="0" w:firstLineChars="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以上功能须在签订合同前向采购人提供现场演示。</w:t>
      </w:r>
    </w:p>
    <w:p w14:paraId="11057C8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1"/>
          <w:szCs w:val="21"/>
        </w:rPr>
      </w:pPr>
    </w:p>
    <w:p w14:paraId="5ACA5749">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项目实施配套资源建设</w:t>
      </w:r>
    </w:p>
    <w:p w14:paraId="2909DDAD">
      <w:pPr>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、资源建设</w:t>
      </w:r>
    </w:p>
    <w:p w14:paraId="42607CC3">
      <w:pPr>
        <w:numPr>
          <w:ilvl w:val="0"/>
          <w:numId w:val="74"/>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电子电工综合装调与应用项目竞赛任务书真题不少于1套（含电子组任务书和工组任务书）；</w:t>
      </w:r>
    </w:p>
    <w:p w14:paraId="5B0BCF01">
      <w:pPr>
        <w:numPr>
          <w:ilvl w:val="0"/>
          <w:numId w:val="74"/>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最近一年</w:t>
      </w:r>
      <w:r>
        <w:rPr>
          <w:rFonts w:hint="eastAsia" w:ascii="宋体" w:hAnsi="宋体" w:eastAsia="宋体" w:cs="宋体"/>
          <w:sz w:val="21"/>
          <w:szCs w:val="21"/>
          <w:lang w:eastAsia="zh-CN"/>
        </w:rPr>
        <w:t>省级</w:t>
      </w:r>
      <w:r>
        <w:rPr>
          <w:rFonts w:hint="eastAsia" w:ascii="宋体" w:hAnsi="宋体" w:eastAsia="宋体" w:cs="宋体"/>
          <w:sz w:val="21"/>
          <w:szCs w:val="21"/>
        </w:rPr>
        <w:t>中等职业学校职业能力大赛电子电工专业教师技能类竞赛任务书不少于1套；</w:t>
      </w:r>
    </w:p>
    <w:p w14:paraId="07885FC3">
      <w:pPr>
        <w:rPr>
          <w:rFonts w:hint="eastAsia" w:ascii="宋体" w:hAnsi="宋体" w:eastAsia="宋体" w:cs="宋体"/>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电子电工</w:t>
      </w:r>
      <w:r>
        <w:rPr>
          <w:rFonts w:hint="eastAsia" w:ascii="宋体" w:hAnsi="宋体" w:eastAsia="宋体" w:cs="宋体"/>
          <w:b/>
          <w:bCs/>
          <w:sz w:val="21"/>
          <w:szCs w:val="21"/>
        </w:rPr>
        <w:t>信息化考试系统</w:t>
      </w:r>
      <w:r>
        <w:rPr>
          <w:rFonts w:hint="eastAsia" w:ascii="宋体" w:hAnsi="宋体" w:eastAsia="宋体" w:cs="宋体"/>
          <w:sz w:val="21"/>
          <w:szCs w:val="21"/>
        </w:rPr>
        <w:t>（每年一次更新服务,更新后题库需与当年理论题一致）</w:t>
      </w:r>
    </w:p>
    <w:p w14:paraId="60156E4F">
      <w:pPr>
        <w:numPr>
          <w:ilvl w:val="0"/>
          <w:numId w:val="75"/>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★1符合电子电工综合装调与应用项目理论考试的要求，提供符合电子电工综合装调与应用项目的理论题库不少于200道；具有理论考试C/S客户端，账号1个，能够满足电子电工综合装调与应用项目的集训。</w:t>
      </w:r>
      <w:r>
        <w:rPr>
          <w:rFonts w:hint="eastAsia" w:ascii="宋体" w:hAnsi="宋体" w:eastAsia="宋体" w:cs="宋体"/>
          <w:b/>
          <w:bCs/>
          <w:sz w:val="21"/>
          <w:szCs w:val="21"/>
          <w:lang w:eastAsia="zh-CN"/>
        </w:rPr>
        <w:t>（</w:t>
      </w:r>
      <w:r>
        <w:rPr>
          <w:rFonts w:hint="eastAsia" w:ascii="宋体" w:hAnsi="宋体" w:eastAsia="宋体" w:cs="宋体"/>
          <w:b/>
          <w:bCs/>
          <w:color w:val="auto"/>
          <w:spacing w:val="0"/>
          <w:kern w:val="0"/>
          <w:sz w:val="21"/>
          <w:szCs w:val="21"/>
          <w:highlight w:val="none"/>
        </w:rPr>
        <w:t>提供证明材料</w:t>
      </w:r>
      <w:r>
        <w:rPr>
          <w:rFonts w:hint="eastAsia" w:ascii="宋体" w:hAnsi="宋体" w:eastAsia="宋体" w:cs="宋体"/>
          <w:b/>
          <w:bCs/>
          <w:sz w:val="21"/>
          <w:szCs w:val="21"/>
          <w:lang w:eastAsia="zh-CN"/>
        </w:rPr>
        <w:t>）</w:t>
      </w:r>
    </w:p>
    <w:p w14:paraId="55E0A33B">
      <w:pPr>
        <w:numPr>
          <w:ilvl w:val="0"/>
          <w:numId w:val="75"/>
        </w:numPr>
        <w:ind w:left="0" w:leftChars="0" w:firstLine="400"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rPr>
        <w:t>●</w:t>
      </w:r>
      <w:r>
        <w:rPr>
          <w:rFonts w:hint="eastAsia" w:ascii="宋体" w:hAnsi="宋体" w:eastAsia="宋体" w:cs="宋体"/>
          <w:sz w:val="21"/>
          <w:szCs w:val="21"/>
        </w:rPr>
        <w:t>提供</w:t>
      </w:r>
      <w:r>
        <w:rPr>
          <w:rFonts w:hint="eastAsia" w:ascii="宋体" w:hAnsi="宋体" w:eastAsia="宋体" w:cs="宋体"/>
          <w:sz w:val="21"/>
          <w:szCs w:val="21"/>
          <w:lang w:val="en-US" w:eastAsia="zh-CN"/>
        </w:rPr>
        <w:t>省级</w:t>
      </w:r>
      <w:r>
        <w:rPr>
          <w:rFonts w:hint="eastAsia" w:ascii="宋体" w:hAnsi="宋体" w:eastAsia="宋体" w:cs="宋体"/>
          <w:sz w:val="21"/>
          <w:szCs w:val="21"/>
        </w:rPr>
        <w:t>技能竞赛数据分析的可视化</w:t>
      </w:r>
      <w:r>
        <w:rPr>
          <w:rFonts w:hint="eastAsia" w:ascii="宋体" w:hAnsi="宋体" w:eastAsia="宋体" w:cs="宋体"/>
          <w:b/>
          <w:bCs/>
          <w:sz w:val="21"/>
          <w:szCs w:val="21"/>
        </w:rPr>
        <w:t>（</w:t>
      </w:r>
      <w:r>
        <w:rPr>
          <w:rFonts w:hint="eastAsia" w:ascii="宋体" w:hAnsi="宋体" w:eastAsia="宋体" w:cs="宋体"/>
          <w:b/>
          <w:bCs/>
          <w:color w:val="000000"/>
          <w:kern w:val="0"/>
          <w:sz w:val="21"/>
          <w:szCs w:val="21"/>
          <w:lang w:bidi="ar"/>
        </w:rPr>
        <w:t>该功能需提供视频演示</w:t>
      </w:r>
      <w:r>
        <w:rPr>
          <w:rFonts w:hint="eastAsia" w:ascii="宋体" w:hAnsi="宋体" w:eastAsia="宋体" w:cs="宋体"/>
          <w:b/>
          <w:bCs/>
          <w:color w:val="000000"/>
          <w:sz w:val="21"/>
          <w:szCs w:val="21"/>
        </w:rPr>
        <w:t>）</w:t>
      </w:r>
      <w:r>
        <w:rPr>
          <w:rFonts w:hint="eastAsia" w:ascii="宋体" w:hAnsi="宋体" w:eastAsia="宋体" w:cs="宋体"/>
          <w:sz w:val="21"/>
          <w:szCs w:val="21"/>
        </w:rPr>
        <w:t>：</w:t>
      </w:r>
    </w:p>
    <w:p w14:paraId="46D90B9B">
      <w:pPr>
        <w:numPr>
          <w:ilvl w:val="0"/>
          <w:numId w:val="76"/>
        </w:numPr>
        <w:ind w:left="425" w:leftChars="0" w:hanging="425"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rPr>
        <w:t>●</w:t>
      </w:r>
      <w:r>
        <w:rPr>
          <w:rFonts w:hint="eastAsia" w:ascii="宋体" w:hAnsi="宋体" w:eastAsia="宋体" w:cs="宋体"/>
          <w:sz w:val="21"/>
          <w:szCs w:val="21"/>
        </w:rPr>
        <w:t>能够按照A类学生、B类学生、C类学生所在学校进行分类排名；</w:t>
      </w:r>
    </w:p>
    <w:p w14:paraId="5116A4C9">
      <w:pPr>
        <w:numPr>
          <w:ilvl w:val="0"/>
          <w:numId w:val="76"/>
        </w:numPr>
        <w:ind w:left="425" w:leftChars="0" w:hanging="425"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rPr>
        <w:t>●</w:t>
      </w:r>
      <w:r>
        <w:rPr>
          <w:rFonts w:hint="eastAsia" w:ascii="宋体" w:hAnsi="宋体" w:eastAsia="宋体" w:cs="宋体"/>
          <w:sz w:val="21"/>
          <w:szCs w:val="21"/>
        </w:rPr>
        <w:t>能够实现ABC类高分学生所在学校排名；</w:t>
      </w:r>
    </w:p>
    <w:p w14:paraId="52016D27">
      <w:pPr>
        <w:numPr>
          <w:ilvl w:val="0"/>
          <w:numId w:val="76"/>
        </w:numPr>
        <w:ind w:left="425" w:leftChars="0" w:hanging="425"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rPr>
        <w:t>●</w:t>
      </w:r>
      <w:r>
        <w:rPr>
          <w:rFonts w:hint="eastAsia" w:ascii="宋体" w:hAnsi="宋体" w:eastAsia="宋体" w:cs="宋体"/>
          <w:sz w:val="21"/>
          <w:szCs w:val="21"/>
        </w:rPr>
        <w:t>实现各个地市知识点分布雷达图，对知识点掌握情况准确分析；</w:t>
      </w:r>
    </w:p>
    <w:p w14:paraId="7A6E38F5">
      <w:pPr>
        <w:numPr>
          <w:ilvl w:val="0"/>
          <w:numId w:val="76"/>
        </w:numPr>
        <w:ind w:left="425" w:leftChars="0" w:hanging="425"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rPr>
        <w:t>●</w:t>
      </w:r>
      <w:r>
        <w:rPr>
          <w:rFonts w:hint="eastAsia" w:ascii="宋体" w:hAnsi="宋体" w:eastAsia="宋体" w:cs="宋体"/>
          <w:sz w:val="21"/>
          <w:szCs w:val="21"/>
        </w:rPr>
        <w:t>能够提供地市的排名，分数的正态分布，合格水平；</w:t>
      </w:r>
    </w:p>
    <w:p w14:paraId="2FC2E345">
      <w:pPr>
        <w:numPr>
          <w:ilvl w:val="0"/>
          <w:numId w:val="76"/>
        </w:numPr>
        <w:ind w:left="425" w:leftChars="0" w:hanging="425"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rPr>
        <w:t>●</w:t>
      </w:r>
      <w:r>
        <w:rPr>
          <w:rFonts w:hint="eastAsia" w:ascii="宋体" w:hAnsi="宋体" w:eastAsia="宋体" w:cs="宋体"/>
          <w:sz w:val="21"/>
          <w:szCs w:val="21"/>
        </w:rPr>
        <w:t>地市数据使用地图显示，点击地图中的地市，可实现每个地市的ABC类高分学生所在学校排名，每个地市的平均分，ABC类得分情况和具体分布。</w:t>
      </w:r>
    </w:p>
    <w:p w14:paraId="02AC0C52">
      <w:pPr>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、拆装系统</w:t>
      </w:r>
    </w:p>
    <w:p w14:paraId="2E0F42FC">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三维模型比例、数量、造型、搭接关系与真实机器人一致，且建设贴图高模，满足实际工业机器人拆装工艺，利用专业工具，分步骤解决拆装问题。</w:t>
      </w:r>
    </w:p>
    <w:p w14:paraId="1236A9D9">
      <w:pPr>
        <w:numPr>
          <w:ilvl w:val="0"/>
          <w:numId w:val="77"/>
        </w:numPr>
        <w:ind w:left="0" w:leftChars="0" w:firstLine="400" w:firstLineChars="0"/>
        <w:rPr>
          <w:rFonts w:hint="eastAsia" w:ascii="宋体" w:hAnsi="宋体" w:eastAsia="宋体" w:cs="宋体"/>
          <w:color w:val="auto"/>
          <w:sz w:val="21"/>
          <w:szCs w:val="21"/>
        </w:rPr>
      </w:pPr>
      <w:r>
        <w:rPr>
          <w:rFonts w:hint="eastAsia" w:ascii="宋体" w:hAnsi="宋体" w:eastAsia="宋体" w:cs="宋体"/>
          <w:sz w:val="21"/>
          <w:szCs w:val="21"/>
        </w:rPr>
        <w:t>★提供底座部分（不少于30个零件）、上下臂部分（不少于45个零件）、手腕部分（不少于43个零件）、控</w:t>
      </w:r>
      <w:r>
        <w:rPr>
          <w:rFonts w:hint="eastAsia" w:ascii="宋体" w:hAnsi="宋体" w:eastAsia="宋体" w:cs="宋体"/>
          <w:color w:val="auto"/>
          <w:sz w:val="21"/>
          <w:szCs w:val="21"/>
        </w:rPr>
        <w:t>制柜部分（不少于18个零件）零件清单以及每个零件所对应的内六角螺栓的型号与数量。</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投标文件中提供软件功能截图</w:t>
      </w:r>
      <w:r>
        <w:rPr>
          <w:rFonts w:hint="eastAsia" w:ascii="宋体" w:hAnsi="宋体" w:eastAsia="宋体" w:cs="宋体"/>
          <w:color w:val="auto"/>
          <w:sz w:val="21"/>
          <w:szCs w:val="21"/>
          <w:lang w:eastAsia="zh-CN"/>
        </w:rPr>
        <w:t>）</w:t>
      </w:r>
    </w:p>
    <w:p w14:paraId="6BAB8EFF">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包括工业机器人底座、下臂组件、上下臂组件连接部分、上臂、手腕、工业机器人整体和工业机器人控制柜的拆装7个单元内容。</w:t>
      </w:r>
    </w:p>
    <w:p w14:paraId="5B83D609">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要求机器人外壳透明可以看到内部机械结构。要求展示J1轴电机通过谐波减速器带动一轴运动的图片。J2轴电机通过谐波减速器带动二轴运动的图片。J3轴电机连接皮带通过谐波减速器带动三轴运动的图片。J4轴电机通过谐波减速器带动四轴运动的图片。J5轴电机连接皮带通过谐波减速器带动五轴运动的图片。J6轴电机通过谐波减速器带动六轴运动的图片。</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投标文件中提供软件功能截图</w:t>
      </w:r>
      <w:r>
        <w:rPr>
          <w:rFonts w:hint="eastAsia" w:ascii="宋体" w:hAnsi="宋体" w:eastAsia="宋体" w:cs="宋体"/>
          <w:color w:val="auto"/>
          <w:sz w:val="21"/>
          <w:szCs w:val="21"/>
          <w:lang w:eastAsia="zh-CN"/>
        </w:rPr>
        <w:t>）</w:t>
      </w:r>
    </w:p>
    <w:p w14:paraId="01C0B880">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每个单元包括自动拆卸，手动拆卸，拆卸考核、自动安装、手动安装、安装考核6个模块；</w:t>
      </w:r>
    </w:p>
    <w:p w14:paraId="5BFF1680">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自动安装拆卸过程采用3D自由视角可自由旋转缩放查看，实时显示当前拆装进度，根据需要进行进度调节，配有速度调节功能可更改拆装过程速度。</w:t>
      </w:r>
    </w:p>
    <w:p w14:paraId="5A6B6225">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手动安装拆卸过程可自由旋转缩放查看，界面左侧显示操作当前组件的全部操作步骤，按照提示反复训练，提供操作错误提醒。</w:t>
      </w:r>
    </w:p>
    <w:p w14:paraId="15F0EBB3">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color w:val="auto"/>
          <w:kern w:val="0"/>
          <w:sz w:val="22"/>
          <w:szCs w:val="22"/>
          <w:highlight w:val="none"/>
          <w:u w:val="none"/>
        </w:rPr>
        <w:t>●</w:t>
      </w:r>
      <w:r>
        <w:rPr>
          <w:rFonts w:hint="eastAsia" w:ascii="宋体" w:hAnsi="宋体" w:eastAsia="宋体" w:cs="宋体"/>
          <w:sz w:val="21"/>
          <w:szCs w:val="21"/>
          <w:u w:val="none"/>
        </w:rPr>
        <w:t>安装拆卸考核过程采用3D自由视角可自由旋转缩放查看，界面上方显示当前分数与当前操作执行的时间，界面右侧配有当前组件拆装过程中所需的全部工具库，工具库中的零部件、工具排列显示必须是随机的，从而杜绝学生在没有掌握拆装工艺的情况下，通过考核，界面下方显示当前组件操作的进度，配有提交按钮可随机将当前成绩与所用时间提交；拆装考核界面菜单中显示分数，按照错误减分法，逐渐扣除错误操作的分数，在规定时间内完成考核，分数统一上传，汇总到教师账户一个表格中；安装拆卸过程根据颜色区分步骤列表中的已完成、当前与未完成的步骤，根据需要可点击列表中的某一步进</w:t>
      </w:r>
      <w:r>
        <w:rPr>
          <w:rFonts w:hint="eastAsia" w:ascii="宋体" w:hAnsi="宋体" w:eastAsia="宋体" w:cs="宋体"/>
          <w:sz w:val="21"/>
          <w:szCs w:val="21"/>
        </w:rPr>
        <w:t>行跳步骤操作练习，实现快速锁定某一步骤的针对性学习。</w:t>
      </w:r>
      <w:r>
        <w:rPr>
          <w:rFonts w:hint="eastAsia" w:ascii="宋体" w:hAnsi="宋体" w:eastAsia="宋体" w:cs="宋体"/>
          <w:b/>
          <w:bCs/>
          <w:sz w:val="21"/>
          <w:szCs w:val="21"/>
        </w:rPr>
        <w:t>（</w:t>
      </w:r>
      <w:r>
        <w:rPr>
          <w:rFonts w:hint="eastAsia" w:ascii="宋体" w:hAnsi="宋体" w:eastAsia="宋体" w:cs="宋体"/>
          <w:b/>
          <w:bCs/>
          <w:color w:val="000000"/>
          <w:kern w:val="0"/>
          <w:sz w:val="21"/>
          <w:szCs w:val="21"/>
          <w:lang w:bidi="ar"/>
        </w:rPr>
        <w:t>该功能需提供视频演示</w:t>
      </w:r>
      <w:r>
        <w:rPr>
          <w:rFonts w:hint="eastAsia" w:ascii="宋体" w:hAnsi="宋体" w:eastAsia="宋体" w:cs="宋体"/>
          <w:b/>
          <w:bCs/>
          <w:color w:val="000000"/>
          <w:sz w:val="21"/>
          <w:szCs w:val="21"/>
        </w:rPr>
        <w:t>）</w:t>
      </w:r>
    </w:p>
    <w:p w14:paraId="7F068408">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工业机器人底座组件的拆装，提供VK盖、底座、电缆导向装置、底座盖、码盘电池组、EIB电路板、电路板平板、电机线缆接口、电路板平板支撑杆、摆动壳、摆动平板电缆支架、电缆固定架、电缆支架固定板、摆动平板、轴1电机及齿轮箱、轴2电机及齿轮箱。</w:t>
      </w:r>
    </w:p>
    <w:p w14:paraId="2A7A7B61">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工业机器人控制柜的拆装，提供米字型扳手、主板、轴计算机、备用能源组、配电板、过滤器、安全台、中间层架、系统电源、驱动装置、风扇、泄流器、风扇罩、左右侧盖、顶盖。</w:t>
      </w:r>
    </w:p>
    <w:p w14:paraId="61B9AF2E">
      <w:pPr>
        <w:numPr>
          <w:ilvl w:val="0"/>
          <w:numId w:val="77"/>
        </w:numPr>
        <w:ind w:left="0" w:leftChars="0" w:firstLine="400" w:firstLineChars="0"/>
        <w:rPr>
          <w:rFonts w:hint="eastAsia" w:ascii="宋体" w:hAnsi="宋体" w:eastAsia="宋体" w:cs="宋体"/>
          <w:sz w:val="21"/>
          <w:szCs w:val="21"/>
        </w:rPr>
      </w:pPr>
      <w:r>
        <w:rPr>
          <w:rFonts w:hint="eastAsia" w:ascii="宋体" w:hAnsi="宋体" w:eastAsia="宋体" w:cs="宋体"/>
          <w:sz w:val="21"/>
          <w:szCs w:val="21"/>
        </w:rPr>
        <w:t>按照ABB控制柜标准提供电气元件的装配、连线、利用专业工具解决专业问题。</w:t>
      </w:r>
    </w:p>
    <w:p w14:paraId="77E9FB60">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1"/>
          <w:szCs w:val="21"/>
        </w:rPr>
      </w:pPr>
      <w:r>
        <w:rPr>
          <w:rFonts w:hint="eastAsia" w:ascii="宋体" w:hAnsi="宋体" w:eastAsia="宋体" w:cs="宋体"/>
          <w:sz w:val="21"/>
          <w:szCs w:val="21"/>
        </w:rPr>
        <w:t>四、提供相关设备技能培训不少于2次；</w:t>
      </w:r>
    </w:p>
    <w:p w14:paraId="059C5A06">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1"/>
          <w:szCs w:val="21"/>
        </w:rPr>
      </w:pPr>
    </w:p>
    <w:p w14:paraId="35743447">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（三）实训室文化及综合布线建设</w:t>
      </w:r>
    </w:p>
    <w:p w14:paraId="54B189C2">
      <w:pPr>
        <w:spacing w:line="360" w:lineRule="auto"/>
        <w:rPr>
          <w:rFonts w:hint="eastAsia" w:ascii="宋体" w:hAnsi="宋体" w:eastAsia="宋体" w:cs="宋体"/>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、★平面规划图及效果图：场地功能区划分清晰、合理，意思表达清楚，效果图体现设计效果并贴近实施效果。</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highlight w:val="none"/>
          <w:u w:val="single"/>
        </w:rPr>
        <w:t>投标文件中提供</w:t>
      </w:r>
      <w:r>
        <w:rPr>
          <w:rFonts w:hint="eastAsia" w:ascii="宋体" w:hAnsi="宋体" w:eastAsia="宋体" w:cs="宋体"/>
          <w:b/>
          <w:bCs/>
          <w:sz w:val="21"/>
          <w:szCs w:val="21"/>
        </w:rPr>
        <w:t>平面规划图及效果图</w:t>
      </w:r>
      <w:r>
        <w:rPr>
          <w:rFonts w:hint="eastAsia" w:ascii="宋体" w:hAnsi="宋体" w:eastAsia="宋体" w:cs="宋体"/>
          <w:color w:val="auto"/>
          <w:sz w:val="21"/>
          <w:szCs w:val="21"/>
          <w:lang w:eastAsia="zh-CN"/>
        </w:rPr>
        <w:t>）</w:t>
      </w:r>
    </w:p>
    <w:p w14:paraId="41426EF1">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、实训室综合布线</w:t>
      </w:r>
    </w:p>
    <w:p w14:paraId="4BCB4B0A">
      <w:pPr>
        <w:spacing w:line="360" w:lineRule="auto"/>
        <w:rPr>
          <w:rFonts w:hint="eastAsia" w:ascii="宋体" w:hAnsi="宋体" w:eastAsia="宋体" w:cs="宋体"/>
          <w:sz w:val="21"/>
          <w:szCs w:val="21"/>
        </w:rPr>
      </w:pPr>
      <w:r>
        <w:rPr>
          <w:rFonts w:hint="eastAsia" w:ascii="宋体" w:hAnsi="宋体" w:eastAsia="宋体" w:cs="宋体"/>
          <w:sz w:val="21"/>
          <w:szCs w:val="21"/>
        </w:rPr>
        <w:t>实训室内设备电路及网络综合布线（含网络机柜、交换机，视频监控服务器等配套设备）及施工材料技术服务等。</w:t>
      </w:r>
    </w:p>
    <w:p w14:paraId="4685445E">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、总控工作台（整个实训室配置1台）</w:t>
      </w:r>
    </w:p>
    <w:p w14:paraId="4889E638">
      <w:pPr>
        <w:spacing w:line="360" w:lineRule="auto"/>
        <w:rPr>
          <w:rFonts w:hint="eastAsia" w:ascii="宋体" w:hAnsi="宋体" w:eastAsia="宋体" w:cs="宋体"/>
          <w:sz w:val="21"/>
          <w:szCs w:val="21"/>
        </w:rPr>
      </w:pPr>
      <w:r>
        <w:rPr>
          <w:rFonts w:hint="eastAsia" w:ascii="宋体" w:hAnsi="宋体" w:eastAsia="宋体" w:cs="宋体"/>
          <w:sz w:val="21"/>
          <w:szCs w:val="21"/>
        </w:rPr>
        <w:t>（1）钢制实木面板防尘防盗工作台。规格：≥1100*780*1000mm</w:t>
      </w:r>
    </w:p>
    <w:p w14:paraId="5A303A5A">
      <w:pPr>
        <w:spacing w:line="360" w:lineRule="auto"/>
        <w:rPr>
          <w:rFonts w:hint="eastAsia" w:ascii="宋体" w:hAnsi="宋体" w:eastAsia="宋体" w:cs="宋体"/>
          <w:sz w:val="21"/>
          <w:szCs w:val="21"/>
        </w:rPr>
      </w:pPr>
      <w:r>
        <w:rPr>
          <w:rFonts w:hint="eastAsia" w:ascii="宋体" w:hAnsi="宋体" w:eastAsia="宋体" w:cs="宋体"/>
          <w:sz w:val="21"/>
          <w:szCs w:val="21"/>
        </w:rPr>
        <w:t>（2）材质：采用≥1.5mm厚优质冷轧钢板，经数控加工而成，表面经全自动环保设备陶化处理后静电喷塑,塑面经久耐用。搭配优质橡木实木扶手。</w:t>
      </w:r>
    </w:p>
    <w:p w14:paraId="0133D544">
      <w:pPr>
        <w:spacing w:line="360" w:lineRule="auto"/>
        <w:rPr>
          <w:rFonts w:hint="eastAsia" w:ascii="宋体" w:hAnsi="宋体" w:eastAsia="宋体" w:cs="宋体"/>
          <w:sz w:val="21"/>
          <w:szCs w:val="21"/>
        </w:rPr>
      </w:pPr>
      <w:r>
        <w:rPr>
          <w:rFonts w:hint="eastAsia" w:ascii="宋体" w:hAnsi="宋体" w:eastAsia="宋体" w:cs="宋体"/>
          <w:sz w:val="21"/>
          <w:szCs w:val="21"/>
        </w:rPr>
        <w:t>（3）采用平滑圆弧过渡、细缝接合均匀设计；安全、美观、内部钢板无棱边及毛刺；采用蜂窝式多孔散热设计。</w:t>
      </w:r>
    </w:p>
    <w:p w14:paraId="507C3727">
      <w:pPr>
        <w:spacing w:line="360" w:lineRule="auto"/>
        <w:rPr>
          <w:rFonts w:hint="eastAsia" w:ascii="宋体" w:hAnsi="宋体" w:eastAsia="宋体" w:cs="宋体"/>
          <w:sz w:val="21"/>
          <w:szCs w:val="21"/>
        </w:rPr>
      </w:pPr>
      <w:r>
        <w:rPr>
          <w:rFonts w:hint="eastAsia" w:ascii="宋体" w:hAnsi="宋体" w:eastAsia="宋体" w:cs="宋体"/>
          <w:sz w:val="21"/>
          <w:szCs w:val="21"/>
        </w:rPr>
        <w:t>（4）翻转式支持19寸-22寸显示器支架，右侧隐藏式抽屉。</w:t>
      </w:r>
    </w:p>
    <w:p w14:paraId="7F2A6AEE">
      <w:pPr>
        <w:spacing w:line="360" w:lineRule="auto"/>
        <w:rPr>
          <w:rFonts w:hint="eastAsia" w:ascii="宋体" w:hAnsi="宋体" w:eastAsia="宋体" w:cs="宋体"/>
          <w:sz w:val="21"/>
          <w:szCs w:val="21"/>
        </w:rPr>
      </w:pPr>
      <w:r>
        <w:rPr>
          <w:rFonts w:hint="eastAsia" w:ascii="宋体" w:hAnsi="宋体" w:eastAsia="宋体" w:cs="宋体"/>
          <w:sz w:val="21"/>
          <w:szCs w:val="21"/>
        </w:rPr>
        <w:t>（5）制作工艺优良，有防水、防尘功能。</w:t>
      </w:r>
    </w:p>
    <w:p w14:paraId="6167696E">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、实训室文化建设</w:t>
      </w:r>
    </w:p>
    <w:p w14:paraId="632670B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有统一规格的实训基地铭牌、设备编号、设备警示线（牌）、工位划线等各类标识标牌；有实训室内外文化展板（墙），主要包含电气控制相关应用等；有实训室7S管理、职业素养、规章制度、操作规范、专业新技术、新工艺展板等文化建设。展板采用PVC雪弗板，尺寸不小于700mm×900mm，厚度不小于5mm，表面内容采用UV打印工艺，数量不少于</w:t>
      </w:r>
      <w:r>
        <w:rPr>
          <w:rFonts w:hint="eastAsia" w:ascii="宋体" w:hAnsi="宋体" w:eastAsia="宋体" w:cs="宋体"/>
          <w:sz w:val="21"/>
          <w:szCs w:val="21"/>
          <w:lang w:val="en-US" w:eastAsia="zh-CN"/>
        </w:rPr>
        <w:t>4</w:t>
      </w:r>
      <w:r>
        <w:rPr>
          <w:rFonts w:hint="eastAsia" w:ascii="宋体" w:hAnsi="宋体" w:eastAsia="宋体" w:cs="宋体"/>
          <w:sz w:val="21"/>
          <w:szCs w:val="21"/>
        </w:rPr>
        <w:t>块。</w:t>
      </w:r>
      <w:r>
        <w:rPr>
          <w:rFonts w:hint="eastAsia" w:ascii="宋体" w:hAnsi="宋体" w:eastAsia="宋体" w:cs="宋体"/>
          <w:sz w:val="21"/>
          <w:szCs w:val="21"/>
          <w:lang w:val="en-US" w:eastAsia="zh-CN"/>
        </w:rPr>
        <w:t>配套桌椅1批不少于45工位。</w:t>
      </w:r>
    </w:p>
    <w:p w14:paraId="494BE06B">
      <w:pPr>
        <w:snapToGrid w:val="0"/>
        <w:spacing w:line="360" w:lineRule="auto"/>
        <w:ind w:firstLine="422" w:firstLineChars="200"/>
        <w:jc w:val="left"/>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标项4：可编程控制器数字孪生实训装置添置</w:t>
      </w:r>
      <w:r>
        <w:rPr>
          <w:rFonts w:hint="eastAsia" w:ascii="宋体" w:hAnsi="宋体" w:eastAsia="宋体" w:cs="宋体"/>
          <w:color w:val="auto"/>
          <w:sz w:val="21"/>
          <w:szCs w:val="21"/>
          <w:highlight w:val="none"/>
          <w:u w:val="none"/>
          <w:lang w:val="en-US" w:eastAsia="zh-CN"/>
        </w:rPr>
        <w:t xml:space="preserve"> </w:t>
      </w:r>
    </w:p>
    <w:p w14:paraId="30D58013">
      <w:pPr>
        <w:snapToGrid w:val="0"/>
        <w:spacing w:line="360" w:lineRule="auto"/>
        <w:ind w:firstLine="420" w:firstLineChars="200"/>
        <w:jc w:val="left"/>
        <w:outlineLvl w:val="2"/>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项目预（概）算</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76.8万元</w:t>
      </w:r>
    </w:p>
    <w:p w14:paraId="326DE6F4">
      <w:pPr>
        <w:snapToGrid w:val="0"/>
        <w:spacing w:line="360" w:lineRule="auto"/>
        <w:ind w:firstLine="422" w:firstLineChars="200"/>
        <w:jc w:val="left"/>
        <w:outlineLvl w:val="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二、采购内容</w:t>
      </w:r>
    </w:p>
    <w:tbl>
      <w:tblPr>
        <w:tblStyle w:val="25"/>
        <w:tblW w:w="4997" w:type="pct"/>
        <w:jc w:val="center"/>
        <w:tblLayout w:type="autofit"/>
        <w:tblCellMar>
          <w:top w:w="0" w:type="dxa"/>
          <w:left w:w="108" w:type="dxa"/>
          <w:bottom w:w="0" w:type="dxa"/>
          <w:right w:w="108" w:type="dxa"/>
        </w:tblCellMar>
      </w:tblPr>
      <w:tblGrid>
        <w:gridCol w:w="1199"/>
        <w:gridCol w:w="4735"/>
        <w:gridCol w:w="1426"/>
        <w:gridCol w:w="1921"/>
      </w:tblGrid>
      <w:tr w14:paraId="17C887DA">
        <w:tblPrEx>
          <w:tblCellMar>
            <w:top w:w="0" w:type="dxa"/>
            <w:left w:w="108" w:type="dxa"/>
            <w:bottom w:w="0" w:type="dxa"/>
            <w:right w:w="108" w:type="dxa"/>
          </w:tblCellMar>
        </w:tblPrEx>
        <w:trPr>
          <w:trHeight w:val="284" w:hRule="atLeast"/>
          <w:jc w:val="center"/>
        </w:trPr>
        <w:tc>
          <w:tcPr>
            <w:tcW w:w="646" w:type="pct"/>
            <w:tcBorders>
              <w:top w:val="single" w:color="auto" w:sz="4" w:space="0"/>
              <w:left w:val="single" w:color="auto" w:sz="4" w:space="0"/>
              <w:bottom w:val="single" w:color="auto" w:sz="4" w:space="0"/>
              <w:right w:val="single" w:color="auto" w:sz="4" w:space="0"/>
            </w:tcBorders>
            <w:noWrap w:val="0"/>
            <w:vAlign w:val="center"/>
          </w:tcPr>
          <w:p w14:paraId="40AFD443">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2549" w:type="pct"/>
            <w:tcBorders>
              <w:top w:val="single" w:color="auto" w:sz="4" w:space="0"/>
              <w:left w:val="single" w:color="auto" w:sz="4" w:space="0"/>
              <w:bottom w:val="single" w:color="auto" w:sz="4" w:space="0"/>
              <w:right w:val="single" w:color="auto" w:sz="4" w:space="0"/>
            </w:tcBorders>
            <w:noWrap w:val="0"/>
            <w:vAlign w:val="center"/>
          </w:tcPr>
          <w:p w14:paraId="24EBA109">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rPr>
              <w:t>名称</w:t>
            </w:r>
          </w:p>
        </w:tc>
        <w:tc>
          <w:tcPr>
            <w:tcW w:w="768" w:type="pct"/>
            <w:tcBorders>
              <w:top w:val="single" w:color="auto" w:sz="4" w:space="0"/>
              <w:left w:val="single" w:color="auto" w:sz="4" w:space="0"/>
              <w:bottom w:val="single" w:color="auto" w:sz="4" w:space="0"/>
              <w:right w:val="single" w:color="auto" w:sz="4" w:space="0"/>
            </w:tcBorders>
            <w:noWrap w:val="0"/>
            <w:vAlign w:val="center"/>
          </w:tcPr>
          <w:p w14:paraId="499D1395">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rPr>
              <w:t>数量</w:t>
            </w:r>
          </w:p>
        </w:tc>
        <w:tc>
          <w:tcPr>
            <w:tcW w:w="1034" w:type="pct"/>
            <w:tcBorders>
              <w:top w:val="single" w:color="auto" w:sz="4" w:space="0"/>
              <w:left w:val="single" w:color="auto" w:sz="4" w:space="0"/>
              <w:bottom w:val="single" w:color="auto" w:sz="4" w:space="0"/>
              <w:right w:val="single" w:color="auto" w:sz="4" w:space="0"/>
            </w:tcBorders>
            <w:noWrap w:val="0"/>
            <w:vAlign w:val="center"/>
          </w:tcPr>
          <w:p w14:paraId="69281EEB">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rPr>
              <w:t>单位</w:t>
            </w:r>
          </w:p>
        </w:tc>
      </w:tr>
      <w:tr w14:paraId="080498BE">
        <w:tblPrEx>
          <w:tblCellMar>
            <w:top w:w="0" w:type="dxa"/>
            <w:left w:w="108" w:type="dxa"/>
            <w:bottom w:w="0" w:type="dxa"/>
            <w:right w:w="108" w:type="dxa"/>
          </w:tblCellMar>
        </w:tblPrEx>
        <w:trPr>
          <w:trHeight w:val="420" w:hRule="atLeast"/>
          <w:jc w:val="center"/>
        </w:trPr>
        <w:tc>
          <w:tcPr>
            <w:tcW w:w="646" w:type="pct"/>
            <w:tcBorders>
              <w:top w:val="single" w:color="auto" w:sz="4" w:space="0"/>
              <w:left w:val="single" w:color="auto" w:sz="4" w:space="0"/>
              <w:bottom w:val="single" w:color="auto" w:sz="4" w:space="0"/>
              <w:right w:val="single" w:color="auto" w:sz="4" w:space="0"/>
            </w:tcBorders>
            <w:noWrap w:val="0"/>
            <w:vAlign w:val="center"/>
          </w:tcPr>
          <w:p w14:paraId="4AC017DD">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549" w:type="pct"/>
            <w:tcBorders>
              <w:top w:val="single" w:color="auto" w:sz="4" w:space="0"/>
              <w:left w:val="single" w:color="auto" w:sz="4" w:space="0"/>
              <w:bottom w:val="single" w:color="auto" w:sz="4" w:space="0"/>
              <w:right w:val="single" w:color="auto" w:sz="4" w:space="0"/>
            </w:tcBorders>
            <w:noWrap w:val="0"/>
            <w:vAlign w:val="center"/>
          </w:tcPr>
          <w:p w14:paraId="33CEE0B2">
            <w:pPr>
              <w:pStyle w:val="22"/>
              <w:keepNext w:val="0"/>
              <w:keepLines w:val="0"/>
              <w:widowControl/>
              <w:suppressLineNumbers w:val="0"/>
              <w:spacing w:before="0" w:beforeAutospacing="0" w:after="0" w:afterAutospacing="0"/>
              <w:ind w:left="0" w:right="0" w:firstLine="0"/>
              <w:rPr>
                <w:rFonts w:hint="eastAsia" w:ascii="宋体" w:hAnsi="宋体" w:eastAsia="宋体" w:cs="宋体"/>
                <w:sz w:val="21"/>
                <w:szCs w:val="21"/>
              </w:rPr>
            </w:pPr>
            <w:r>
              <w:rPr>
                <w:rFonts w:hint="eastAsia" w:ascii="宋体" w:hAnsi="宋体" w:eastAsia="宋体" w:cs="宋体"/>
                <w:sz w:val="21"/>
                <w:szCs w:val="21"/>
              </w:rPr>
              <w:t>可编程控制器数字孪生实训装置</w:t>
            </w:r>
          </w:p>
        </w:tc>
        <w:tc>
          <w:tcPr>
            <w:tcW w:w="768" w:type="pct"/>
            <w:tcBorders>
              <w:top w:val="single" w:color="auto" w:sz="4" w:space="0"/>
              <w:left w:val="single" w:color="auto" w:sz="4" w:space="0"/>
              <w:bottom w:val="single" w:color="auto" w:sz="4" w:space="0"/>
              <w:right w:val="single" w:color="auto" w:sz="4" w:space="0"/>
            </w:tcBorders>
            <w:noWrap w:val="0"/>
            <w:vAlign w:val="center"/>
          </w:tcPr>
          <w:p w14:paraId="40179E72">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1034" w:type="pct"/>
            <w:tcBorders>
              <w:top w:val="single" w:color="auto" w:sz="4" w:space="0"/>
              <w:left w:val="single" w:color="auto" w:sz="4" w:space="0"/>
              <w:bottom w:val="single" w:color="auto" w:sz="4" w:space="0"/>
              <w:right w:val="single" w:color="auto" w:sz="4" w:space="0"/>
            </w:tcBorders>
            <w:noWrap w:val="0"/>
            <w:vAlign w:val="center"/>
          </w:tcPr>
          <w:p w14:paraId="0C711108">
            <w:pPr>
              <w:keepNext w:val="0"/>
              <w:keepLines w:val="0"/>
              <w:widowControl/>
              <w:suppressLineNumbers w:val="0"/>
              <w:spacing w:before="0" w:beforeAutospacing="0" w:after="0" w:afterAutospacing="0" w:line="340" w:lineRule="exact"/>
              <w:ind w:left="0" w:right="0"/>
              <w:jc w:val="center"/>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r>
    </w:tbl>
    <w:p w14:paraId="6895BB05">
      <w:pPr>
        <w:snapToGrid w:val="0"/>
        <w:spacing w:line="4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标项4主要采购内容及技术参数要求</w:t>
      </w:r>
    </w:p>
    <w:p w14:paraId="4B32A313">
      <w:pPr>
        <w:snapToGrid w:val="0"/>
        <w:spacing w:line="460" w:lineRule="exact"/>
        <w:ind w:firstLine="440"/>
        <w:rPr>
          <w:rFonts w:hint="default" w:ascii="宋体" w:hAnsi="宋体" w:eastAsia="宋体" w:cs="宋体"/>
          <w:sz w:val="22"/>
          <w:szCs w:val="22"/>
          <w:highlight w:val="none"/>
          <w:lang w:val="en-US" w:eastAsia="zh-CN"/>
        </w:rPr>
      </w:pPr>
    </w:p>
    <w:p w14:paraId="12A580CE">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（一）、产品整体要求</w:t>
      </w:r>
    </w:p>
    <w:p w14:paraId="0F683326">
      <w:pPr>
        <w:pStyle w:val="24"/>
        <w:ind w:left="0" w:leftChars="0"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虚拟仿真一体化平台要求至少由数据采集处理单元，</w:t>
      </w:r>
      <w:r>
        <w:rPr>
          <w:rFonts w:hint="eastAsia" w:ascii="宋体" w:hAnsi="宋体" w:eastAsia="宋体" w:cs="宋体"/>
          <w:kern w:val="2"/>
          <w:sz w:val="21"/>
          <w:szCs w:val="21"/>
          <w:lang w:val="en-US" w:eastAsia="zh-CN" w:bidi="ar-SA"/>
        </w:rPr>
        <w:t>虚拟仿真一体化平台机柜</w:t>
      </w:r>
      <w:r>
        <w:rPr>
          <w:rFonts w:hint="eastAsia" w:ascii="宋体" w:hAnsi="宋体" w:eastAsia="宋体" w:cs="宋体"/>
          <w:sz w:val="21"/>
          <w:szCs w:val="21"/>
          <w:lang w:val="en-US" w:eastAsia="zh-CN"/>
        </w:rPr>
        <w:t>，实训桌以及虚拟仿真软件平台组成。</w:t>
      </w:r>
      <w:r>
        <w:rPr>
          <w:rFonts w:hint="eastAsia" w:ascii="宋体" w:hAnsi="宋体" w:eastAsia="宋体" w:cs="宋体"/>
          <w:b/>
          <w:bCs/>
          <w:kern w:val="0"/>
          <w:sz w:val="21"/>
          <w:szCs w:val="21"/>
          <w:highlight w:val="none"/>
          <w:lang w:val="en-US" w:eastAsia="zh-CN"/>
        </w:rPr>
        <w:t>★</w:t>
      </w:r>
      <w:r>
        <w:rPr>
          <w:rFonts w:hint="eastAsia" w:cs="宋体"/>
          <w:b/>
          <w:bCs/>
          <w:sz w:val="21"/>
          <w:szCs w:val="21"/>
          <w:lang w:val="en-US" w:eastAsia="zh-CN"/>
        </w:rPr>
        <w:t>（要求</w:t>
      </w:r>
      <w:r>
        <w:rPr>
          <w:rFonts w:hint="eastAsia" w:ascii="宋体" w:hAnsi="宋体" w:eastAsia="宋体" w:cs="宋体"/>
          <w:b/>
          <w:bCs/>
          <w:sz w:val="21"/>
          <w:szCs w:val="21"/>
          <w:lang w:val="en-US" w:eastAsia="zh-CN"/>
        </w:rPr>
        <w:t>提供权威的第三方检测报告:有资质的检测机构出具的、针对所投产品的检测报告，作为性能达标的证明</w:t>
      </w:r>
      <w:r>
        <w:rPr>
          <w:rFonts w:hint="eastAsia" w:cs="宋体"/>
          <w:b/>
          <w:bCs/>
          <w:sz w:val="21"/>
          <w:szCs w:val="21"/>
          <w:lang w:val="en-US" w:eastAsia="zh-CN"/>
        </w:rPr>
        <w:t>）</w:t>
      </w:r>
    </w:p>
    <w:p w14:paraId="4701F2B3">
      <w:pPr>
        <w:bidi w:val="0"/>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设备要求可通过仿真软件完全模拟仿真可编程控制器系统应用实训考核装置的硬件配置，可通过此设备学习多种PLC与视觉软件的编程调试，实现与实际可编程控制器系统应用实训考核装置编程一模一样的实训效果，也可与实际可编程控制器系统应用实训考核装置连接实现数字孪生功能。</w:t>
      </w:r>
    </w:p>
    <w:p w14:paraId="21F45FE7">
      <w:pPr>
        <w:pStyle w:val="24"/>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系统要求融入机械传动技术、电子电工技术、智能传感技术、可编程控制技术、机器视觉技术、计算机技术、串口通信技术、以太网通讯技术等先进制造技术，涵盖机械制造与自动化、电气自动化、机电一体化、机电设备维修与管理、物联网、智能传感、智能制造等多门学科的专业知识。满足可编程控制器系统应用编程职业技能等级标准的考核要求。</w:t>
      </w:r>
    </w:p>
    <w:p w14:paraId="4FF05D36">
      <w:pPr>
        <w:pStyle w:val="24"/>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（二）、技术参数要求</w:t>
      </w:r>
    </w:p>
    <w:p w14:paraId="3E4FAC6F">
      <w:pPr>
        <w:bidi w:val="0"/>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1.输入电源：单相AC 220V±10%  50HZ、</w:t>
      </w:r>
    </w:p>
    <w:p w14:paraId="78A9D2E1">
      <w:pPr>
        <w:bidi w:val="0"/>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2.输出功率：≥150W</w:t>
      </w:r>
    </w:p>
    <w:p w14:paraId="027D0A54">
      <w:pPr>
        <w:bidi w:val="0"/>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3.工作环境：温度： -20℃～+60℃；相对湿度：≤90%（+20℃）；海拔高度：≤4000m</w:t>
      </w:r>
    </w:p>
    <w:p w14:paraId="7938E357">
      <w:pPr>
        <w:bidi w:val="0"/>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4.设备重量：≤65KG</w:t>
      </w:r>
    </w:p>
    <w:p w14:paraId="732A62F3">
      <w:pPr>
        <w:bidi w:val="0"/>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5.设备尺寸：长宽高：900*760*1160mm（±5mm）</w:t>
      </w:r>
    </w:p>
    <w:p w14:paraId="30A83731">
      <w:pPr>
        <w:bidi w:val="0"/>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6.安全功能：接地保护、漏电保护</w:t>
      </w:r>
    </w:p>
    <w:p w14:paraId="05C5DD55">
      <w:pPr>
        <w:pStyle w:val="24"/>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（三）、硬件配置要求</w:t>
      </w:r>
    </w:p>
    <w:p w14:paraId="394DEC73">
      <w:pPr>
        <w:pStyle w:val="24"/>
        <w:ind w:left="0" w:leftChars="0" w:firstLine="0" w:firstLineChars="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1.实训桌：</w:t>
      </w:r>
      <w:r>
        <w:rPr>
          <w:rFonts w:hint="eastAsia" w:ascii="宋体" w:hAnsi="宋体" w:eastAsia="宋体" w:cs="宋体"/>
          <w:sz w:val="21"/>
          <w:szCs w:val="21"/>
          <w:lang w:val="en-US" w:eastAsia="zh-CN"/>
        </w:rPr>
        <w:t>采用钣金配置高档铝合金组成，配置可移动脚轮设计，面板采用防火贴面多层板设计，桌体尺寸约900x760x760mm±5mm；</w:t>
      </w:r>
    </w:p>
    <w:p w14:paraId="6D734646">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2.数据采集单元：</w:t>
      </w:r>
      <w:r>
        <w:rPr>
          <w:rFonts w:hint="eastAsia" w:ascii="宋体" w:hAnsi="宋体" w:eastAsia="宋体" w:cs="宋体"/>
          <w:sz w:val="21"/>
          <w:szCs w:val="21"/>
          <w:lang w:val="en-US" w:eastAsia="zh-CN"/>
        </w:rPr>
        <w:t>数据处理器</w:t>
      </w:r>
      <w:r>
        <w:rPr>
          <w:rFonts w:hint="eastAsia" w:ascii="宋体" w:hAnsi="宋体" w:eastAsia="宋体" w:cs="宋体"/>
          <w:sz w:val="21"/>
          <w:szCs w:val="21"/>
        </w:rPr>
        <w:t>：</w:t>
      </w:r>
      <w:r>
        <w:rPr>
          <w:rFonts w:hint="eastAsia" w:ascii="宋体" w:hAnsi="宋体" w:eastAsia="宋体" w:cs="宋体"/>
          <w:sz w:val="21"/>
          <w:szCs w:val="21"/>
          <w:lang w:val="en-US" w:eastAsia="zh-CN"/>
        </w:rPr>
        <w:t>内核不低于6，线程数不少于12，基本频率不低于2.5GHz，最大处理频率不低于4.3GHz、数据暂存空间</w:t>
      </w:r>
      <w:r>
        <w:rPr>
          <w:rFonts w:hint="eastAsia" w:ascii="宋体" w:hAnsi="宋体" w:eastAsia="宋体" w:cs="宋体"/>
          <w:sz w:val="21"/>
          <w:szCs w:val="21"/>
        </w:rPr>
        <w:t>：</w:t>
      </w:r>
      <w:r>
        <w:rPr>
          <w:rFonts w:hint="eastAsia" w:ascii="宋体" w:hAnsi="宋体" w:eastAsia="宋体" w:cs="宋体"/>
          <w:sz w:val="21"/>
          <w:szCs w:val="21"/>
          <w:lang w:val="en-US" w:eastAsia="zh-CN"/>
        </w:rPr>
        <w:t>不低于</w:t>
      </w:r>
      <w:r>
        <w:rPr>
          <w:rFonts w:hint="eastAsia" w:ascii="宋体" w:hAnsi="宋体" w:eastAsia="宋体" w:cs="宋体"/>
          <w:sz w:val="21"/>
          <w:szCs w:val="21"/>
        </w:rPr>
        <w:t>16G</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图像处理单元</w:t>
      </w:r>
      <w:r>
        <w:rPr>
          <w:rFonts w:hint="eastAsia" w:ascii="宋体" w:hAnsi="宋体" w:eastAsia="宋体" w:cs="宋体"/>
          <w:sz w:val="21"/>
          <w:szCs w:val="21"/>
        </w:rPr>
        <w:t>：</w:t>
      </w:r>
      <w:r>
        <w:rPr>
          <w:rFonts w:hint="eastAsia" w:ascii="宋体" w:hAnsi="宋体" w:eastAsia="宋体" w:cs="宋体"/>
          <w:sz w:val="21"/>
          <w:szCs w:val="21"/>
          <w:lang w:val="en-US" w:eastAsia="zh-CN"/>
        </w:rPr>
        <w:t>帧缓存空间4GB</w:t>
      </w:r>
    </w:p>
    <w:p w14:paraId="2035660F">
      <w:pPr>
        <w:pStyle w:val="24"/>
        <w:ind w:left="0" w:leftChars="0" w:firstLine="0" w:firstLineChars="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3.虚拟仿真一体化平台机柜</w:t>
      </w:r>
    </w:p>
    <w:p w14:paraId="30D5D16C">
      <w:pPr>
        <w:pStyle w:val="24"/>
        <w:ind w:left="0" w:leftChars="0" w:firstLine="0" w:firstLineChars="0"/>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（1）整体尺寸</w:t>
      </w:r>
      <w:r>
        <w:rPr>
          <w:rFonts w:hint="eastAsia" w:ascii="宋体" w:hAnsi="宋体" w:eastAsia="宋体" w:cs="宋体"/>
          <w:kern w:val="0"/>
          <w:sz w:val="21"/>
          <w:szCs w:val="21"/>
          <w:lang w:val="en-US" w:eastAsia="zh-CN" w:bidi="ar"/>
        </w:rPr>
        <w:t>约420*250*220mm</w:t>
      </w:r>
      <w:r>
        <w:rPr>
          <w:rFonts w:hint="eastAsia" w:ascii="宋体" w:hAnsi="宋体" w:eastAsia="宋体" w:cs="宋体"/>
          <w:sz w:val="21"/>
          <w:szCs w:val="21"/>
          <w:lang w:val="en-US" w:eastAsia="zh-CN"/>
        </w:rPr>
        <w:t>±5mm</w:t>
      </w:r>
      <w:r>
        <w:rPr>
          <w:rFonts w:hint="eastAsia" w:ascii="宋体" w:hAnsi="宋体" w:eastAsia="宋体" w:cs="宋体"/>
          <w:kern w:val="0"/>
          <w:sz w:val="21"/>
          <w:szCs w:val="21"/>
          <w:lang w:val="en-US" w:eastAsia="zh-CN" w:bidi="ar"/>
        </w:rPr>
        <w:t>，主要由俩款不同型号可编程控制器，工业交换机、通讯板、按钮、指示灯、USB接口、网口等组成；</w:t>
      </w:r>
    </w:p>
    <w:p w14:paraId="7FADDD7D">
      <w:pPr>
        <w:bidi w:val="0"/>
        <w:rPr>
          <w:rFonts w:hint="eastAsia" w:ascii="宋体" w:hAnsi="宋体" w:eastAsia="宋体" w:cs="宋体"/>
          <w:kern w:val="0"/>
          <w:sz w:val="21"/>
          <w:szCs w:val="21"/>
          <w:lang w:val="en-US" w:eastAsia="zh-CN" w:bidi="ar"/>
        </w:rPr>
      </w:pPr>
      <w:r>
        <w:rPr>
          <w:rFonts w:hint="eastAsia" w:ascii="宋体" w:hAnsi="宋体" w:eastAsia="宋体" w:cs="宋体"/>
          <w:b/>
          <w:bCs/>
          <w:kern w:val="0"/>
          <w:sz w:val="21"/>
          <w:szCs w:val="21"/>
          <w:lang w:val="en-US" w:eastAsia="zh-CN" w:bidi="ar"/>
        </w:rPr>
        <w:t>（2）机柜内置可编程控制器1</w:t>
      </w:r>
      <w:r>
        <w:rPr>
          <w:rFonts w:hint="eastAsia" w:ascii="宋体" w:hAnsi="宋体" w:eastAsia="宋体" w:cs="宋体"/>
          <w:kern w:val="0"/>
          <w:sz w:val="21"/>
          <w:szCs w:val="21"/>
          <w:lang w:val="en-US" w:eastAsia="zh-CN" w:bidi="ar"/>
        </w:rPr>
        <w:t>：板载数字I/O不数少于</w:t>
      </w:r>
      <w:r>
        <w:rPr>
          <w:rFonts w:hint="eastAsia" w:ascii="宋体" w:hAnsi="宋体" w:eastAsia="宋体" w:cs="宋体"/>
          <w:sz w:val="21"/>
          <w:szCs w:val="21"/>
          <w:lang w:val="en-US" w:eastAsia="zh-CN"/>
        </w:rPr>
        <w:t>36</w:t>
      </w:r>
      <w:r>
        <w:rPr>
          <w:rFonts w:hint="eastAsia" w:ascii="宋体" w:hAnsi="宋体" w:eastAsia="宋体" w:cs="宋体"/>
          <w:sz w:val="21"/>
          <w:szCs w:val="21"/>
          <w:lang w:eastAsia="zh-CN"/>
        </w:rPr>
        <w:t>点输入/</w:t>
      </w:r>
      <w:r>
        <w:rPr>
          <w:rFonts w:hint="eastAsia" w:ascii="宋体" w:hAnsi="宋体" w:eastAsia="宋体" w:cs="宋体"/>
          <w:sz w:val="21"/>
          <w:szCs w:val="21"/>
          <w:lang w:val="en-US" w:eastAsia="zh-CN"/>
        </w:rPr>
        <w:t>24</w:t>
      </w:r>
      <w:r>
        <w:rPr>
          <w:rFonts w:hint="eastAsia" w:ascii="宋体" w:hAnsi="宋体" w:eastAsia="宋体" w:cs="宋体"/>
          <w:sz w:val="21"/>
          <w:szCs w:val="21"/>
          <w:lang w:eastAsia="zh-CN"/>
        </w:rPr>
        <w:t>点输出，</w:t>
      </w:r>
      <w:r>
        <w:rPr>
          <w:rFonts w:hint="eastAsia" w:ascii="宋体" w:hAnsi="宋体" w:eastAsia="宋体" w:cs="宋体"/>
          <w:kern w:val="0"/>
          <w:sz w:val="21"/>
          <w:szCs w:val="21"/>
          <w:lang w:val="en-US" w:eastAsia="zh-CN" w:bidi="ar"/>
        </w:rPr>
        <w:t>含有232-COM1,485,USB,以太网口1,EtherCAT通讯接口；</w:t>
      </w:r>
    </w:p>
    <w:p w14:paraId="691C77E7">
      <w:pPr>
        <w:bidi w:val="0"/>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（3）机柜内置可编程控制器2：</w:t>
      </w:r>
      <w:r>
        <w:rPr>
          <w:rFonts w:hint="eastAsia" w:ascii="宋体" w:hAnsi="宋体" w:eastAsia="宋体" w:cs="宋体"/>
          <w:kern w:val="0"/>
          <w:sz w:val="21"/>
          <w:szCs w:val="21"/>
          <w:lang w:val="en-US" w:eastAsia="zh-CN" w:bidi="ar"/>
        </w:rPr>
        <w:t>板载数字I/O不数少于</w:t>
      </w:r>
      <w:r>
        <w:rPr>
          <w:rFonts w:hint="eastAsia" w:ascii="宋体" w:hAnsi="宋体" w:eastAsia="宋体" w:cs="宋体"/>
          <w:sz w:val="21"/>
          <w:szCs w:val="21"/>
          <w:lang w:val="en-US" w:eastAsia="zh-CN"/>
        </w:rPr>
        <w:t>32</w:t>
      </w:r>
      <w:r>
        <w:rPr>
          <w:rFonts w:hint="eastAsia" w:ascii="宋体" w:hAnsi="宋体" w:eastAsia="宋体" w:cs="宋体"/>
          <w:sz w:val="21"/>
          <w:szCs w:val="21"/>
          <w:lang w:eastAsia="zh-CN"/>
        </w:rPr>
        <w:t>点输入/</w:t>
      </w:r>
      <w:r>
        <w:rPr>
          <w:rFonts w:hint="eastAsia" w:ascii="宋体" w:hAnsi="宋体" w:eastAsia="宋体" w:cs="宋体"/>
          <w:sz w:val="21"/>
          <w:szCs w:val="21"/>
          <w:lang w:val="en-US" w:eastAsia="zh-CN"/>
        </w:rPr>
        <w:t>32</w:t>
      </w:r>
      <w:r>
        <w:rPr>
          <w:rFonts w:hint="eastAsia" w:ascii="宋体" w:hAnsi="宋体" w:eastAsia="宋体" w:cs="宋体"/>
          <w:sz w:val="21"/>
          <w:szCs w:val="21"/>
          <w:lang w:eastAsia="zh-CN"/>
        </w:rPr>
        <w:t>点输出，</w:t>
      </w:r>
      <w:r>
        <w:rPr>
          <w:rFonts w:hint="eastAsia" w:ascii="宋体" w:hAnsi="宋体" w:eastAsia="宋体" w:cs="宋体"/>
          <w:sz w:val="21"/>
          <w:szCs w:val="21"/>
          <w:lang w:val="en-US" w:eastAsia="zh-CN"/>
        </w:rPr>
        <w:t>配置有IO扩展模块、485通讯板、模拟量输出模块等；</w:t>
      </w:r>
    </w:p>
    <w:p w14:paraId="06719EDE">
      <w:pPr>
        <w:widowControl/>
        <w:spacing w:after="40" w:line="360" w:lineRule="exact"/>
        <w:jc w:val="left"/>
        <w:rPr>
          <w:rFonts w:hint="eastAsia" w:ascii="宋体" w:hAnsi="宋体" w:eastAsia="宋体" w:cs="宋体"/>
          <w:kern w:val="0"/>
          <w:sz w:val="21"/>
          <w:szCs w:val="21"/>
          <w:lang w:val="en-US" w:eastAsia="zh-CN" w:bidi="ar"/>
        </w:rPr>
      </w:pPr>
      <w:r>
        <w:rPr>
          <w:rFonts w:hint="eastAsia" w:ascii="宋体" w:hAnsi="宋体" w:eastAsia="宋体" w:cs="宋体"/>
          <w:b/>
          <w:bCs/>
          <w:sz w:val="21"/>
          <w:szCs w:val="21"/>
          <w:lang w:val="en-US" w:eastAsia="zh-CN"/>
        </w:rPr>
        <w:t>（4）显示单元：</w:t>
      </w:r>
      <w:r>
        <w:rPr>
          <w:rFonts w:hint="eastAsia" w:ascii="宋体" w:hAnsi="宋体" w:eastAsia="宋体" w:cs="宋体"/>
          <w:color w:val="auto"/>
          <w:kern w:val="0"/>
          <w:sz w:val="21"/>
          <w:szCs w:val="21"/>
          <w:highlight w:val="none"/>
          <w:lang w:bidi="ar"/>
        </w:rPr>
        <w:t>曲面34</w:t>
      </w:r>
      <w:r>
        <w:rPr>
          <w:rFonts w:hint="eastAsia" w:ascii="宋体" w:hAnsi="宋体" w:eastAsia="宋体" w:cs="宋体"/>
          <w:color w:val="auto"/>
          <w:kern w:val="0"/>
          <w:sz w:val="21"/>
          <w:szCs w:val="21"/>
          <w:highlight w:val="none"/>
          <w:lang w:val="en-US" w:eastAsia="zh-CN" w:bidi="ar"/>
        </w:rPr>
        <w:t>英</w:t>
      </w:r>
      <w:r>
        <w:rPr>
          <w:rFonts w:hint="eastAsia" w:ascii="宋体" w:hAnsi="宋体" w:eastAsia="宋体" w:cs="宋体"/>
          <w:color w:val="auto"/>
          <w:kern w:val="0"/>
          <w:sz w:val="21"/>
          <w:szCs w:val="21"/>
          <w:highlight w:val="none"/>
          <w:lang w:bidi="ar"/>
        </w:rPr>
        <w:t>寸、4K-LG面板 Nano-IPS、3440*1440分辨率</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包含</w:t>
      </w:r>
      <w:r>
        <w:rPr>
          <w:rFonts w:hint="eastAsia" w:ascii="宋体" w:hAnsi="宋体" w:eastAsia="宋体" w:cs="宋体"/>
          <w:color w:val="auto"/>
          <w:kern w:val="0"/>
          <w:sz w:val="21"/>
          <w:szCs w:val="21"/>
          <w:highlight w:val="none"/>
          <w:lang w:bidi="ar"/>
        </w:rPr>
        <w:t>DP、HDMI、USB、音频</w:t>
      </w:r>
      <w:r>
        <w:rPr>
          <w:rFonts w:hint="eastAsia" w:ascii="宋体" w:hAnsi="宋体" w:eastAsia="宋体" w:cs="宋体"/>
          <w:color w:val="auto"/>
          <w:kern w:val="0"/>
          <w:sz w:val="21"/>
          <w:szCs w:val="21"/>
          <w:highlight w:val="none"/>
          <w:lang w:val="en-US" w:eastAsia="zh-CN" w:bidi="ar"/>
        </w:rPr>
        <w:t>等接口、支撑座支持</w:t>
      </w:r>
      <w:r>
        <w:rPr>
          <w:rFonts w:hint="eastAsia" w:ascii="宋体" w:hAnsi="宋体" w:eastAsia="宋体" w:cs="宋体"/>
          <w:color w:val="auto"/>
          <w:kern w:val="0"/>
          <w:sz w:val="21"/>
          <w:szCs w:val="21"/>
          <w:highlight w:val="none"/>
          <w:lang w:bidi="ar"/>
        </w:rPr>
        <w:t>俯仰、升降、旋转</w:t>
      </w:r>
      <w:r>
        <w:rPr>
          <w:rFonts w:hint="eastAsia" w:ascii="宋体" w:hAnsi="宋体" w:eastAsia="宋体" w:cs="宋体"/>
          <w:color w:val="auto"/>
          <w:kern w:val="0"/>
          <w:sz w:val="21"/>
          <w:szCs w:val="21"/>
          <w:highlight w:val="none"/>
          <w:lang w:eastAsia="zh-CN" w:bidi="ar"/>
        </w:rPr>
        <w:t>；</w:t>
      </w:r>
    </w:p>
    <w:p w14:paraId="39595F19">
      <w:pPr>
        <w:pStyle w:val="24"/>
        <w:ind w:left="0" w:leftChars="0" w:firstLine="0" w:firstLineChars="0"/>
        <w:rPr>
          <w:rFonts w:hint="eastAsia" w:ascii="宋体" w:hAnsi="宋体" w:eastAsia="宋体" w:cs="宋体"/>
          <w:b/>
          <w:bCs/>
          <w:color w:val="auto"/>
          <w:kern w:val="0"/>
          <w:sz w:val="21"/>
          <w:szCs w:val="21"/>
          <w:lang w:val="en-US" w:eastAsia="zh-CN" w:bidi="ar"/>
        </w:rPr>
      </w:pPr>
      <w:r>
        <w:rPr>
          <w:rFonts w:hint="eastAsia" w:ascii="宋体" w:hAnsi="宋体" w:eastAsia="宋体" w:cs="宋体"/>
          <w:b/>
          <w:bCs/>
          <w:kern w:val="0"/>
          <w:sz w:val="21"/>
          <w:szCs w:val="21"/>
          <w:highlight w:val="none"/>
          <w:lang w:val="en-US" w:eastAsia="zh-CN"/>
        </w:rPr>
        <w:t>（5）</w:t>
      </w:r>
      <w:r>
        <w:rPr>
          <w:rFonts w:hint="eastAsia" w:ascii="宋体" w:hAnsi="宋体" w:eastAsia="宋体" w:cs="宋体"/>
          <w:b/>
          <w:bCs/>
          <w:kern w:val="0"/>
          <w:sz w:val="21"/>
          <w:szCs w:val="21"/>
          <w:lang w:val="en-US" w:eastAsia="zh-CN" w:bidi="ar"/>
        </w:rPr>
        <w:t>软件配置：</w:t>
      </w:r>
      <w:r>
        <w:rPr>
          <w:rFonts w:hint="eastAsia" w:ascii="宋体" w:hAnsi="宋体" w:eastAsia="宋体" w:cs="宋体"/>
          <w:kern w:val="0"/>
          <w:sz w:val="21"/>
          <w:szCs w:val="21"/>
          <w:highlight w:val="none"/>
          <w:lang w:val="en-US" w:eastAsia="zh-CN" w:bidi="ar-SA"/>
        </w:rPr>
        <w:t>该设备同时还应集成安装有智能制造综合数字孪生平台、多模态机器人示教编程软件以及智能机器人运动仿真与控制系统，要求以上软件三者可完美兼容并嵌套使用，同时软件还应为成熟稳定产品不接受定制开发，为保证教学质量以及避免后续可能产生的产权纠纷，要求该软件需有独立自主知识产权。</w:t>
      </w:r>
      <w:r>
        <w:rPr>
          <w:rFonts w:hint="eastAsia" w:cs="宋体"/>
          <w:kern w:val="0"/>
          <w:sz w:val="21"/>
          <w:szCs w:val="21"/>
          <w:highlight w:val="none"/>
          <w:lang w:val="en-US" w:eastAsia="zh-CN" w:bidi="ar-SA"/>
        </w:rPr>
        <w:t>（</w:t>
      </w:r>
      <w:r>
        <w:rPr>
          <w:rFonts w:hint="eastAsia" w:ascii="宋体" w:hAnsi="宋体" w:eastAsia="宋体" w:cs="宋体"/>
          <w:kern w:val="0"/>
          <w:sz w:val="21"/>
          <w:szCs w:val="21"/>
          <w:highlight w:val="none"/>
          <w:lang w:val="en-US" w:eastAsia="zh-CN" w:bidi="ar-SA"/>
        </w:rPr>
        <w:t>合同签订后</w:t>
      </w:r>
      <w:r>
        <w:rPr>
          <w:rFonts w:hint="eastAsia" w:cs="宋体"/>
          <w:kern w:val="0"/>
          <w:sz w:val="21"/>
          <w:szCs w:val="21"/>
          <w:highlight w:val="none"/>
          <w:lang w:val="en-US" w:eastAsia="zh-CN" w:bidi="ar-SA"/>
        </w:rPr>
        <w:t>要求进行原件核查作为</w:t>
      </w:r>
      <w:r>
        <w:rPr>
          <w:rFonts w:hint="eastAsia" w:ascii="宋体" w:hAnsi="宋体" w:eastAsia="宋体" w:cs="宋体"/>
          <w:kern w:val="0"/>
          <w:sz w:val="21"/>
          <w:szCs w:val="21"/>
          <w:highlight w:val="none"/>
          <w:lang w:val="en-US" w:eastAsia="zh-CN" w:bidi="ar-SA"/>
        </w:rPr>
        <w:t>履约验收标准。</w:t>
      </w:r>
      <w:r>
        <w:rPr>
          <w:rFonts w:hint="eastAsia" w:cs="宋体"/>
          <w:kern w:val="0"/>
          <w:sz w:val="21"/>
          <w:szCs w:val="21"/>
          <w:highlight w:val="none"/>
          <w:lang w:val="en-US" w:eastAsia="zh-CN" w:bidi="ar-SA"/>
        </w:rPr>
        <w:t>）</w:t>
      </w:r>
    </w:p>
    <w:p w14:paraId="1B04E767">
      <w:pPr>
        <w:pStyle w:val="24"/>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（四）、软件具体功能特点</w:t>
      </w:r>
    </w:p>
    <w:p w14:paraId="7ED15AF6">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虚实融合：该平台可通过多品牌虚拟示教器或者选配实体示教器对仿真环境中的机器人进行编程控制，进行虚实融合的任务训练。</w:t>
      </w:r>
    </w:p>
    <w:p w14:paraId="744833CF">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数字孪生功能：该系统利用传感器和网络技术，实现对硬件设备数据的实时采集，不断更新数字模型的状态，确保数字模型结构、性能、状态、行为与真实设备一致。系统可通过图形化界面展现，模拟真实设备的各种情况，帮助用户更好地理解和预测；</w:t>
      </w:r>
    </w:p>
    <w:p w14:paraId="76234C8E">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u w:val="single"/>
          <w:lang w:val="en-US" w:eastAsia="zh-CN"/>
        </w:rPr>
        <w:t>3.</w:t>
      </w:r>
      <w:r>
        <w:rPr>
          <w:rFonts w:hint="eastAsia" w:ascii="宋体" w:hAnsi="宋体" w:eastAsia="宋体" w:cs="宋体"/>
          <w:kern w:val="0"/>
          <w:sz w:val="21"/>
          <w:szCs w:val="21"/>
          <w:highlight w:val="none"/>
          <w:u w:val="single"/>
        </w:rPr>
        <w:t>支持多品牌示教器，至少包含ABB、FANUC、KUKA、YASKAWA、KEBA、埃夫特、图睿品牌虚拟示教器，以及ABB型、FANUC型实体示教器的示教编程，基于上述至少七款虚拟示教器和两款实体示教器均可实现对真实六轴协作机器人和仿真六轴机器人的实时同步控制；</w:t>
      </w:r>
    </w:p>
    <w:p w14:paraId="16EBD8BE">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4.</w:t>
      </w:r>
      <w:r>
        <w:rPr>
          <w:rFonts w:hint="eastAsia" w:ascii="宋体" w:hAnsi="宋体" w:eastAsia="宋体" w:cs="宋体"/>
          <w:b/>
          <w:bCs/>
          <w:kern w:val="0"/>
          <w:sz w:val="21"/>
          <w:szCs w:val="21"/>
          <w:highlight w:val="none"/>
          <w:lang w:val="en-US" w:eastAsia="zh-CN"/>
        </w:rPr>
        <w:t>★</w:t>
      </w:r>
      <w:r>
        <w:rPr>
          <w:rFonts w:hint="eastAsia" w:ascii="宋体" w:hAnsi="宋体" w:eastAsia="宋体" w:cs="宋体"/>
          <w:kern w:val="0"/>
          <w:sz w:val="21"/>
          <w:szCs w:val="21"/>
          <w:highlight w:val="none"/>
        </w:rPr>
        <w:t>支持与实</w:t>
      </w:r>
      <w:r>
        <w:rPr>
          <w:rFonts w:hint="eastAsia" w:ascii="宋体" w:hAnsi="宋体" w:eastAsia="宋体" w:cs="宋体"/>
          <w:color w:val="auto"/>
          <w:kern w:val="0"/>
          <w:sz w:val="21"/>
          <w:szCs w:val="21"/>
          <w:highlight w:val="none"/>
        </w:rPr>
        <w:t>体</w:t>
      </w:r>
      <w:r>
        <w:rPr>
          <w:rFonts w:hint="eastAsia" w:ascii="宋体" w:hAnsi="宋体" w:eastAsia="宋体" w:cs="宋体"/>
          <w:color w:val="auto"/>
          <w:kern w:val="0"/>
          <w:sz w:val="21"/>
          <w:szCs w:val="21"/>
          <w:highlight w:val="none"/>
          <w:lang w:val="en-US" w:eastAsia="zh-CN"/>
        </w:rPr>
        <w:t>职业技能等级</w:t>
      </w:r>
      <w:r>
        <w:rPr>
          <w:rFonts w:hint="eastAsia" w:ascii="宋体" w:hAnsi="宋体" w:eastAsia="宋体" w:cs="宋体"/>
          <w:kern w:val="0"/>
          <w:sz w:val="21"/>
          <w:szCs w:val="21"/>
          <w:highlight w:val="none"/>
        </w:rPr>
        <w:t>“可编程控制器系统应用编程”考核装置的数字孪生功能，支持物理实体与虚拟模型之间保持数据的实时双向流动和同步运行，物理实体的任何变化都能即时反馈到虚拟模型上，反之虚拟模型的优化决策也能迅速作用于物理实体；</w:t>
      </w:r>
      <w:r>
        <w:rPr>
          <w:rFonts w:hint="eastAsia" w:ascii="宋体" w:hAnsi="宋体" w:eastAsia="宋体" w:cs="宋体"/>
          <w:b/>
          <w:bCs/>
          <w:color w:val="auto"/>
          <w:kern w:val="0"/>
          <w:sz w:val="21"/>
          <w:szCs w:val="21"/>
          <w:highlight w:val="none"/>
        </w:rPr>
        <w:t>（投标时提供物理实体与虚拟模型之间保持数据的实时双向流动和同步运行</w:t>
      </w:r>
      <w:r>
        <w:rPr>
          <w:rFonts w:hint="eastAsia" w:ascii="宋体" w:hAnsi="宋体" w:eastAsia="宋体" w:cs="宋体"/>
          <w:b/>
          <w:bCs/>
          <w:color w:val="auto"/>
          <w:kern w:val="0"/>
          <w:sz w:val="21"/>
          <w:szCs w:val="21"/>
          <w:highlight w:val="none"/>
          <w:lang w:val="en-US" w:eastAsia="zh-CN"/>
        </w:rPr>
        <w:t>截图</w:t>
      </w:r>
      <w:r>
        <w:rPr>
          <w:rFonts w:hint="eastAsia" w:ascii="宋体" w:hAnsi="宋体" w:eastAsia="宋体" w:cs="宋体"/>
          <w:b/>
          <w:bCs/>
          <w:color w:val="auto"/>
          <w:kern w:val="0"/>
          <w:sz w:val="21"/>
          <w:szCs w:val="21"/>
          <w:highlight w:val="none"/>
        </w:rPr>
        <w:t>）</w:t>
      </w:r>
    </w:p>
    <w:p w14:paraId="58ECC95D">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支持拖拽式的IO匹配功能，可实现将设备信号自由匹配到PLC任意端口， 模拟电气接线，PLC编程不受限制；</w:t>
      </w:r>
    </w:p>
    <w:p w14:paraId="68B53629">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6.★软件要求至少由多品牌工业机器人选择界面、智能制产线选择界面、具身智能机器人选择界面、工作站数字模型、工作站功能菜单、IO配置菜单、教程窗口、系统控制菜单、自定义按钮菜单组成，主要功能：启动/停止仿真功能、控制PLC程序启动/停止运行、显示程序运行状态、自定义功能按钮、配置IO信号功能、快速切换窗口显示视角等。</w:t>
      </w:r>
    </w:p>
    <w:p w14:paraId="0A209903">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支持工业机器人仿真：多品牌工业机器人的示教编程仿真，包含ABB、FANUC、KUKA、YASKAWA，提供了大量的工业机器人的应用案例，每个型号机器人分别设置有不低于20个独立的训练任务，由简到难的工作站内容设计，有助于学生上手。</w:t>
      </w:r>
      <w:r>
        <w:rPr>
          <w:rFonts w:hint="eastAsia" w:ascii="宋体" w:hAnsi="宋体" w:eastAsia="宋体" w:cs="宋体"/>
          <w:kern w:val="0"/>
          <w:sz w:val="21"/>
          <w:szCs w:val="21"/>
          <w:highlight w:val="none"/>
          <w:lang w:val="en-US" w:eastAsia="zh-CN"/>
        </w:rPr>
        <w:t xml:space="preserve">                                  </w:t>
      </w:r>
    </w:p>
    <w:p w14:paraId="57493754">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工业机器人板块内容设置虚包含基本运动指令学习，过程计算指令学习、工件工具坐标系标定学习，以及典型应用任务学习。</w:t>
      </w:r>
    </w:p>
    <w:p w14:paraId="50B9A90C">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9.</w:t>
      </w:r>
      <w:r>
        <w:rPr>
          <w:rFonts w:hint="eastAsia" w:ascii="宋体" w:hAnsi="宋体" w:eastAsia="宋体" w:cs="宋体"/>
          <w:kern w:val="0"/>
          <w:sz w:val="21"/>
          <w:szCs w:val="21"/>
          <w:highlight w:val="none"/>
        </w:rPr>
        <w:t>基本运动指令学习至少包含，MOVL、MOVJ、MOVC且分别设置独立训练场景。</w:t>
      </w:r>
    </w:p>
    <w:p w14:paraId="2F0C976C">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10.</w:t>
      </w:r>
      <w:r>
        <w:rPr>
          <w:rFonts w:hint="eastAsia" w:ascii="宋体" w:hAnsi="宋体" w:eastAsia="宋体" w:cs="宋体"/>
          <w:kern w:val="0"/>
          <w:sz w:val="21"/>
          <w:szCs w:val="21"/>
          <w:highlight w:val="none"/>
        </w:rPr>
        <w:t>过程指令至少包含循环指令、计算指令、延时指令等且分别设置独立训练场景。</w:t>
      </w:r>
    </w:p>
    <w:p w14:paraId="3261E235">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11.</w:t>
      </w:r>
      <w:r>
        <w:rPr>
          <w:rFonts w:hint="eastAsia" w:ascii="宋体" w:hAnsi="宋体" w:eastAsia="宋体" w:cs="宋体"/>
          <w:kern w:val="0"/>
          <w:sz w:val="21"/>
          <w:szCs w:val="21"/>
          <w:highlight w:val="none"/>
        </w:rPr>
        <w:t>典型应用任务至少包含搬运码垛、七巧板搬运、立体仓储、视觉分拣、复杂轨迹等等且分别设置独立训练场景。</w:t>
      </w:r>
    </w:p>
    <w:p w14:paraId="60CC739A">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12.</w:t>
      </w:r>
      <w:r>
        <w:rPr>
          <w:rFonts w:hint="eastAsia" w:ascii="宋体" w:hAnsi="宋体" w:eastAsia="宋体" w:cs="宋体"/>
          <w:kern w:val="0"/>
          <w:sz w:val="21"/>
          <w:szCs w:val="21"/>
          <w:highlight w:val="none"/>
        </w:rPr>
        <w:t>智能制造生产线及实训台虚拟仿真：集成多款完整的智能制造生产线及实训台，涵盖四轴工业机器人、六轴工业机器人、三轴锁螺丝机器人、立体库、工业相机、柔性振动盘、双向伸缩货叉、激光打标、变位机模块、冲压模块等设备</w:t>
      </w:r>
    </w:p>
    <w:p w14:paraId="5CFB18E6">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13.单套智能制造实训系统中至少包含:桁架搬运模块、旋转供料模块控制、立体仓库模块控制、分拣模块控制、输送模块控制、温度控制模块控制、皮带输送模块、龙门搬运模块等，且每个模块都设置有独立的任务场景，支持拖拽式IO匹配，可以对模块中的元器件进行IO自主配置，并且具有配置一键还原功能，每个独立的任务都设置有教程，内容包含但不限于（任务场景结构组成与认知、气缸、电磁阀、传感器、电机驱动器等工作及控制原理说明、通讯配置说明、参考程序等）。</w:t>
      </w:r>
    </w:p>
    <w:p w14:paraId="2ED1249E">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u w:val="single"/>
          <w:lang w:val="en-US" w:eastAsia="zh-CN"/>
        </w:rPr>
      </w:pPr>
      <w:r>
        <w:rPr>
          <w:rFonts w:hint="eastAsia" w:ascii="宋体" w:hAnsi="宋体" w:eastAsia="宋体" w:cs="宋体"/>
          <w:kern w:val="0"/>
          <w:sz w:val="21"/>
          <w:szCs w:val="21"/>
          <w:highlight w:val="none"/>
          <w:u w:val="single"/>
          <w:lang w:val="en-US" w:eastAsia="zh-CN"/>
        </w:rPr>
        <w:t>14.</w:t>
      </w:r>
      <w:r>
        <w:rPr>
          <w:rFonts w:hint="eastAsia" w:ascii="宋体" w:hAnsi="宋体" w:eastAsia="宋体" w:cs="宋体"/>
          <w:color w:val="auto"/>
          <w:kern w:val="0"/>
          <w:sz w:val="22"/>
          <w:szCs w:val="22"/>
          <w:highlight w:val="none"/>
        </w:rPr>
        <w:t>●</w:t>
      </w:r>
      <w:r>
        <w:rPr>
          <w:rFonts w:hint="eastAsia" w:ascii="宋体" w:hAnsi="宋体" w:eastAsia="宋体" w:cs="宋体"/>
          <w:kern w:val="0"/>
          <w:sz w:val="21"/>
          <w:szCs w:val="21"/>
          <w:highlight w:val="none"/>
          <w:u w:val="single"/>
          <w:lang w:val="en-US" w:eastAsia="zh-CN"/>
        </w:rPr>
        <w:t>智能制造模块支持多款智能制造产线、智能制造设备平台的虚拟仿真调试（需至少包含两套满足职业技能等级证书考核设备的1:1数字化模型），（1）合理化分配将智能制造产线、设备平台都按照流程拆开分出多个独立的训练模块场景；（2）在每个场景重都设置了对应的实训指导内容，学生可实现边理论学习边实践操作，便于学生由零到整，由简到难的模块化、合理化产线调试训练。</w:t>
      </w:r>
      <w:r>
        <w:rPr>
          <w:rFonts w:hint="eastAsia" w:ascii="宋体" w:hAnsi="宋体" w:eastAsia="宋体" w:cs="宋体"/>
          <w:b/>
          <w:bCs/>
          <w:kern w:val="0"/>
          <w:sz w:val="21"/>
          <w:szCs w:val="21"/>
          <w:highlight w:val="none"/>
          <w:u w:val="single"/>
          <w:lang w:val="en-US" w:eastAsia="zh-CN"/>
        </w:rPr>
        <w:t>（投标时提供视频演示）</w:t>
      </w:r>
    </w:p>
    <w:p w14:paraId="3164B6C1">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u w:val="single"/>
          <w:lang w:val="en-US" w:eastAsia="zh-CN"/>
        </w:rPr>
        <w:t>15.</w:t>
      </w:r>
      <w:r>
        <w:rPr>
          <w:rFonts w:hint="eastAsia" w:ascii="宋体" w:hAnsi="宋体" w:eastAsia="宋体" w:cs="宋体"/>
          <w:color w:val="auto"/>
          <w:kern w:val="0"/>
          <w:sz w:val="22"/>
          <w:szCs w:val="22"/>
          <w:highlight w:val="none"/>
          <w:u w:val="single"/>
        </w:rPr>
        <w:t>●</w:t>
      </w:r>
      <w:r>
        <w:rPr>
          <w:rFonts w:hint="eastAsia" w:ascii="宋体" w:hAnsi="宋体" w:eastAsia="宋体" w:cs="宋体"/>
          <w:kern w:val="0"/>
          <w:sz w:val="21"/>
          <w:szCs w:val="21"/>
          <w:highlight w:val="none"/>
          <w:u w:val="single"/>
        </w:rPr>
        <w:t>支持机器视觉与可编程控制器仿真：</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1</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rPr>
        <w:t>融合</w:t>
      </w:r>
      <w:r>
        <w:rPr>
          <w:rFonts w:hint="eastAsia" w:ascii="宋体" w:hAnsi="宋体" w:eastAsia="宋体" w:cs="宋体"/>
          <w:kern w:val="0"/>
          <w:sz w:val="21"/>
          <w:szCs w:val="21"/>
          <w:highlight w:val="none"/>
          <w:u w:val="single"/>
          <w:lang w:val="en-US" w:eastAsia="zh-CN"/>
        </w:rPr>
        <w:t>至少市场两款主流产品</w:t>
      </w:r>
      <w:r>
        <w:rPr>
          <w:rFonts w:hint="eastAsia" w:ascii="宋体" w:hAnsi="宋体" w:eastAsia="宋体" w:cs="宋体"/>
          <w:kern w:val="0"/>
          <w:sz w:val="21"/>
          <w:szCs w:val="21"/>
          <w:highlight w:val="none"/>
          <w:u w:val="single"/>
        </w:rPr>
        <w:t>视觉算法平台，对虚拟场景中的图形进行处理，实现识别、定位等功能</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2</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rPr>
        <w:t>支持多品牌PLC的信号接入，包含</w:t>
      </w:r>
      <w:r>
        <w:rPr>
          <w:rFonts w:hint="eastAsia" w:ascii="宋体" w:hAnsi="宋体" w:eastAsia="宋体" w:cs="宋体"/>
          <w:kern w:val="0"/>
          <w:sz w:val="21"/>
          <w:szCs w:val="21"/>
          <w:highlight w:val="none"/>
          <w:u w:val="single"/>
          <w:lang w:val="en-US" w:eastAsia="zh-CN"/>
        </w:rPr>
        <w:t>至少市场三款主流产品</w:t>
      </w:r>
      <w:r>
        <w:rPr>
          <w:rFonts w:hint="eastAsia" w:ascii="宋体" w:hAnsi="宋体" w:eastAsia="宋体" w:cs="宋体"/>
          <w:kern w:val="0"/>
          <w:sz w:val="21"/>
          <w:szCs w:val="21"/>
          <w:highlight w:val="none"/>
          <w:u w:val="single"/>
        </w:rPr>
        <w:t>，基于现场总线技术、实现虚拟仿真与虚拟/真实PLC的数据传输，在虚拟环境中驱动孪生体完成任务作业</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3</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rPr>
        <w:t>支持针对同一设备的不少于两种品牌的PLC程序同步混合仿真</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4</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rPr>
        <w:t>支持虚拟设备传感器、运行机构与PLC输入输出，脉冲，模拟等信号自定义拖动设置</w:t>
      </w:r>
      <w:r>
        <w:rPr>
          <w:rFonts w:hint="eastAsia" w:ascii="宋体" w:hAnsi="宋体" w:eastAsia="宋体" w:cs="宋体"/>
          <w:kern w:val="0"/>
          <w:sz w:val="21"/>
          <w:szCs w:val="21"/>
          <w:highlight w:val="none"/>
          <w:u w:val="single"/>
          <w:lang w:eastAsia="zh-CN"/>
        </w:rPr>
        <w:t>。</w:t>
      </w:r>
      <w:r>
        <w:rPr>
          <w:rFonts w:hint="eastAsia" w:ascii="宋体" w:hAnsi="宋体" w:eastAsia="宋体" w:cs="宋体"/>
          <w:b/>
          <w:bCs/>
          <w:kern w:val="0"/>
          <w:sz w:val="21"/>
          <w:szCs w:val="21"/>
          <w:highlight w:val="none"/>
          <w:u w:val="single"/>
          <w:lang w:val="en-US" w:eastAsia="zh-CN"/>
        </w:rPr>
        <w:t>（投标时提供视频演示）</w:t>
      </w:r>
    </w:p>
    <w:p w14:paraId="581F57B5">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16.</w:t>
      </w:r>
      <w:r>
        <w:rPr>
          <w:rFonts w:hint="eastAsia" w:ascii="宋体" w:hAnsi="宋体" w:eastAsia="宋体" w:cs="宋体"/>
          <w:kern w:val="0"/>
          <w:sz w:val="21"/>
          <w:szCs w:val="21"/>
          <w:highlight w:val="none"/>
        </w:rPr>
        <w:t>支持工业机器人装调与应用装置设备的仿真训练：包含多品牌工业机器人、快换夹具更换、码垛模块、装配模块、井式供料模块、通用仓储模块、输送模块、视觉模块、打磨模块、外部轴等模块</w:t>
      </w:r>
      <w:r>
        <w:rPr>
          <w:rFonts w:hint="eastAsia" w:ascii="宋体" w:hAnsi="宋体" w:eastAsia="宋体" w:cs="宋体"/>
          <w:kern w:val="0"/>
          <w:sz w:val="21"/>
          <w:szCs w:val="21"/>
          <w:highlight w:val="none"/>
          <w:lang w:eastAsia="zh-CN"/>
        </w:rPr>
        <w:t>。</w:t>
      </w:r>
    </w:p>
    <w:p w14:paraId="472C1425">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17.</w:t>
      </w:r>
      <w:r>
        <w:rPr>
          <w:rFonts w:hint="eastAsia" w:ascii="宋体" w:hAnsi="宋体" w:eastAsia="宋体" w:cs="宋体"/>
          <w:color w:val="auto"/>
          <w:kern w:val="0"/>
          <w:sz w:val="21"/>
          <w:szCs w:val="21"/>
          <w:highlight w:val="none"/>
        </w:rPr>
        <w:t>具身智能机器人虚拟仿真：支持多模态智能机器人运动控制及应用仿真，最少含工业机器人、协作机器人、移动机器人、轮式单臂人形机器人、轮式双臂人形机器人等</w:t>
      </w:r>
      <w:r>
        <w:rPr>
          <w:rFonts w:hint="eastAsia" w:ascii="宋体" w:hAnsi="宋体" w:eastAsia="宋体" w:cs="宋体"/>
          <w:color w:val="auto"/>
          <w:kern w:val="0"/>
          <w:sz w:val="21"/>
          <w:szCs w:val="21"/>
          <w:highlight w:val="none"/>
          <w:lang w:eastAsia="zh-CN"/>
        </w:rPr>
        <w:t>。</w:t>
      </w:r>
    </w:p>
    <w:p w14:paraId="3FB59795">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18.</w:t>
      </w:r>
      <w:r>
        <w:rPr>
          <w:rFonts w:hint="eastAsia" w:ascii="宋体" w:hAnsi="宋体" w:eastAsia="宋体" w:cs="宋体"/>
          <w:kern w:val="0"/>
          <w:sz w:val="21"/>
          <w:szCs w:val="21"/>
          <w:highlight w:val="none"/>
        </w:rPr>
        <w:t>支持具身智能机器人的仿真与数字孪生，能够通过网络实现软件与实体机器人的数据交互和虚实联动，软件中提供了轮式双臂人形机器人的应用开发场景，基于实训台可以对机器人进行编程控制，实现实体机器人和仿真场景中机器人的实时同步联动</w:t>
      </w:r>
      <w:r>
        <w:rPr>
          <w:rFonts w:hint="eastAsia" w:ascii="宋体" w:hAnsi="宋体" w:eastAsia="宋体" w:cs="宋体"/>
          <w:kern w:val="0"/>
          <w:sz w:val="21"/>
          <w:szCs w:val="21"/>
          <w:highlight w:val="none"/>
          <w:lang w:eastAsia="zh-CN"/>
        </w:rPr>
        <w:t>。</w:t>
      </w:r>
    </w:p>
    <w:p w14:paraId="2B83D1A7">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19.要求配备的示教器系统搭载有多模态机器人示教编程软件，可</w:t>
      </w:r>
      <w:r>
        <w:rPr>
          <w:rFonts w:hint="eastAsia" w:ascii="宋体" w:hAnsi="宋体" w:eastAsia="宋体" w:cs="宋体"/>
          <w:kern w:val="0"/>
          <w:sz w:val="21"/>
          <w:szCs w:val="21"/>
          <w:highlight w:val="none"/>
        </w:rPr>
        <w:t>支持多模态智能机器人运动控制及应用仿真，最少包含工业机器人、四轴协作机器人、六轴协作机器人、七轴协作机器人、全向移动机器人、麦克纳姆轮移动机器人、轮式单臂人形机器人、轮式双臂人形机器人等，并集成了虚拟相机，虚拟机器人控制器，并提供二次开发接口，可以基于Linux系统平台，利用ROS、OpenCV，YOLO等框架进行人形机器人智能场景应用的相关练习</w:t>
      </w:r>
      <w:r>
        <w:rPr>
          <w:rFonts w:hint="eastAsia" w:ascii="宋体" w:hAnsi="宋体" w:eastAsia="宋体" w:cs="宋体"/>
          <w:kern w:val="0"/>
          <w:sz w:val="21"/>
          <w:szCs w:val="21"/>
          <w:highlight w:val="none"/>
          <w:lang w:eastAsia="zh-CN"/>
        </w:rPr>
        <w:t>。</w:t>
      </w:r>
    </w:p>
    <w:p w14:paraId="5FCE0732">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20.</w:t>
      </w:r>
      <w:r>
        <w:rPr>
          <w:rFonts w:hint="eastAsia" w:ascii="宋体" w:hAnsi="宋体" w:eastAsia="宋体" w:cs="宋体"/>
          <w:kern w:val="0"/>
          <w:sz w:val="21"/>
          <w:szCs w:val="21"/>
          <w:highlight w:val="none"/>
        </w:rPr>
        <w:t>软件内提供多种智能制造相关实验室建设相关建设内容（不低于八种）。</w:t>
      </w:r>
    </w:p>
    <w:p w14:paraId="577F8D6B">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21.</w:t>
      </w:r>
      <w:r>
        <w:rPr>
          <w:rFonts w:hint="eastAsia" w:ascii="宋体" w:hAnsi="宋体" w:eastAsia="宋体" w:cs="宋体"/>
          <w:kern w:val="0"/>
          <w:sz w:val="21"/>
          <w:szCs w:val="21"/>
          <w:highlight w:val="none"/>
        </w:rPr>
        <w:t>具身智能虚拟实践板块：具身智能虚拟实践板块主要支持机器人+人工智能的实训和科研，覆盖操作系统、二次开发、ROS、计算机视觉、自主导航、路径规划、深度学习等内容，机器人本体算法开发，机器人+人工智能算法开发，以及人形机器人具身智能应用验证。</w:t>
      </w:r>
    </w:p>
    <w:p w14:paraId="1E0FC760">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b/>
          <w:bCs/>
          <w:kern w:val="0"/>
          <w:sz w:val="21"/>
          <w:szCs w:val="21"/>
          <w:highlight w:val="none"/>
          <w:lang w:eastAsia="zh-CN"/>
        </w:rPr>
      </w:pPr>
      <w:r>
        <w:rPr>
          <w:rFonts w:hint="eastAsia" w:ascii="宋体" w:hAnsi="宋体" w:eastAsia="宋体" w:cs="宋体"/>
          <w:kern w:val="0"/>
          <w:sz w:val="21"/>
          <w:szCs w:val="21"/>
          <w:highlight w:val="none"/>
          <w:lang w:val="en-US" w:eastAsia="zh-CN"/>
        </w:rPr>
        <w:t>22.★</w:t>
      </w:r>
      <w:r>
        <w:rPr>
          <w:rFonts w:hint="eastAsia" w:ascii="宋体" w:hAnsi="宋体" w:eastAsia="宋体" w:cs="宋体"/>
          <w:kern w:val="0"/>
          <w:sz w:val="21"/>
          <w:szCs w:val="21"/>
          <w:highlight w:val="none"/>
        </w:rPr>
        <w:t>二次开发SDK：提供实训台中软件的二次开发接口，基于接口能够同时实现在操作系统上，利用C++编程语言完成对软件仿真环境中机器人及真实六轴协作机器人的直线、圆弧、B样条曲线等作业轨迹的二次开发实时同步控制。</w:t>
      </w:r>
      <w:r>
        <w:rPr>
          <w:rFonts w:hint="eastAsia" w:ascii="宋体" w:hAnsi="宋体" w:eastAsia="宋体" w:cs="宋体"/>
          <w:b/>
          <w:bCs/>
          <w:color w:val="auto"/>
          <w:kern w:val="0"/>
          <w:sz w:val="21"/>
          <w:szCs w:val="21"/>
          <w:highlight w:val="none"/>
        </w:rPr>
        <w:t>（投标时提供软件截图证明并加盖公章）</w:t>
      </w:r>
    </w:p>
    <w:p w14:paraId="7A83B07B">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23.</w:t>
      </w:r>
      <w:r>
        <w:rPr>
          <w:rFonts w:hint="eastAsia" w:ascii="宋体" w:hAnsi="宋体" w:eastAsia="宋体" w:cs="宋体"/>
          <w:kern w:val="0"/>
          <w:sz w:val="21"/>
          <w:szCs w:val="21"/>
          <w:highlight w:val="none"/>
        </w:rPr>
        <w:t>高性能机器人虚拟仿真控制器：自主研发高性能机器人虚拟仿真控制器，系统包含轨迹插值运算，提供开发套件、运动控制函数库（包含关节、直线、圆弧、B样条等运动指令）等工具，提供案例源码，可满足高标准下的教学、研发需求</w:t>
      </w:r>
      <w:r>
        <w:rPr>
          <w:rFonts w:hint="eastAsia" w:ascii="宋体" w:hAnsi="宋体" w:eastAsia="宋体" w:cs="宋体"/>
          <w:kern w:val="0"/>
          <w:sz w:val="21"/>
          <w:szCs w:val="21"/>
          <w:highlight w:val="none"/>
          <w:lang w:eastAsia="zh-CN"/>
        </w:rPr>
        <w:t>。</w:t>
      </w:r>
    </w:p>
    <w:p w14:paraId="207C3E96">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b/>
          <w:bCs/>
          <w:sz w:val="21"/>
          <w:szCs w:val="21"/>
          <w:lang w:val="en-US" w:eastAsia="zh-CN"/>
        </w:rPr>
      </w:pPr>
      <w:r>
        <w:rPr>
          <w:rFonts w:hint="eastAsia" w:ascii="宋体" w:hAnsi="宋体" w:eastAsia="宋体" w:cs="宋体"/>
          <w:kern w:val="0"/>
          <w:sz w:val="21"/>
          <w:szCs w:val="21"/>
          <w:highlight w:val="none"/>
          <w:lang w:val="en-US" w:eastAsia="zh-CN"/>
        </w:rPr>
        <w:t>24.</w:t>
      </w:r>
      <w:r>
        <w:rPr>
          <w:rFonts w:hint="eastAsia" w:ascii="宋体" w:hAnsi="宋体" w:eastAsia="宋体" w:cs="宋体"/>
          <w:kern w:val="0"/>
          <w:sz w:val="21"/>
          <w:szCs w:val="21"/>
          <w:highlight w:val="none"/>
        </w:rPr>
        <w:t>支持多品牌示教软件，针对不同构型的机器人（包含四轴机器人、六轴机器人、七轴机器人、双臂七轴机器人、移动机器人、轮式单臂人形机器人、轮式双臂人形机器人等），完成对虚拟环境中的机器人实现示教控制、程序编辑、参数修改（包含基础参数、关节参数、运动参数、DH模型参数、设备参数、高级参数等）、IO控制、机器人实时状态三维仿真视图等功能。</w:t>
      </w:r>
      <w:r>
        <w:rPr>
          <w:rFonts w:hint="eastAsia" w:ascii="宋体" w:hAnsi="宋体" w:eastAsia="宋体" w:cs="宋体"/>
          <w:b/>
          <w:bCs/>
          <w:kern w:val="0"/>
          <w:sz w:val="21"/>
          <w:szCs w:val="21"/>
          <w:highlight w:val="none"/>
        </w:rPr>
        <w:t>（投标时提供软件截图证明并加盖公章）</w:t>
      </w:r>
    </w:p>
    <w:p w14:paraId="62F7E378">
      <w:pPr>
        <w:keepNext w:val="0"/>
        <w:keepLines w:val="0"/>
        <w:pageBreakBefore w:val="0"/>
        <w:widowControl w:val="0"/>
        <w:numPr>
          <w:ilvl w:val="0"/>
          <w:numId w:val="0"/>
        </w:numPr>
        <w:kinsoku/>
        <w:wordWrap/>
        <w:overflowPunct/>
        <w:topLinePunct w:val="0"/>
        <w:autoSpaceDE/>
        <w:autoSpaceDN/>
        <w:bidi w:val="0"/>
        <w:adjustRightInd/>
        <w:snapToGrid/>
        <w:spacing w:after="40"/>
        <w:textAlignment w:val="auto"/>
        <w:rPr>
          <w:rFonts w:hint="eastAsia" w:ascii="宋体" w:hAnsi="宋体" w:eastAsia="宋体" w:cs="宋体"/>
          <w:b/>
          <w:bCs/>
          <w:sz w:val="21"/>
          <w:szCs w:val="21"/>
          <w:lang w:val="en-US" w:eastAsia="zh-CN"/>
        </w:rPr>
      </w:pPr>
    </w:p>
    <w:p w14:paraId="66877164">
      <w:pPr>
        <w:snapToGrid w:val="0"/>
        <w:spacing w:line="460" w:lineRule="exact"/>
        <w:ind w:firstLine="440"/>
        <w:rPr>
          <w:rFonts w:hint="default" w:ascii="宋体" w:hAnsi="宋体" w:eastAsia="宋体" w:cs="宋体"/>
          <w:sz w:val="22"/>
          <w:szCs w:val="22"/>
          <w:highlight w:val="none"/>
          <w:lang w:val="en-US" w:eastAsia="zh-CN"/>
        </w:rPr>
        <w:sectPr>
          <w:pgSz w:w="11906" w:h="16838"/>
          <w:pgMar w:top="1440" w:right="1304" w:bottom="1089" w:left="1531" w:header="851" w:footer="992" w:gutter="0"/>
          <w:pgNumType w:fmt="decimal"/>
          <w:cols w:space="720" w:num="1"/>
          <w:docGrid w:linePitch="312" w:charSpace="0"/>
        </w:sectPr>
      </w:pPr>
    </w:p>
    <w:p w14:paraId="55CA1D52">
      <w:pPr>
        <w:pStyle w:val="2"/>
        <w:numPr>
          <w:ilvl w:val="0"/>
          <w:numId w:val="78"/>
        </w:numPr>
        <w:ind w:firstLine="643"/>
        <w:rPr>
          <w:rFonts w:hint="eastAsia" w:ascii="宋体" w:hAnsi="宋体" w:eastAsia="宋体" w:cs="宋体"/>
        </w:rPr>
      </w:pPr>
      <w:r>
        <w:rPr>
          <w:rFonts w:hint="eastAsia" w:ascii="宋体" w:hAnsi="宋体" w:eastAsia="宋体" w:cs="宋体"/>
        </w:rPr>
        <w:t xml:space="preserve">  </w:t>
      </w:r>
      <w:bookmarkStart w:id="254" w:name="_Toc16660"/>
      <w:r>
        <w:rPr>
          <w:rFonts w:hint="eastAsia" w:ascii="宋体" w:hAnsi="宋体" w:eastAsia="宋体" w:cs="宋体"/>
          <w:lang w:val="en-US" w:eastAsia="zh-CN"/>
        </w:rPr>
        <w:t>评标</w:t>
      </w:r>
      <w:r>
        <w:rPr>
          <w:rFonts w:hint="eastAsia" w:ascii="宋体" w:hAnsi="宋体" w:eastAsia="宋体" w:cs="宋体"/>
        </w:rPr>
        <w:t>原则及方法</w:t>
      </w:r>
      <w:bookmarkEnd w:id="254"/>
    </w:p>
    <w:bookmarkEnd w:id="227"/>
    <w:p w14:paraId="0CB45E71">
      <w:pPr>
        <w:spacing w:line="360" w:lineRule="auto"/>
        <w:ind w:firstLine="420" w:firstLineChars="200"/>
        <w:rPr>
          <w:rFonts w:hint="eastAsia" w:ascii="宋体" w:hAnsi="宋体" w:eastAsia="宋体" w:cs="宋体"/>
          <w:bCs/>
          <w:kern w:val="28"/>
          <w:sz w:val="21"/>
          <w:szCs w:val="21"/>
          <w:highlight w:val="none"/>
        </w:rPr>
      </w:pPr>
      <w:bookmarkStart w:id="255" w:name="_Toc771"/>
      <w:r>
        <w:rPr>
          <w:rFonts w:hint="eastAsia" w:ascii="宋体" w:hAnsi="宋体" w:eastAsia="宋体" w:cs="宋体"/>
          <w:bCs/>
          <w:kern w:val="28"/>
          <w:sz w:val="21"/>
          <w:szCs w:val="21"/>
          <w:highlight w:val="none"/>
        </w:rPr>
        <w:t>根据《中华人民共和国政府采购法》和《政府采购货物和服务招标投标管理办法》等相关法规和本项目采购文件，特制定本办法。</w:t>
      </w:r>
    </w:p>
    <w:p w14:paraId="01B8B502">
      <w:pPr>
        <w:pStyle w:val="9"/>
        <w:overflowPunct w:val="0"/>
        <w:spacing w:after="0" w:line="360" w:lineRule="auto"/>
        <w:rPr>
          <w:rFonts w:hint="eastAsia" w:ascii="宋体" w:hAnsi="宋体" w:eastAsia="宋体" w:cs="宋体"/>
          <w:b/>
          <w:color w:val="auto"/>
          <w:sz w:val="21"/>
          <w:szCs w:val="21"/>
          <w:highlight w:val="none"/>
        </w:rPr>
      </w:pPr>
      <w:bookmarkStart w:id="256" w:name="_Toc221356898"/>
      <w:bookmarkStart w:id="257" w:name="_Toc221356961"/>
      <w:r>
        <w:rPr>
          <w:rFonts w:hint="eastAsia" w:ascii="宋体" w:hAnsi="宋体" w:eastAsia="宋体" w:cs="宋体"/>
          <w:b/>
          <w:color w:val="auto"/>
          <w:sz w:val="21"/>
          <w:szCs w:val="21"/>
          <w:highlight w:val="none"/>
        </w:rPr>
        <w:t>一. 总  则</w:t>
      </w:r>
      <w:bookmarkEnd w:id="256"/>
      <w:bookmarkEnd w:id="257"/>
    </w:p>
    <w:p w14:paraId="73D4A519">
      <w:pPr>
        <w:overflowPunct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工作遵循公平、公正、科学、择优原则和诚实、信誉、效率的服务原则。本着科学、严谨的态度，认真进行评标。择优选用，推进技术进步，确保工程质量、交货期，节约投资，最大限度的保护当事人权益，严格按照</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的商务、技术要求，对投标文件进行综合评定，提出优选方案，编写评标报告。对落标单位，评委会不作任何落标解释。投标人不得以任何方式干扰招投标工作的进行，一经发现其投标文件将被拒绝。</w:t>
      </w:r>
    </w:p>
    <w:p w14:paraId="6FA81A6D">
      <w:pPr>
        <w:pStyle w:val="9"/>
        <w:overflowPunct w:val="0"/>
        <w:spacing w:after="0" w:line="360" w:lineRule="auto"/>
        <w:rPr>
          <w:rFonts w:hint="eastAsia" w:ascii="宋体" w:hAnsi="宋体" w:eastAsia="宋体" w:cs="宋体"/>
          <w:b/>
          <w:color w:val="auto"/>
          <w:sz w:val="21"/>
          <w:szCs w:val="21"/>
          <w:highlight w:val="none"/>
        </w:rPr>
      </w:pPr>
      <w:bookmarkStart w:id="258" w:name="_Toc221356962"/>
      <w:bookmarkStart w:id="259" w:name="_Toc221356899"/>
      <w:r>
        <w:rPr>
          <w:rFonts w:hint="eastAsia" w:ascii="宋体" w:hAnsi="宋体" w:eastAsia="宋体" w:cs="宋体"/>
          <w:b/>
          <w:color w:val="auto"/>
          <w:sz w:val="21"/>
          <w:szCs w:val="21"/>
          <w:highlight w:val="none"/>
        </w:rPr>
        <w:t>二、评标组织</w:t>
      </w:r>
      <w:bookmarkEnd w:id="258"/>
      <w:bookmarkEnd w:id="259"/>
      <w:r>
        <w:rPr>
          <w:rFonts w:hint="eastAsia" w:ascii="宋体" w:hAnsi="宋体" w:eastAsia="宋体" w:cs="宋体"/>
          <w:b/>
          <w:color w:val="auto"/>
          <w:sz w:val="21"/>
          <w:szCs w:val="21"/>
          <w:highlight w:val="none"/>
        </w:rPr>
        <w:t>（标项1、标项2、标项3、标项4通用）</w:t>
      </w:r>
    </w:p>
    <w:p w14:paraId="34DA2DDD">
      <w:pPr>
        <w:overflowPunct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评标工作由采购人依法组建的评标委员会负责，评标全过程由有关部门指导监督。</w:t>
      </w:r>
    </w:p>
    <w:p w14:paraId="5871AA72">
      <w:pPr>
        <w:autoSpaceDE w:val="0"/>
        <w:autoSpaceDN w:val="0"/>
        <w:adjustRightInd w:val="0"/>
        <w:spacing w:line="360" w:lineRule="auto"/>
        <w:rPr>
          <w:rFonts w:hint="eastAsia" w:ascii="宋体" w:hAnsi="宋体" w:eastAsia="宋体" w:cs="宋体"/>
          <w:b/>
          <w:bCs/>
          <w:color w:val="auto"/>
          <w:kern w:val="0"/>
          <w:sz w:val="21"/>
          <w:szCs w:val="21"/>
          <w:highlight w:val="none"/>
          <w:lang w:val="zh-CN"/>
        </w:rPr>
      </w:pPr>
      <w:r>
        <w:rPr>
          <w:rFonts w:hint="eastAsia" w:ascii="宋体" w:hAnsi="宋体" w:eastAsia="宋体" w:cs="宋体"/>
          <w:b/>
          <w:bCs/>
          <w:color w:val="auto"/>
          <w:kern w:val="0"/>
          <w:sz w:val="21"/>
          <w:szCs w:val="21"/>
          <w:highlight w:val="none"/>
          <w:lang w:val="zh-CN"/>
        </w:rPr>
        <w:t>三、评标程序</w:t>
      </w:r>
      <w:r>
        <w:rPr>
          <w:rFonts w:hint="eastAsia" w:ascii="宋体" w:hAnsi="宋体" w:eastAsia="宋体" w:cs="宋体"/>
          <w:b/>
          <w:color w:val="auto"/>
          <w:sz w:val="21"/>
          <w:szCs w:val="21"/>
          <w:highlight w:val="none"/>
        </w:rPr>
        <w:t>（标项1、标项2、标项3、标项4通用）</w:t>
      </w:r>
    </w:p>
    <w:p w14:paraId="4E79B372">
      <w:pPr>
        <w:overflowPunct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人或者采购代理机构对各投标人的投标资格进行审查；然后评标委员会对合格投标人进行符合性审查，对审查通过的商务技术文件进行评审；商务技术文件评审结束之后对报价文件评审，综合评审结果，提交评审报告。</w:t>
      </w:r>
    </w:p>
    <w:p w14:paraId="408AF3C1">
      <w:pPr>
        <w:pStyle w:val="9"/>
        <w:adjustRightInd w:val="0"/>
        <w:snapToGrid w:val="0"/>
        <w:spacing w:after="0"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 评标办法（标项1、标项2、标项3、标项4通用）</w:t>
      </w:r>
    </w:p>
    <w:p w14:paraId="25623349">
      <w:pPr>
        <w:pStyle w:val="11"/>
        <w:adjustRightInd/>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本项目评标办法采取百分制综合评分法</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其中</w:t>
      </w:r>
      <w:r>
        <w:rPr>
          <w:rFonts w:hint="eastAsia" w:ascii="宋体" w:hAnsi="宋体" w:eastAsia="宋体" w:cs="宋体"/>
          <w:b/>
          <w:bCs/>
          <w:color w:val="auto"/>
          <w:sz w:val="21"/>
          <w:szCs w:val="21"/>
          <w:highlight w:val="none"/>
        </w:rPr>
        <w:t>商务技术</w:t>
      </w:r>
      <w:r>
        <w:rPr>
          <w:rFonts w:hint="eastAsia" w:ascii="宋体" w:hAnsi="宋体" w:eastAsia="宋体" w:cs="宋体"/>
          <w:b/>
          <w:color w:val="auto"/>
          <w:sz w:val="21"/>
          <w:szCs w:val="21"/>
          <w:highlight w:val="none"/>
          <w:lang w:val="en-US" w:eastAsia="zh-CN"/>
        </w:rPr>
        <w:t>70</w:t>
      </w:r>
      <w:r>
        <w:rPr>
          <w:rFonts w:hint="eastAsia" w:ascii="宋体" w:hAnsi="宋体" w:eastAsia="宋体" w:cs="宋体"/>
          <w:b/>
          <w:color w:val="auto"/>
          <w:sz w:val="21"/>
          <w:szCs w:val="21"/>
          <w:highlight w:val="none"/>
        </w:rPr>
        <w:t>分（</w:t>
      </w:r>
      <w:r>
        <w:rPr>
          <w:rFonts w:hint="eastAsia" w:ascii="宋体" w:hAnsi="宋体" w:eastAsia="宋体" w:cs="宋体"/>
          <w:b/>
          <w:color w:val="auto"/>
          <w:sz w:val="21"/>
          <w:szCs w:val="21"/>
          <w:highlight w:val="none"/>
          <w:lang w:eastAsia="zh-CN"/>
        </w:rPr>
        <w:t>商务</w:t>
      </w:r>
      <w:r>
        <w:rPr>
          <w:rFonts w:hint="eastAsia" w:ascii="宋体" w:hAnsi="宋体" w:eastAsia="宋体" w:cs="宋体"/>
          <w:b/>
          <w:color w:val="auto"/>
          <w:sz w:val="21"/>
          <w:szCs w:val="21"/>
          <w:highlight w:val="none"/>
        </w:rPr>
        <w:t>技术权值为</w:t>
      </w:r>
      <w:r>
        <w:rPr>
          <w:rFonts w:hint="eastAsia" w:ascii="宋体" w:hAnsi="宋体" w:eastAsia="宋体" w:cs="宋体"/>
          <w:b/>
          <w:color w:val="auto"/>
          <w:sz w:val="21"/>
          <w:szCs w:val="21"/>
          <w:highlight w:val="none"/>
          <w:lang w:val="en-US" w:eastAsia="zh-CN"/>
        </w:rPr>
        <w:t>70</w:t>
      </w:r>
      <w:r>
        <w:rPr>
          <w:rFonts w:hint="eastAsia" w:ascii="宋体" w:hAnsi="宋体" w:eastAsia="宋体" w:cs="宋体"/>
          <w:b/>
          <w:color w:val="auto"/>
          <w:sz w:val="21"/>
          <w:szCs w:val="21"/>
          <w:highlight w:val="none"/>
        </w:rPr>
        <w:t>%），投标报价</w:t>
      </w:r>
      <w:r>
        <w:rPr>
          <w:rFonts w:hint="eastAsia" w:ascii="宋体" w:hAnsi="宋体" w:eastAsia="宋体" w:cs="宋体"/>
          <w:b/>
          <w:color w:val="auto"/>
          <w:sz w:val="21"/>
          <w:szCs w:val="21"/>
          <w:highlight w:val="none"/>
          <w:lang w:val="en-US" w:eastAsia="zh-CN"/>
        </w:rPr>
        <w:t>30</w:t>
      </w:r>
      <w:r>
        <w:rPr>
          <w:rFonts w:hint="eastAsia" w:ascii="宋体" w:hAnsi="宋体" w:eastAsia="宋体" w:cs="宋体"/>
          <w:b/>
          <w:color w:val="auto"/>
          <w:sz w:val="21"/>
          <w:szCs w:val="21"/>
          <w:highlight w:val="none"/>
        </w:rPr>
        <w:t>分（报价权值为</w:t>
      </w:r>
      <w:r>
        <w:rPr>
          <w:rFonts w:hint="eastAsia" w:ascii="宋体" w:hAnsi="宋体" w:eastAsia="宋体" w:cs="宋体"/>
          <w:b/>
          <w:color w:val="auto"/>
          <w:sz w:val="21"/>
          <w:szCs w:val="21"/>
          <w:highlight w:val="none"/>
          <w:lang w:val="en-US" w:eastAsia="zh-CN"/>
        </w:rPr>
        <w:t>30</w:t>
      </w: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即最大限度地满足</w:t>
      </w:r>
      <w:r>
        <w:rPr>
          <w:rFonts w:hint="eastAsia" w:cs="宋体"/>
          <w:color w:val="auto"/>
          <w:sz w:val="21"/>
          <w:szCs w:val="21"/>
          <w:highlight w:val="none"/>
          <w:lang w:eastAsia="zh-CN"/>
        </w:rPr>
        <w:t>采购文件</w:t>
      </w:r>
      <w:r>
        <w:rPr>
          <w:rFonts w:hint="eastAsia" w:ascii="宋体" w:hAnsi="宋体" w:eastAsia="宋体" w:cs="宋体"/>
          <w:color w:val="auto"/>
          <w:sz w:val="21"/>
          <w:szCs w:val="21"/>
          <w:highlight w:val="none"/>
        </w:rPr>
        <w:t>实质性要求前提下，按照</w:t>
      </w:r>
      <w:r>
        <w:rPr>
          <w:rFonts w:hint="eastAsia" w:cs="宋体"/>
          <w:color w:val="auto"/>
          <w:sz w:val="21"/>
          <w:szCs w:val="21"/>
          <w:highlight w:val="none"/>
          <w:lang w:eastAsia="zh-CN"/>
        </w:rPr>
        <w:t>采购文件</w:t>
      </w:r>
      <w:r>
        <w:rPr>
          <w:rFonts w:hint="eastAsia" w:ascii="宋体" w:hAnsi="宋体" w:eastAsia="宋体" w:cs="宋体"/>
          <w:color w:val="auto"/>
          <w:sz w:val="21"/>
          <w:szCs w:val="21"/>
          <w:highlight w:val="none"/>
        </w:rPr>
        <w:t>中规定的各项评分内容进行综合评审。</w:t>
      </w:r>
      <w:r>
        <w:rPr>
          <w:rFonts w:hint="eastAsia" w:ascii="宋体" w:hAnsi="宋体" w:eastAsia="宋体" w:cs="宋体"/>
          <w:color w:val="auto"/>
          <w:sz w:val="21"/>
          <w:szCs w:val="21"/>
          <w:highlight w:val="none"/>
          <w:lang w:val="en-US" w:eastAsia="zh-CN"/>
        </w:rPr>
        <w:t>每个标项</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lang w:eastAsia="zh-CN"/>
        </w:rPr>
        <w:t>综</w:t>
      </w:r>
      <w:r>
        <w:rPr>
          <w:rFonts w:hint="eastAsia" w:ascii="宋体" w:hAnsi="宋体" w:eastAsia="宋体" w:cs="宋体"/>
          <w:color w:val="auto"/>
          <w:sz w:val="21"/>
          <w:szCs w:val="21"/>
          <w:highlight w:val="none"/>
        </w:rPr>
        <w:t>合得分（即商务技术得分与投标报价得分之和）高低进行排序，</w:t>
      </w:r>
      <w:r>
        <w:rPr>
          <w:rFonts w:hint="eastAsia" w:ascii="宋体" w:hAnsi="宋体" w:eastAsia="宋体" w:cs="宋体"/>
          <w:color w:val="auto"/>
          <w:kern w:val="0"/>
          <w:sz w:val="21"/>
          <w:szCs w:val="21"/>
          <w:highlight w:val="none"/>
        </w:rPr>
        <w:t>综合得分</w:t>
      </w:r>
      <w:r>
        <w:rPr>
          <w:rFonts w:hint="eastAsia" w:ascii="宋体" w:hAnsi="宋体" w:eastAsia="宋体" w:cs="宋体"/>
          <w:color w:val="auto"/>
          <w:kern w:val="0"/>
          <w:sz w:val="21"/>
          <w:szCs w:val="21"/>
          <w:highlight w:val="none"/>
          <w:lang w:val="en-US" w:eastAsia="zh-CN"/>
        </w:rPr>
        <w:t>最高</w:t>
      </w:r>
      <w:r>
        <w:rPr>
          <w:rFonts w:hint="eastAsia" w:ascii="宋体" w:hAnsi="宋体" w:eastAsia="宋体" w:cs="宋体"/>
          <w:color w:val="auto"/>
          <w:kern w:val="0"/>
          <w:sz w:val="21"/>
          <w:szCs w:val="21"/>
          <w:highlight w:val="none"/>
        </w:rPr>
        <w:t>的投标人推荐为第一中标候选人（综合</w:t>
      </w:r>
      <w:r>
        <w:rPr>
          <w:rFonts w:hint="eastAsia" w:ascii="宋体" w:hAnsi="宋体" w:eastAsia="宋体" w:cs="宋体"/>
          <w:color w:val="auto"/>
          <w:sz w:val="21"/>
          <w:szCs w:val="21"/>
          <w:highlight w:val="none"/>
        </w:rPr>
        <w:t>得分相同的，按投标报价得分</w:t>
      </w:r>
      <w:r>
        <w:rPr>
          <w:rFonts w:hint="eastAsia" w:ascii="宋体" w:hAnsi="宋体" w:eastAsia="宋体" w:cs="宋体"/>
          <w:color w:val="auto"/>
          <w:sz w:val="21"/>
          <w:szCs w:val="21"/>
          <w:highlight w:val="none"/>
          <w:lang w:eastAsia="zh-CN"/>
        </w:rPr>
        <w:t>由高到低</w:t>
      </w:r>
      <w:r>
        <w:rPr>
          <w:rFonts w:hint="eastAsia" w:ascii="宋体" w:hAnsi="宋体" w:eastAsia="宋体" w:cs="宋体"/>
          <w:color w:val="auto"/>
          <w:sz w:val="21"/>
          <w:szCs w:val="21"/>
          <w:highlight w:val="none"/>
        </w:rPr>
        <w:t>顺序排列。综合得分且投标报价得分相同的，由评标委员会随机抽取决定排名顺序。</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如出现多标项综合得分最高时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按本章第三点相关内容执行</w:t>
      </w:r>
      <w:r>
        <w:rPr>
          <w:rFonts w:hint="eastAsia" w:ascii="宋体" w:hAnsi="宋体" w:eastAsia="宋体" w:cs="宋体"/>
          <w:color w:val="auto"/>
          <w:sz w:val="21"/>
          <w:szCs w:val="21"/>
          <w:highlight w:val="none"/>
        </w:rPr>
        <w:t>。</w:t>
      </w:r>
    </w:p>
    <w:p w14:paraId="06B5DF74">
      <w:pPr>
        <w:pStyle w:val="11"/>
        <w:adjustRightInd/>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2．评标过程中遇到特殊情况，由评标委员会遵循公平、公正原则，采取记名投票方式按照少数服从多数原则决定。</w:t>
      </w:r>
    </w:p>
    <w:p w14:paraId="685F1047">
      <w:pPr>
        <w:pStyle w:val="9"/>
        <w:spacing w:after="0"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五、评分细则</w:t>
      </w:r>
    </w:p>
    <w:p w14:paraId="3645B97D">
      <w:pPr>
        <w:spacing w:line="360" w:lineRule="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1.商务技术文件的评定（</w:t>
      </w:r>
      <w:r>
        <w:rPr>
          <w:rFonts w:hint="eastAsia" w:ascii="宋体" w:hAnsi="宋体" w:eastAsia="宋体" w:cs="宋体"/>
          <w:b/>
          <w:bCs/>
          <w:color w:val="auto"/>
          <w:sz w:val="21"/>
          <w:szCs w:val="21"/>
          <w:highlight w:val="none"/>
          <w:lang w:val="en-US" w:eastAsia="zh-CN"/>
        </w:rPr>
        <w:t>70</w:t>
      </w:r>
      <w:r>
        <w:rPr>
          <w:rFonts w:hint="eastAsia" w:ascii="宋体" w:hAnsi="宋体" w:eastAsia="宋体" w:cs="宋体"/>
          <w:b/>
          <w:bCs/>
          <w:color w:val="auto"/>
          <w:sz w:val="21"/>
          <w:szCs w:val="21"/>
          <w:highlight w:val="none"/>
        </w:rPr>
        <w:t>分）</w:t>
      </w:r>
      <w:r>
        <w:rPr>
          <w:rFonts w:hint="eastAsia" w:ascii="宋体" w:hAnsi="宋体" w:eastAsia="宋体" w:cs="宋体"/>
          <w:b/>
          <w:color w:val="auto"/>
          <w:sz w:val="21"/>
          <w:szCs w:val="21"/>
          <w:highlight w:val="none"/>
          <w:lang w:val="en-US" w:eastAsia="zh-CN"/>
        </w:rPr>
        <w:t xml:space="preserve"> </w:t>
      </w:r>
    </w:p>
    <w:p w14:paraId="279F9AB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各评委成员按下列评分项目进行评定，每人一张评分计算表，由评标委员会成员各自评定打分并记实名。</w:t>
      </w:r>
      <w:r>
        <w:rPr>
          <w:rFonts w:hint="eastAsia" w:ascii="宋体" w:hAnsi="宋体" w:eastAsia="宋体" w:cs="宋体"/>
          <w:b/>
          <w:color w:val="auto"/>
          <w:sz w:val="21"/>
          <w:szCs w:val="21"/>
          <w:highlight w:val="none"/>
        </w:rPr>
        <w:t>如任何一张表的一项评分内容分值超过规定的范围，则该张表无效。</w:t>
      </w:r>
      <w:r>
        <w:rPr>
          <w:rFonts w:hint="eastAsia" w:ascii="宋体" w:hAnsi="宋体" w:eastAsia="宋体" w:cs="宋体"/>
          <w:color w:val="auto"/>
          <w:sz w:val="21"/>
          <w:szCs w:val="21"/>
          <w:lang w:val="en-US" w:eastAsia="zh-CN"/>
        </w:rPr>
        <w:t>评标委员会成员有权在规定的范围内对主观评分项自主评分量化而不必统一分档。</w:t>
      </w:r>
      <w:r>
        <w:rPr>
          <w:rFonts w:hint="eastAsia" w:ascii="宋体" w:hAnsi="宋体" w:eastAsia="宋体" w:cs="宋体"/>
          <w:color w:val="auto"/>
          <w:sz w:val="21"/>
          <w:szCs w:val="21"/>
          <w:highlight w:val="none"/>
        </w:rPr>
        <w:t>评标委员会成员对各投标人的各项评分内容评分合计值的算术平均值为该投标人商务技术文件的最终得分（四舍五入，保留小数点后二位）。</w:t>
      </w:r>
    </w:p>
    <w:p w14:paraId="7C56CEE0">
      <w:pPr>
        <w:pStyle w:val="5"/>
        <w:jc w:val="center"/>
        <w:rPr>
          <w:rFonts w:hint="eastAsia"/>
          <w:lang w:val="en-US" w:eastAsia="zh-CN"/>
        </w:rPr>
      </w:pPr>
      <w:r>
        <w:rPr>
          <w:rFonts w:hint="eastAsia"/>
          <w:b/>
          <w:bCs/>
          <w:sz w:val="24"/>
          <w:szCs w:val="24"/>
          <w:lang w:val="en-US" w:eastAsia="zh-CN"/>
        </w:rPr>
        <w:t>标项1评分标准</w:t>
      </w:r>
    </w:p>
    <w:p w14:paraId="76B7A444">
      <w:pPr>
        <w:rPr>
          <w:rFonts w:hint="eastAsia"/>
          <w:lang w:val="en-US" w:eastAsia="zh-CN"/>
        </w:rPr>
      </w:pP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07"/>
        <w:gridCol w:w="658"/>
        <w:gridCol w:w="5975"/>
        <w:gridCol w:w="845"/>
      </w:tblGrid>
      <w:tr w14:paraId="72EF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6" w:type="pct"/>
            <w:vAlign w:val="center"/>
          </w:tcPr>
          <w:p w14:paraId="6F2DBD83">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rPr>
              <w:t>序号</w:t>
            </w:r>
          </w:p>
        </w:tc>
        <w:tc>
          <w:tcPr>
            <w:tcW w:w="596" w:type="pct"/>
            <w:vAlign w:val="center"/>
          </w:tcPr>
          <w:p w14:paraId="544879FE">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rPr>
              <w:t>评审因素</w:t>
            </w:r>
          </w:p>
        </w:tc>
        <w:tc>
          <w:tcPr>
            <w:tcW w:w="354" w:type="pct"/>
            <w:vAlign w:val="center"/>
          </w:tcPr>
          <w:p w14:paraId="132C2168">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rPr>
              <w:t>分值</w:t>
            </w:r>
          </w:p>
        </w:tc>
        <w:tc>
          <w:tcPr>
            <w:tcW w:w="3217" w:type="pct"/>
            <w:vAlign w:val="center"/>
          </w:tcPr>
          <w:p w14:paraId="6F5E12EE">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rPr>
              <w:t>评分细则</w:t>
            </w:r>
          </w:p>
        </w:tc>
        <w:tc>
          <w:tcPr>
            <w:tcW w:w="455" w:type="pct"/>
            <w:vAlign w:val="center"/>
          </w:tcPr>
          <w:p w14:paraId="74F1378B">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rPr>
              <w:t>备注</w:t>
            </w:r>
          </w:p>
        </w:tc>
      </w:tr>
      <w:tr w14:paraId="2776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6" w:type="pct"/>
            <w:vAlign w:val="center"/>
          </w:tcPr>
          <w:p w14:paraId="10DBEA99">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lang w:bidi="ar"/>
              </w:rPr>
              <w:t>1</w:t>
            </w:r>
          </w:p>
        </w:tc>
        <w:tc>
          <w:tcPr>
            <w:tcW w:w="596" w:type="pct"/>
            <w:vAlign w:val="center"/>
          </w:tcPr>
          <w:p w14:paraId="2778ABED">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lang w:bidi="ar"/>
              </w:rPr>
              <w:t>业绩</w:t>
            </w:r>
          </w:p>
        </w:tc>
        <w:tc>
          <w:tcPr>
            <w:tcW w:w="354" w:type="pct"/>
            <w:vAlign w:val="center"/>
          </w:tcPr>
          <w:p w14:paraId="5E09F50E">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color w:val="FF0000"/>
                <w:lang w:eastAsia="zh-CN" w:bidi="ar"/>
              </w:rPr>
              <w:t>3</w:t>
            </w:r>
          </w:p>
        </w:tc>
        <w:tc>
          <w:tcPr>
            <w:tcW w:w="3217" w:type="pct"/>
            <w:vAlign w:val="center"/>
          </w:tcPr>
          <w:p w14:paraId="2B365541">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投标供应商提供自2022年9月1日（以合同签订时间为准）完成过类似实训室或实训中心或实训基地项目业绩的，每提供1个得1分，最高</w:t>
            </w:r>
            <w:r>
              <w:rPr>
                <w:rFonts w:hint="eastAsia" w:ascii="宋体" w:hAnsi="宋体" w:eastAsia="宋体" w:cs="宋体"/>
                <w:color w:val="FF0000"/>
                <w:lang w:eastAsia="zh-CN"/>
              </w:rPr>
              <w:t>得3分；</w:t>
            </w:r>
          </w:p>
          <w:p w14:paraId="23ED1237">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注：业绩证明材料以合同为准（提供合同原件扫描件加盖供应商公章），未提供不得分。若提供的证明材料不能明确体现业绩特征的，还需提供原项目业主出具的加盖其公章的书面证明材料。</w:t>
            </w:r>
          </w:p>
        </w:tc>
        <w:tc>
          <w:tcPr>
            <w:tcW w:w="455" w:type="pct"/>
            <w:vAlign w:val="center"/>
          </w:tcPr>
          <w:p w14:paraId="448BC69C">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spacing w:val="-6"/>
              </w:rPr>
              <w:t>客观分</w:t>
            </w:r>
          </w:p>
        </w:tc>
      </w:tr>
      <w:tr w14:paraId="58EA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6ED9C157">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lang w:bidi="ar"/>
              </w:rPr>
              <w:t>2</w:t>
            </w:r>
          </w:p>
        </w:tc>
        <w:tc>
          <w:tcPr>
            <w:tcW w:w="596" w:type="pct"/>
            <w:vAlign w:val="center"/>
          </w:tcPr>
          <w:p w14:paraId="68D058B7">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lang w:bidi="ar"/>
              </w:rPr>
              <w:t>技术要求响应程度</w:t>
            </w:r>
          </w:p>
        </w:tc>
        <w:tc>
          <w:tcPr>
            <w:tcW w:w="354" w:type="pct"/>
            <w:vAlign w:val="center"/>
          </w:tcPr>
          <w:p w14:paraId="232DFED7">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color w:val="FF0000"/>
                <w:lang w:eastAsia="zh-CN" w:bidi="ar"/>
              </w:rPr>
              <w:t>35</w:t>
            </w:r>
          </w:p>
        </w:tc>
        <w:tc>
          <w:tcPr>
            <w:tcW w:w="3217" w:type="pct"/>
            <w:vAlign w:val="center"/>
          </w:tcPr>
          <w:p w14:paraId="309B8486">
            <w:pPr>
              <w:keepNext w:val="0"/>
              <w:keepLines w:val="0"/>
              <w:widowControl/>
              <w:suppressLineNumbers w:val="0"/>
              <w:spacing w:before="0" w:beforeAutospacing="0" w:after="0" w:afterAutospacing="0" w:line="360" w:lineRule="exact"/>
              <w:ind w:left="0" w:right="0"/>
              <w:rPr>
                <w:rFonts w:ascii="宋体" w:hAnsi="宋体" w:eastAsia="宋体" w:cs="宋体"/>
                <w:lang w:eastAsia="zh-CN"/>
              </w:rPr>
            </w:pPr>
            <w:r>
              <w:rPr>
                <w:rFonts w:hint="eastAsia" w:ascii="宋体" w:hAnsi="宋体" w:eastAsia="宋体" w:cs="宋体"/>
                <w:lang w:eastAsia="zh-CN"/>
              </w:rPr>
              <w:t>不符合（负偏离）技术要求中标注“▲且加下划线”条款（不可偏离）的投标无效。</w:t>
            </w:r>
          </w:p>
          <w:p w14:paraId="00DB6217">
            <w:pPr>
              <w:keepNext w:val="0"/>
              <w:keepLines w:val="0"/>
              <w:widowControl/>
              <w:suppressLineNumbers w:val="0"/>
              <w:spacing w:before="0" w:beforeAutospacing="0" w:after="0" w:afterAutospacing="0" w:line="360" w:lineRule="exact"/>
              <w:ind w:left="0" w:right="0"/>
              <w:rPr>
                <w:rFonts w:ascii="宋体" w:hAnsi="宋体" w:eastAsia="宋体" w:cs="宋体"/>
                <w:lang w:eastAsia="zh-CN"/>
              </w:rPr>
            </w:pPr>
            <w:r>
              <w:rPr>
                <w:rFonts w:hint="eastAsia" w:ascii="宋体" w:hAnsi="宋体" w:eastAsia="宋体" w:cs="宋体"/>
                <w:lang w:eastAsia="zh-CN"/>
              </w:rPr>
              <w:t>满足采购文件明确的全部技术要求的得满分：评标委员会根据参数应答和提供参数中所要求的证明材料情况进行评分，评分要求如下：</w:t>
            </w:r>
          </w:p>
          <w:p w14:paraId="1B470AA2">
            <w:pPr>
              <w:keepNext w:val="0"/>
              <w:keepLines w:val="0"/>
              <w:widowControl/>
              <w:suppressLineNumbers w:val="0"/>
              <w:spacing w:before="0" w:beforeAutospacing="0" w:after="0" w:afterAutospacing="0" w:line="360" w:lineRule="exact"/>
              <w:ind w:left="0" w:right="0"/>
              <w:rPr>
                <w:rFonts w:ascii="宋体" w:hAnsi="宋体" w:eastAsia="宋体" w:cs="宋体"/>
                <w:lang w:eastAsia="zh-CN"/>
              </w:rPr>
            </w:pPr>
            <w:r>
              <w:rPr>
                <w:rFonts w:hint="eastAsia" w:ascii="宋体" w:hAnsi="宋体" w:eastAsia="宋体" w:cs="宋体"/>
                <w:b/>
                <w:shd w:val="clear" w:color="auto" w:fill="FFFFFF"/>
                <w:lang w:eastAsia="zh-CN"/>
              </w:rPr>
              <w:t>带“★”的要求为重要技术条款</w:t>
            </w:r>
            <w:r>
              <w:rPr>
                <w:rFonts w:hint="eastAsia" w:ascii="宋体" w:hAnsi="宋体" w:eastAsia="宋体" w:cs="宋体"/>
                <w:lang w:eastAsia="zh-CN"/>
              </w:rPr>
              <w:t>（相关条款按要求提供证明文件，否则本条不得分）</w:t>
            </w:r>
            <w:r>
              <w:rPr>
                <w:rFonts w:hint="eastAsia" w:ascii="宋体" w:hAnsi="宋体" w:eastAsia="宋体" w:cs="宋体"/>
                <w:b/>
                <w:shd w:val="clear" w:color="auto" w:fill="FFFFFF"/>
                <w:lang w:eastAsia="zh-CN"/>
              </w:rPr>
              <w:t>，负偏离的每条扣2分；非“★”的指标要求为一般技术条款，负偏离的每条扣1分，扣完为止。</w:t>
            </w:r>
          </w:p>
        </w:tc>
        <w:tc>
          <w:tcPr>
            <w:tcW w:w="455" w:type="pct"/>
            <w:vAlign w:val="center"/>
          </w:tcPr>
          <w:p w14:paraId="1BC9F03E">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spacing w:val="-6"/>
              </w:rPr>
              <w:t>客观分</w:t>
            </w:r>
          </w:p>
        </w:tc>
      </w:tr>
      <w:tr w14:paraId="7197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Align w:val="center"/>
          </w:tcPr>
          <w:p w14:paraId="16A5AE59">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lang w:eastAsia="zh-CN" w:bidi="ar"/>
              </w:rPr>
              <w:t>3</w:t>
            </w:r>
          </w:p>
        </w:tc>
        <w:tc>
          <w:tcPr>
            <w:tcW w:w="596" w:type="pct"/>
            <w:vAlign w:val="center"/>
          </w:tcPr>
          <w:p w14:paraId="4D1C7E8C">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lang w:eastAsia="zh-CN"/>
              </w:rPr>
              <w:t>企业资质</w:t>
            </w:r>
          </w:p>
        </w:tc>
        <w:tc>
          <w:tcPr>
            <w:tcW w:w="354" w:type="pct"/>
            <w:vAlign w:val="center"/>
          </w:tcPr>
          <w:p w14:paraId="019D8A75">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rPr>
            </w:pPr>
            <w:r>
              <w:rPr>
                <w:rFonts w:hint="eastAsia" w:ascii="宋体" w:hAnsi="宋体" w:eastAsia="宋体" w:cs="宋体"/>
                <w:lang w:eastAsia="zh-CN"/>
              </w:rPr>
              <w:t>3</w:t>
            </w:r>
          </w:p>
        </w:tc>
        <w:tc>
          <w:tcPr>
            <w:tcW w:w="3217" w:type="pct"/>
            <w:vAlign w:val="center"/>
          </w:tcPr>
          <w:p w14:paraId="3E38C7B0">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1、投标供应商具有有效的质量管理体系认证，得1分；</w:t>
            </w:r>
          </w:p>
          <w:p w14:paraId="060D4426">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2、投标供应商具有有效的职业健康安全管理体系认证，得1分；</w:t>
            </w:r>
          </w:p>
          <w:p w14:paraId="33991753">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3、投标供应商具有有效的环境管理体系认证，得1分；</w:t>
            </w:r>
          </w:p>
          <w:p w14:paraId="4DD30C16">
            <w:pPr>
              <w:keepNext w:val="0"/>
              <w:keepLines w:val="0"/>
              <w:widowControl/>
              <w:suppressLineNumbers w:val="0"/>
              <w:spacing w:before="0" w:beforeAutospacing="0" w:after="0" w:afterAutospacing="0" w:line="360" w:lineRule="exact"/>
              <w:ind w:left="0" w:right="0"/>
              <w:rPr>
                <w:rFonts w:ascii="宋体" w:hAnsi="宋体" w:eastAsia="宋体" w:cs="宋体"/>
              </w:rPr>
            </w:pPr>
            <w:r>
              <w:rPr>
                <w:rFonts w:hint="eastAsia" w:ascii="宋体" w:hAnsi="宋体" w:eastAsia="宋体" w:cs="宋体"/>
                <w:b/>
              </w:rPr>
              <w:t>注：响应文件附有中国国家认证认可监督管理委员会查询平台（网址：http://www.cnca.gov.cn/）的相关查询记录及有效期内的证书复印件加盖投标人公章，不提供不得分，证书不在有效期内不得分。</w:t>
            </w:r>
          </w:p>
        </w:tc>
        <w:tc>
          <w:tcPr>
            <w:tcW w:w="455" w:type="pct"/>
            <w:vAlign w:val="center"/>
          </w:tcPr>
          <w:p w14:paraId="1B8203CA">
            <w:pPr>
              <w:keepNext w:val="0"/>
              <w:keepLines w:val="0"/>
              <w:widowControl/>
              <w:suppressLineNumbers w:val="0"/>
              <w:spacing w:before="0" w:beforeAutospacing="0" w:after="0" w:afterAutospacing="0" w:line="360" w:lineRule="exact"/>
              <w:ind w:left="0" w:right="0"/>
              <w:jc w:val="center"/>
              <w:rPr>
                <w:rFonts w:ascii="宋体" w:hAnsi="宋体" w:eastAsia="宋体" w:cs="宋体"/>
                <w:spacing w:val="-6"/>
              </w:rPr>
            </w:pPr>
            <w:r>
              <w:rPr>
                <w:rFonts w:hint="eastAsia" w:ascii="宋体" w:hAnsi="宋体" w:eastAsia="宋体" w:cs="宋体"/>
                <w:spacing w:val="-6"/>
                <w:lang w:eastAsia="zh-CN"/>
              </w:rPr>
              <w:t>客观</w:t>
            </w:r>
            <w:r>
              <w:rPr>
                <w:rFonts w:hint="eastAsia" w:ascii="宋体" w:hAnsi="宋体" w:eastAsia="宋体" w:cs="宋体"/>
                <w:spacing w:val="-6"/>
              </w:rPr>
              <w:t>分</w:t>
            </w:r>
          </w:p>
        </w:tc>
      </w:tr>
      <w:tr w14:paraId="0880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Merge w:val="restart"/>
            <w:vAlign w:val="center"/>
          </w:tcPr>
          <w:p w14:paraId="46F71936">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lang w:eastAsia="zh-CN" w:bidi="ar"/>
              </w:rPr>
              <w:t>4</w:t>
            </w:r>
          </w:p>
        </w:tc>
        <w:tc>
          <w:tcPr>
            <w:tcW w:w="596" w:type="pct"/>
            <w:vMerge w:val="restart"/>
            <w:vAlign w:val="center"/>
          </w:tcPr>
          <w:p w14:paraId="77E15C8A">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lang w:bidi="ar"/>
              </w:rPr>
              <w:t>实施方案</w:t>
            </w:r>
          </w:p>
        </w:tc>
        <w:tc>
          <w:tcPr>
            <w:tcW w:w="354" w:type="pct"/>
            <w:vAlign w:val="center"/>
          </w:tcPr>
          <w:p w14:paraId="3856C2B5">
            <w:pPr>
              <w:keepNext w:val="0"/>
              <w:keepLines w:val="0"/>
              <w:widowControl/>
              <w:suppressLineNumbers w:val="0"/>
              <w:kinsoku/>
              <w:autoSpaceDE/>
              <w:autoSpaceDN/>
              <w:spacing w:before="0" w:beforeAutospacing="0" w:after="0" w:afterAutospacing="0"/>
              <w:ind w:left="0" w:right="0"/>
              <w:jc w:val="center"/>
              <w:rPr>
                <w:rFonts w:ascii="宋体" w:hAnsi="宋体" w:eastAsia="宋体" w:cs="宋体"/>
                <w:lang w:eastAsia="zh-CN" w:bidi="ar"/>
              </w:rPr>
            </w:pPr>
            <w:r>
              <w:rPr>
                <w:rFonts w:hint="eastAsia" w:ascii="宋体" w:hAnsi="宋体" w:eastAsia="宋体" w:cs="宋体"/>
                <w:bCs/>
                <w:color w:val="auto"/>
                <w:lang w:eastAsia="zh-CN" w:bidi="ar"/>
              </w:rPr>
              <w:t>3</w:t>
            </w:r>
          </w:p>
        </w:tc>
        <w:tc>
          <w:tcPr>
            <w:tcW w:w="3217" w:type="pct"/>
            <w:vAlign w:val="center"/>
          </w:tcPr>
          <w:p w14:paraId="07422C41">
            <w:pPr>
              <w:keepNext w:val="0"/>
              <w:keepLines w:val="0"/>
              <w:widowControl/>
              <w:suppressLineNumbers w:val="0"/>
              <w:kinsoku/>
              <w:autoSpaceDE/>
              <w:autoSpaceDN/>
              <w:spacing w:before="0" w:beforeAutospacing="0" w:after="0" w:afterAutospacing="0"/>
              <w:ind w:left="0" w:right="0"/>
              <w:rPr>
                <w:rFonts w:ascii="宋体" w:hAnsi="宋体" w:eastAsia="宋体" w:cs="宋体"/>
                <w:color w:val="auto"/>
                <w:lang w:eastAsia="zh-CN"/>
              </w:rPr>
            </w:pPr>
            <w:r>
              <w:rPr>
                <w:rFonts w:hint="eastAsia" w:ascii="宋体" w:hAnsi="宋体" w:eastAsia="宋体" w:cs="宋体"/>
                <w:color w:val="auto"/>
                <w:lang w:eastAsia="zh-CN"/>
              </w:rPr>
              <w:t>根据投标供应商提供的产品供货、验货、安装调试的方案：包括产品供货时间安排、运输方式、场地环境的了解、验货方案、安装调试方案、风险应对措施、应急预案等。</w:t>
            </w:r>
          </w:p>
          <w:p w14:paraId="2888C6B5">
            <w:pPr>
              <w:keepNext w:val="0"/>
              <w:keepLines w:val="0"/>
              <w:widowControl/>
              <w:suppressLineNumbers w:val="0"/>
              <w:kinsoku/>
              <w:autoSpaceDE/>
              <w:autoSpaceDN/>
              <w:spacing w:before="0" w:beforeAutospacing="0" w:after="0" w:afterAutospacing="0"/>
              <w:ind w:left="0" w:right="0"/>
              <w:rPr>
                <w:rFonts w:ascii="宋体" w:hAnsi="宋体" w:eastAsia="宋体" w:cs="宋体"/>
                <w:lang w:eastAsia="zh-CN"/>
              </w:rPr>
            </w:pPr>
            <w:r>
              <w:rPr>
                <w:rFonts w:hint="eastAsia" w:ascii="宋体" w:hAnsi="宋体" w:eastAsia="宋体" w:cs="宋体"/>
                <w:color w:val="auto"/>
                <w:lang w:eastAsia="zh-CN"/>
              </w:rPr>
              <w:t>（评分范围：3；2；1；0）</w:t>
            </w:r>
          </w:p>
        </w:tc>
        <w:tc>
          <w:tcPr>
            <w:tcW w:w="455" w:type="pct"/>
            <w:vAlign w:val="center"/>
          </w:tcPr>
          <w:p w14:paraId="4B81B1EF">
            <w:pPr>
              <w:keepNext w:val="0"/>
              <w:keepLines w:val="0"/>
              <w:widowControl/>
              <w:suppressLineNumbers w:val="0"/>
              <w:spacing w:before="0" w:beforeAutospacing="0" w:after="0" w:afterAutospacing="0" w:line="360" w:lineRule="exact"/>
              <w:ind w:left="0" w:right="0"/>
              <w:jc w:val="center"/>
              <w:rPr>
                <w:rFonts w:ascii="宋体" w:hAnsi="宋体" w:eastAsia="宋体" w:cs="宋体"/>
                <w:spacing w:val="-6"/>
              </w:rPr>
            </w:pPr>
            <w:r>
              <w:rPr>
                <w:rFonts w:hint="eastAsia" w:ascii="宋体" w:hAnsi="宋体" w:eastAsia="宋体" w:cs="宋体"/>
                <w:spacing w:val="-6"/>
              </w:rPr>
              <w:t>主观分</w:t>
            </w:r>
          </w:p>
        </w:tc>
      </w:tr>
      <w:tr w14:paraId="6BA7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Merge w:val="continue"/>
            <w:vAlign w:val="center"/>
          </w:tcPr>
          <w:p w14:paraId="3FD17D14">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p>
        </w:tc>
        <w:tc>
          <w:tcPr>
            <w:tcW w:w="596" w:type="pct"/>
            <w:vMerge w:val="continue"/>
            <w:vAlign w:val="center"/>
          </w:tcPr>
          <w:p w14:paraId="4486753A">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p>
        </w:tc>
        <w:tc>
          <w:tcPr>
            <w:tcW w:w="354" w:type="pct"/>
            <w:vAlign w:val="center"/>
          </w:tcPr>
          <w:p w14:paraId="322915C4">
            <w:pPr>
              <w:keepNext w:val="0"/>
              <w:keepLines w:val="0"/>
              <w:widowControl/>
              <w:suppressLineNumbers w:val="0"/>
              <w:kinsoku/>
              <w:autoSpaceDE/>
              <w:autoSpaceDN/>
              <w:spacing w:before="0" w:beforeAutospacing="0" w:after="0" w:afterAutospacing="0"/>
              <w:ind w:left="0" w:right="0"/>
              <w:jc w:val="center"/>
              <w:rPr>
                <w:rFonts w:ascii="宋体" w:hAnsi="宋体" w:eastAsia="宋体" w:cs="宋体"/>
                <w:lang w:eastAsia="zh-CN" w:bidi="ar"/>
              </w:rPr>
            </w:pPr>
            <w:r>
              <w:rPr>
                <w:rFonts w:hint="eastAsia" w:ascii="宋体" w:hAnsi="宋体" w:eastAsia="宋体" w:cs="宋体"/>
                <w:bCs/>
                <w:color w:val="auto"/>
                <w:lang w:eastAsia="zh-CN" w:bidi="ar"/>
              </w:rPr>
              <w:t>3</w:t>
            </w:r>
          </w:p>
        </w:tc>
        <w:tc>
          <w:tcPr>
            <w:tcW w:w="3217" w:type="pct"/>
            <w:vAlign w:val="center"/>
          </w:tcPr>
          <w:p w14:paraId="2F9ECF37">
            <w:pPr>
              <w:keepNext w:val="0"/>
              <w:keepLines w:val="0"/>
              <w:widowControl/>
              <w:suppressLineNumbers w:val="0"/>
              <w:kinsoku/>
              <w:autoSpaceDE/>
              <w:autoSpaceDN/>
              <w:spacing w:before="0" w:beforeAutospacing="0" w:after="0" w:afterAutospacing="0"/>
              <w:ind w:left="0" w:right="0"/>
              <w:rPr>
                <w:rFonts w:ascii="宋体" w:hAnsi="宋体" w:eastAsia="宋体" w:cs="宋体"/>
                <w:lang w:eastAsia="zh-CN"/>
              </w:rPr>
            </w:pPr>
            <w:r>
              <w:rPr>
                <w:rFonts w:hint="eastAsia" w:ascii="宋体" w:hAnsi="宋体" w:eastAsia="宋体" w:cs="宋体"/>
                <w:color w:val="auto"/>
                <w:lang w:eastAsia="zh-CN"/>
              </w:rPr>
              <w:t>根据投标供应商提供的组织机构、实施人员配置、实施进度安排、工作程序和步骤等内容，能否满足本项目要求进行打分。（评分范围：3；2；1；0）</w:t>
            </w:r>
          </w:p>
        </w:tc>
        <w:tc>
          <w:tcPr>
            <w:tcW w:w="455" w:type="pct"/>
            <w:vAlign w:val="center"/>
          </w:tcPr>
          <w:p w14:paraId="4F710B6E">
            <w:pPr>
              <w:keepNext w:val="0"/>
              <w:keepLines w:val="0"/>
              <w:widowControl/>
              <w:suppressLineNumbers w:val="0"/>
              <w:spacing w:before="0" w:beforeAutospacing="0" w:after="0" w:afterAutospacing="0" w:line="360" w:lineRule="exact"/>
              <w:ind w:left="0" w:right="0"/>
              <w:jc w:val="center"/>
              <w:rPr>
                <w:rFonts w:ascii="宋体" w:hAnsi="宋体" w:eastAsia="宋体" w:cs="宋体"/>
                <w:spacing w:val="-6"/>
              </w:rPr>
            </w:pPr>
            <w:r>
              <w:rPr>
                <w:rFonts w:hint="eastAsia" w:ascii="宋体" w:hAnsi="宋体" w:eastAsia="宋体" w:cs="宋体"/>
                <w:spacing w:val="-6"/>
              </w:rPr>
              <w:t>主观分</w:t>
            </w:r>
          </w:p>
        </w:tc>
      </w:tr>
      <w:tr w14:paraId="3940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Merge w:val="continue"/>
            <w:vAlign w:val="center"/>
          </w:tcPr>
          <w:p w14:paraId="07219297">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p>
        </w:tc>
        <w:tc>
          <w:tcPr>
            <w:tcW w:w="596" w:type="pct"/>
            <w:vMerge w:val="continue"/>
            <w:vAlign w:val="center"/>
          </w:tcPr>
          <w:p w14:paraId="5A562C84">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p>
        </w:tc>
        <w:tc>
          <w:tcPr>
            <w:tcW w:w="354" w:type="pct"/>
            <w:vAlign w:val="center"/>
          </w:tcPr>
          <w:p w14:paraId="2CE93C0D">
            <w:pPr>
              <w:keepNext w:val="0"/>
              <w:keepLines w:val="0"/>
              <w:widowControl/>
              <w:suppressLineNumbers w:val="0"/>
              <w:kinsoku/>
              <w:autoSpaceDE/>
              <w:autoSpaceDN/>
              <w:spacing w:before="0" w:beforeAutospacing="0" w:after="0" w:afterAutospacing="0"/>
              <w:ind w:left="0" w:right="0"/>
              <w:jc w:val="center"/>
              <w:rPr>
                <w:rFonts w:ascii="宋体" w:hAnsi="宋体" w:eastAsia="宋体" w:cs="宋体"/>
                <w:lang w:eastAsia="zh-CN" w:bidi="ar"/>
              </w:rPr>
            </w:pPr>
            <w:r>
              <w:rPr>
                <w:rFonts w:hint="eastAsia" w:ascii="宋体" w:hAnsi="宋体" w:eastAsia="宋体" w:cs="宋体"/>
                <w:bCs/>
                <w:color w:val="auto"/>
                <w:lang w:eastAsia="zh-CN" w:bidi="ar"/>
              </w:rPr>
              <w:t>3</w:t>
            </w:r>
          </w:p>
        </w:tc>
        <w:tc>
          <w:tcPr>
            <w:tcW w:w="3217" w:type="pct"/>
            <w:vAlign w:val="center"/>
          </w:tcPr>
          <w:p w14:paraId="368D1F19">
            <w:pPr>
              <w:keepNext w:val="0"/>
              <w:keepLines w:val="0"/>
              <w:widowControl/>
              <w:suppressLineNumbers w:val="0"/>
              <w:kinsoku/>
              <w:autoSpaceDE/>
              <w:autoSpaceDN/>
              <w:spacing w:before="0" w:beforeAutospacing="0" w:after="0" w:afterAutospacing="0"/>
              <w:ind w:left="0" w:right="0"/>
              <w:rPr>
                <w:rFonts w:ascii="宋体" w:hAnsi="宋体" w:eastAsia="宋体" w:cs="宋体"/>
                <w:lang w:eastAsia="zh-CN"/>
              </w:rPr>
            </w:pPr>
            <w:r>
              <w:rPr>
                <w:rFonts w:hint="eastAsia" w:ascii="宋体" w:hAnsi="宋体" w:eastAsia="宋体" w:cs="宋体"/>
                <w:color w:val="auto"/>
                <w:lang w:eastAsia="zh-CN"/>
              </w:rPr>
              <w:t>根据投标供应商提供的各环节质量、安全保证措施和承诺等内容是否完整且具有针对性进行打分。（评分范围：3；2；1；0）</w:t>
            </w:r>
          </w:p>
        </w:tc>
        <w:tc>
          <w:tcPr>
            <w:tcW w:w="455" w:type="pct"/>
            <w:vAlign w:val="center"/>
          </w:tcPr>
          <w:p w14:paraId="0D623C6C">
            <w:pPr>
              <w:keepNext w:val="0"/>
              <w:keepLines w:val="0"/>
              <w:widowControl/>
              <w:suppressLineNumbers w:val="0"/>
              <w:spacing w:before="0" w:beforeAutospacing="0" w:after="0" w:afterAutospacing="0" w:line="360" w:lineRule="exact"/>
              <w:ind w:left="0" w:right="0"/>
              <w:jc w:val="center"/>
              <w:rPr>
                <w:rFonts w:ascii="宋体" w:hAnsi="宋体" w:eastAsia="宋体" w:cs="宋体"/>
                <w:spacing w:val="-6"/>
              </w:rPr>
            </w:pPr>
            <w:r>
              <w:rPr>
                <w:rFonts w:hint="eastAsia" w:ascii="宋体" w:hAnsi="宋体" w:eastAsia="宋体" w:cs="宋体"/>
                <w:spacing w:val="-6"/>
              </w:rPr>
              <w:t>主观分</w:t>
            </w:r>
          </w:p>
        </w:tc>
      </w:tr>
      <w:tr w14:paraId="6B27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Merge w:val="continue"/>
            <w:vAlign w:val="center"/>
          </w:tcPr>
          <w:p w14:paraId="4BD5A49C">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p>
        </w:tc>
        <w:tc>
          <w:tcPr>
            <w:tcW w:w="596" w:type="pct"/>
            <w:vMerge w:val="continue"/>
            <w:vAlign w:val="center"/>
          </w:tcPr>
          <w:p w14:paraId="428EE6EC">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p>
        </w:tc>
        <w:tc>
          <w:tcPr>
            <w:tcW w:w="354" w:type="pct"/>
            <w:vAlign w:val="center"/>
          </w:tcPr>
          <w:p w14:paraId="18690476">
            <w:pPr>
              <w:keepNext w:val="0"/>
              <w:keepLines w:val="0"/>
              <w:widowControl/>
              <w:suppressLineNumbers w:val="0"/>
              <w:kinsoku/>
              <w:autoSpaceDE/>
              <w:autoSpaceDN/>
              <w:spacing w:before="0" w:beforeAutospacing="0" w:after="0" w:afterAutospacing="0"/>
              <w:ind w:left="0" w:right="0"/>
              <w:jc w:val="center"/>
              <w:rPr>
                <w:rFonts w:ascii="宋体" w:hAnsi="宋体" w:eastAsia="宋体" w:cs="宋体"/>
                <w:lang w:eastAsia="zh-CN" w:bidi="ar"/>
              </w:rPr>
            </w:pPr>
            <w:r>
              <w:rPr>
                <w:rFonts w:hint="eastAsia" w:ascii="宋体" w:hAnsi="宋体" w:eastAsia="宋体" w:cs="宋体"/>
                <w:bCs/>
                <w:color w:val="auto"/>
                <w:lang w:eastAsia="zh-CN" w:bidi="ar"/>
              </w:rPr>
              <w:t>2</w:t>
            </w:r>
          </w:p>
        </w:tc>
        <w:tc>
          <w:tcPr>
            <w:tcW w:w="3217" w:type="pct"/>
            <w:vAlign w:val="center"/>
          </w:tcPr>
          <w:p w14:paraId="468C65FB">
            <w:pPr>
              <w:keepNext w:val="0"/>
              <w:keepLines w:val="0"/>
              <w:widowControl/>
              <w:suppressLineNumbers w:val="0"/>
              <w:kinsoku/>
              <w:autoSpaceDE/>
              <w:autoSpaceDN/>
              <w:spacing w:before="0" w:beforeAutospacing="0" w:after="0" w:afterAutospacing="0"/>
              <w:ind w:left="0" w:right="0"/>
              <w:rPr>
                <w:rFonts w:ascii="宋体" w:hAnsi="宋体" w:eastAsia="宋体" w:cs="宋体"/>
                <w:lang w:eastAsia="zh-CN"/>
              </w:rPr>
            </w:pPr>
            <w:r>
              <w:rPr>
                <w:rFonts w:hint="eastAsia" w:ascii="宋体" w:hAnsi="宋体" w:eastAsia="宋体" w:cs="宋体"/>
                <w:color w:val="auto"/>
                <w:lang w:eastAsia="zh-CN"/>
              </w:rPr>
              <w:t>投标供应商</w:t>
            </w:r>
            <w:r>
              <w:rPr>
                <w:rFonts w:hint="eastAsia" w:ascii="宋体" w:hAnsi="宋体" w:eastAsia="宋体" w:cs="宋体"/>
                <w:bCs/>
                <w:color w:val="auto"/>
                <w:kern w:val="2"/>
                <w:lang w:eastAsia="zh-CN"/>
              </w:rPr>
              <w:t>根据本项目情况，提供的配套建设服务内容承诺情况。</w:t>
            </w:r>
            <w:r>
              <w:rPr>
                <w:rFonts w:hint="eastAsia" w:ascii="宋体" w:hAnsi="宋体" w:eastAsia="宋体" w:cs="宋体"/>
                <w:color w:val="auto"/>
                <w:lang w:eastAsia="zh-CN"/>
              </w:rPr>
              <w:t>（评分范围：2；1.5；1；0.5；0）</w:t>
            </w:r>
          </w:p>
        </w:tc>
        <w:tc>
          <w:tcPr>
            <w:tcW w:w="455" w:type="pct"/>
            <w:vAlign w:val="center"/>
          </w:tcPr>
          <w:p w14:paraId="0FEF2B32">
            <w:pPr>
              <w:keepNext w:val="0"/>
              <w:keepLines w:val="0"/>
              <w:widowControl/>
              <w:suppressLineNumbers w:val="0"/>
              <w:spacing w:before="0" w:beforeAutospacing="0" w:after="0" w:afterAutospacing="0" w:line="360" w:lineRule="exact"/>
              <w:ind w:left="0" w:right="0"/>
              <w:jc w:val="center"/>
              <w:rPr>
                <w:rFonts w:ascii="宋体" w:hAnsi="宋体" w:eastAsia="宋体" w:cs="宋体"/>
                <w:spacing w:val="-6"/>
              </w:rPr>
            </w:pPr>
            <w:r>
              <w:rPr>
                <w:rFonts w:hint="eastAsia" w:ascii="宋体" w:hAnsi="宋体" w:eastAsia="宋体" w:cs="宋体"/>
                <w:spacing w:val="-6"/>
              </w:rPr>
              <w:t>主观分</w:t>
            </w:r>
          </w:p>
        </w:tc>
      </w:tr>
      <w:tr w14:paraId="774C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Align w:val="center"/>
          </w:tcPr>
          <w:p w14:paraId="711609EA">
            <w:pPr>
              <w:keepNext w:val="0"/>
              <w:keepLines w:val="0"/>
              <w:widowControl/>
              <w:suppressLineNumbers w:val="0"/>
              <w:spacing w:before="0" w:beforeAutospacing="0" w:after="0" w:afterAutospacing="0" w:line="360" w:lineRule="exact"/>
              <w:ind w:left="0" w:right="0"/>
              <w:jc w:val="center"/>
              <w:rPr>
                <w:rFonts w:ascii="宋体" w:hAnsi="宋体" w:eastAsia="宋体" w:cs="宋体"/>
                <w:kern w:val="2"/>
                <w:lang w:eastAsia="zh-CN" w:bidi="ar"/>
              </w:rPr>
            </w:pPr>
            <w:r>
              <w:rPr>
                <w:rFonts w:hint="eastAsia" w:ascii="宋体" w:hAnsi="宋体" w:eastAsia="宋体" w:cs="宋体"/>
                <w:lang w:eastAsia="zh-CN" w:bidi="ar"/>
              </w:rPr>
              <w:t>5</w:t>
            </w:r>
          </w:p>
        </w:tc>
        <w:tc>
          <w:tcPr>
            <w:tcW w:w="596" w:type="pct"/>
            <w:vAlign w:val="center"/>
          </w:tcPr>
          <w:p w14:paraId="0B2F63B6">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lang w:bidi="ar"/>
              </w:rPr>
              <w:t>售后服务</w:t>
            </w:r>
            <w:r>
              <w:rPr>
                <w:rFonts w:hint="eastAsia" w:ascii="宋体" w:hAnsi="宋体" w:eastAsia="宋体" w:cs="宋体"/>
                <w:lang w:eastAsia="zh-CN" w:bidi="ar"/>
              </w:rPr>
              <w:t>方案</w:t>
            </w:r>
          </w:p>
        </w:tc>
        <w:tc>
          <w:tcPr>
            <w:tcW w:w="354" w:type="pct"/>
            <w:vAlign w:val="center"/>
          </w:tcPr>
          <w:p w14:paraId="5ED6D0B1">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lang w:bidi="ar"/>
              </w:rPr>
              <w:t>5</w:t>
            </w:r>
          </w:p>
        </w:tc>
        <w:tc>
          <w:tcPr>
            <w:tcW w:w="3217" w:type="pct"/>
            <w:vAlign w:val="center"/>
          </w:tcPr>
          <w:p w14:paraId="34FC0E88">
            <w:pPr>
              <w:keepNext w:val="0"/>
              <w:keepLines w:val="0"/>
              <w:widowControl/>
              <w:suppressLineNumbers w:val="0"/>
              <w:spacing w:before="0" w:beforeAutospacing="0" w:after="0" w:afterAutospacing="0"/>
              <w:ind w:left="0" w:right="0"/>
              <w:rPr>
                <w:rFonts w:ascii="宋体" w:hAnsi="宋体" w:eastAsia="宋体" w:cs="宋体"/>
                <w:lang w:val="zh-TW" w:eastAsia="zh-CN"/>
              </w:rPr>
            </w:pPr>
            <w:r>
              <w:rPr>
                <w:rFonts w:hint="eastAsia" w:ascii="宋体" w:hAnsi="宋体" w:eastAsia="宋体" w:cs="宋体"/>
                <w:lang w:eastAsia="zh-CN"/>
              </w:rPr>
              <w:t>根据投标人提供的售后服务方案进行综合打分；内容包括但不限于质保期内外的售后服务内容、维护响应计划、故障响应时间、响应方式等。（评分范围：5；4；3；2；1；0）</w:t>
            </w:r>
          </w:p>
        </w:tc>
        <w:tc>
          <w:tcPr>
            <w:tcW w:w="455" w:type="pct"/>
            <w:vAlign w:val="center"/>
          </w:tcPr>
          <w:p w14:paraId="2FE9FE19">
            <w:pPr>
              <w:pStyle w:val="11"/>
              <w:keepNext w:val="0"/>
              <w:keepLines w:val="0"/>
              <w:widowControl/>
              <w:suppressLineNumbers w:val="0"/>
              <w:spacing w:before="0" w:beforeAutospacing="0" w:after="0" w:afterAutospacing="0" w:line="360" w:lineRule="exact"/>
              <w:ind w:left="416" w:right="0" w:hanging="416"/>
              <w:jc w:val="center"/>
              <w:rPr>
                <w:rFonts w:cs="宋体"/>
                <w:spacing w:val="-6"/>
                <w:sz w:val="21"/>
                <w:szCs w:val="21"/>
              </w:rPr>
            </w:pPr>
            <w:r>
              <w:rPr>
                <w:rFonts w:hint="eastAsia" w:cs="宋体"/>
                <w:spacing w:val="-6"/>
                <w:sz w:val="21"/>
                <w:szCs w:val="21"/>
              </w:rPr>
              <w:t>主观分</w:t>
            </w:r>
          </w:p>
        </w:tc>
      </w:tr>
      <w:tr w14:paraId="76A4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Align w:val="center"/>
          </w:tcPr>
          <w:p w14:paraId="7166A8AF">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rPr>
            </w:pPr>
            <w:r>
              <w:rPr>
                <w:rFonts w:hint="eastAsia" w:ascii="宋体" w:hAnsi="宋体" w:eastAsia="宋体" w:cs="宋体"/>
                <w:lang w:eastAsia="zh-CN"/>
              </w:rPr>
              <w:t>6</w:t>
            </w:r>
          </w:p>
        </w:tc>
        <w:tc>
          <w:tcPr>
            <w:tcW w:w="596" w:type="pct"/>
            <w:vAlign w:val="center"/>
          </w:tcPr>
          <w:p w14:paraId="59B7E24E">
            <w:pPr>
              <w:keepNext w:val="0"/>
              <w:keepLines w:val="0"/>
              <w:widowControl/>
              <w:suppressLineNumbers w:val="0"/>
              <w:spacing w:before="0" w:beforeAutospacing="0" w:after="0" w:afterAutospacing="0" w:line="360" w:lineRule="exact"/>
              <w:ind w:left="0" w:right="0"/>
              <w:jc w:val="center"/>
              <w:rPr>
                <w:rFonts w:ascii="宋体" w:hAnsi="宋体" w:eastAsia="宋体" w:cs="宋体"/>
                <w:lang w:bidi="ar"/>
              </w:rPr>
            </w:pPr>
            <w:r>
              <w:rPr>
                <w:rFonts w:hint="eastAsia" w:ascii="宋体" w:hAnsi="宋体" w:eastAsia="宋体" w:cs="宋体"/>
              </w:rPr>
              <w:t>质保期承诺</w:t>
            </w:r>
          </w:p>
        </w:tc>
        <w:tc>
          <w:tcPr>
            <w:tcW w:w="354" w:type="pct"/>
            <w:vAlign w:val="center"/>
          </w:tcPr>
          <w:p w14:paraId="66C13E07">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bidi="ar"/>
              </w:rPr>
            </w:pPr>
            <w:r>
              <w:rPr>
                <w:rFonts w:hint="eastAsia" w:ascii="宋体" w:hAnsi="宋体" w:eastAsia="宋体" w:cs="宋体"/>
                <w:lang w:eastAsia="zh-CN" w:bidi="ar"/>
              </w:rPr>
              <w:t>2</w:t>
            </w:r>
          </w:p>
        </w:tc>
        <w:tc>
          <w:tcPr>
            <w:tcW w:w="3217" w:type="pct"/>
            <w:vAlign w:val="center"/>
          </w:tcPr>
          <w:p w14:paraId="7790E965">
            <w:pPr>
              <w:keepNext w:val="0"/>
              <w:keepLines w:val="0"/>
              <w:widowControl/>
              <w:suppressLineNumbers w:val="0"/>
              <w:spacing w:before="0" w:beforeAutospacing="0" w:after="0" w:afterAutospacing="0" w:line="360" w:lineRule="exact"/>
              <w:ind w:left="0" w:right="0"/>
              <w:rPr>
                <w:rFonts w:ascii="宋体" w:hAnsi="宋体" w:eastAsia="宋体" w:cs="宋体"/>
                <w:lang w:eastAsia="zh-CN"/>
              </w:rPr>
            </w:pPr>
            <w:r>
              <w:rPr>
                <w:rFonts w:hint="eastAsia" w:ascii="宋体" w:hAnsi="宋体" w:eastAsia="宋体" w:cs="宋体"/>
                <w:lang w:eastAsia="zh-CN" w:bidi="ar"/>
              </w:rPr>
              <w:t>质保服务承诺：</w:t>
            </w:r>
            <w:r>
              <w:rPr>
                <w:rFonts w:hint="eastAsia" w:ascii="宋体" w:hAnsi="宋体" w:eastAsia="宋体" w:cs="宋体"/>
                <w:lang w:eastAsia="zh-CN"/>
              </w:rPr>
              <w:t>质保期满足招标文件要求的0分,每延长（项目整体）一年得1分,最多加2分,延长时间不足一年的不计入加分。</w:t>
            </w:r>
          </w:p>
        </w:tc>
        <w:tc>
          <w:tcPr>
            <w:tcW w:w="455" w:type="pct"/>
            <w:vAlign w:val="center"/>
          </w:tcPr>
          <w:p w14:paraId="51FF2115">
            <w:pPr>
              <w:pStyle w:val="11"/>
              <w:keepNext w:val="0"/>
              <w:keepLines w:val="0"/>
              <w:widowControl/>
              <w:suppressLineNumbers w:val="0"/>
              <w:spacing w:before="0" w:beforeAutospacing="0" w:after="0" w:afterAutospacing="0" w:line="360" w:lineRule="exact"/>
              <w:ind w:left="416" w:right="0" w:hanging="416"/>
              <w:jc w:val="center"/>
              <w:rPr>
                <w:rFonts w:cs="宋体"/>
                <w:sz w:val="21"/>
                <w:szCs w:val="21"/>
              </w:rPr>
            </w:pPr>
            <w:r>
              <w:rPr>
                <w:rFonts w:hint="eastAsia" w:cs="宋体"/>
                <w:spacing w:val="-6"/>
                <w:sz w:val="21"/>
                <w:szCs w:val="21"/>
              </w:rPr>
              <w:t>客观分</w:t>
            </w:r>
          </w:p>
        </w:tc>
      </w:tr>
      <w:tr w14:paraId="66F3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Align w:val="center"/>
          </w:tcPr>
          <w:p w14:paraId="42D16261">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rPr>
            </w:pPr>
            <w:r>
              <w:rPr>
                <w:rFonts w:hint="eastAsia" w:ascii="宋体" w:hAnsi="宋体" w:eastAsia="宋体" w:cs="宋体"/>
                <w:lang w:eastAsia="zh-CN"/>
              </w:rPr>
              <w:t>7</w:t>
            </w:r>
          </w:p>
        </w:tc>
        <w:tc>
          <w:tcPr>
            <w:tcW w:w="596" w:type="pct"/>
            <w:vAlign w:val="center"/>
          </w:tcPr>
          <w:p w14:paraId="06F3A9F7">
            <w:pPr>
              <w:keepNext w:val="0"/>
              <w:keepLines w:val="0"/>
              <w:widowControl/>
              <w:suppressLineNumbers w:val="0"/>
              <w:spacing w:before="0" w:beforeAutospacing="0" w:after="0" w:afterAutospacing="0" w:line="360" w:lineRule="exact"/>
              <w:ind w:left="0" w:right="0"/>
              <w:jc w:val="center"/>
              <w:rPr>
                <w:rFonts w:ascii="宋体" w:hAnsi="宋体" w:eastAsia="宋体" w:cs="宋体"/>
              </w:rPr>
            </w:pPr>
            <w:r>
              <w:rPr>
                <w:rFonts w:hint="eastAsia" w:ascii="宋体" w:hAnsi="宋体" w:eastAsia="宋体" w:cs="宋体"/>
              </w:rPr>
              <w:t>培训方案</w:t>
            </w:r>
          </w:p>
        </w:tc>
        <w:tc>
          <w:tcPr>
            <w:tcW w:w="354" w:type="pct"/>
            <w:vAlign w:val="center"/>
          </w:tcPr>
          <w:p w14:paraId="2CA0319C">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rPr>
            </w:pPr>
            <w:r>
              <w:rPr>
                <w:rFonts w:hint="eastAsia" w:ascii="宋体" w:hAnsi="宋体" w:eastAsia="宋体" w:cs="宋体"/>
                <w:lang w:eastAsia="zh-CN"/>
              </w:rPr>
              <w:t>5</w:t>
            </w:r>
          </w:p>
        </w:tc>
        <w:tc>
          <w:tcPr>
            <w:tcW w:w="3217" w:type="pct"/>
            <w:vAlign w:val="center"/>
          </w:tcPr>
          <w:p w14:paraId="31C0B0AF">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eastAsia="宋体" w:cs="宋体"/>
                <w:lang w:eastAsia="zh-CN"/>
              </w:rPr>
              <w:t>根据投标人提供的设备培训方案进行综合打分：内容包括但不限于培训计划、培训方式、培训措施等。（评分范围：5；4；3；2；1；0）</w:t>
            </w:r>
          </w:p>
        </w:tc>
        <w:tc>
          <w:tcPr>
            <w:tcW w:w="455" w:type="pct"/>
            <w:vAlign w:val="center"/>
          </w:tcPr>
          <w:p w14:paraId="7373BB39">
            <w:pPr>
              <w:pStyle w:val="11"/>
              <w:keepNext w:val="0"/>
              <w:keepLines w:val="0"/>
              <w:widowControl/>
              <w:suppressLineNumbers w:val="0"/>
              <w:spacing w:before="0" w:beforeAutospacing="0" w:after="0" w:afterAutospacing="0" w:line="360" w:lineRule="exact"/>
              <w:ind w:left="416" w:right="0" w:hanging="416"/>
              <w:jc w:val="center"/>
              <w:rPr>
                <w:rFonts w:cs="宋体"/>
                <w:sz w:val="21"/>
                <w:szCs w:val="21"/>
              </w:rPr>
            </w:pPr>
            <w:r>
              <w:rPr>
                <w:rFonts w:hint="eastAsia" w:cs="宋体"/>
                <w:spacing w:val="-6"/>
                <w:sz w:val="21"/>
                <w:szCs w:val="21"/>
              </w:rPr>
              <w:t>主观分</w:t>
            </w:r>
          </w:p>
        </w:tc>
      </w:tr>
      <w:tr w14:paraId="1042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 w:type="pct"/>
            <w:vAlign w:val="center"/>
          </w:tcPr>
          <w:p w14:paraId="2ACAECD2">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rPr>
            </w:pPr>
            <w:r>
              <w:rPr>
                <w:rFonts w:hint="eastAsia" w:ascii="宋体" w:hAnsi="宋体" w:eastAsia="宋体" w:cs="宋体"/>
                <w:lang w:eastAsia="zh-CN"/>
              </w:rPr>
              <w:t>8</w:t>
            </w:r>
          </w:p>
        </w:tc>
        <w:tc>
          <w:tcPr>
            <w:tcW w:w="596" w:type="pct"/>
            <w:vAlign w:val="center"/>
          </w:tcPr>
          <w:p w14:paraId="654B5BF0">
            <w:pPr>
              <w:keepNext w:val="0"/>
              <w:keepLines w:val="0"/>
              <w:widowControl/>
              <w:suppressLineNumbers w:val="0"/>
              <w:spacing w:before="0" w:beforeAutospacing="0" w:after="0" w:afterAutospacing="0"/>
              <w:ind w:left="0" w:right="0"/>
              <w:jc w:val="center"/>
              <w:rPr>
                <w:rFonts w:ascii="宋体" w:hAnsi="宋体" w:eastAsia="宋体" w:cs="宋体"/>
              </w:rPr>
            </w:pPr>
            <w:r>
              <w:rPr>
                <w:rFonts w:hint="eastAsia" w:ascii="宋体" w:hAnsi="宋体" w:eastAsia="宋体" w:cs="宋体"/>
              </w:rPr>
              <w:t>产品演示</w:t>
            </w:r>
          </w:p>
        </w:tc>
        <w:tc>
          <w:tcPr>
            <w:tcW w:w="354" w:type="pct"/>
            <w:vAlign w:val="center"/>
          </w:tcPr>
          <w:p w14:paraId="4D235CA8">
            <w:pPr>
              <w:keepNext w:val="0"/>
              <w:keepLines w:val="0"/>
              <w:widowControl/>
              <w:suppressLineNumbers w:val="0"/>
              <w:spacing w:before="0" w:beforeAutospacing="0" w:after="0" w:afterAutospacing="0" w:line="360" w:lineRule="exact"/>
              <w:ind w:left="0" w:right="0"/>
              <w:jc w:val="center"/>
              <w:rPr>
                <w:rFonts w:ascii="宋体" w:hAnsi="宋体" w:eastAsia="宋体" w:cs="宋体"/>
                <w:lang w:eastAsia="zh-CN"/>
              </w:rPr>
            </w:pPr>
            <w:r>
              <w:rPr>
                <w:rFonts w:hint="eastAsia" w:ascii="宋体" w:hAnsi="宋体" w:eastAsia="宋体" w:cs="宋体"/>
                <w:lang w:eastAsia="zh-CN"/>
              </w:rPr>
              <w:t>6</w:t>
            </w:r>
          </w:p>
        </w:tc>
        <w:tc>
          <w:tcPr>
            <w:tcW w:w="3217" w:type="pct"/>
            <w:vAlign w:val="center"/>
          </w:tcPr>
          <w:p w14:paraId="6CA52AD9">
            <w:pPr>
              <w:keepNext w:val="0"/>
              <w:keepLines w:val="0"/>
              <w:widowControl/>
              <w:suppressLineNumbers w:val="0"/>
              <w:kinsoku/>
              <w:autoSpaceDE/>
              <w:autoSpaceDN/>
              <w:adjustRightInd/>
              <w:spacing w:before="0" w:beforeAutospacing="0" w:after="0" w:afterAutospacing="0" w:line="360" w:lineRule="exact"/>
              <w:ind w:left="0" w:right="0"/>
              <w:textAlignment w:val="auto"/>
              <w:rPr>
                <w:rFonts w:ascii="宋体" w:hAnsi="宋体" w:cs="宋体"/>
                <w:b/>
                <w:color w:val="auto"/>
                <w:sz w:val="22"/>
                <w:lang w:eastAsia="zh-CN"/>
              </w:rPr>
            </w:pPr>
            <w:r>
              <w:rPr>
                <w:rFonts w:hint="eastAsia" w:ascii="宋体" w:hAnsi="宋体" w:eastAsia="宋体" w:cs="宋体"/>
                <w:color w:val="auto"/>
                <w:sz w:val="22"/>
                <w:szCs w:val="22"/>
                <w:lang w:eastAsia="zh-CN"/>
              </w:rPr>
              <w:t>投标供应商根据对照“标项1主要采购内容及技术参数要求”中带</w:t>
            </w:r>
            <w:r>
              <w:rPr>
                <w:rFonts w:hint="eastAsia" w:ascii="宋体" w:hAnsi="宋体" w:cs="宋体"/>
                <w:b/>
                <w:color w:val="auto"/>
                <w:sz w:val="22"/>
                <w:lang w:eastAsia="zh-CN"/>
              </w:rPr>
              <w:t>“</w:t>
            </w:r>
            <w:r>
              <w:rPr>
                <w:rFonts w:hint="eastAsia" w:ascii="宋体" w:hAnsi="宋体" w:eastAsia="宋体" w:cs="宋体"/>
                <w:color w:val="auto"/>
                <w:sz w:val="22"/>
                <w:szCs w:val="22"/>
                <w:lang w:eastAsia="zh-CN"/>
              </w:rPr>
              <w:t>●</w:t>
            </w:r>
            <w:r>
              <w:rPr>
                <w:rFonts w:hint="eastAsia" w:ascii="宋体" w:hAnsi="宋体" w:cs="宋体"/>
                <w:b/>
                <w:color w:val="auto"/>
                <w:sz w:val="22"/>
                <w:lang w:eastAsia="zh-CN"/>
              </w:rPr>
              <w:t>”</w:t>
            </w:r>
            <w:r>
              <w:rPr>
                <w:rFonts w:hint="eastAsia" w:ascii="宋体" w:hAnsi="宋体" w:eastAsia="宋体" w:cs="宋体"/>
                <w:color w:val="auto"/>
                <w:sz w:val="22"/>
                <w:szCs w:val="22"/>
                <w:lang w:eastAsia="zh-CN"/>
              </w:rPr>
              <w:t>号技术性能指标进行视频演示（共1项），</w:t>
            </w:r>
            <w:r>
              <w:rPr>
                <w:rFonts w:hint="eastAsia" w:ascii="宋体" w:hAnsi="宋体" w:eastAsia="宋体" w:cs="宋体"/>
                <w:color w:val="FF0000"/>
                <w:sz w:val="22"/>
                <w:szCs w:val="22"/>
                <w:lang w:eastAsia="zh-CN"/>
              </w:rPr>
              <w:t>佐证其所投产品能够实现不同功能验证，</w:t>
            </w:r>
            <w:r>
              <w:rPr>
                <w:rFonts w:hint="eastAsia" w:ascii="宋体" w:hAnsi="宋体" w:eastAsia="宋体" w:cs="宋体"/>
                <w:color w:val="auto"/>
                <w:sz w:val="22"/>
                <w:szCs w:val="22"/>
                <w:lang w:eastAsia="zh-CN"/>
              </w:rPr>
              <w:t>每项得2分，共6分，演示功能不齐全或不满足的不得分。</w:t>
            </w:r>
          </w:p>
          <w:p w14:paraId="45276B97">
            <w:pPr>
              <w:keepNext w:val="0"/>
              <w:keepLines w:val="0"/>
              <w:widowControl/>
              <w:suppressLineNumbers w:val="0"/>
              <w:kinsoku/>
              <w:autoSpaceDE/>
              <w:autoSpaceDN/>
              <w:adjustRightInd/>
              <w:spacing w:before="0" w:beforeAutospacing="0" w:after="0" w:afterAutospacing="0" w:line="360" w:lineRule="exact"/>
              <w:ind w:left="0" w:right="0"/>
              <w:textAlignment w:val="auto"/>
              <w:rPr>
                <w:rFonts w:ascii="宋体" w:hAnsi="宋体" w:cs="宋体"/>
                <w:b/>
                <w:color w:val="auto"/>
                <w:sz w:val="22"/>
              </w:rPr>
            </w:pPr>
            <w:r>
              <w:rPr>
                <w:rFonts w:hint="eastAsia" w:ascii="宋体" w:hAnsi="宋体" w:cs="宋体"/>
                <w:b/>
                <w:color w:val="auto"/>
                <w:sz w:val="22"/>
              </w:rPr>
              <w:t>【演示要求】</w:t>
            </w:r>
          </w:p>
          <w:p w14:paraId="3D005BD6">
            <w:pPr>
              <w:keepNext w:val="0"/>
              <w:keepLines w:val="0"/>
              <w:widowControl/>
              <w:numPr>
                <w:ilvl w:val="0"/>
                <w:numId w:val="79"/>
              </w:numPr>
              <w:suppressLineNumbers w:val="0"/>
              <w:kinsoku/>
              <w:autoSpaceDE/>
              <w:autoSpaceDN/>
              <w:adjustRightInd/>
              <w:spacing w:before="0" w:beforeAutospacing="0" w:after="0" w:afterAutospacing="0" w:line="360" w:lineRule="exact"/>
              <w:ind w:left="0" w:right="0"/>
              <w:textAlignment w:val="auto"/>
              <w:rPr>
                <w:rFonts w:ascii="宋体" w:hAnsi="宋体" w:eastAsia="宋体" w:cs="宋体"/>
                <w:b/>
                <w:bCs/>
                <w:color w:val="auto"/>
                <w:lang w:eastAsia="zh-CN"/>
              </w:rPr>
            </w:pPr>
            <w:r>
              <w:rPr>
                <w:rFonts w:hint="eastAsia" w:ascii="宋体" w:hAnsi="宋体" w:eastAsia="宋体" w:cs="宋体"/>
                <w:b/>
                <w:bCs/>
                <w:color w:val="auto"/>
                <w:lang w:eastAsia="zh-CN"/>
              </w:rPr>
              <w:t>演示视频提交方式：各供应商应在投标截止时间前将演示内容（以MP4或RMVB等常见模式存储，不得采用特殊或专用存储模式）加密后发送到邮箱471870577@qq.com，并电话向代理机构确认，加密密码自行保管，待电子投标文件解密后将密码发送给代理机构。</w:t>
            </w:r>
          </w:p>
          <w:p w14:paraId="4E55B5B4">
            <w:pPr>
              <w:keepNext w:val="0"/>
              <w:keepLines w:val="0"/>
              <w:widowControl/>
              <w:numPr>
                <w:ilvl w:val="0"/>
                <w:numId w:val="79"/>
              </w:numPr>
              <w:suppressLineNumbers w:val="0"/>
              <w:kinsoku/>
              <w:autoSpaceDE/>
              <w:autoSpaceDN/>
              <w:adjustRightInd/>
              <w:spacing w:before="0" w:beforeAutospacing="0" w:after="0" w:afterAutospacing="0" w:line="360" w:lineRule="exact"/>
              <w:ind w:left="0" w:right="0"/>
              <w:textAlignment w:val="auto"/>
              <w:rPr>
                <w:rFonts w:ascii="宋体" w:hAnsi="宋体" w:cs="宋体"/>
                <w:b/>
                <w:color w:val="auto"/>
                <w:sz w:val="22"/>
                <w:lang w:eastAsia="zh-CN"/>
              </w:rPr>
            </w:pPr>
            <w:r>
              <w:rPr>
                <w:rFonts w:hint="eastAsia" w:ascii="宋体" w:hAnsi="宋体" w:cs="宋体"/>
                <w:b/>
                <w:color w:val="auto"/>
                <w:sz w:val="22"/>
                <w:lang w:eastAsia="zh-CN"/>
              </w:rPr>
              <w:t>演示时长不超</w:t>
            </w:r>
            <w:r>
              <w:rPr>
                <w:rFonts w:hint="eastAsia" w:ascii="宋体" w:hAnsi="宋体" w:cs="宋体"/>
                <w:b/>
                <w:color w:val="FF0000"/>
                <w:sz w:val="22"/>
                <w:lang w:eastAsia="zh-CN"/>
              </w:rPr>
              <w:t>过</w:t>
            </w:r>
            <w:r>
              <w:rPr>
                <w:rFonts w:hint="eastAsia" w:ascii="宋体" w:hAnsi="宋体" w:cs="宋体" w:eastAsiaTheme="minorEastAsia"/>
                <w:b/>
                <w:color w:val="FF0000"/>
                <w:sz w:val="22"/>
                <w:lang w:eastAsia="zh-CN"/>
              </w:rPr>
              <w:t>5</w:t>
            </w:r>
            <w:r>
              <w:rPr>
                <w:rFonts w:hint="eastAsia" w:ascii="宋体" w:hAnsi="宋体" w:cs="宋体"/>
                <w:b/>
                <w:color w:val="FF0000"/>
                <w:sz w:val="22"/>
                <w:lang w:eastAsia="zh-CN"/>
              </w:rPr>
              <w:t>分钟</w:t>
            </w:r>
            <w:r>
              <w:rPr>
                <w:rFonts w:hint="eastAsia" w:ascii="宋体" w:hAnsi="宋体" w:cs="宋体"/>
                <w:b/>
                <w:color w:val="auto"/>
                <w:sz w:val="22"/>
                <w:lang w:eastAsia="zh-CN"/>
              </w:rPr>
              <w:t>。</w:t>
            </w:r>
          </w:p>
          <w:p w14:paraId="5EB49356">
            <w:pPr>
              <w:keepNext w:val="0"/>
              <w:keepLines w:val="0"/>
              <w:widowControl/>
              <w:numPr>
                <w:ilvl w:val="0"/>
                <w:numId w:val="79"/>
              </w:numPr>
              <w:suppressLineNumbers w:val="0"/>
              <w:kinsoku/>
              <w:autoSpaceDE/>
              <w:autoSpaceDN/>
              <w:adjustRightInd/>
              <w:spacing w:before="0" w:beforeAutospacing="0" w:after="0" w:afterAutospacing="0" w:line="360" w:lineRule="exact"/>
              <w:ind w:left="0" w:right="0"/>
              <w:textAlignment w:val="auto"/>
              <w:rPr>
                <w:rFonts w:ascii="宋体" w:hAnsi="宋体" w:eastAsia="宋体" w:cs="宋体"/>
                <w:b/>
                <w:bCs/>
                <w:color w:val="auto"/>
                <w:lang w:eastAsia="zh-CN"/>
              </w:rPr>
            </w:pPr>
            <w:r>
              <w:rPr>
                <w:rFonts w:hint="eastAsia" w:ascii="宋体" w:hAnsi="宋体" w:eastAsia="宋体" w:cs="宋体"/>
                <w:b/>
                <w:bCs/>
                <w:color w:val="auto"/>
                <w:lang w:eastAsia="zh-CN"/>
              </w:rPr>
              <w:t>若出现演示文件不能正常打开，或不能正常解密，则按未提交演示文件处理，本项记0分；</w:t>
            </w:r>
          </w:p>
          <w:p w14:paraId="3AB06185">
            <w:pPr>
              <w:keepNext w:val="0"/>
              <w:keepLines w:val="0"/>
              <w:widowControl/>
              <w:numPr>
                <w:ilvl w:val="0"/>
                <w:numId w:val="79"/>
              </w:numPr>
              <w:suppressLineNumbers w:val="0"/>
              <w:kinsoku/>
              <w:autoSpaceDE/>
              <w:autoSpaceDN/>
              <w:adjustRightInd/>
              <w:spacing w:before="0" w:beforeAutospacing="0" w:after="0" w:afterAutospacing="0" w:line="360" w:lineRule="exact"/>
              <w:ind w:left="0" w:right="0"/>
              <w:textAlignment w:val="auto"/>
              <w:rPr>
                <w:rFonts w:ascii="宋体" w:hAnsi="宋体" w:cs="宋体"/>
                <w:b/>
                <w:color w:val="auto"/>
                <w:sz w:val="22"/>
                <w:lang w:eastAsia="zh-CN"/>
              </w:rPr>
            </w:pPr>
            <w:r>
              <w:rPr>
                <w:rFonts w:hint="eastAsia" w:ascii="宋体" w:hAnsi="宋体" w:cs="宋体"/>
                <w:b/>
                <w:color w:val="auto"/>
                <w:sz w:val="22"/>
                <w:lang w:eastAsia="zh-CN"/>
              </w:rPr>
              <w:t>演示为非必须项，未提供演示的，对应演示分为0分。</w:t>
            </w:r>
          </w:p>
          <w:p w14:paraId="7F74AE7B">
            <w:pPr>
              <w:keepNext w:val="0"/>
              <w:keepLines w:val="0"/>
              <w:widowControl/>
              <w:suppressLineNumbers w:val="0"/>
              <w:kinsoku/>
              <w:autoSpaceDE/>
              <w:autoSpaceDN/>
              <w:spacing w:before="0" w:beforeAutospacing="0" w:after="0" w:afterAutospacing="0" w:line="360" w:lineRule="exact"/>
              <w:ind w:left="0" w:right="0"/>
              <w:rPr>
                <w:rFonts w:ascii="宋体" w:hAnsi="宋体" w:cs="宋体"/>
                <w:b/>
                <w:color w:val="auto"/>
                <w:sz w:val="22"/>
                <w:lang w:eastAsia="zh-CN"/>
              </w:rPr>
            </w:pPr>
            <w:r>
              <w:rPr>
                <w:rFonts w:hint="eastAsia" w:ascii="宋体" w:hAnsi="宋体" w:cs="宋体"/>
                <w:b/>
                <w:color w:val="auto"/>
                <w:sz w:val="22"/>
                <w:lang w:eastAsia="zh-CN"/>
              </w:rPr>
              <w:t>5、</w:t>
            </w:r>
            <w:r>
              <w:rPr>
                <w:rFonts w:hint="eastAsia" w:ascii="宋体" w:hAnsi="宋体" w:eastAsia="宋体" w:cs="宋体"/>
                <w:b/>
                <w:bCs/>
                <w:color w:val="auto"/>
                <w:lang w:eastAsia="zh-CN"/>
              </w:rPr>
              <w:t>演示播放顺序按各投标人投标文件解密的先后顺序播放。</w:t>
            </w:r>
          </w:p>
          <w:p w14:paraId="045D47DD">
            <w:pPr>
              <w:keepNext w:val="0"/>
              <w:keepLines w:val="0"/>
              <w:widowControl/>
              <w:suppressLineNumbers w:val="0"/>
              <w:spacing w:before="0" w:beforeAutospacing="0" w:after="0" w:afterAutospacing="0"/>
              <w:ind w:left="0" w:right="0"/>
              <w:rPr>
                <w:rFonts w:ascii="宋体" w:hAnsi="宋体" w:eastAsia="宋体" w:cs="宋体"/>
                <w:lang w:eastAsia="zh-CN"/>
              </w:rPr>
            </w:pPr>
            <w:r>
              <w:rPr>
                <w:rFonts w:hint="eastAsia" w:ascii="宋体" w:hAnsi="宋体" w:cs="宋体"/>
                <w:b/>
                <w:bCs/>
                <w:color w:val="auto"/>
                <w:sz w:val="22"/>
                <w:lang w:eastAsia="zh-CN"/>
              </w:rPr>
              <w:t>6、演示项扣分的，但采购需求偏离表中是无偏离，则只在此项扣分，不在“技术响应”重复扣分。</w:t>
            </w:r>
            <w:r>
              <w:rPr>
                <w:rFonts w:hint="eastAsia" w:ascii="宋体" w:hAnsi="宋体" w:eastAsia="宋体" w:cs="宋体"/>
                <w:b/>
                <w:bCs/>
                <w:color w:val="auto"/>
                <w:lang w:eastAsia="zh-CN"/>
              </w:rPr>
              <w:t>。</w:t>
            </w:r>
          </w:p>
        </w:tc>
        <w:tc>
          <w:tcPr>
            <w:tcW w:w="455" w:type="pct"/>
            <w:vAlign w:val="center"/>
          </w:tcPr>
          <w:p w14:paraId="130D6005">
            <w:pPr>
              <w:keepNext w:val="0"/>
              <w:keepLines w:val="0"/>
              <w:widowControl/>
              <w:suppressLineNumbers w:val="0"/>
              <w:spacing w:before="0" w:beforeAutospacing="0" w:after="0" w:afterAutospacing="0" w:line="360" w:lineRule="exact"/>
              <w:ind w:left="0" w:right="0"/>
              <w:rPr>
                <w:rFonts w:ascii="宋体" w:hAnsi="宋体" w:eastAsia="宋体" w:cs="宋体"/>
              </w:rPr>
            </w:pPr>
            <w:r>
              <w:rPr>
                <w:rFonts w:hint="eastAsia" w:ascii="宋体" w:hAnsi="宋体" w:eastAsia="宋体" w:cs="宋体"/>
                <w:spacing w:val="-6"/>
                <w:lang w:eastAsia="zh-CN"/>
              </w:rPr>
              <w:t>客</w:t>
            </w:r>
            <w:r>
              <w:rPr>
                <w:rFonts w:hint="eastAsia" w:ascii="宋体" w:hAnsi="宋体" w:eastAsia="宋体" w:cs="宋体"/>
                <w:spacing w:val="-6"/>
              </w:rPr>
              <w:t>观分</w:t>
            </w:r>
          </w:p>
        </w:tc>
      </w:tr>
    </w:tbl>
    <w:p w14:paraId="4DFCCE51">
      <w:pPr>
        <w:rPr>
          <w:rFonts w:hint="default"/>
          <w:lang w:val="en-US" w:eastAsia="zh-CN"/>
        </w:rPr>
        <w:sectPr>
          <w:pgSz w:w="11906" w:h="16838"/>
          <w:pgMar w:top="1440" w:right="1304" w:bottom="1089" w:left="1531" w:header="851" w:footer="992" w:gutter="0"/>
          <w:pgNumType w:fmt="decimal"/>
          <w:cols w:space="720" w:num="1"/>
          <w:docGrid w:linePitch="312" w:charSpace="0"/>
        </w:sectPr>
      </w:pPr>
    </w:p>
    <w:p w14:paraId="673252DA">
      <w:pPr>
        <w:pStyle w:val="5"/>
        <w:jc w:val="center"/>
        <w:rPr>
          <w:rFonts w:hint="eastAsia"/>
          <w:lang w:val="en-US" w:eastAsia="zh-CN"/>
        </w:rPr>
      </w:pPr>
      <w:r>
        <w:rPr>
          <w:rFonts w:hint="eastAsia"/>
          <w:b/>
          <w:bCs/>
          <w:sz w:val="24"/>
          <w:szCs w:val="24"/>
          <w:lang w:val="en-US" w:eastAsia="zh-CN"/>
        </w:rPr>
        <w:t>标项2评分标准</w:t>
      </w:r>
    </w:p>
    <w:p w14:paraId="7E0CFC27">
      <w:pPr>
        <w:rPr>
          <w:rFonts w:hint="eastAsia"/>
          <w:lang w:val="en-US" w:eastAsia="zh-CN"/>
        </w:rPr>
      </w:pPr>
    </w:p>
    <w:p w14:paraId="10D6DE63"/>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107"/>
        <w:gridCol w:w="656"/>
        <w:gridCol w:w="5982"/>
        <w:gridCol w:w="845"/>
      </w:tblGrid>
      <w:tr w14:paraId="68EB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2" w:type="pct"/>
            <w:noWrap w:val="0"/>
            <w:vAlign w:val="center"/>
          </w:tcPr>
          <w:p w14:paraId="47376E9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序号</w:t>
            </w:r>
          </w:p>
        </w:tc>
        <w:tc>
          <w:tcPr>
            <w:tcW w:w="596" w:type="pct"/>
            <w:noWrap w:val="0"/>
            <w:vAlign w:val="center"/>
          </w:tcPr>
          <w:p w14:paraId="115F3CE2">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评审因素</w:t>
            </w:r>
          </w:p>
        </w:tc>
        <w:tc>
          <w:tcPr>
            <w:tcW w:w="353" w:type="pct"/>
            <w:noWrap w:val="0"/>
            <w:vAlign w:val="center"/>
          </w:tcPr>
          <w:p w14:paraId="2A9D8C3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分值</w:t>
            </w:r>
          </w:p>
        </w:tc>
        <w:tc>
          <w:tcPr>
            <w:tcW w:w="3221" w:type="pct"/>
            <w:noWrap w:val="0"/>
            <w:vAlign w:val="center"/>
          </w:tcPr>
          <w:p w14:paraId="2D96108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评分细则</w:t>
            </w:r>
          </w:p>
        </w:tc>
        <w:tc>
          <w:tcPr>
            <w:tcW w:w="455" w:type="pct"/>
            <w:noWrap w:val="0"/>
            <w:vAlign w:val="center"/>
          </w:tcPr>
          <w:p w14:paraId="6348851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备注</w:t>
            </w:r>
          </w:p>
        </w:tc>
      </w:tr>
      <w:tr w14:paraId="6226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2" w:type="pct"/>
            <w:noWrap w:val="0"/>
            <w:vAlign w:val="center"/>
          </w:tcPr>
          <w:p w14:paraId="4AD7631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1</w:t>
            </w:r>
          </w:p>
        </w:tc>
        <w:tc>
          <w:tcPr>
            <w:tcW w:w="596" w:type="pct"/>
            <w:noWrap w:val="0"/>
            <w:vAlign w:val="center"/>
          </w:tcPr>
          <w:p w14:paraId="1BEE0B5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业绩</w:t>
            </w:r>
          </w:p>
        </w:tc>
        <w:tc>
          <w:tcPr>
            <w:tcW w:w="353" w:type="pct"/>
            <w:noWrap w:val="0"/>
            <w:vAlign w:val="center"/>
          </w:tcPr>
          <w:p w14:paraId="6F3E195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2</w:t>
            </w:r>
          </w:p>
        </w:tc>
        <w:tc>
          <w:tcPr>
            <w:tcW w:w="3221" w:type="pct"/>
            <w:noWrap w:val="0"/>
            <w:vAlign w:val="center"/>
          </w:tcPr>
          <w:p w14:paraId="337F0947">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sz w:val="21"/>
                <w:szCs w:val="21"/>
                <w:highlight w:val="none"/>
                <w:lang w:eastAsia="zh-CN"/>
              </w:rPr>
            </w:pPr>
            <w:r>
              <w:rPr>
                <w:rFonts w:hint="eastAsia" w:ascii="宋体" w:hAnsi="宋体" w:eastAsia="宋体" w:cs="宋体"/>
                <w:color w:val="000000"/>
                <w:kern w:val="0"/>
                <w:sz w:val="21"/>
                <w:szCs w:val="21"/>
                <w:highlight w:val="none"/>
                <w:lang w:eastAsia="zh-CN"/>
              </w:rPr>
              <w:t>投标</w:t>
            </w:r>
            <w:r>
              <w:rPr>
                <w:rFonts w:hint="eastAsia" w:ascii="宋体" w:hAnsi="宋体" w:eastAsia="宋体" w:cs="宋体"/>
                <w:color w:val="000000"/>
                <w:kern w:val="0"/>
                <w:sz w:val="21"/>
                <w:szCs w:val="21"/>
                <w:highlight w:val="none"/>
                <w:lang w:val="en-US" w:eastAsia="zh-CN"/>
              </w:rPr>
              <w:t>供应商</w:t>
            </w:r>
            <w:r>
              <w:rPr>
                <w:rFonts w:hint="eastAsia" w:ascii="宋体" w:hAnsi="宋体" w:eastAsia="宋体" w:cs="宋体"/>
                <w:color w:val="000000"/>
                <w:kern w:val="0"/>
                <w:sz w:val="21"/>
                <w:szCs w:val="21"/>
                <w:highlight w:val="none"/>
                <w:lang w:eastAsia="zh-CN"/>
              </w:rPr>
              <w:t>提供</w:t>
            </w:r>
            <w:r>
              <w:rPr>
                <w:rFonts w:hint="eastAsia" w:ascii="宋体" w:hAnsi="宋体" w:eastAsia="宋体" w:cs="宋体"/>
                <w:color w:val="000000"/>
                <w:kern w:val="0"/>
                <w:sz w:val="21"/>
                <w:szCs w:val="21"/>
                <w:highlight w:val="none"/>
              </w:rPr>
              <w:t>自20</w:t>
            </w:r>
            <w:r>
              <w:rPr>
                <w:rFonts w:hint="eastAsia" w:ascii="宋体" w:hAnsi="宋体" w:eastAsia="宋体" w:cs="宋体"/>
                <w:color w:val="000000"/>
                <w:kern w:val="0"/>
                <w:sz w:val="21"/>
                <w:szCs w:val="21"/>
                <w:highlight w:val="none"/>
                <w:lang w:val="en-US" w:eastAsia="zh-CN"/>
              </w:rPr>
              <w:t>22</w:t>
            </w:r>
            <w:r>
              <w:rPr>
                <w:rFonts w:hint="eastAsia" w:ascii="宋体" w:hAnsi="宋体" w:eastAsia="宋体" w:cs="宋体"/>
                <w:color w:val="000000"/>
                <w:kern w:val="0"/>
                <w:sz w:val="21"/>
                <w:szCs w:val="21"/>
                <w:highlight w:val="none"/>
              </w:rPr>
              <w:t>年</w:t>
            </w:r>
            <w:r>
              <w:rPr>
                <w:rFonts w:hint="eastAsia" w:ascii="宋体" w:hAnsi="宋体" w:eastAsia="宋体" w:cs="宋体"/>
                <w:color w:val="000000"/>
                <w:kern w:val="0"/>
                <w:sz w:val="21"/>
                <w:szCs w:val="21"/>
                <w:highlight w:val="none"/>
                <w:lang w:val="en-US" w:eastAsia="zh-CN"/>
              </w:rPr>
              <w:t>9</w:t>
            </w:r>
            <w:r>
              <w:rPr>
                <w:rFonts w:hint="eastAsia" w:ascii="宋体" w:hAnsi="宋体" w:eastAsia="宋体" w:cs="宋体"/>
                <w:color w:val="000000"/>
                <w:kern w:val="0"/>
                <w:sz w:val="21"/>
                <w:szCs w:val="21"/>
                <w:highlight w:val="none"/>
              </w:rPr>
              <w:t>月1日</w:t>
            </w:r>
            <w:r>
              <w:rPr>
                <w:rFonts w:hint="eastAsia" w:ascii="宋体" w:hAnsi="宋体" w:eastAsia="宋体" w:cs="宋体"/>
                <w:b w:val="0"/>
                <w:bCs w:val="0"/>
                <w:color w:val="000000"/>
                <w:kern w:val="0"/>
                <w:sz w:val="21"/>
                <w:szCs w:val="21"/>
                <w:highlight w:val="none"/>
              </w:rPr>
              <w:t>（</w:t>
            </w:r>
            <w:r>
              <w:rPr>
                <w:rFonts w:hint="eastAsia" w:ascii="宋体" w:hAnsi="宋体" w:eastAsia="宋体" w:cs="宋体"/>
                <w:b w:val="0"/>
                <w:bCs w:val="0"/>
                <w:color w:val="000000"/>
                <w:sz w:val="21"/>
                <w:szCs w:val="21"/>
                <w:highlight w:val="none"/>
                <w:lang w:eastAsia="zh-CN"/>
              </w:rPr>
              <w:t>以合同签订时间为准</w:t>
            </w:r>
            <w:r>
              <w:rPr>
                <w:rFonts w:hint="eastAsia" w:ascii="宋体" w:hAnsi="宋体" w:eastAsia="宋体" w:cs="宋体"/>
                <w:b w:val="0"/>
                <w:bCs w:val="0"/>
                <w:color w:val="000000"/>
                <w:kern w:val="0"/>
                <w:sz w:val="21"/>
                <w:szCs w:val="21"/>
                <w:highlight w:val="none"/>
              </w:rPr>
              <w:t>）</w:t>
            </w:r>
            <w:r>
              <w:rPr>
                <w:rFonts w:hint="eastAsia" w:ascii="宋体" w:hAnsi="宋体" w:eastAsia="宋体" w:cs="宋体"/>
                <w:b w:val="0"/>
                <w:bCs w:val="0"/>
                <w:color w:val="000000"/>
                <w:sz w:val="21"/>
                <w:szCs w:val="21"/>
                <w:highlight w:val="none"/>
              </w:rPr>
              <w:t>完成过</w:t>
            </w:r>
            <w:r>
              <w:rPr>
                <w:rFonts w:hint="eastAsia" w:ascii="宋体" w:hAnsi="宋体" w:eastAsia="宋体" w:cs="宋体"/>
                <w:b w:val="0"/>
                <w:bCs w:val="0"/>
                <w:color w:val="000000"/>
                <w:sz w:val="21"/>
                <w:szCs w:val="21"/>
                <w:highlight w:val="none"/>
                <w:lang w:val="en-US" w:eastAsia="zh-CN"/>
              </w:rPr>
              <w:t>类似实训室或实训中心或实训基地项目</w:t>
            </w:r>
            <w:r>
              <w:rPr>
                <w:rFonts w:hint="eastAsia" w:ascii="宋体" w:hAnsi="宋体" w:eastAsia="宋体" w:cs="宋体"/>
                <w:b w:val="0"/>
                <w:bCs w:val="0"/>
                <w:color w:val="000000"/>
                <w:sz w:val="21"/>
                <w:szCs w:val="21"/>
                <w:highlight w:val="none"/>
                <w:lang w:eastAsia="zh-CN"/>
              </w:rPr>
              <w:t>业绩</w:t>
            </w:r>
            <w:r>
              <w:rPr>
                <w:rFonts w:hint="eastAsia" w:ascii="宋体" w:hAnsi="宋体" w:eastAsia="宋体" w:cs="宋体"/>
                <w:b w:val="0"/>
                <w:bCs w:val="0"/>
                <w:color w:val="000000"/>
                <w:sz w:val="21"/>
                <w:szCs w:val="21"/>
                <w:highlight w:val="none"/>
              </w:rPr>
              <w:t>的，每提供1个得</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分，最高得</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分</w:t>
            </w:r>
            <w:r>
              <w:rPr>
                <w:rFonts w:hint="eastAsia" w:ascii="宋体" w:hAnsi="宋体" w:eastAsia="宋体" w:cs="宋体"/>
                <w:b w:val="0"/>
                <w:bCs w:val="0"/>
                <w:color w:val="000000"/>
                <w:sz w:val="21"/>
                <w:szCs w:val="21"/>
                <w:highlight w:val="none"/>
                <w:lang w:eastAsia="zh-CN"/>
              </w:rPr>
              <w:t>；</w:t>
            </w:r>
          </w:p>
          <w:p w14:paraId="26F01C2F">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注：</w:t>
            </w:r>
            <w:r>
              <w:rPr>
                <w:rFonts w:hint="eastAsia" w:ascii="宋体" w:hAnsi="宋体" w:eastAsia="宋体" w:cs="宋体"/>
                <w:color w:val="000000"/>
                <w:sz w:val="21"/>
                <w:szCs w:val="21"/>
                <w:highlight w:val="none"/>
              </w:rPr>
              <w:t>业绩证明材料</w:t>
            </w:r>
            <w:r>
              <w:rPr>
                <w:rFonts w:hint="eastAsia" w:ascii="宋体" w:hAnsi="宋体" w:eastAsia="宋体" w:cs="宋体"/>
                <w:color w:val="000000"/>
                <w:sz w:val="21"/>
                <w:szCs w:val="21"/>
                <w:highlight w:val="none"/>
                <w:lang w:val="en-US" w:eastAsia="zh-CN"/>
              </w:rPr>
              <w:t>以</w:t>
            </w:r>
            <w:r>
              <w:rPr>
                <w:rFonts w:hint="eastAsia" w:ascii="宋体" w:hAnsi="宋体" w:eastAsia="宋体" w:cs="宋体"/>
                <w:color w:val="000000"/>
                <w:sz w:val="21"/>
                <w:szCs w:val="21"/>
                <w:highlight w:val="none"/>
              </w:rPr>
              <w:t>合同</w:t>
            </w:r>
            <w:r>
              <w:rPr>
                <w:rFonts w:hint="eastAsia" w:ascii="宋体" w:hAnsi="宋体" w:eastAsia="宋体" w:cs="宋体"/>
                <w:color w:val="000000"/>
                <w:sz w:val="21"/>
                <w:szCs w:val="21"/>
                <w:highlight w:val="none"/>
                <w:lang w:val="en-US" w:eastAsia="zh-CN"/>
              </w:rPr>
              <w:t>为准（提供合同原件扫描件</w:t>
            </w:r>
            <w:r>
              <w:rPr>
                <w:rFonts w:hint="eastAsia" w:ascii="宋体" w:hAnsi="宋体" w:eastAsia="宋体" w:cs="宋体"/>
                <w:color w:val="000000"/>
                <w:sz w:val="21"/>
                <w:szCs w:val="21"/>
                <w:highlight w:val="none"/>
                <w:lang w:eastAsia="zh-CN"/>
              </w:rPr>
              <w:t>加盖</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lang w:eastAsia="zh-CN"/>
              </w:rPr>
              <w:t>公章</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未提供</w:t>
            </w:r>
            <w:r>
              <w:rPr>
                <w:rFonts w:hint="eastAsia" w:ascii="宋体" w:hAnsi="宋体" w:eastAsia="宋体" w:cs="宋体"/>
                <w:color w:val="000000"/>
                <w:sz w:val="21"/>
                <w:szCs w:val="21"/>
                <w:highlight w:val="none"/>
                <w:lang w:eastAsia="zh-CN"/>
              </w:rPr>
              <w:t>不得分</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若提供的证明材料不能明确体现业绩特征的，还需提供原项目业主出具的加盖其公章的书面证明材料。</w:t>
            </w:r>
          </w:p>
        </w:tc>
        <w:tc>
          <w:tcPr>
            <w:tcW w:w="455" w:type="pct"/>
            <w:noWrap w:val="0"/>
            <w:vAlign w:val="center"/>
          </w:tcPr>
          <w:p w14:paraId="52C04FD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2EEB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noWrap w:val="0"/>
            <w:vAlign w:val="center"/>
          </w:tcPr>
          <w:p w14:paraId="261A4FF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2</w:t>
            </w:r>
          </w:p>
        </w:tc>
        <w:tc>
          <w:tcPr>
            <w:tcW w:w="596" w:type="pct"/>
            <w:noWrap w:val="0"/>
            <w:vAlign w:val="center"/>
          </w:tcPr>
          <w:p w14:paraId="46A0116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技术要求响应程度</w:t>
            </w:r>
          </w:p>
        </w:tc>
        <w:tc>
          <w:tcPr>
            <w:tcW w:w="353" w:type="pct"/>
            <w:noWrap w:val="0"/>
            <w:vAlign w:val="center"/>
          </w:tcPr>
          <w:p w14:paraId="7A71C7A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26</w:t>
            </w:r>
          </w:p>
        </w:tc>
        <w:tc>
          <w:tcPr>
            <w:tcW w:w="3221" w:type="pct"/>
            <w:noWrap w:val="0"/>
            <w:vAlign w:val="center"/>
          </w:tcPr>
          <w:p w14:paraId="01709387">
            <w:pPr>
              <w:keepNext w:val="0"/>
              <w:keepLines w:val="0"/>
              <w:widowControl/>
              <w:suppressLineNumbers w:val="0"/>
              <w:spacing w:before="0" w:beforeAutospacing="0" w:after="0" w:afterAutospacing="0" w:line="36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不符合（负偏离）技术要求中标注“▲且加下划线”条款（不可偏离）的投标无效。</w:t>
            </w:r>
          </w:p>
          <w:p w14:paraId="6F5D9E7C">
            <w:pPr>
              <w:keepNext w:val="0"/>
              <w:keepLines w:val="0"/>
              <w:widowControl/>
              <w:suppressLineNumbers w:val="0"/>
              <w:adjustRightInd w:val="0"/>
              <w:spacing w:before="0" w:beforeAutospacing="0" w:after="0" w:afterAutospacing="0" w:line="36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w:t>
            </w:r>
            <w:r>
              <w:rPr>
                <w:rFonts w:hint="eastAsia" w:ascii="宋体" w:hAnsi="宋体" w:eastAsia="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文件明确的全部技术要求的得满分：评标委员会根据参数应答和提供的证明材料情况进行评分，评分要求如下：</w:t>
            </w:r>
          </w:p>
          <w:p w14:paraId="7196E97D">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color w:val="000000"/>
                <w:sz w:val="21"/>
                <w:szCs w:val="21"/>
                <w:highlight w:val="none"/>
                <w:shd w:val="clear" w:color="auto" w:fill="FFFFFF"/>
              </w:rPr>
              <w:t>带“★”的要求为重要技术条款</w:t>
            </w:r>
            <w:r>
              <w:rPr>
                <w:rFonts w:hint="eastAsia" w:ascii="宋体" w:hAnsi="宋体" w:eastAsia="宋体" w:cs="宋体"/>
                <w:color w:val="000000"/>
                <w:kern w:val="0"/>
                <w:sz w:val="21"/>
                <w:szCs w:val="21"/>
                <w:highlight w:val="none"/>
              </w:rPr>
              <w:t>（相关条款</w:t>
            </w:r>
            <w:r>
              <w:rPr>
                <w:rFonts w:hint="eastAsia" w:ascii="宋体" w:hAnsi="宋体" w:eastAsia="宋体" w:cs="宋体"/>
                <w:color w:val="000000"/>
                <w:kern w:val="0"/>
                <w:sz w:val="21"/>
                <w:szCs w:val="21"/>
                <w:highlight w:val="none"/>
                <w:lang w:val="en-US" w:eastAsia="zh-CN"/>
              </w:rPr>
              <w:t>须</w:t>
            </w:r>
            <w:r>
              <w:rPr>
                <w:rFonts w:hint="eastAsia" w:ascii="宋体" w:hAnsi="宋体" w:eastAsia="宋体" w:cs="宋体"/>
                <w:color w:val="000000"/>
                <w:kern w:val="0"/>
                <w:sz w:val="21"/>
                <w:szCs w:val="21"/>
                <w:highlight w:val="none"/>
                <w:lang w:eastAsia="zh-CN"/>
              </w:rPr>
              <w:t>提供</w:t>
            </w:r>
            <w:r>
              <w:rPr>
                <w:rFonts w:hint="eastAsia" w:ascii="宋体" w:hAnsi="宋体" w:eastAsia="宋体" w:cs="宋体"/>
                <w:color w:val="000000"/>
                <w:kern w:val="0"/>
                <w:sz w:val="21"/>
                <w:szCs w:val="21"/>
                <w:highlight w:val="none"/>
              </w:rPr>
              <w:t>证明</w:t>
            </w:r>
            <w:r>
              <w:rPr>
                <w:rFonts w:hint="eastAsia" w:ascii="宋体" w:hAnsi="宋体" w:eastAsia="宋体" w:cs="宋体"/>
                <w:color w:val="000000"/>
                <w:kern w:val="0"/>
                <w:sz w:val="21"/>
                <w:szCs w:val="21"/>
                <w:highlight w:val="none"/>
                <w:lang w:val="en-US" w:eastAsia="zh-CN"/>
              </w:rPr>
              <w:t>材料</w:t>
            </w:r>
            <w:r>
              <w:rPr>
                <w:rFonts w:hint="eastAsia" w:ascii="宋体" w:hAnsi="宋体" w:eastAsia="宋体" w:cs="宋体"/>
                <w:color w:val="000000"/>
                <w:kern w:val="0"/>
                <w:sz w:val="21"/>
                <w:szCs w:val="21"/>
                <w:highlight w:val="none"/>
              </w:rPr>
              <w:t>，否则本条不得分）</w:t>
            </w:r>
            <w:r>
              <w:rPr>
                <w:rFonts w:hint="eastAsia" w:ascii="宋体" w:hAnsi="宋体" w:eastAsia="宋体" w:cs="宋体"/>
                <w:b/>
                <w:color w:val="000000"/>
                <w:sz w:val="21"/>
                <w:szCs w:val="21"/>
                <w:highlight w:val="none"/>
                <w:shd w:val="clear" w:color="auto" w:fill="FFFFFF"/>
              </w:rPr>
              <w:t>，负偏离的每条扣</w:t>
            </w:r>
            <w:r>
              <w:rPr>
                <w:rFonts w:hint="eastAsia" w:ascii="宋体" w:hAnsi="宋体" w:eastAsia="宋体" w:cs="宋体"/>
                <w:b/>
                <w:color w:val="000000"/>
                <w:sz w:val="21"/>
                <w:szCs w:val="21"/>
                <w:highlight w:val="none"/>
                <w:shd w:val="clear" w:color="auto" w:fill="FFFFFF"/>
                <w:lang w:val="en-US" w:eastAsia="zh-CN"/>
              </w:rPr>
              <w:t>2</w:t>
            </w:r>
            <w:r>
              <w:rPr>
                <w:rFonts w:hint="eastAsia" w:ascii="宋体" w:hAnsi="宋体" w:eastAsia="宋体" w:cs="宋体"/>
                <w:b/>
                <w:color w:val="000000"/>
                <w:sz w:val="21"/>
                <w:szCs w:val="21"/>
                <w:highlight w:val="none"/>
                <w:shd w:val="clear" w:color="auto" w:fill="FFFFFF"/>
              </w:rPr>
              <w:t>分</w:t>
            </w:r>
            <w:r>
              <w:rPr>
                <w:rFonts w:hint="eastAsia" w:ascii="宋体" w:hAnsi="宋体" w:eastAsia="宋体" w:cs="宋体"/>
                <w:b/>
                <w:color w:val="000000"/>
                <w:sz w:val="21"/>
                <w:szCs w:val="21"/>
                <w:highlight w:val="none"/>
                <w:shd w:val="clear" w:color="auto" w:fill="FFFFFF"/>
                <w:lang w:eastAsia="zh-CN"/>
              </w:rPr>
              <w:t>；</w:t>
            </w:r>
            <w:r>
              <w:rPr>
                <w:rFonts w:hint="eastAsia" w:ascii="宋体" w:hAnsi="宋体" w:eastAsia="宋体" w:cs="宋体"/>
                <w:b/>
                <w:color w:val="000000"/>
                <w:sz w:val="21"/>
                <w:szCs w:val="21"/>
                <w:highlight w:val="none"/>
                <w:shd w:val="clear" w:color="auto" w:fill="FFFFFF"/>
              </w:rPr>
              <w:t>非“★”的指标要求为一般技术条款，负偏离的每条扣</w:t>
            </w:r>
            <w:r>
              <w:rPr>
                <w:rFonts w:hint="eastAsia" w:ascii="宋体" w:hAnsi="宋体" w:eastAsia="宋体" w:cs="宋体"/>
                <w:b/>
                <w:color w:val="000000"/>
                <w:sz w:val="21"/>
                <w:szCs w:val="21"/>
                <w:highlight w:val="none"/>
                <w:shd w:val="clear" w:color="auto" w:fill="FFFFFF"/>
                <w:lang w:val="en-US" w:eastAsia="zh-CN"/>
              </w:rPr>
              <w:t>1</w:t>
            </w:r>
            <w:r>
              <w:rPr>
                <w:rFonts w:hint="eastAsia" w:ascii="宋体" w:hAnsi="宋体" w:eastAsia="宋体" w:cs="宋体"/>
                <w:b/>
                <w:color w:val="000000"/>
                <w:sz w:val="21"/>
                <w:szCs w:val="21"/>
                <w:highlight w:val="none"/>
                <w:shd w:val="clear" w:color="auto" w:fill="FFFFFF"/>
              </w:rPr>
              <w:t>分，扣完为止。</w:t>
            </w:r>
          </w:p>
        </w:tc>
        <w:tc>
          <w:tcPr>
            <w:tcW w:w="455" w:type="pct"/>
            <w:noWrap w:val="0"/>
            <w:vAlign w:val="center"/>
          </w:tcPr>
          <w:p w14:paraId="50BC416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5F67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noWrap w:val="0"/>
            <w:vAlign w:val="center"/>
          </w:tcPr>
          <w:p w14:paraId="0EDB84E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3</w:t>
            </w:r>
          </w:p>
        </w:tc>
        <w:tc>
          <w:tcPr>
            <w:tcW w:w="596" w:type="pct"/>
            <w:noWrap w:val="0"/>
            <w:vAlign w:val="center"/>
          </w:tcPr>
          <w:p w14:paraId="68DEA50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rPr>
              <w:t>企业资质</w:t>
            </w:r>
          </w:p>
        </w:tc>
        <w:tc>
          <w:tcPr>
            <w:tcW w:w="353" w:type="pct"/>
            <w:noWrap w:val="0"/>
            <w:vAlign w:val="center"/>
          </w:tcPr>
          <w:p w14:paraId="615D5EC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3</w:t>
            </w:r>
          </w:p>
        </w:tc>
        <w:tc>
          <w:tcPr>
            <w:tcW w:w="3221" w:type="pct"/>
            <w:noWrap w:val="0"/>
            <w:vAlign w:val="center"/>
          </w:tcPr>
          <w:p w14:paraId="102659CF">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具有有效的质量管理体系认证，得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094A4371">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具有有效的职业健康安全管理体系</w:t>
            </w:r>
            <w:r>
              <w:rPr>
                <w:rFonts w:hint="eastAsia" w:ascii="宋体" w:hAnsi="宋体" w:eastAsia="宋体" w:cs="宋体"/>
                <w:color w:val="000000"/>
                <w:sz w:val="21"/>
                <w:szCs w:val="21"/>
                <w:highlight w:val="none"/>
                <w:lang w:eastAsia="zh-CN"/>
              </w:rPr>
              <w:t>认证</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01E4E02C">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具有有效的环境管理体系</w:t>
            </w:r>
            <w:r>
              <w:rPr>
                <w:rFonts w:hint="eastAsia" w:ascii="宋体" w:hAnsi="宋体" w:eastAsia="宋体" w:cs="宋体"/>
                <w:color w:val="000000"/>
                <w:sz w:val="21"/>
                <w:szCs w:val="21"/>
                <w:highlight w:val="none"/>
                <w:lang w:eastAsia="zh-CN"/>
              </w:rPr>
              <w:t>认证</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44BF6212">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color w:val="000000"/>
                <w:kern w:val="0"/>
                <w:sz w:val="21"/>
                <w:szCs w:val="21"/>
                <w:highlight w:val="none"/>
              </w:rPr>
              <w:t>注：</w:t>
            </w:r>
            <w:r>
              <w:rPr>
                <w:rFonts w:hint="eastAsia" w:ascii="宋体" w:hAnsi="宋体" w:eastAsia="宋体" w:cs="宋体"/>
                <w:b/>
                <w:color w:val="000000"/>
                <w:sz w:val="21"/>
                <w:szCs w:val="21"/>
                <w:highlight w:val="none"/>
              </w:rPr>
              <w:t>响应文件附有中国国家认证认可监督管理委员会查询平台（网址：http://www.cnca.gov.cn/）的相关查询记录及有效期内的证书复印件加盖投标人公章，不提供不得分，证书不在有效期内不得分。</w:t>
            </w:r>
          </w:p>
        </w:tc>
        <w:tc>
          <w:tcPr>
            <w:tcW w:w="455" w:type="pct"/>
            <w:noWrap w:val="0"/>
            <w:vAlign w:val="center"/>
          </w:tcPr>
          <w:p w14:paraId="69F63B0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lang w:val="en-US" w:eastAsia="zh-CN"/>
              </w:rPr>
              <w:t>客观</w:t>
            </w:r>
            <w:r>
              <w:rPr>
                <w:rFonts w:hint="eastAsia" w:ascii="宋体" w:hAnsi="宋体" w:eastAsia="宋体" w:cs="宋体"/>
                <w:b w:val="0"/>
                <w:bCs w:val="0"/>
                <w:color w:val="000000"/>
                <w:spacing w:val="-6"/>
                <w:sz w:val="21"/>
                <w:szCs w:val="21"/>
                <w:highlight w:val="none"/>
              </w:rPr>
              <w:t>分</w:t>
            </w:r>
          </w:p>
        </w:tc>
      </w:tr>
      <w:tr w14:paraId="5E10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restart"/>
            <w:noWrap w:val="0"/>
            <w:vAlign w:val="center"/>
          </w:tcPr>
          <w:p w14:paraId="2F44177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4</w:t>
            </w:r>
          </w:p>
        </w:tc>
        <w:tc>
          <w:tcPr>
            <w:tcW w:w="596" w:type="pct"/>
            <w:vMerge w:val="restart"/>
            <w:noWrap w:val="0"/>
            <w:vAlign w:val="center"/>
          </w:tcPr>
          <w:p w14:paraId="4275112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实施方案</w:t>
            </w:r>
          </w:p>
        </w:tc>
        <w:tc>
          <w:tcPr>
            <w:tcW w:w="353" w:type="pct"/>
            <w:noWrap w:val="0"/>
            <w:vAlign w:val="center"/>
          </w:tcPr>
          <w:p w14:paraId="1DA6CB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1" w:type="pct"/>
            <w:noWrap w:val="0"/>
            <w:vAlign w:val="center"/>
          </w:tcPr>
          <w:p w14:paraId="5F393B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提供的产品供货、验货、安装调试的方案：包括产品供货时间安排、运输方式、场地环境的了解、验货方案、安装调试方案、风险应对措施、应急预案等。</w:t>
            </w:r>
          </w:p>
          <w:p w14:paraId="2D64F6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3；2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；0）</w:t>
            </w:r>
          </w:p>
        </w:tc>
        <w:tc>
          <w:tcPr>
            <w:tcW w:w="455" w:type="pct"/>
            <w:noWrap w:val="0"/>
            <w:vAlign w:val="center"/>
          </w:tcPr>
          <w:p w14:paraId="083111F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05CD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14:paraId="54AA75F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4090913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53" w:type="pct"/>
            <w:noWrap w:val="0"/>
            <w:vAlign w:val="center"/>
          </w:tcPr>
          <w:p w14:paraId="3C64AE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1" w:type="pct"/>
            <w:noWrap w:val="0"/>
            <w:vAlign w:val="center"/>
          </w:tcPr>
          <w:p w14:paraId="1C7B12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提供的组织机构、实施人员配置、实施进度安排、工作程序和步骤等内容，能否满足本项目要求进行打分。（评分范围：：</w:t>
            </w:r>
            <w:r>
              <w:rPr>
                <w:rFonts w:hint="eastAsia" w:ascii="宋体" w:hAnsi="宋体" w:eastAsia="宋体" w:cs="宋体"/>
                <w:color w:val="auto"/>
                <w:kern w:val="0"/>
                <w:sz w:val="21"/>
                <w:szCs w:val="21"/>
                <w:highlight w:val="none"/>
                <w:lang w:val="en-US" w:eastAsia="zh-CN"/>
              </w:rPr>
              <w:t>3；2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；0）</w:t>
            </w:r>
          </w:p>
        </w:tc>
        <w:tc>
          <w:tcPr>
            <w:tcW w:w="455" w:type="pct"/>
            <w:noWrap w:val="0"/>
            <w:vAlign w:val="center"/>
          </w:tcPr>
          <w:p w14:paraId="4F12274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47D2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14:paraId="4BFC4F7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0B1839B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53" w:type="pct"/>
            <w:noWrap w:val="0"/>
            <w:vAlign w:val="center"/>
          </w:tcPr>
          <w:p w14:paraId="4DD6A20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1" w:type="pct"/>
            <w:noWrap w:val="0"/>
            <w:vAlign w:val="center"/>
          </w:tcPr>
          <w:p w14:paraId="0893D1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提供的各环节质量、安全保证措施和承诺等内容是否完整且具有针对性进行打分。（评分范围：：</w:t>
            </w:r>
            <w:r>
              <w:rPr>
                <w:rFonts w:hint="eastAsia" w:ascii="宋体" w:hAnsi="宋体" w:eastAsia="宋体" w:cs="宋体"/>
                <w:color w:val="auto"/>
                <w:kern w:val="0"/>
                <w:sz w:val="21"/>
                <w:szCs w:val="21"/>
                <w:highlight w:val="none"/>
                <w:lang w:val="en-US" w:eastAsia="zh-CN"/>
              </w:rPr>
              <w:t>3；2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；0）</w:t>
            </w:r>
          </w:p>
        </w:tc>
        <w:tc>
          <w:tcPr>
            <w:tcW w:w="455" w:type="pct"/>
            <w:noWrap w:val="0"/>
            <w:vAlign w:val="center"/>
          </w:tcPr>
          <w:p w14:paraId="2CADDD7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0154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14:paraId="39A5CBE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3F307D1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53" w:type="pct"/>
            <w:noWrap w:val="0"/>
            <w:vAlign w:val="center"/>
          </w:tcPr>
          <w:p w14:paraId="162C1D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1" w:type="pct"/>
            <w:noWrap w:val="0"/>
            <w:vAlign w:val="center"/>
          </w:tcPr>
          <w:p w14:paraId="42B7DB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b w:val="0"/>
                <w:bCs/>
                <w:color w:val="auto"/>
                <w:kern w:val="2"/>
                <w:sz w:val="21"/>
                <w:szCs w:val="21"/>
                <w:highlight w:val="none"/>
                <w:lang w:val="en-US" w:eastAsia="zh-CN" w:bidi="ar-SA"/>
              </w:rPr>
              <w:t>根据本项目情况，提供的配套建设服务内容承诺情况。</w:t>
            </w: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3；2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；0）</w:t>
            </w:r>
          </w:p>
        </w:tc>
        <w:tc>
          <w:tcPr>
            <w:tcW w:w="455" w:type="pct"/>
            <w:noWrap w:val="0"/>
            <w:vAlign w:val="center"/>
          </w:tcPr>
          <w:p w14:paraId="49CF73A2">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6A4E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noWrap w:val="0"/>
            <w:vAlign w:val="center"/>
          </w:tcPr>
          <w:p w14:paraId="27E57B1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5</w:t>
            </w:r>
          </w:p>
        </w:tc>
        <w:tc>
          <w:tcPr>
            <w:tcW w:w="596" w:type="pct"/>
            <w:noWrap w:val="0"/>
            <w:vAlign w:val="center"/>
          </w:tcPr>
          <w:p w14:paraId="2426513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bidi="ar"/>
              </w:rPr>
              <w:t>售后服务</w:t>
            </w:r>
            <w:r>
              <w:rPr>
                <w:rFonts w:hint="eastAsia" w:ascii="宋体" w:hAnsi="宋体" w:eastAsia="宋体" w:cs="宋体"/>
                <w:b w:val="0"/>
                <w:bCs w:val="0"/>
                <w:color w:val="000000"/>
                <w:sz w:val="21"/>
                <w:szCs w:val="21"/>
                <w:highlight w:val="none"/>
                <w:lang w:val="en-US" w:eastAsia="zh-CN" w:bidi="ar"/>
              </w:rPr>
              <w:t>方案</w:t>
            </w:r>
          </w:p>
        </w:tc>
        <w:tc>
          <w:tcPr>
            <w:tcW w:w="353" w:type="pct"/>
            <w:noWrap w:val="0"/>
            <w:vAlign w:val="center"/>
          </w:tcPr>
          <w:p w14:paraId="3669EE8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5</w:t>
            </w:r>
          </w:p>
        </w:tc>
        <w:tc>
          <w:tcPr>
            <w:tcW w:w="3221" w:type="pct"/>
            <w:noWrap w:val="0"/>
            <w:vAlign w:val="center"/>
          </w:tcPr>
          <w:p w14:paraId="1193396E">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zh-TW"/>
              </w:rPr>
            </w:pPr>
            <w:r>
              <w:rPr>
                <w:rFonts w:hint="eastAsia" w:ascii="宋体" w:hAnsi="宋体" w:eastAsia="宋体" w:cs="宋体"/>
                <w:color w:val="000000"/>
                <w:sz w:val="21"/>
                <w:szCs w:val="21"/>
                <w:highlight w:val="none"/>
                <w:lang w:val="en-US" w:eastAsia="zh-CN"/>
              </w:rPr>
              <w:t>根据</w:t>
            </w:r>
            <w:r>
              <w:rPr>
                <w:rFonts w:hint="eastAsia" w:ascii="宋体" w:hAnsi="宋体" w:eastAsia="宋体" w:cs="宋体"/>
                <w:color w:val="000000"/>
                <w:sz w:val="21"/>
                <w:szCs w:val="21"/>
                <w:highlight w:val="none"/>
              </w:rPr>
              <w:t>投标人提供</w:t>
            </w:r>
            <w:r>
              <w:rPr>
                <w:rFonts w:hint="eastAsia" w:ascii="宋体" w:hAnsi="宋体" w:eastAsia="宋体" w:cs="宋体"/>
                <w:color w:val="000000"/>
                <w:sz w:val="21"/>
                <w:szCs w:val="21"/>
                <w:highlight w:val="none"/>
                <w:lang w:eastAsia="zh-CN"/>
              </w:rPr>
              <w:t>的</w:t>
            </w:r>
            <w:r>
              <w:rPr>
                <w:rFonts w:hint="eastAsia" w:ascii="宋体" w:hAnsi="宋体" w:eastAsia="宋体" w:cs="宋体"/>
                <w:color w:val="000000"/>
                <w:sz w:val="21"/>
                <w:szCs w:val="21"/>
                <w:highlight w:val="none"/>
              </w:rPr>
              <w:t>售后服务方案</w:t>
            </w:r>
            <w:r>
              <w:rPr>
                <w:rFonts w:hint="eastAsia" w:ascii="宋体" w:hAnsi="宋体" w:eastAsia="宋体" w:cs="宋体"/>
                <w:color w:val="000000"/>
                <w:sz w:val="21"/>
                <w:szCs w:val="21"/>
                <w:highlight w:val="none"/>
                <w:lang w:val="en-US" w:eastAsia="zh-CN"/>
              </w:rPr>
              <w:t>进行</w:t>
            </w:r>
            <w:r>
              <w:rPr>
                <w:rFonts w:hint="eastAsia" w:ascii="宋体" w:hAnsi="宋体" w:eastAsia="宋体" w:cs="宋体"/>
                <w:color w:val="000000"/>
                <w:sz w:val="21"/>
                <w:szCs w:val="21"/>
                <w:highlight w:val="none"/>
                <w:lang w:eastAsia="zh-CN"/>
              </w:rPr>
              <w:t>综合打分</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内容包括但不限于质保期内外的售后服务内容、维护响应计划、故障响应时间、响应方式等</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val="0"/>
                <w:color w:val="000000"/>
                <w:kern w:val="0"/>
                <w:sz w:val="21"/>
                <w:szCs w:val="21"/>
                <w:highlight w:val="none"/>
              </w:rPr>
              <w:t>（评分范围：</w:t>
            </w:r>
            <w:r>
              <w:rPr>
                <w:rFonts w:hint="eastAsia" w:ascii="宋体" w:hAnsi="宋体" w:eastAsia="宋体" w:cs="宋体"/>
                <w:b w:val="0"/>
                <w:bCs w:val="0"/>
                <w:color w:val="000000"/>
                <w:kern w:val="0"/>
                <w:sz w:val="21"/>
                <w:szCs w:val="21"/>
                <w:highlight w:val="none"/>
                <w:lang w:val="en-US" w:eastAsia="zh-CN"/>
              </w:rPr>
              <w:t>5；</w:t>
            </w:r>
            <w:r>
              <w:rPr>
                <w:rFonts w:hint="eastAsia" w:ascii="宋体" w:hAnsi="宋体" w:eastAsia="宋体" w:cs="宋体"/>
                <w:b w:val="0"/>
                <w:bCs w:val="0"/>
                <w:color w:val="000000"/>
                <w:kern w:val="0"/>
                <w:sz w:val="21"/>
                <w:szCs w:val="21"/>
                <w:highlight w:val="none"/>
              </w:rPr>
              <w:t>4；3；2；1；0）</w:t>
            </w:r>
          </w:p>
        </w:tc>
        <w:tc>
          <w:tcPr>
            <w:tcW w:w="455" w:type="pct"/>
            <w:noWrap w:val="0"/>
            <w:vAlign w:val="center"/>
          </w:tcPr>
          <w:p w14:paraId="3592D1DF">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3656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noWrap w:val="0"/>
            <w:vAlign w:val="center"/>
          </w:tcPr>
          <w:p w14:paraId="7C38778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6</w:t>
            </w:r>
          </w:p>
        </w:tc>
        <w:tc>
          <w:tcPr>
            <w:tcW w:w="596" w:type="pct"/>
            <w:noWrap w:val="0"/>
            <w:vAlign w:val="center"/>
          </w:tcPr>
          <w:p w14:paraId="4FF73E9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kern w:val="0"/>
                <w:sz w:val="21"/>
                <w:szCs w:val="21"/>
                <w:highlight w:val="none"/>
              </w:rPr>
              <w:t>质保期承诺</w:t>
            </w:r>
          </w:p>
        </w:tc>
        <w:tc>
          <w:tcPr>
            <w:tcW w:w="353" w:type="pct"/>
            <w:noWrap w:val="0"/>
            <w:vAlign w:val="center"/>
          </w:tcPr>
          <w:p w14:paraId="103E9F5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2</w:t>
            </w:r>
          </w:p>
        </w:tc>
        <w:tc>
          <w:tcPr>
            <w:tcW w:w="3221" w:type="pct"/>
            <w:noWrap w:val="0"/>
            <w:vAlign w:val="center"/>
          </w:tcPr>
          <w:p w14:paraId="2DD8EE6C">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z w:val="21"/>
                <w:szCs w:val="21"/>
                <w:highlight w:val="none"/>
                <w:lang w:val="en-US" w:eastAsia="zh-CN" w:bidi="ar"/>
              </w:rPr>
              <w:t>质保</w:t>
            </w:r>
            <w:r>
              <w:rPr>
                <w:rFonts w:hint="eastAsia" w:ascii="宋体" w:hAnsi="宋体" w:eastAsia="宋体" w:cs="宋体"/>
                <w:b w:val="0"/>
                <w:bCs w:val="0"/>
                <w:color w:val="000000"/>
                <w:sz w:val="21"/>
                <w:szCs w:val="21"/>
                <w:highlight w:val="none"/>
                <w:lang w:bidi="ar"/>
              </w:rPr>
              <w:t>服务承诺</w:t>
            </w:r>
            <w:r>
              <w:rPr>
                <w:rFonts w:hint="eastAsia" w:ascii="宋体" w:hAnsi="宋体" w:eastAsia="宋体" w:cs="宋体"/>
                <w:b w:val="0"/>
                <w:bCs w:val="0"/>
                <w:color w:val="000000"/>
                <w:sz w:val="21"/>
                <w:szCs w:val="21"/>
                <w:highlight w:val="none"/>
                <w:lang w:eastAsia="zh-CN" w:bidi="ar"/>
              </w:rPr>
              <w:t>：</w:t>
            </w:r>
            <w:r>
              <w:rPr>
                <w:rFonts w:hint="eastAsia" w:ascii="宋体" w:hAnsi="宋体" w:eastAsia="宋体" w:cs="宋体"/>
                <w:b w:val="0"/>
                <w:bCs w:val="0"/>
                <w:color w:val="000000"/>
                <w:sz w:val="21"/>
                <w:szCs w:val="21"/>
                <w:highlight w:val="none"/>
              </w:rPr>
              <w:t>质保期满足</w:t>
            </w:r>
            <w:r>
              <w:rPr>
                <w:rFonts w:hint="eastAsia" w:ascii="宋体" w:hAnsi="宋体" w:eastAsia="宋体" w:cs="宋体"/>
                <w:b w:val="0"/>
                <w:bCs w:val="0"/>
                <w:color w:val="000000"/>
                <w:sz w:val="21"/>
                <w:szCs w:val="21"/>
                <w:highlight w:val="none"/>
                <w:lang w:eastAsia="zh-CN"/>
              </w:rPr>
              <w:t>招标文件</w:t>
            </w:r>
            <w:r>
              <w:rPr>
                <w:rFonts w:hint="eastAsia" w:ascii="宋体" w:hAnsi="宋体" w:eastAsia="宋体" w:cs="宋体"/>
                <w:b w:val="0"/>
                <w:bCs w:val="0"/>
                <w:color w:val="000000"/>
                <w:sz w:val="21"/>
                <w:szCs w:val="21"/>
                <w:highlight w:val="none"/>
              </w:rPr>
              <w:t>要求的0分,每延长（项目整体）一年得</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分,最多加</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分,延长时间不足一年的不计入加分。</w:t>
            </w:r>
          </w:p>
        </w:tc>
        <w:tc>
          <w:tcPr>
            <w:tcW w:w="455" w:type="pct"/>
            <w:noWrap w:val="0"/>
            <w:vAlign w:val="center"/>
          </w:tcPr>
          <w:p w14:paraId="5132248F">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4E2C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shd w:val="clear" w:color="auto" w:fill="auto"/>
            <w:noWrap w:val="0"/>
            <w:vAlign w:val="center"/>
          </w:tcPr>
          <w:p w14:paraId="0576C28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b w:val="0"/>
                <w:bCs w:val="0"/>
                <w:snapToGrid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7</w:t>
            </w:r>
          </w:p>
        </w:tc>
        <w:tc>
          <w:tcPr>
            <w:tcW w:w="596" w:type="pct"/>
            <w:shd w:val="clear" w:color="auto" w:fill="auto"/>
            <w:noWrap w:val="0"/>
            <w:vAlign w:val="center"/>
          </w:tcPr>
          <w:p w14:paraId="33CF31C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b w:val="0"/>
                <w:bCs w:val="0"/>
                <w:snapToGrid w:val="0"/>
                <w:color w:val="000000"/>
                <w:kern w:val="0"/>
                <w:sz w:val="21"/>
                <w:szCs w:val="21"/>
                <w:highlight w:val="none"/>
                <w:lang w:val="en-US" w:eastAsia="en-US" w:bidi="ar-SA"/>
              </w:rPr>
            </w:pPr>
            <w:r>
              <w:rPr>
                <w:rFonts w:hint="eastAsia" w:ascii="宋体" w:hAnsi="宋体" w:eastAsia="宋体" w:cs="宋体"/>
                <w:b w:val="0"/>
                <w:bCs w:val="0"/>
                <w:color w:val="000000"/>
                <w:kern w:val="0"/>
                <w:sz w:val="21"/>
                <w:szCs w:val="21"/>
                <w:highlight w:val="none"/>
              </w:rPr>
              <w:t>培训方案</w:t>
            </w:r>
          </w:p>
        </w:tc>
        <w:tc>
          <w:tcPr>
            <w:tcW w:w="353" w:type="pct"/>
            <w:shd w:val="clear" w:color="auto" w:fill="auto"/>
            <w:noWrap w:val="0"/>
            <w:vAlign w:val="center"/>
          </w:tcPr>
          <w:p w14:paraId="15F15392">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b w:val="0"/>
                <w:bCs w:val="0"/>
                <w:snapToGrid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5</w:t>
            </w:r>
          </w:p>
        </w:tc>
        <w:tc>
          <w:tcPr>
            <w:tcW w:w="3221" w:type="pct"/>
            <w:shd w:val="clear" w:color="auto" w:fill="auto"/>
            <w:noWrap w:val="0"/>
            <w:vAlign w:val="center"/>
          </w:tcPr>
          <w:p w14:paraId="788106F5">
            <w:pPr>
              <w:keepNext w:val="0"/>
              <w:keepLines w:val="0"/>
              <w:widowControl/>
              <w:suppressLineNumbers w:val="0"/>
              <w:spacing w:before="0" w:beforeAutospacing="0" w:after="0" w:afterAutospacing="0"/>
              <w:ind w:left="0" w:leftChars="0" w:right="0" w:rightChars="0"/>
              <w:rPr>
                <w:rFonts w:hint="eastAsia" w:ascii="宋体" w:hAnsi="宋体" w:eastAsia="宋体" w:cs="宋体"/>
                <w:b w:val="0"/>
                <w:bCs w:val="0"/>
                <w:snapToGrid w:val="0"/>
                <w:color w:val="000000"/>
                <w:ker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根据</w:t>
            </w:r>
            <w:r>
              <w:rPr>
                <w:rFonts w:hint="eastAsia" w:ascii="宋体" w:hAnsi="宋体" w:eastAsia="宋体" w:cs="宋体"/>
                <w:color w:val="000000"/>
                <w:sz w:val="21"/>
                <w:szCs w:val="21"/>
                <w:highlight w:val="none"/>
              </w:rPr>
              <w:t>投标人提供</w:t>
            </w:r>
            <w:r>
              <w:rPr>
                <w:rFonts w:hint="eastAsia" w:ascii="宋体" w:hAnsi="宋体" w:eastAsia="宋体" w:cs="宋体"/>
                <w:color w:val="000000"/>
                <w:sz w:val="21"/>
                <w:szCs w:val="21"/>
                <w:highlight w:val="none"/>
                <w:lang w:eastAsia="zh-CN"/>
              </w:rPr>
              <w:t>的设备</w:t>
            </w:r>
            <w:r>
              <w:rPr>
                <w:rFonts w:hint="eastAsia" w:ascii="宋体" w:hAnsi="宋体" w:eastAsia="宋体" w:cs="宋体"/>
                <w:color w:val="000000"/>
                <w:sz w:val="21"/>
                <w:szCs w:val="21"/>
                <w:highlight w:val="none"/>
              </w:rPr>
              <w:t>培训方案</w:t>
            </w:r>
            <w:r>
              <w:rPr>
                <w:rFonts w:hint="eastAsia" w:ascii="宋体" w:hAnsi="宋体" w:eastAsia="宋体" w:cs="宋体"/>
                <w:color w:val="000000"/>
                <w:sz w:val="21"/>
                <w:szCs w:val="21"/>
                <w:highlight w:val="none"/>
                <w:lang w:val="en-US" w:eastAsia="zh-CN"/>
              </w:rPr>
              <w:t>进行</w:t>
            </w:r>
            <w:r>
              <w:rPr>
                <w:rFonts w:hint="eastAsia" w:ascii="宋体" w:hAnsi="宋体" w:eastAsia="宋体" w:cs="宋体"/>
                <w:color w:val="000000"/>
                <w:sz w:val="21"/>
                <w:szCs w:val="21"/>
                <w:highlight w:val="none"/>
                <w:lang w:eastAsia="zh-CN"/>
              </w:rPr>
              <w:t>综合打分：</w:t>
            </w:r>
            <w:r>
              <w:rPr>
                <w:rFonts w:hint="eastAsia" w:ascii="宋体" w:hAnsi="宋体" w:eastAsia="宋体" w:cs="宋体"/>
                <w:color w:val="000000"/>
                <w:sz w:val="21"/>
                <w:szCs w:val="21"/>
                <w:highlight w:val="none"/>
              </w:rPr>
              <w:t>内容包括但不限于培训计划、培训方式、培训措施等</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val="0"/>
                <w:color w:val="000000"/>
                <w:kern w:val="0"/>
                <w:sz w:val="21"/>
                <w:szCs w:val="21"/>
                <w:highlight w:val="none"/>
              </w:rPr>
              <w:t>（评分范围：</w:t>
            </w:r>
            <w:r>
              <w:rPr>
                <w:rFonts w:hint="eastAsia" w:ascii="宋体" w:hAnsi="宋体" w:eastAsia="宋体" w:cs="宋体"/>
                <w:b w:val="0"/>
                <w:bCs w:val="0"/>
                <w:color w:val="000000"/>
                <w:kern w:val="0"/>
                <w:sz w:val="21"/>
                <w:szCs w:val="21"/>
                <w:highlight w:val="none"/>
                <w:lang w:val="en-US" w:eastAsia="zh-CN"/>
              </w:rPr>
              <w:t>5；</w:t>
            </w:r>
            <w:r>
              <w:rPr>
                <w:rFonts w:hint="eastAsia" w:ascii="宋体" w:hAnsi="宋体" w:eastAsia="宋体" w:cs="宋体"/>
                <w:b w:val="0"/>
                <w:bCs w:val="0"/>
                <w:color w:val="000000"/>
                <w:kern w:val="0"/>
                <w:sz w:val="21"/>
                <w:szCs w:val="21"/>
                <w:highlight w:val="none"/>
              </w:rPr>
              <w:t>4；3；2；1；0）</w:t>
            </w:r>
          </w:p>
        </w:tc>
        <w:tc>
          <w:tcPr>
            <w:tcW w:w="455" w:type="pct"/>
            <w:noWrap w:val="0"/>
            <w:vAlign w:val="center"/>
          </w:tcPr>
          <w:p w14:paraId="79D6CE04">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spacing w:val="-6"/>
                <w:sz w:val="21"/>
                <w:szCs w:val="21"/>
                <w:highlight w:val="none"/>
              </w:rPr>
            </w:pPr>
          </w:p>
        </w:tc>
      </w:tr>
      <w:tr w14:paraId="73AE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shd w:val="clear" w:color="auto" w:fill="auto"/>
            <w:noWrap w:val="0"/>
            <w:vAlign w:val="center"/>
          </w:tcPr>
          <w:p w14:paraId="485CB250">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b w:val="0"/>
                <w:bCs w:val="0"/>
                <w:snapToGrid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8</w:t>
            </w:r>
          </w:p>
        </w:tc>
        <w:tc>
          <w:tcPr>
            <w:tcW w:w="596" w:type="pct"/>
            <w:shd w:val="clear" w:color="auto" w:fill="auto"/>
            <w:noWrap w:val="0"/>
            <w:vAlign w:val="center"/>
          </w:tcPr>
          <w:p w14:paraId="3179382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val="0"/>
                <w:bCs w:val="0"/>
                <w:snapToGrid w:val="0"/>
                <w:color w:val="000000"/>
                <w:kern w:val="0"/>
                <w:sz w:val="21"/>
                <w:szCs w:val="21"/>
                <w:highlight w:val="none"/>
                <w:lang w:val="en-US" w:eastAsia="en-US" w:bidi="ar-SA"/>
              </w:rPr>
            </w:pPr>
            <w:r>
              <w:rPr>
                <w:rFonts w:hint="eastAsia" w:ascii="宋体" w:hAnsi="宋体" w:eastAsia="宋体" w:cs="宋体"/>
                <w:color w:val="000000"/>
                <w:sz w:val="21"/>
                <w:szCs w:val="21"/>
                <w:highlight w:val="none"/>
              </w:rPr>
              <w:t>产品演示</w:t>
            </w:r>
          </w:p>
        </w:tc>
        <w:tc>
          <w:tcPr>
            <w:tcW w:w="353" w:type="pct"/>
            <w:shd w:val="clear" w:color="auto" w:fill="auto"/>
            <w:noWrap w:val="0"/>
            <w:vAlign w:val="center"/>
          </w:tcPr>
          <w:p w14:paraId="5BF48404">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b w:val="0"/>
                <w:bCs w:val="0"/>
                <w:snapToGrid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15</w:t>
            </w:r>
          </w:p>
        </w:tc>
        <w:tc>
          <w:tcPr>
            <w:tcW w:w="3221" w:type="pct"/>
            <w:shd w:val="clear" w:color="auto" w:fill="auto"/>
            <w:noWrap w:val="0"/>
            <w:vAlign w:val="center"/>
          </w:tcPr>
          <w:p w14:paraId="327486F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z w:val="22"/>
                <w:szCs w:val="22"/>
                <w:highlight w:val="none"/>
              </w:rPr>
              <w:t>投标</w:t>
            </w:r>
            <w:r>
              <w:rPr>
                <w:rFonts w:hint="eastAsia" w:ascii="宋体" w:hAnsi="宋体" w:eastAsia="宋体" w:cs="宋体"/>
                <w:color w:val="auto"/>
                <w:sz w:val="22"/>
                <w:szCs w:val="22"/>
                <w:highlight w:val="none"/>
                <w:lang w:val="en-US" w:eastAsia="zh-CN"/>
              </w:rPr>
              <w:t>供应商</w:t>
            </w:r>
            <w:r>
              <w:rPr>
                <w:rFonts w:hint="eastAsia" w:ascii="宋体" w:hAnsi="宋体" w:eastAsia="宋体" w:cs="宋体"/>
                <w:color w:val="auto"/>
                <w:sz w:val="22"/>
                <w:szCs w:val="22"/>
                <w:highlight w:val="none"/>
              </w:rPr>
              <w:t>根据</w:t>
            </w:r>
            <w:r>
              <w:rPr>
                <w:rFonts w:hint="eastAsia" w:ascii="宋体" w:hAnsi="宋体" w:eastAsia="宋体" w:cs="宋体"/>
                <w:color w:val="auto"/>
                <w:kern w:val="0"/>
                <w:sz w:val="22"/>
                <w:szCs w:val="22"/>
                <w:highlight w:val="none"/>
              </w:rPr>
              <w:t>对照</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标项2主要采购内容及技术参数要求</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kern w:val="0"/>
                <w:sz w:val="22"/>
                <w:szCs w:val="22"/>
                <w:highlight w:val="none"/>
              </w:rPr>
              <w:t>中带</w:t>
            </w:r>
            <w:r>
              <w:rPr>
                <w:rFonts w:hint="eastAsia" w:ascii="宋体" w:hAnsi="宋体" w:cs="宋体"/>
                <w:b/>
                <w:color w:val="auto"/>
                <w:sz w:val="22"/>
                <w:highlight w:val="none"/>
                <w:lang w:eastAsia="zh-CN"/>
              </w:rPr>
              <w:t>“</w:t>
            </w:r>
            <w:r>
              <w:rPr>
                <w:rFonts w:hint="eastAsia" w:ascii="宋体" w:hAnsi="宋体" w:eastAsia="宋体" w:cs="宋体"/>
                <w:color w:val="auto"/>
                <w:kern w:val="0"/>
                <w:sz w:val="22"/>
                <w:szCs w:val="22"/>
                <w:highlight w:val="none"/>
              </w:rPr>
              <w:t>●</w:t>
            </w:r>
            <w:r>
              <w:rPr>
                <w:rFonts w:hint="eastAsia" w:ascii="宋体" w:hAnsi="宋体" w:cs="宋体"/>
                <w:b/>
                <w:color w:val="auto"/>
                <w:sz w:val="22"/>
                <w:highlight w:val="none"/>
                <w:lang w:eastAsia="zh-CN"/>
              </w:rPr>
              <w:t>”</w:t>
            </w:r>
            <w:r>
              <w:rPr>
                <w:rFonts w:hint="eastAsia" w:ascii="宋体" w:hAnsi="宋体" w:eastAsia="宋体" w:cs="宋体"/>
                <w:color w:val="auto"/>
                <w:kern w:val="0"/>
                <w:sz w:val="22"/>
                <w:szCs w:val="22"/>
                <w:highlight w:val="none"/>
              </w:rPr>
              <w:t>号技术性能指标进行</w:t>
            </w:r>
            <w:r>
              <w:rPr>
                <w:rFonts w:hint="eastAsia" w:ascii="宋体" w:hAnsi="宋体" w:eastAsia="宋体" w:cs="宋体"/>
                <w:color w:val="auto"/>
                <w:kern w:val="0"/>
                <w:sz w:val="22"/>
                <w:szCs w:val="22"/>
                <w:highlight w:val="none"/>
                <w:lang w:val="en-US" w:eastAsia="zh-CN"/>
              </w:rPr>
              <w:t>视频</w:t>
            </w:r>
            <w:r>
              <w:rPr>
                <w:rFonts w:hint="eastAsia" w:ascii="宋体" w:hAnsi="宋体" w:eastAsia="宋体" w:cs="宋体"/>
                <w:color w:val="auto"/>
                <w:kern w:val="0"/>
                <w:sz w:val="22"/>
                <w:szCs w:val="22"/>
                <w:highlight w:val="none"/>
              </w:rPr>
              <w:t>演示</w:t>
            </w:r>
            <w:r>
              <w:rPr>
                <w:rFonts w:hint="eastAsia" w:ascii="宋体" w:hAnsi="宋体" w:eastAsia="宋体" w:cs="宋体"/>
                <w:color w:val="auto"/>
                <w:sz w:val="22"/>
                <w:szCs w:val="22"/>
                <w:highlight w:val="none"/>
              </w:rPr>
              <w:t>，佐证其所投产品能够实现技术文件中描述的功能</w:t>
            </w:r>
            <w:r>
              <w:rPr>
                <w:rFonts w:hint="eastAsia" w:ascii="宋体" w:hAnsi="宋体" w:eastAsia="宋体" w:cs="宋体"/>
                <w:color w:val="auto"/>
                <w:kern w:val="0"/>
                <w:sz w:val="22"/>
                <w:szCs w:val="22"/>
                <w:highlight w:val="none"/>
                <w:lang w:eastAsia="zh-CN"/>
              </w:rPr>
              <w:t>。</w:t>
            </w:r>
          </w:p>
          <w:p w14:paraId="16410F9C">
            <w:pPr>
              <w:keepNext w:val="0"/>
              <w:keepLines w:val="0"/>
              <w:widowControl/>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p>
          <w:p w14:paraId="4CF827DF">
            <w:pPr>
              <w:keepNext w:val="0"/>
              <w:keepLines w:val="0"/>
              <w:widowControl/>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val="en-US" w:eastAsia="zh-CN"/>
              </w:rPr>
              <w:t>1</w:t>
            </w:r>
            <w:r>
              <w:rPr>
                <w:rFonts w:hint="eastAsia" w:ascii="宋体" w:hAnsi="宋体" w:eastAsia="宋体"/>
                <w:b w:val="0"/>
                <w:bCs w:val="0"/>
                <w:color w:val="auto"/>
                <w:sz w:val="21"/>
                <w:szCs w:val="21"/>
                <w:highlight w:val="none"/>
              </w:rPr>
              <w:t>.对应</w:t>
            </w:r>
            <w:r>
              <w:rPr>
                <w:rFonts w:hint="eastAsia" w:ascii="宋体" w:hAnsi="宋体" w:eastAsia="宋体"/>
                <w:b w:val="0"/>
                <w:bCs w:val="0"/>
                <w:color w:val="auto"/>
                <w:sz w:val="21"/>
                <w:szCs w:val="21"/>
                <w:highlight w:val="none"/>
                <w:u w:val="none"/>
                <w:lang w:eastAsia="zh-CN"/>
              </w:rPr>
              <w:t>“</w:t>
            </w:r>
            <w:r>
              <w:rPr>
                <w:rFonts w:hint="eastAsia" w:ascii="宋体" w:hAnsi="宋体" w:eastAsia="宋体" w:cs="宋体"/>
                <w:b w:val="0"/>
                <w:bCs w:val="0"/>
                <w:sz w:val="21"/>
                <w:szCs w:val="21"/>
                <w:lang w:val="en-US" w:eastAsia="zh-CN"/>
              </w:rPr>
              <w:t>数字化集成应用系统</w:t>
            </w:r>
            <w:r>
              <w:rPr>
                <w:rFonts w:hint="eastAsia" w:ascii="宋体" w:hAnsi="宋体" w:eastAsia="宋体"/>
                <w:b w:val="0"/>
                <w:bCs w:val="0"/>
                <w:color w:val="auto"/>
                <w:sz w:val="21"/>
                <w:szCs w:val="21"/>
                <w:highlight w:val="none"/>
                <w:u w:val="none"/>
                <w:lang w:eastAsia="zh-CN"/>
              </w:rPr>
              <w:t>”</w:t>
            </w:r>
            <w:r>
              <w:rPr>
                <w:rFonts w:hint="eastAsia" w:ascii="宋体" w:hAnsi="宋体" w:eastAsia="宋体"/>
                <w:b w:val="0"/>
                <w:bCs w:val="0"/>
                <w:color w:val="auto"/>
                <w:sz w:val="21"/>
                <w:szCs w:val="21"/>
                <w:highlight w:val="none"/>
                <w:u w:val="none"/>
                <w:lang w:val="en-US" w:eastAsia="zh-CN"/>
              </w:rPr>
              <w:t>的功能进行演示</w:t>
            </w:r>
            <w:r>
              <w:rPr>
                <w:rFonts w:hint="eastAsia" w:ascii="宋体" w:hAnsi="宋体" w:eastAsia="宋体"/>
                <w:b w:val="0"/>
                <w:bCs w:val="0"/>
                <w:color w:val="auto"/>
                <w:sz w:val="21"/>
                <w:szCs w:val="21"/>
                <w:highlight w:val="none"/>
              </w:rPr>
              <w:t>，</w:t>
            </w:r>
            <w:r>
              <w:rPr>
                <w:rFonts w:hint="eastAsia" w:ascii="宋体" w:hAnsi="宋体" w:eastAsia="宋体" w:cs="宋体"/>
                <w:b/>
                <w:bCs/>
                <w:color w:val="auto"/>
                <w:kern w:val="0"/>
                <w:sz w:val="21"/>
                <w:szCs w:val="21"/>
                <w:highlight w:val="none"/>
                <w14:ligatures w14:val="none"/>
              </w:rPr>
              <w:t>完全满足各项要求的得</w:t>
            </w:r>
            <w:r>
              <w:rPr>
                <w:rFonts w:hint="eastAsia" w:ascii="宋体" w:hAnsi="宋体" w:eastAsia="宋体" w:cs="宋体"/>
                <w:b/>
                <w:bCs/>
                <w:color w:val="auto"/>
                <w:kern w:val="0"/>
                <w:sz w:val="21"/>
                <w:szCs w:val="21"/>
                <w:highlight w:val="none"/>
                <w:lang w:val="en-US" w:eastAsia="zh-CN"/>
                <w14:ligatures w14:val="none"/>
              </w:rPr>
              <w:t>5</w:t>
            </w:r>
            <w:r>
              <w:rPr>
                <w:rFonts w:hint="eastAsia" w:ascii="宋体" w:hAnsi="宋体" w:eastAsia="宋体" w:cs="宋体"/>
                <w:b/>
                <w:bCs/>
                <w:color w:val="auto"/>
                <w:kern w:val="0"/>
                <w:sz w:val="21"/>
                <w:szCs w:val="21"/>
                <w:highlight w:val="none"/>
                <w14:ligatures w14:val="none"/>
              </w:rPr>
              <w:t>分；满足部分要求的得</w:t>
            </w:r>
            <w:r>
              <w:rPr>
                <w:rFonts w:hint="eastAsia" w:ascii="宋体" w:hAnsi="宋体" w:eastAsia="宋体" w:cs="宋体"/>
                <w:b/>
                <w:bCs/>
                <w:color w:val="auto"/>
                <w:kern w:val="0"/>
                <w:sz w:val="21"/>
                <w:szCs w:val="21"/>
                <w:highlight w:val="none"/>
                <w:lang w:val="en-US" w:eastAsia="zh-CN"/>
                <w14:ligatures w14:val="none"/>
              </w:rPr>
              <w:t>2</w:t>
            </w:r>
            <w:r>
              <w:rPr>
                <w:rFonts w:hint="eastAsia" w:ascii="宋体" w:hAnsi="宋体" w:eastAsia="宋体" w:cs="宋体"/>
                <w:b/>
                <w:bCs/>
                <w:color w:val="auto"/>
                <w:kern w:val="0"/>
                <w:sz w:val="21"/>
                <w:szCs w:val="21"/>
                <w:highlight w:val="none"/>
                <w14:ligatures w14:val="none"/>
              </w:rPr>
              <w:t>分；各项要求响应程度低的得</w:t>
            </w:r>
            <w:r>
              <w:rPr>
                <w:rFonts w:hint="eastAsia" w:ascii="宋体" w:hAnsi="宋体" w:eastAsia="宋体" w:cs="宋体"/>
                <w:b/>
                <w:bCs/>
                <w:color w:val="auto"/>
                <w:kern w:val="0"/>
                <w:sz w:val="21"/>
                <w:szCs w:val="21"/>
                <w:highlight w:val="none"/>
                <w:lang w:val="en-US" w:eastAsia="zh-CN"/>
                <w14:ligatures w14:val="none"/>
              </w:rPr>
              <w:t>0.5</w:t>
            </w:r>
            <w:r>
              <w:rPr>
                <w:rFonts w:hint="eastAsia" w:ascii="宋体" w:hAnsi="宋体" w:eastAsia="宋体" w:cs="宋体"/>
                <w:b/>
                <w:bCs/>
                <w:color w:val="auto"/>
                <w:kern w:val="0"/>
                <w:sz w:val="21"/>
                <w:szCs w:val="21"/>
                <w:highlight w:val="none"/>
                <w14:ligatures w14:val="none"/>
              </w:rPr>
              <w:t>分，未提供的不得分</w:t>
            </w:r>
            <w:r>
              <w:rPr>
                <w:rFonts w:hint="eastAsia" w:ascii="宋体" w:hAnsi="宋体" w:eastAsia="宋体"/>
                <w:b w:val="0"/>
                <w:bCs w:val="0"/>
                <w:color w:val="auto"/>
                <w:sz w:val="21"/>
                <w:szCs w:val="21"/>
                <w:highlight w:val="none"/>
              </w:rPr>
              <w:t>。</w:t>
            </w:r>
          </w:p>
          <w:p w14:paraId="798CA62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p>
          <w:p w14:paraId="40EC3A04">
            <w:pPr>
              <w:keepNext w:val="0"/>
              <w:keepLines w:val="0"/>
              <w:widowControl/>
              <w:numPr>
                <w:ilvl w:val="-1"/>
                <w:numId w:val="0"/>
              </w:numPr>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val="en-US" w:eastAsia="zh-CN"/>
              </w:rPr>
              <w:t>2.</w:t>
            </w:r>
            <w:r>
              <w:rPr>
                <w:rFonts w:hint="eastAsia" w:ascii="宋体" w:hAnsi="宋体" w:eastAsia="宋体"/>
                <w:b w:val="0"/>
                <w:bCs w:val="0"/>
                <w:color w:val="auto"/>
                <w:sz w:val="21"/>
                <w:szCs w:val="21"/>
                <w:highlight w:val="none"/>
              </w:rPr>
              <w:t>对应</w:t>
            </w:r>
            <w:r>
              <w:rPr>
                <w:rFonts w:hint="eastAsia" w:ascii="宋体" w:hAnsi="宋体" w:eastAsia="宋体"/>
                <w:b w:val="0"/>
                <w:bCs w:val="0"/>
                <w:color w:val="auto"/>
                <w:sz w:val="21"/>
                <w:szCs w:val="21"/>
                <w:highlight w:val="none"/>
                <w:u w:val="none"/>
                <w:lang w:eastAsia="zh-CN"/>
              </w:rPr>
              <w:t>“</w:t>
            </w:r>
            <w:r>
              <w:rPr>
                <w:rFonts w:hint="eastAsia" w:ascii="宋体" w:hAnsi="宋体" w:eastAsia="宋体" w:cs="宋体"/>
                <w:lang w:eastAsia="zh-CN"/>
              </w:rPr>
              <w:t>工业机器人虚拟拆装系统</w:t>
            </w:r>
            <w:r>
              <w:rPr>
                <w:rFonts w:hint="eastAsia" w:ascii="宋体" w:hAnsi="宋体" w:eastAsia="宋体"/>
                <w:b w:val="0"/>
                <w:bCs w:val="0"/>
                <w:color w:val="auto"/>
                <w:sz w:val="21"/>
                <w:szCs w:val="21"/>
                <w:highlight w:val="none"/>
                <w:u w:val="none"/>
                <w:lang w:eastAsia="zh-CN"/>
              </w:rPr>
              <w:t>”</w:t>
            </w:r>
            <w:r>
              <w:rPr>
                <w:rFonts w:hint="eastAsia" w:ascii="宋体" w:hAnsi="宋体" w:eastAsia="宋体"/>
                <w:b w:val="0"/>
                <w:bCs w:val="0"/>
                <w:color w:val="auto"/>
                <w:sz w:val="21"/>
                <w:szCs w:val="21"/>
                <w:highlight w:val="none"/>
                <w:u w:val="none"/>
                <w:lang w:val="en-US" w:eastAsia="zh-CN"/>
              </w:rPr>
              <w:t>的功能进行演示</w:t>
            </w:r>
            <w:r>
              <w:rPr>
                <w:rFonts w:hint="eastAsia" w:ascii="宋体" w:hAnsi="宋体" w:eastAsia="宋体"/>
                <w:b w:val="0"/>
                <w:bCs w:val="0"/>
                <w:color w:val="auto"/>
                <w:sz w:val="21"/>
                <w:szCs w:val="21"/>
                <w:highlight w:val="none"/>
              </w:rPr>
              <w:t>，</w:t>
            </w:r>
            <w:r>
              <w:rPr>
                <w:rFonts w:hint="eastAsia" w:ascii="宋体" w:hAnsi="宋体" w:eastAsia="宋体" w:cs="宋体"/>
                <w:b/>
                <w:bCs/>
                <w:color w:val="auto"/>
                <w:kern w:val="0"/>
                <w:sz w:val="21"/>
                <w:szCs w:val="21"/>
                <w:highlight w:val="none"/>
                <w14:ligatures w14:val="none"/>
              </w:rPr>
              <w:t>完全满足各项要求的得</w:t>
            </w:r>
            <w:r>
              <w:rPr>
                <w:rFonts w:hint="eastAsia" w:ascii="宋体" w:hAnsi="宋体" w:eastAsia="宋体" w:cs="宋体"/>
                <w:b/>
                <w:bCs/>
                <w:color w:val="auto"/>
                <w:kern w:val="0"/>
                <w:sz w:val="21"/>
                <w:szCs w:val="21"/>
                <w:highlight w:val="none"/>
                <w:lang w:val="en-US" w:eastAsia="zh-CN"/>
                <w14:ligatures w14:val="none"/>
              </w:rPr>
              <w:t>5</w:t>
            </w:r>
            <w:r>
              <w:rPr>
                <w:rFonts w:hint="eastAsia" w:ascii="宋体" w:hAnsi="宋体" w:eastAsia="宋体" w:cs="宋体"/>
                <w:b/>
                <w:bCs/>
                <w:color w:val="auto"/>
                <w:kern w:val="0"/>
                <w:sz w:val="21"/>
                <w:szCs w:val="21"/>
                <w:highlight w:val="none"/>
                <w14:ligatures w14:val="none"/>
              </w:rPr>
              <w:t>分；满足部分要求的得</w:t>
            </w:r>
            <w:r>
              <w:rPr>
                <w:rFonts w:hint="eastAsia" w:ascii="宋体" w:hAnsi="宋体" w:eastAsia="宋体" w:cs="宋体"/>
                <w:b/>
                <w:bCs/>
                <w:color w:val="auto"/>
                <w:kern w:val="0"/>
                <w:sz w:val="21"/>
                <w:szCs w:val="21"/>
                <w:highlight w:val="none"/>
                <w:lang w:val="en-US" w:eastAsia="zh-CN"/>
                <w14:ligatures w14:val="none"/>
              </w:rPr>
              <w:t>2</w:t>
            </w:r>
            <w:r>
              <w:rPr>
                <w:rFonts w:hint="eastAsia" w:ascii="宋体" w:hAnsi="宋体" w:eastAsia="宋体" w:cs="宋体"/>
                <w:b/>
                <w:bCs/>
                <w:color w:val="auto"/>
                <w:kern w:val="0"/>
                <w:sz w:val="21"/>
                <w:szCs w:val="21"/>
                <w:highlight w:val="none"/>
                <w14:ligatures w14:val="none"/>
              </w:rPr>
              <w:t>分；各项要求响应程度低的得</w:t>
            </w:r>
            <w:r>
              <w:rPr>
                <w:rFonts w:hint="eastAsia" w:ascii="宋体" w:hAnsi="宋体" w:eastAsia="宋体" w:cs="宋体"/>
                <w:b/>
                <w:bCs/>
                <w:color w:val="auto"/>
                <w:kern w:val="0"/>
                <w:sz w:val="21"/>
                <w:szCs w:val="21"/>
                <w:highlight w:val="none"/>
                <w:lang w:val="en-US" w:eastAsia="zh-CN"/>
                <w14:ligatures w14:val="none"/>
              </w:rPr>
              <w:t>0.5</w:t>
            </w:r>
            <w:r>
              <w:rPr>
                <w:rFonts w:hint="eastAsia" w:ascii="宋体" w:hAnsi="宋体" w:eastAsia="宋体" w:cs="宋体"/>
                <w:b/>
                <w:bCs/>
                <w:color w:val="auto"/>
                <w:kern w:val="0"/>
                <w:sz w:val="21"/>
                <w:szCs w:val="21"/>
                <w:highlight w:val="none"/>
                <w14:ligatures w14:val="none"/>
              </w:rPr>
              <w:t>分，未提供的不得分</w:t>
            </w:r>
            <w:r>
              <w:rPr>
                <w:rFonts w:hint="eastAsia" w:ascii="宋体" w:hAnsi="宋体" w:eastAsia="宋体"/>
                <w:b w:val="0"/>
                <w:bCs w:val="0"/>
                <w:color w:val="auto"/>
                <w:sz w:val="21"/>
                <w:szCs w:val="21"/>
                <w:highlight w:val="none"/>
              </w:rPr>
              <w:t>。</w:t>
            </w:r>
          </w:p>
          <w:p w14:paraId="2EA5F08E">
            <w:pPr>
              <w:keepNext w:val="0"/>
              <w:keepLines w:val="0"/>
              <w:widowControl/>
              <w:numPr>
                <w:ilvl w:val="-1"/>
                <w:numId w:val="0"/>
              </w:numPr>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p>
          <w:p w14:paraId="0B4634F4">
            <w:pPr>
              <w:keepNext w:val="0"/>
              <w:keepLines w:val="0"/>
              <w:widowControl/>
              <w:numPr>
                <w:ilvl w:val="-1"/>
                <w:numId w:val="0"/>
              </w:numPr>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val="en-US" w:eastAsia="zh-CN"/>
              </w:rPr>
              <w:t>3.</w:t>
            </w:r>
            <w:r>
              <w:rPr>
                <w:rFonts w:hint="eastAsia" w:ascii="宋体" w:hAnsi="宋体" w:eastAsia="宋体"/>
                <w:b w:val="0"/>
                <w:bCs w:val="0"/>
                <w:color w:val="auto"/>
                <w:sz w:val="21"/>
                <w:szCs w:val="21"/>
                <w:highlight w:val="none"/>
              </w:rPr>
              <w:t>对应</w:t>
            </w:r>
            <w:r>
              <w:rPr>
                <w:rFonts w:hint="eastAsia" w:ascii="宋体" w:hAnsi="宋体" w:eastAsia="宋体"/>
                <w:b w:val="0"/>
                <w:bCs w:val="0"/>
                <w:color w:val="auto"/>
                <w:sz w:val="21"/>
                <w:szCs w:val="21"/>
                <w:highlight w:val="none"/>
                <w:u w:val="none"/>
                <w:lang w:eastAsia="zh-CN"/>
              </w:rPr>
              <w:t>“</w:t>
            </w:r>
            <w:r>
              <w:rPr>
                <w:rFonts w:hint="eastAsia" w:ascii="宋体" w:hAnsi="宋体" w:eastAsia="宋体" w:cs="宋体"/>
                <w:lang w:eastAsia="zh-CN"/>
              </w:rPr>
              <w:t>学生信息化在线考试系统</w:t>
            </w:r>
            <w:r>
              <w:rPr>
                <w:rFonts w:hint="eastAsia" w:ascii="宋体" w:hAnsi="宋体" w:eastAsia="宋体"/>
                <w:b w:val="0"/>
                <w:bCs w:val="0"/>
                <w:color w:val="auto"/>
                <w:sz w:val="21"/>
                <w:szCs w:val="21"/>
                <w:highlight w:val="none"/>
                <w:u w:val="none"/>
                <w:lang w:eastAsia="zh-CN"/>
              </w:rPr>
              <w:t>”</w:t>
            </w:r>
            <w:r>
              <w:rPr>
                <w:rFonts w:hint="eastAsia" w:ascii="宋体" w:hAnsi="宋体" w:eastAsia="宋体"/>
                <w:b w:val="0"/>
                <w:bCs w:val="0"/>
                <w:color w:val="auto"/>
                <w:sz w:val="21"/>
                <w:szCs w:val="21"/>
                <w:highlight w:val="none"/>
                <w:u w:val="none"/>
                <w:lang w:val="en-US" w:eastAsia="zh-CN"/>
              </w:rPr>
              <w:t>的功能进行演示</w:t>
            </w:r>
            <w:r>
              <w:rPr>
                <w:rFonts w:hint="eastAsia" w:ascii="宋体" w:hAnsi="宋体" w:eastAsia="宋体"/>
                <w:b w:val="0"/>
                <w:bCs w:val="0"/>
                <w:color w:val="auto"/>
                <w:sz w:val="21"/>
                <w:szCs w:val="21"/>
                <w:highlight w:val="none"/>
              </w:rPr>
              <w:t>，</w:t>
            </w:r>
            <w:r>
              <w:rPr>
                <w:rFonts w:hint="eastAsia" w:ascii="宋体" w:hAnsi="宋体" w:eastAsia="宋体" w:cs="宋体"/>
                <w:b/>
                <w:bCs/>
                <w:color w:val="auto"/>
                <w:kern w:val="0"/>
                <w:sz w:val="21"/>
                <w:szCs w:val="21"/>
                <w:highlight w:val="none"/>
                <w14:ligatures w14:val="none"/>
              </w:rPr>
              <w:t>完全满足各项要求的得</w:t>
            </w:r>
            <w:r>
              <w:rPr>
                <w:rFonts w:hint="eastAsia" w:ascii="宋体" w:hAnsi="宋体" w:eastAsia="宋体" w:cs="宋体"/>
                <w:b/>
                <w:bCs/>
                <w:color w:val="auto"/>
                <w:kern w:val="0"/>
                <w:sz w:val="21"/>
                <w:szCs w:val="21"/>
                <w:highlight w:val="none"/>
                <w:lang w:val="en-US" w:eastAsia="zh-CN"/>
                <w14:ligatures w14:val="none"/>
              </w:rPr>
              <w:t>5</w:t>
            </w:r>
            <w:r>
              <w:rPr>
                <w:rFonts w:hint="eastAsia" w:ascii="宋体" w:hAnsi="宋体" w:eastAsia="宋体" w:cs="宋体"/>
                <w:b/>
                <w:bCs/>
                <w:color w:val="auto"/>
                <w:kern w:val="0"/>
                <w:sz w:val="21"/>
                <w:szCs w:val="21"/>
                <w:highlight w:val="none"/>
                <w14:ligatures w14:val="none"/>
              </w:rPr>
              <w:t>分；满足部分要求的得</w:t>
            </w:r>
            <w:r>
              <w:rPr>
                <w:rFonts w:hint="eastAsia" w:ascii="宋体" w:hAnsi="宋体" w:eastAsia="宋体" w:cs="宋体"/>
                <w:b/>
                <w:bCs/>
                <w:color w:val="auto"/>
                <w:kern w:val="0"/>
                <w:sz w:val="21"/>
                <w:szCs w:val="21"/>
                <w:highlight w:val="none"/>
                <w:lang w:val="en-US" w:eastAsia="zh-CN"/>
                <w14:ligatures w14:val="none"/>
              </w:rPr>
              <w:t>2</w:t>
            </w:r>
            <w:r>
              <w:rPr>
                <w:rFonts w:hint="eastAsia" w:ascii="宋体" w:hAnsi="宋体" w:eastAsia="宋体" w:cs="宋体"/>
                <w:b/>
                <w:bCs/>
                <w:color w:val="auto"/>
                <w:kern w:val="0"/>
                <w:sz w:val="21"/>
                <w:szCs w:val="21"/>
                <w:highlight w:val="none"/>
                <w14:ligatures w14:val="none"/>
              </w:rPr>
              <w:t>分；各项要求响应程度低的得</w:t>
            </w:r>
            <w:r>
              <w:rPr>
                <w:rFonts w:hint="eastAsia" w:ascii="宋体" w:hAnsi="宋体" w:eastAsia="宋体" w:cs="宋体"/>
                <w:b/>
                <w:bCs/>
                <w:color w:val="auto"/>
                <w:kern w:val="0"/>
                <w:sz w:val="21"/>
                <w:szCs w:val="21"/>
                <w:highlight w:val="none"/>
                <w:lang w:val="en-US" w:eastAsia="zh-CN"/>
                <w14:ligatures w14:val="none"/>
              </w:rPr>
              <w:t>0.5</w:t>
            </w:r>
            <w:r>
              <w:rPr>
                <w:rFonts w:hint="eastAsia" w:ascii="宋体" w:hAnsi="宋体" w:eastAsia="宋体" w:cs="宋体"/>
                <w:b/>
                <w:bCs/>
                <w:color w:val="auto"/>
                <w:kern w:val="0"/>
                <w:sz w:val="21"/>
                <w:szCs w:val="21"/>
                <w:highlight w:val="none"/>
                <w14:ligatures w14:val="none"/>
              </w:rPr>
              <w:t>分，未提供的不得分</w:t>
            </w:r>
            <w:r>
              <w:rPr>
                <w:rFonts w:hint="eastAsia" w:ascii="宋体" w:hAnsi="宋体" w:eastAsia="宋体"/>
                <w:b w:val="0"/>
                <w:bCs w:val="0"/>
                <w:color w:val="auto"/>
                <w:sz w:val="21"/>
                <w:szCs w:val="21"/>
                <w:highlight w:val="none"/>
              </w:rPr>
              <w:t>。</w:t>
            </w:r>
          </w:p>
          <w:p w14:paraId="4AFC38E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p>
          <w:p w14:paraId="35CB84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【演示要求】</w:t>
            </w:r>
          </w:p>
          <w:p w14:paraId="564E8508">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演示视频提交方式：各供应商应在投标截止时间前将演示内容（以MP4或RMVB等常见模式存储，不得采用特殊或专用存储模式）加密后发送到邮箱471870577@qq.com，并电话向代理机构确认，加密密码自行保管，待电子投标文件解密后将密码发送给代理机构。</w:t>
            </w:r>
          </w:p>
          <w:p w14:paraId="736C9579">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演示时长不超过15分钟。</w:t>
            </w:r>
          </w:p>
          <w:p w14:paraId="6DF3C3E2">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若出现演示文件不能正常打开，或不能正常解密，则按未提交演示文件处理，本项记0分；</w:t>
            </w:r>
          </w:p>
          <w:p w14:paraId="2CB13C80">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演示为非必须项，未提供演示的，对应演示分为0分。</w:t>
            </w:r>
          </w:p>
          <w:p w14:paraId="1E882D2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exact"/>
              <w:ind w:left="0" w:right="0"/>
              <w:jc w:val="left"/>
              <w:rPr>
                <w:rFonts w:hint="eastAsia" w:ascii="宋体" w:hAnsi="宋体" w:cs="宋体"/>
                <w:b/>
                <w:color w:val="auto"/>
                <w:sz w:val="22"/>
                <w:highlight w:val="none"/>
              </w:rPr>
            </w:pPr>
            <w:r>
              <w:rPr>
                <w:rFonts w:hint="eastAsia" w:ascii="宋体" w:hAnsi="宋体" w:cs="宋体"/>
                <w:b/>
                <w:color w:val="auto"/>
                <w:sz w:val="22"/>
                <w:highlight w:val="none"/>
                <w:lang w:val="en-US" w:eastAsia="zh-CN"/>
              </w:rPr>
              <w:t>5</w:t>
            </w:r>
            <w:r>
              <w:rPr>
                <w:rFonts w:hint="eastAsia" w:ascii="宋体" w:hAnsi="宋体" w:cs="宋体"/>
                <w:b/>
                <w:color w:val="auto"/>
                <w:sz w:val="22"/>
                <w:highlight w:val="none"/>
              </w:rPr>
              <w:t>、</w:t>
            </w:r>
            <w:r>
              <w:rPr>
                <w:rFonts w:hint="eastAsia" w:ascii="宋体" w:hAnsi="宋体" w:eastAsia="宋体" w:cs="宋体"/>
                <w:b/>
                <w:bCs/>
                <w:color w:val="auto"/>
                <w:sz w:val="21"/>
                <w:szCs w:val="21"/>
                <w:highlight w:val="none"/>
                <w:lang w:val="en-US" w:eastAsia="zh-CN"/>
              </w:rPr>
              <w:t>演示播放顺序按各投标人投标文件解密的先后顺序播放。</w:t>
            </w:r>
          </w:p>
          <w:p w14:paraId="5CD3C958">
            <w:pPr>
              <w:keepNext w:val="0"/>
              <w:keepLines w:val="0"/>
              <w:widowControl/>
              <w:suppressLineNumbers w:val="0"/>
              <w:spacing w:before="0" w:beforeAutospacing="0" w:after="0" w:afterAutospacing="0"/>
              <w:ind w:left="0" w:leftChars="0" w:right="0" w:rightChars="0"/>
              <w:rPr>
                <w:rFonts w:hint="eastAsia" w:ascii="宋体" w:hAnsi="宋体" w:eastAsia="宋体" w:cs="宋体"/>
                <w:b w:val="0"/>
                <w:bCs w:val="0"/>
                <w:snapToGrid w:val="0"/>
                <w:color w:val="000000"/>
                <w:kern w:val="0"/>
                <w:sz w:val="21"/>
                <w:szCs w:val="21"/>
                <w:highlight w:val="none"/>
                <w:lang w:val="en-US" w:eastAsia="zh-CN" w:bidi="ar-SA"/>
              </w:rPr>
            </w:pPr>
            <w:r>
              <w:rPr>
                <w:rFonts w:hint="eastAsia" w:ascii="宋体" w:hAnsi="宋体" w:cs="宋体"/>
                <w:b/>
                <w:bCs/>
                <w:color w:val="auto"/>
                <w:kern w:val="0"/>
                <w:sz w:val="22"/>
                <w:highlight w:val="none"/>
                <w:lang w:val="en-US" w:eastAsia="zh-CN"/>
              </w:rPr>
              <w:t>6、</w:t>
            </w:r>
            <w:r>
              <w:rPr>
                <w:rFonts w:hint="eastAsia" w:ascii="宋体" w:hAnsi="宋体" w:cs="宋体"/>
                <w:b/>
                <w:bCs/>
                <w:color w:val="auto"/>
                <w:kern w:val="0"/>
                <w:sz w:val="22"/>
                <w:highlight w:val="none"/>
              </w:rPr>
              <w:t>演示项扣分的，但采购需求偏离表中是无偏离，则只在此项扣分，不在“技术响应”重复扣分。</w:t>
            </w:r>
          </w:p>
        </w:tc>
        <w:tc>
          <w:tcPr>
            <w:tcW w:w="455" w:type="pct"/>
            <w:noWrap w:val="0"/>
            <w:vAlign w:val="center"/>
          </w:tcPr>
          <w:p w14:paraId="2C38E787">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spacing w:val="-6"/>
                <w:sz w:val="21"/>
                <w:szCs w:val="21"/>
                <w:highlight w:val="none"/>
              </w:rPr>
            </w:pPr>
          </w:p>
        </w:tc>
      </w:tr>
    </w:tbl>
    <w:p w14:paraId="306DC019">
      <w:pPr>
        <w:rPr>
          <w:rFonts w:hint="default"/>
          <w:lang w:val="en-US" w:eastAsia="zh-CN"/>
        </w:rPr>
        <w:sectPr>
          <w:pgSz w:w="11906" w:h="16838"/>
          <w:pgMar w:top="1440" w:right="1304" w:bottom="1089" w:left="1531" w:header="851" w:footer="992" w:gutter="0"/>
          <w:pgNumType w:fmt="decimal"/>
          <w:cols w:space="720" w:num="1"/>
          <w:docGrid w:linePitch="312" w:charSpace="0"/>
        </w:sectPr>
      </w:pPr>
    </w:p>
    <w:p w14:paraId="6076EA5D">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标项3评分标准</w:t>
      </w:r>
    </w:p>
    <w:p w14:paraId="3C9DE578">
      <w:pPr>
        <w:jc w:val="center"/>
        <w:rPr>
          <w:rFonts w:hint="eastAsia" w:ascii="宋体" w:hAnsi="宋体" w:eastAsia="宋体" w:cs="宋体"/>
          <w:b/>
          <w:bCs/>
          <w:sz w:val="28"/>
          <w:szCs w:val="28"/>
          <w:lang w:val="en-US" w:eastAsia="zh-CN"/>
        </w:rPr>
      </w:pPr>
    </w:p>
    <w:p w14:paraId="77315E3E">
      <w:pPr>
        <w:pStyle w:val="10"/>
        <w:rPr>
          <w:rFonts w:hint="eastAsia"/>
          <w:lang w:val="en-US" w:eastAsia="zh-CN"/>
        </w:rPr>
      </w:pP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090"/>
        <w:gridCol w:w="637"/>
        <w:gridCol w:w="5976"/>
        <w:gridCol w:w="906"/>
      </w:tblGrid>
      <w:tr w14:paraId="7EB4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62" w:type="pct"/>
            <w:noWrap w:val="0"/>
            <w:vAlign w:val="center"/>
          </w:tcPr>
          <w:p w14:paraId="3D8C5D1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序号</w:t>
            </w:r>
          </w:p>
        </w:tc>
        <w:tc>
          <w:tcPr>
            <w:tcW w:w="587" w:type="pct"/>
            <w:noWrap w:val="0"/>
            <w:vAlign w:val="center"/>
          </w:tcPr>
          <w:p w14:paraId="64F4AD5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评审因素</w:t>
            </w:r>
          </w:p>
        </w:tc>
        <w:tc>
          <w:tcPr>
            <w:tcW w:w="343" w:type="pct"/>
            <w:noWrap w:val="0"/>
            <w:vAlign w:val="center"/>
          </w:tcPr>
          <w:p w14:paraId="5C3C289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分值</w:t>
            </w:r>
          </w:p>
        </w:tc>
        <w:tc>
          <w:tcPr>
            <w:tcW w:w="3219" w:type="pct"/>
            <w:noWrap w:val="0"/>
            <w:vAlign w:val="center"/>
          </w:tcPr>
          <w:p w14:paraId="53A4455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评分细则</w:t>
            </w:r>
          </w:p>
        </w:tc>
        <w:tc>
          <w:tcPr>
            <w:tcW w:w="488" w:type="pct"/>
            <w:noWrap w:val="0"/>
            <w:vAlign w:val="center"/>
          </w:tcPr>
          <w:p w14:paraId="5C29D6E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备注</w:t>
            </w:r>
          </w:p>
        </w:tc>
      </w:tr>
      <w:tr w14:paraId="07C5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62" w:type="pct"/>
            <w:noWrap w:val="0"/>
            <w:vAlign w:val="center"/>
          </w:tcPr>
          <w:p w14:paraId="75D78D3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1</w:t>
            </w:r>
          </w:p>
        </w:tc>
        <w:tc>
          <w:tcPr>
            <w:tcW w:w="587" w:type="pct"/>
            <w:noWrap w:val="0"/>
            <w:vAlign w:val="center"/>
          </w:tcPr>
          <w:p w14:paraId="1FA7D5A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业绩</w:t>
            </w:r>
          </w:p>
        </w:tc>
        <w:tc>
          <w:tcPr>
            <w:tcW w:w="343" w:type="pct"/>
            <w:noWrap w:val="0"/>
            <w:vAlign w:val="center"/>
          </w:tcPr>
          <w:p w14:paraId="59FFF3B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2</w:t>
            </w:r>
          </w:p>
        </w:tc>
        <w:tc>
          <w:tcPr>
            <w:tcW w:w="3219" w:type="pct"/>
            <w:noWrap w:val="0"/>
            <w:vAlign w:val="center"/>
          </w:tcPr>
          <w:p w14:paraId="2D4DA231">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sz w:val="21"/>
                <w:szCs w:val="21"/>
                <w:highlight w:val="none"/>
                <w:lang w:eastAsia="zh-CN"/>
              </w:rPr>
            </w:pPr>
            <w:r>
              <w:rPr>
                <w:rFonts w:hint="eastAsia" w:ascii="宋体" w:hAnsi="宋体" w:eastAsia="宋体" w:cs="宋体"/>
                <w:color w:val="000000"/>
                <w:kern w:val="0"/>
                <w:sz w:val="21"/>
                <w:szCs w:val="21"/>
                <w:highlight w:val="none"/>
                <w:lang w:eastAsia="zh-CN"/>
              </w:rPr>
              <w:t>投标</w:t>
            </w:r>
            <w:r>
              <w:rPr>
                <w:rFonts w:hint="eastAsia" w:ascii="宋体" w:hAnsi="宋体" w:eastAsia="宋体" w:cs="宋体"/>
                <w:color w:val="000000"/>
                <w:kern w:val="0"/>
                <w:sz w:val="21"/>
                <w:szCs w:val="21"/>
                <w:highlight w:val="none"/>
                <w:lang w:val="en-US" w:eastAsia="zh-CN"/>
              </w:rPr>
              <w:t>供应商</w:t>
            </w:r>
            <w:r>
              <w:rPr>
                <w:rFonts w:hint="eastAsia" w:ascii="宋体" w:hAnsi="宋体" w:eastAsia="宋体" w:cs="宋体"/>
                <w:color w:val="000000"/>
                <w:kern w:val="0"/>
                <w:sz w:val="21"/>
                <w:szCs w:val="21"/>
                <w:highlight w:val="none"/>
                <w:lang w:eastAsia="zh-CN"/>
              </w:rPr>
              <w:t>提供</w:t>
            </w:r>
            <w:r>
              <w:rPr>
                <w:rFonts w:hint="eastAsia" w:ascii="宋体" w:hAnsi="宋体" w:eastAsia="宋体" w:cs="宋体"/>
                <w:color w:val="000000"/>
                <w:kern w:val="0"/>
                <w:sz w:val="21"/>
                <w:szCs w:val="21"/>
                <w:highlight w:val="none"/>
              </w:rPr>
              <w:t>自20</w:t>
            </w:r>
            <w:r>
              <w:rPr>
                <w:rFonts w:hint="eastAsia" w:ascii="宋体" w:hAnsi="宋体" w:eastAsia="宋体" w:cs="宋体"/>
                <w:color w:val="000000"/>
                <w:kern w:val="0"/>
                <w:sz w:val="21"/>
                <w:szCs w:val="21"/>
                <w:highlight w:val="none"/>
                <w:lang w:val="en-US" w:eastAsia="zh-CN"/>
              </w:rPr>
              <w:t>22</w:t>
            </w:r>
            <w:r>
              <w:rPr>
                <w:rFonts w:hint="eastAsia" w:ascii="宋体" w:hAnsi="宋体" w:eastAsia="宋体" w:cs="宋体"/>
                <w:color w:val="000000"/>
                <w:kern w:val="0"/>
                <w:sz w:val="21"/>
                <w:szCs w:val="21"/>
                <w:highlight w:val="none"/>
              </w:rPr>
              <w:t>年</w:t>
            </w:r>
            <w:r>
              <w:rPr>
                <w:rFonts w:hint="eastAsia" w:ascii="宋体" w:hAnsi="宋体" w:eastAsia="宋体" w:cs="宋体"/>
                <w:color w:val="000000"/>
                <w:kern w:val="0"/>
                <w:sz w:val="21"/>
                <w:szCs w:val="21"/>
                <w:highlight w:val="none"/>
                <w:lang w:val="en-US" w:eastAsia="zh-CN"/>
              </w:rPr>
              <w:t>9</w:t>
            </w:r>
            <w:r>
              <w:rPr>
                <w:rFonts w:hint="eastAsia" w:ascii="宋体" w:hAnsi="宋体" w:eastAsia="宋体" w:cs="宋体"/>
                <w:color w:val="000000"/>
                <w:kern w:val="0"/>
                <w:sz w:val="21"/>
                <w:szCs w:val="21"/>
                <w:highlight w:val="none"/>
              </w:rPr>
              <w:t>月1日</w:t>
            </w:r>
            <w:r>
              <w:rPr>
                <w:rFonts w:hint="eastAsia" w:ascii="宋体" w:hAnsi="宋体" w:eastAsia="宋体" w:cs="宋体"/>
                <w:b w:val="0"/>
                <w:bCs w:val="0"/>
                <w:color w:val="000000"/>
                <w:kern w:val="0"/>
                <w:sz w:val="21"/>
                <w:szCs w:val="21"/>
                <w:highlight w:val="none"/>
              </w:rPr>
              <w:t>（</w:t>
            </w:r>
            <w:r>
              <w:rPr>
                <w:rFonts w:hint="eastAsia" w:ascii="宋体" w:hAnsi="宋体" w:eastAsia="宋体" w:cs="宋体"/>
                <w:b w:val="0"/>
                <w:bCs w:val="0"/>
                <w:color w:val="000000"/>
                <w:sz w:val="21"/>
                <w:szCs w:val="21"/>
                <w:highlight w:val="none"/>
                <w:lang w:eastAsia="zh-CN"/>
              </w:rPr>
              <w:t>以合同签订时间为准</w:t>
            </w:r>
            <w:r>
              <w:rPr>
                <w:rFonts w:hint="eastAsia" w:ascii="宋体" w:hAnsi="宋体" w:eastAsia="宋体" w:cs="宋体"/>
                <w:b w:val="0"/>
                <w:bCs w:val="0"/>
                <w:color w:val="000000"/>
                <w:kern w:val="0"/>
                <w:sz w:val="21"/>
                <w:szCs w:val="21"/>
                <w:highlight w:val="none"/>
              </w:rPr>
              <w:t>）</w:t>
            </w:r>
            <w:r>
              <w:rPr>
                <w:rFonts w:hint="eastAsia" w:ascii="宋体" w:hAnsi="宋体" w:eastAsia="宋体" w:cs="宋体"/>
                <w:b w:val="0"/>
                <w:bCs w:val="0"/>
                <w:color w:val="000000"/>
                <w:sz w:val="21"/>
                <w:szCs w:val="21"/>
                <w:highlight w:val="none"/>
              </w:rPr>
              <w:t>完成过</w:t>
            </w:r>
            <w:r>
              <w:rPr>
                <w:rFonts w:hint="eastAsia" w:ascii="宋体" w:hAnsi="宋体" w:eastAsia="宋体" w:cs="宋体"/>
                <w:b w:val="0"/>
                <w:bCs w:val="0"/>
                <w:color w:val="000000"/>
                <w:sz w:val="21"/>
                <w:szCs w:val="21"/>
                <w:highlight w:val="none"/>
                <w:lang w:val="en-US" w:eastAsia="zh-CN"/>
              </w:rPr>
              <w:t>类似实训室或实训中心或实训基地项目</w:t>
            </w:r>
            <w:r>
              <w:rPr>
                <w:rFonts w:hint="eastAsia" w:ascii="宋体" w:hAnsi="宋体" w:eastAsia="宋体" w:cs="宋体"/>
                <w:b w:val="0"/>
                <w:bCs w:val="0"/>
                <w:color w:val="000000"/>
                <w:sz w:val="21"/>
                <w:szCs w:val="21"/>
                <w:highlight w:val="none"/>
                <w:lang w:eastAsia="zh-CN"/>
              </w:rPr>
              <w:t>业绩</w:t>
            </w:r>
            <w:r>
              <w:rPr>
                <w:rFonts w:hint="eastAsia" w:ascii="宋体" w:hAnsi="宋体" w:eastAsia="宋体" w:cs="宋体"/>
                <w:b w:val="0"/>
                <w:bCs w:val="0"/>
                <w:color w:val="000000"/>
                <w:sz w:val="21"/>
                <w:szCs w:val="21"/>
                <w:highlight w:val="none"/>
              </w:rPr>
              <w:t>的，每提供1个得</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分，最高得</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分</w:t>
            </w:r>
            <w:r>
              <w:rPr>
                <w:rFonts w:hint="eastAsia" w:ascii="宋体" w:hAnsi="宋体" w:eastAsia="宋体" w:cs="宋体"/>
                <w:b w:val="0"/>
                <w:bCs w:val="0"/>
                <w:color w:val="000000"/>
                <w:sz w:val="21"/>
                <w:szCs w:val="21"/>
                <w:highlight w:val="none"/>
                <w:lang w:eastAsia="zh-CN"/>
              </w:rPr>
              <w:t>；</w:t>
            </w:r>
          </w:p>
          <w:p w14:paraId="6D95BC76">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注：</w:t>
            </w:r>
            <w:r>
              <w:rPr>
                <w:rFonts w:hint="eastAsia" w:ascii="宋体" w:hAnsi="宋体" w:eastAsia="宋体" w:cs="宋体"/>
                <w:color w:val="000000"/>
                <w:sz w:val="21"/>
                <w:szCs w:val="21"/>
                <w:highlight w:val="none"/>
              </w:rPr>
              <w:t>业绩证明材料</w:t>
            </w:r>
            <w:r>
              <w:rPr>
                <w:rFonts w:hint="eastAsia" w:ascii="宋体" w:hAnsi="宋体" w:eastAsia="宋体" w:cs="宋体"/>
                <w:color w:val="000000"/>
                <w:sz w:val="21"/>
                <w:szCs w:val="21"/>
                <w:highlight w:val="none"/>
                <w:lang w:val="en-US" w:eastAsia="zh-CN"/>
              </w:rPr>
              <w:t>以</w:t>
            </w:r>
            <w:r>
              <w:rPr>
                <w:rFonts w:hint="eastAsia" w:ascii="宋体" w:hAnsi="宋体" w:eastAsia="宋体" w:cs="宋体"/>
                <w:color w:val="000000"/>
                <w:sz w:val="21"/>
                <w:szCs w:val="21"/>
                <w:highlight w:val="none"/>
              </w:rPr>
              <w:t>合同</w:t>
            </w:r>
            <w:r>
              <w:rPr>
                <w:rFonts w:hint="eastAsia" w:ascii="宋体" w:hAnsi="宋体" w:eastAsia="宋体" w:cs="宋体"/>
                <w:color w:val="000000"/>
                <w:sz w:val="21"/>
                <w:szCs w:val="21"/>
                <w:highlight w:val="none"/>
                <w:lang w:val="en-US" w:eastAsia="zh-CN"/>
              </w:rPr>
              <w:t>为准（提供合同原件扫描件</w:t>
            </w:r>
            <w:r>
              <w:rPr>
                <w:rFonts w:hint="eastAsia" w:ascii="宋体" w:hAnsi="宋体" w:eastAsia="宋体" w:cs="宋体"/>
                <w:color w:val="000000"/>
                <w:sz w:val="21"/>
                <w:szCs w:val="21"/>
                <w:highlight w:val="none"/>
                <w:lang w:eastAsia="zh-CN"/>
              </w:rPr>
              <w:t>加盖</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lang w:eastAsia="zh-CN"/>
              </w:rPr>
              <w:t>公章</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未提供</w:t>
            </w:r>
            <w:r>
              <w:rPr>
                <w:rFonts w:hint="eastAsia" w:ascii="宋体" w:hAnsi="宋体" w:eastAsia="宋体" w:cs="宋体"/>
                <w:color w:val="000000"/>
                <w:sz w:val="21"/>
                <w:szCs w:val="21"/>
                <w:highlight w:val="none"/>
                <w:lang w:eastAsia="zh-CN"/>
              </w:rPr>
              <w:t>不得分</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若提供的证明材料不能明确体现业绩特征的，还需提供原项目业主出具的加盖其公章的书面证明材料。</w:t>
            </w:r>
          </w:p>
        </w:tc>
        <w:tc>
          <w:tcPr>
            <w:tcW w:w="488" w:type="pct"/>
            <w:noWrap w:val="0"/>
            <w:vAlign w:val="center"/>
          </w:tcPr>
          <w:p w14:paraId="6E2AF4B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7FFC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2" w:type="pct"/>
            <w:noWrap w:val="0"/>
            <w:vAlign w:val="center"/>
          </w:tcPr>
          <w:p w14:paraId="09D200D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2</w:t>
            </w:r>
          </w:p>
        </w:tc>
        <w:tc>
          <w:tcPr>
            <w:tcW w:w="587" w:type="pct"/>
            <w:noWrap w:val="0"/>
            <w:vAlign w:val="center"/>
          </w:tcPr>
          <w:p w14:paraId="0FD615D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技术要求响应程度</w:t>
            </w:r>
          </w:p>
        </w:tc>
        <w:tc>
          <w:tcPr>
            <w:tcW w:w="343" w:type="pct"/>
            <w:noWrap w:val="0"/>
            <w:vAlign w:val="center"/>
          </w:tcPr>
          <w:p w14:paraId="22F1E7F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26</w:t>
            </w:r>
          </w:p>
        </w:tc>
        <w:tc>
          <w:tcPr>
            <w:tcW w:w="3219" w:type="pct"/>
            <w:noWrap w:val="0"/>
            <w:vAlign w:val="center"/>
          </w:tcPr>
          <w:p w14:paraId="4C34E4B9">
            <w:pPr>
              <w:keepNext w:val="0"/>
              <w:keepLines w:val="0"/>
              <w:widowControl/>
              <w:suppressLineNumbers w:val="0"/>
              <w:spacing w:before="0" w:beforeAutospacing="0" w:after="0" w:afterAutospacing="0" w:line="36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不符合（负偏离）技术要求中标注“▲且加下划线”条款（不可偏离）的投标无效。</w:t>
            </w:r>
          </w:p>
          <w:p w14:paraId="50187776">
            <w:pPr>
              <w:keepNext w:val="0"/>
              <w:keepLines w:val="0"/>
              <w:widowControl/>
              <w:suppressLineNumbers w:val="0"/>
              <w:adjustRightInd w:val="0"/>
              <w:spacing w:before="0" w:beforeAutospacing="0" w:after="0" w:afterAutospacing="0" w:line="36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w:t>
            </w:r>
            <w:r>
              <w:rPr>
                <w:rFonts w:hint="eastAsia" w:ascii="宋体" w:hAnsi="宋体" w:eastAsia="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文件明确的全部技术要求的得满分：评标委员会根据参数应答和提供的证明材料情况进行评分，评分要求如下：</w:t>
            </w:r>
          </w:p>
          <w:p w14:paraId="67A58085">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color w:val="000000"/>
                <w:sz w:val="21"/>
                <w:szCs w:val="21"/>
                <w:highlight w:val="none"/>
                <w:shd w:val="clear" w:color="auto" w:fill="FFFFFF"/>
              </w:rPr>
              <w:t>带“★”的要求为重要技术条款</w:t>
            </w:r>
            <w:r>
              <w:rPr>
                <w:rFonts w:hint="eastAsia" w:ascii="宋体" w:hAnsi="宋体" w:eastAsia="宋体" w:cs="宋体"/>
                <w:color w:val="000000"/>
                <w:kern w:val="0"/>
                <w:sz w:val="21"/>
                <w:szCs w:val="21"/>
                <w:highlight w:val="none"/>
              </w:rPr>
              <w:t>（相关条款</w:t>
            </w:r>
            <w:r>
              <w:rPr>
                <w:rFonts w:hint="eastAsia" w:ascii="宋体" w:hAnsi="宋体" w:eastAsia="宋体" w:cs="宋体"/>
                <w:color w:val="000000"/>
                <w:kern w:val="0"/>
                <w:sz w:val="21"/>
                <w:szCs w:val="21"/>
                <w:highlight w:val="none"/>
                <w:lang w:val="en-US" w:eastAsia="zh-CN"/>
              </w:rPr>
              <w:t>须</w:t>
            </w:r>
            <w:r>
              <w:rPr>
                <w:rFonts w:hint="eastAsia" w:ascii="宋体" w:hAnsi="宋体" w:eastAsia="宋体" w:cs="宋体"/>
                <w:color w:val="000000"/>
                <w:kern w:val="0"/>
                <w:sz w:val="21"/>
                <w:szCs w:val="21"/>
                <w:highlight w:val="none"/>
                <w:lang w:eastAsia="zh-CN"/>
              </w:rPr>
              <w:t>提供</w:t>
            </w:r>
            <w:r>
              <w:rPr>
                <w:rFonts w:hint="eastAsia" w:ascii="宋体" w:hAnsi="宋体" w:eastAsia="宋体" w:cs="宋体"/>
                <w:color w:val="000000"/>
                <w:kern w:val="0"/>
                <w:sz w:val="21"/>
                <w:szCs w:val="21"/>
                <w:highlight w:val="none"/>
              </w:rPr>
              <w:t>证明</w:t>
            </w:r>
            <w:r>
              <w:rPr>
                <w:rFonts w:hint="eastAsia" w:ascii="宋体" w:hAnsi="宋体" w:eastAsia="宋体" w:cs="宋体"/>
                <w:color w:val="000000"/>
                <w:kern w:val="0"/>
                <w:sz w:val="21"/>
                <w:szCs w:val="21"/>
                <w:highlight w:val="none"/>
                <w:lang w:val="en-US" w:eastAsia="zh-CN"/>
              </w:rPr>
              <w:t>材料</w:t>
            </w:r>
            <w:r>
              <w:rPr>
                <w:rFonts w:hint="eastAsia" w:ascii="宋体" w:hAnsi="宋体" w:eastAsia="宋体" w:cs="宋体"/>
                <w:color w:val="000000"/>
                <w:kern w:val="0"/>
                <w:sz w:val="21"/>
                <w:szCs w:val="21"/>
                <w:highlight w:val="none"/>
              </w:rPr>
              <w:t>，否则本条不得分）</w:t>
            </w:r>
            <w:r>
              <w:rPr>
                <w:rFonts w:hint="eastAsia" w:ascii="宋体" w:hAnsi="宋体" w:eastAsia="宋体" w:cs="宋体"/>
                <w:b/>
                <w:color w:val="000000"/>
                <w:sz w:val="21"/>
                <w:szCs w:val="21"/>
                <w:highlight w:val="none"/>
                <w:shd w:val="clear" w:color="auto" w:fill="FFFFFF"/>
              </w:rPr>
              <w:t>，负偏离的每条扣</w:t>
            </w:r>
            <w:r>
              <w:rPr>
                <w:rFonts w:hint="eastAsia" w:ascii="宋体" w:hAnsi="宋体" w:eastAsia="宋体" w:cs="宋体"/>
                <w:b/>
                <w:color w:val="000000"/>
                <w:sz w:val="21"/>
                <w:szCs w:val="21"/>
                <w:highlight w:val="none"/>
                <w:shd w:val="clear" w:color="auto" w:fill="FFFFFF"/>
                <w:lang w:val="en-US" w:eastAsia="zh-CN"/>
              </w:rPr>
              <w:t>2</w:t>
            </w:r>
            <w:r>
              <w:rPr>
                <w:rFonts w:hint="eastAsia" w:ascii="宋体" w:hAnsi="宋体" w:eastAsia="宋体" w:cs="宋体"/>
                <w:b/>
                <w:color w:val="000000"/>
                <w:sz w:val="21"/>
                <w:szCs w:val="21"/>
                <w:highlight w:val="none"/>
                <w:shd w:val="clear" w:color="auto" w:fill="FFFFFF"/>
              </w:rPr>
              <w:t>分</w:t>
            </w:r>
            <w:r>
              <w:rPr>
                <w:rFonts w:hint="eastAsia" w:ascii="宋体" w:hAnsi="宋体" w:eastAsia="宋体" w:cs="宋体"/>
                <w:b/>
                <w:color w:val="000000"/>
                <w:sz w:val="21"/>
                <w:szCs w:val="21"/>
                <w:highlight w:val="none"/>
                <w:shd w:val="clear" w:color="auto" w:fill="FFFFFF"/>
                <w:lang w:eastAsia="zh-CN"/>
              </w:rPr>
              <w:t>；</w:t>
            </w:r>
            <w:r>
              <w:rPr>
                <w:rFonts w:hint="eastAsia" w:ascii="宋体" w:hAnsi="宋体" w:eastAsia="宋体" w:cs="宋体"/>
                <w:b/>
                <w:color w:val="000000"/>
                <w:sz w:val="21"/>
                <w:szCs w:val="21"/>
                <w:highlight w:val="none"/>
                <w:shd w:val="clear" w:color="auto" w:fill="FFFFFF"/>
              </w:rPr>
              <w:t>非“★”的指标要求为一般技术条款，负偏离的每条扣</w:t>
            </w:r>
            <w:r>
              <w:rPr>
                <w:rFonts w:hint="eastAsia" w:ascii="宋体" w:hAnsi="宋体" w:eastAsia="宋体" w:cs="宋体"/>
                <w:b/>
                <w:color w:val="000000"/>
                <w:sz w:val="21"/>
                <w:szCs w:val="21"/>
                <w:highlight w:val="none"/>
                <w:shd w:val="clear" w:color="auto" w:fill="FFFFFF"/>
                <w:lang w:val="en-US" w:eastAsia="zh-CN"/>
              </w:rPr>
              <w:t>1</w:t>
            </w:r>
            <w:r>
              <w:rPr>
                <w:rFonts w:hint="eastAsia" w:ascii="宋体" w:hAnsi="宋体" w:eastAsia="宋体" w:cs="宋体"/>
                <w:b/>
                <w:color w:val="000000"/>
                <w:sz w:val="21"/>
                <w:szCs w:val="21"/>
                <w:highlight w:val="none"/>
                <w:shd w:val="clear" w:color="auto" w:fill="FFFFFF"/>
              </w:rPr>
              <w:t>分，扣完为止。</w:t>
            </w:r>
          </w:p>
        </w:tc>
        <w:tc>
          <w:tcPr>
            <w:tcW w:w="488" w:type="pct"/>
            <w:noWrap w:val="0"/>
            <w:vAlign w:val="center"/>
          </w:tcPr>
          <w:p w14:paraId="2FC220F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4810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noWrap w:val="0"/>
            <w:vAlign w:val="center"/>
          </w:tcPr>
          <w:p w14:paraId="55CFFDB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3</w:t>
            </w:r>
          </w:p>
        </w:tc>
        <w:tc>
          <w:tcPr>
            <w:tcW w:w="587" w:type="pct"/>
            <w:noWrap w:val="0"/>
            <w:vAlign w:val="center"/>
          </w:tcPr>
          <w:p w14:paraId="59041EF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rPr>
              <w:t>企业资质</w:t>
            </w:r>
          </w:p>
        </w:tc>
        <w:tc>
          <w:tcPr>
            <w:tcW w:w="343" w:type="pct"/>
            <w:noWrap w:val="0"/>
            <w:vAlign w:val="center"/>
          </w:tcPr>
          <w:p w14:paraId="2724173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3</w:t>
            </w:r>
          </w:p>
        </w:tc>
        <w:tc>
          <w:tcPr>
            <w:tcW w:w="3219" w:type="pct"/>
            <w:noWrap w:val="0"/>
            <w:vAlign w:val="center"/>
          </w:tcPr>
          <w:p w14:paraId="4A848536">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具有有效的质量管理体系认证，得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699EF36E">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具有有效的职业健康安全管理体系</w:t>
            </w:r>
            <w:r>
              <w:rPr>
                <w:rFonts w:hint="eastAsia" w:ascii="宋体" w:hAnsi="宋体" w:eastAsia="宋体" w:cs="宋体"/>
                <w:color w:val="000000"/>
                <w:sz w:val="21"/>
                <w:szCs w:val="21"/>
                <w:highlight w:val="none"/>
                <w:lang w:eastAsia="zh-CN"/>
              </w:rPr>
              <w:t>认证</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75AEB89E">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具有有效的环境管理体系</w:t>
            </w:r>
            <w:r>
              <w:rPr>
                <w:rFonts w:hint="eastAsia" w:ascii="宋体" w:hAnsi="宋体" w:eastAsia="宋体" w:cs="宋体"/>
                <w:color w:val="000000"/>
                <w:sz w:val="21"/>
                <w:szCs w:val="21"/>
                <w:highlight w:val="none"/>
                <w:lang w:eastAsia="zh-CN"/>
              </w:rPr>
              <w:t>认证</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45CB74FF">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color w:val="000000"/>
                <w:kern w:val="0"/>
                <w:sz w:val="21"/>
                <w:szCs w:val="21"/>
                <w:highlight w:val="none"/>
              </w:rPr>
              <w:t>注：</w:t>
            </w:r>
            <w:r>
              <w:rPr>
                <w:rFonts w:hint="eastAsia" w:ascii="宋体" w:hAnsi="宋体" w:eastAsia="宋体" w:cs="宋体"/>
                <w:b/>
                <w:color w:val="000000"/>
                <w:sz w:val="21"/>
                <w:szCs w:val="21"/>
                <w:highlight w:val="none"/>
              </w:rPr>
              <w:t>响应文件附有中国国家认证认可监督管理委员会查询平台（网址：http://www.cnca.gov.cn/）的相关查询记录及有效期内的证书复印件加盖投标人公章，不提供不得分，证书不在有效期内不得分。</w:t>
            </w:r>
          </w:p>
        </w:tc>
        <w:tc>
          <w:tcPr>
            <w:tcW w:w="488" w:type="pct"/>
            <w:noWrap w:val="0"/>
            <w:vAlign w:val="center"/>
          </w:tcPr>
          <w:p w14:paraId="09D7A36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lang w:val="en-US" w:eastAsia="zh-CN"/>
              </w:rPr>
              <w:t>客观</w:t>
            </w:r>
            <w:r>
              <w:rPr>
                <w:rFonts w:hint="eastAsia" w:ascii="宋体" w:hAnsi="宋体" w:eastAsia="宋体" w:cs="宋体"/>
                <w:b w:val="0"/>
                <w:bCs w:val="0"/>
                <w:color w:val="000000"/>
                <w:spacing w:val="-6"/>
                <w:sz w:val="21"/>
                <w:szCs w:val="21"/>
                <w:highlight w:val="none"/>
              </w:rPr>
              <w:t>分</w:t>
            </w:r>
          </w:p>
        </w:tc>
      </w:tr>
      <w:tr w14:paraId="5CDA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vMerge w:val="restart"/>
            <w:noWrap w:val="0"/>
            <w:vAlign w:val="center"/>
          </w:tcPr>
          <w:p w14:paraId="0895444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4</w:t>
            </w:r>
          </w:p>
        </w:tc>
        <w:tc>
          <w:tcPr>
            <w:tcW w:w="587" w:type="pct"/>
            <w:vMerge w:val="restart"/>
            <w:noWrap w:val="0"/>
            <w:vAlign w:val="center"/>
          </w:tcPr>
          <w:p w14:paraId="052336A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实施方案</w:t>
            </w:r>
          </w:p>
        </w:tc>
        <w:tc>
          <w:tcPr>
            <w:tcW w:w="343" w:type="pct"/>
            <w:noWrap w:val="0"/>
            <w:vAlign w:val="center"/>
          </w:tcPr>
          <w:p w14:paraId="3B45235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19" w:type="pct"/>
            <w:noWrap w:val="0"/>
            <w:vAlign w:val="center"/>
          </w:tcPr>
          <w:p w14:paraId="15FEEF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提供的产品供货、验货、安装调试的方案：包括产品供货时间安排、运输方式、场地环境的了解、验货方案、安装调试方案、风险应对措施、应急预案等。</w:t>
            </w:r>
          </w:p>
          <w:p w14:paraId="5C9277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88" w:type="pct"/>
            <w:noWrap w:val="0"/>
            <w:vAlign w:val="center"/>
          </w:tcPr>
          <w:p w14:paraId="4025D86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6EF3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vMerge w:val="continue"/>
            <w:noWrap w:val="0"/>
            <w:vAlign w:val="center"/>
          </w:tcPr>
          <w:p w14:paraId="5CB0BC9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87" w:type="pct"/>
            <w:vMerge w:val="continue"/>
            <w:noWrap w:val="0"/>
            <w:vAlign w:val="center"/>
          </w:tcPr>
          <w:p w14:paraId="2641E202">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43" w:type="pct"/>
            <w:noWrap w:val="0"/>
            <w:vAlign w:val="center"/>
          </w:tcPr>
          <w:p w14:paraId="73ED73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19" w:type="pct"/>
            <w:noWrap w:val="0"/>
            <w:vAlign w:val="center"/>
          </w:tcPr>
          <w:p w14:paraId="44123E1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提供的组织机构、实施人员配置、实施进度安排、工作程序和步骤等内容，能否满足本项目要求进行打分。（评分范围：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88" w:type="pct"/>
            <w:noWrap w:val="0"/>
            <w:vAlign w:val="center"/>
          </w:tcPr>
          <w:p w14:paraId="26D6288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442C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vMerge w:val="continue"/>
            <w:noWrap w:val="0"/>
            <w:vAlign w:val="center"/>
          </w:tcPr>
          <w:p w14:paraId="5BCEE89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87" w:type="pct"/>
            <w:vMerge w:val="continue"/>
            <w:noWrap w:val="0"/>
            <w:vAlign w:val="center"/>
          </w:tcPr>
          <w:p w14:paraId="234486A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43" w:type="pct"/>
            <w:noWrap w:val="0"/>
            <w:vAlign w:val="center"/>
          </w:tcPr>
          <w:p w14:paraId="3622A8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19" w:type="pct"/>
            <w:noWrap w:val="0"/>
            <w:vAlign w:val="center"/>
          </w:tcPr>
          <w:p w14:paraId="097FDE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提供的各环节质量、安全保证措施和承诺等内容是否完整且具有针对性进行打分。（评分范围：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88" w:type="pct"/>
            <w:noWrap w:val="0"/>
            <w:vAlign w:val="center"/>
          </w:tcPr>
          <w:p w14:paraId="31734A8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26A3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vMerge w:val="continue"/>
            <w:noWrap w:val="0"/>
            <w:vAlign w:val="center"/>
          </w:tcPr>
          <w:p w14:paraId="5C5E649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87" w:type="pct"/>
            <w:vMerge w:val="continue"/>
            <w:noWrap w:val="0"/>
            <w:vAlign w:val="center"/>
          </w:tcPr>
          <w:p w14:paraId="6D21757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43" w:type="pct"/>
            <w:noWrap w:val="0"/>
            <w:vAlign w:val="center"/>
          </w:tcPr>
          <w:p w14:paraId="25EC85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19" w:type="pct"/>
            <w:noWrap w:val="0"/>
            <w:vAlign w:val="center"/>
          </w:tcPr>
          <w:p w14:paraId="499FA5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b w:val="0"/>
                <w:bCs/>
                <w:color w:val="auto"/>
                <w:kern w:val="2"/>
                <w:sz w:val="21"/>
                <w:szCs w:val="21"/>
                <w:highlight w:val="none"/>
                <w:lang w:val="en-US" w:eastAsia="zh-CN" w:bidi="ar-SA"/>
              </w:rPr>
              <w:t>根据本项目情况，提供的配套建设服务内容承诺情况。</w:t>
            </w: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88" w:type="pct"/>
            <w:noWrap w:val="0"/>
            <w:vAlign w:val="center"/>
          </w:tcPr>
          <w:p w14:paraId="49C7F42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1842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noWrap w:val="0"/>
            <w:vAlign w:val="center"/>
          </w:tcPr>
          <w:p w14:paraId="0240D67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5</w:t>
            </w:r>
          </w:p>
        </w:tc>
        <w:tc>
          <w:tcPr>
            <w:tcW w:w="587" w:type="pct"/>
            <w:noWrap w:val="0"/>
            <w:vAlign w:val="center"/>
          </w:tcPr>
          <w:p w14:paraId="0B9A771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bidi="ar"/>
              </w:rPr>
              <w:t>售后服务</w:t>
            </w:r>
            <w:r>
              <w:rPr>
                <w:rFonts w:hint="eastAsia" w:ascii="宋体" w:hAnsi="宋体" w:eastAsia="宋体" w:cs="宋体"/>
                <w:b w:val="0"/>
                <w:bCs w:val="0"/>
                <w:color w:val="000000"/>
                <w:sz w:val="21"/>
                <w:szCs w:val="21"/>
                <w:highlight w:val="none"/>
                <w:lang w:val="en-US" w:eastAsia="zh-CN" w:bidi="ar"/>
              </w:rPr>
              <w:t>方案</w:t>
            </w:r>
          </w:p>
        </w:tc>
        <w:tc>
          <w:tcPr>
            <w:tcW w:w="343" w:type="pct"/>
            <w:noWrap w:val="0"/>
            <w:vAlign w:val="center"/>
          </w:tcPr>
          <w:p w14:paraId="223B90A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5</w:t>
            </w:r>
          </w:p>
        </w:tc>
        <w:tc>
          <w:tcPr>
            <w:tcW w:w="3219" w:type="pct"/>
            <w:noWrap w:val="0"/>
            <w:vAlign w:val="center"/>
          </w:tcPr>
          <w:p w14:paraId="53918BED">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zh-TW"/>
              </w:rPr>
            </w:pPr>
            <w:r>
              <w:rPr>
                <w:rFonts w:hint="eastAsia" w:ascii="宋体" w:hAnsi="宋体" w:eastAsia="宋体" w:cs="宋体"/>
                <w:color w:val="000000"/>
                <w:sz w:val="21"/>
                <w:szCs w:val="21"/>
                <w:highlight w:val="none"/>
                <w:lang w:val="en-US" w:eastAsia="zh-CN"/>
              </w:rPr>
              <w:t>根据</w:t>
            </w:r>
            <w:r>
              <w:rPr>
                <w:rFonts w:hint="eastAsia" w:ascii="宋体" w:hAnsi="宋体" w:eastAsia="宋体" w:cs="宋体"/>
                <w:color w:val="000000"/>
                <w:sz w:val="21"/>
                <w:szCs w:val="21"/>
                <w:highlight w:val="none"/>
              </w:rPr>
              <w:t>投标人提供</w:t>
            </w:r>
            <w:r>
              <w:rPr>
                <w:rFonts w:hint="eastAsia" w:ascii="宋体" w:hAnsi="宋体" w:eastAsia="宋体" w:cs="宋体"/>
                <w:color w:val="000000"/>
                <w:sz w:val="21"/>
                <w:szCs w:val="21"/>
                <w:highlight w:val="none"/>
                <w:lang w:eastAsia="zh-CN"/>
              </w:rPr>
              <w:t>的</w:t>
            </w:r>
            <w:r>
              <w:rPr>
                <w:rFonts w:hint="eastAsia" w:ascii="宋体" w:hAnsi="宋体" w:eastAsia="宋体" w:cs="宋体"/>
                <w:color w:val="000000"/>
                <w:sz w:val="21"/>
                <w:szCs w:val="21"/>
                <w:highlight w:val="none"/>
              </w:rPr>
              <w:t>售后服务方案</w:t>
            </w:r>
            <w:r>
              <w:rPr>
                <w:rFonts w:hint="eastAsia" w:ascii="宋体" w:hAnsi="宋体" w:eastAsia="宋体" w:cs="宋体"/>
                <w:color w:val="000000"/>
                <w:sz w:val="21"/>
                <w:szCs w:val="21"/>
                <w:highlight w:val="none"/>
                <w:lang w:val="en-US" w:eastAsia="zh-CN"/>
              </w:rPr>
              <w:t>进行</w:t>
            </w:r>
            <w:r>
              <w:rPr>
                <w:rFonts w:hint="eastAsia" w:ascii="宋体" w:hAnsi="宋体" w:eastAsia="宋体" w:cs="宋体"/>
                <w:color w:val="000000"/>
                <w:sz w:val="21"/>
                <w:szCs w:val="21"/>
                <w:highlight w:val="none"/>
                <w:lang w:eastAsia="zh-CN"/>
              </w:rPr>
              <w:t>综合打分</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内容包括但不限于质保期内外的售后服务内容、维护响应计划、故障响应时间、响应方式等</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val="0"/>
                <w:color w:val="000000"/>
                <w:kern w:val="0"/>
                <w:sz w:val="21"/>
                <w:szCs w:val="21"/>
                <w:highlight w:val="none"/>
              </w:rPr>
              <w:t>（评分范围：</w:t>
            </w:r>
            <w:r>
              <w:rPr>
                <w:rFonts w:hint="eastAsia" w:ascii="宋体" w:hAnsi="宋体" w:eastAsia="宋体" w:cs="宋体"/>
                <w:b w:val="0"/>
                <w:bCs w:val="0"/>
                <w:color w:val="000000"/>
                <w:kern w:val="0"/>
                <w:sz w:val="21"/>
                <w:szCs w:val="21"/>
                <w:highlight w:val="none"/>
                <w:lang w:val="en-US" w:eastAsia="zh-CN"/>
              </w:rPr>
              <w:t>5；</w:t>
            </w:r>
            <w:r>
              <w:rPr>
                <w:rFonts w:hint="eastAsia" w:ascii="宋体" w:hAnsi="宋体" w:eastAsia="宋体" w:cs="宋体"/>
                <w:b w:val="0"/>
                <w:bCs w:val="0"/>
                <w:color w:val="000000"/>
                <w:kern w:val="0"/>
                <w:sz w:val="21"/>
                <w:szCs w:val="21"/>
                <w:highlight w:val="none"/>
              </w:rPr>
              <w:t>4；3；2；1；0）</w:t>
            </w:r>
          </w:p>
        </w:tc>
        <w:tc>
          <w:tcPr>
            <w:tcW w:w="488" w:type="pct"/>
            <w:noWrap w:val="0"/>
            <w:vAlign w:val="center"/>
          </w:tcPr>
          <w:p w14:paraId="5C54CB1B">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5161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noWrap w:val="0"/>
            <w:vAlign w:val="center"/>
          </w:tcPr>
          <w:p w14:paraId="029810B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6</w:t>
            </w:r>
          </w:p>
        </w:tc>
        <w:tc>
          <w:tcPr>
            <w:tcW w:w="587" w:type="pct"/>
            <w:noWrap w:val="0"/>
            <w:vAlign w:val="center"/>
          </w:tcPr>
          <w:p w14:paraId="7E188F7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rPr>
            </w:pPr>
          </w:p>
          <w:p w14:paraId="76FFA5DC">
            <w:pPr>
              <w:keepNext w:val="0"/>
              <w:keepLines w:val="0"/>
              <w:widowControl/>
              <w:suppressLineNumbers w:val="0"/>
              <w:spacing w:before="0" w:beforeAutospacing="0" w:after="0" w:afterAutospacing="0" w:line="360" w:lineRule="exact"/>
              <w:ind w:left="0" w:right="0"/>
              <w:jc w:val="center"/>
              <w:rPr>
                <w:rFonts w:hint="eastAsia"/>
              </w:rPr>
            </w:pPr>
            <w:r>
              <w:rPr>
                <w:rFonts w:hint="eastAsia" w:ascii="宋体" w:hAnsi="宋体" w:eastAsia="宋体" w:cs="宋体"/>
                <w:b w:val="0"/>
                <w:bCs w:val="0"/>
                <w:color w:val="000000"/>
                <w:kern w:val="0"/>
                <w:sz w:val="21"/>
                <w:szCs w:val="21"/>
                <w:highlight w:val="none"/>
              </w:rPr>
              <w:t>质保期承诺</w:t>
            </w:r>
          </w:p>
        </w:tc>
        <w:tc>
          <w:tcPr>
            <w:tcW w:w="343" w:type="pct"/>
            <w:noWrap w:val="0"/>
            <w:vAlign w:val="center"/>
          </w:tcPr>
          <w:p w14:paraId="54B2C9A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2</w:t>
            </w:r>
          </w:p>
        </w:tc>
        <w:tc>
          <w:tcPr>
            <w:tcW w:w="3219" w:type="pct"/>
            <w:noWrap w:val="0"/>
            <w:vAlign w:val="center"/>
          </w:tcPr>
          <w:p w14:paraId="161FA74C">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lang w:eastAsia="zh-CN"/>
              </w:rPr>
            </w:pPr>
            <w:r>
              <w:rPr>
                <w:rFonts w:hint="eastAsia" w:ascii="宋体" w:hAnsi="宋体" w:eastAsia="宋体" w:cs="宋体"/>
                <w:b w:val="0"/>
                <w:bCs w:val="0"/>
                <w:color w:val="000000"/>
                <w:sz w:val="21"/>
                <w:szCs w:val="21"/>
                <w:highlight w:val="none"/>
                <w:lang w:val="en-US" w:eastAsia="zh-CN" w:bidi="ar"/>
              </w:rPr>
              <w:t>质保</w:t>
            </w:r>
            <w:r>
              <w:rPr>
                <w:rFonts w:hint="eastAsia" w:ascii="宋体" w:hAnsi="宋体" w:eastAsia="宋体" w:cs="宋体"/>
                <w:b w:val="0"/>
                <w:bCs w:val="0"/>
                <w:color w:val="000000"/>
                <w:sz w:val="21"/>
                <w:szCs w:val="21"/>
                <w:highlight w:val="none"/>
                <w:lang w:bidi="ar"/>
              </w:rPr>
              <w:t>服务承诺</w:t>
            </w:r>
            <w:r>
              <w:rPr>
                <w:rFonts w:hint="eastAsia" w:ascii="宋体" w:hAnsi="宋体" w:eastAsia="宋体" w:cs="宋体"/>
                <w:b w:val="0"/>
                <w:bCs w:val="0"/>
                <w:color w:val="000000"/>
                <w:sz w:val="21"/>
                <w:szCs w:val="21"/>
                <w:highlight w:val="none"/>
                <w:lang w:eastAsia="zh-CN" w:bidi="ar"/>
              </w:rPr>
              <w:t>：</w:t>
            </w:r>
            <w:r>
              <w:rPr>
                <w:rFonts w:hint="eastAsia" w:ascii="宋体" w:hAnsi="宋体" w:eastAsia="宋体" w:cs="宋体"/>
                <w:b w:val="0"/>
                <w:bCs w:val="0"/>
                <w:color w:val="000000"/>
                <w:sz w:val="21"/>
                <w:szCs w:val="21"/>
                <w:highlight w:val="none"/>
              </w:rPr>
              <w:t>质保期满足</w:t>
            </w:r>
            <w:r>
              <w:rPr>
                <w:rFonts w:hint="eastAsia" w:ascii="宋体" w:hAnsi="宋体" w:eastAsia="宋体" w:cs="宋体"/>
                <w:b w:val="0"/>
                <w:bCs w:val="0"/>
                <w:color w:val="000000"/>
                <w:sz w:val="21"/>
                <w:szCs w:val="21"/>
                <w:highlight w:val="none"/>
                <w:lang w:eastAsia="zh-CN"/>
              </w:rPr>
              <w:t>招标文件</w:t>
            </w:r>
            <w:r>
              <w:rPr>
                <w:rFonts w:hint="eastAsia" w:ascii="宋体" w:hAnsi="宋体" w:eastAsia="宋体" w:cs="宋体"/>
                <w:b w:val="0"/>
                <w:bCs w:val="0"/>
                <w:color w:val="000000"/>
                <w:sz w:val="21"/>
                <w:szCs w:val="21"/>
                <w:highlight w:val="none"/>
              </w:rPr>
              <w:t>要求的0分,每延长（项目整体）一年得</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分,最多加</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分,延长时间不足一年的不计入加分</w:t>
            </w:r>
            <w:r>
              <w:rPr>
                <w:rFonts w:hint="eastAsia" w:ascii="宋体" w:hAnsi="宋体" w:eastAsia="宋体" w:cs="宋体"/>
                <w:b w:val="0"/>
                <w:bCs w:val="0"/>
                <w:color w:val="000000"/>
                <w:sz w:val="21"/>
                <w:szCs w:val="21"/>
                <w:highlight w:val="none"/>
                <w:lang w:eastAsia="zh-CN"/>
              </w:rPr>
              <w:t>。</w:t>
            </w:r>
          </w:p>
        </w:tc>
        <w:tc>
          <w:tcPr>
            <w:tcW w:w="488" w:type="pct"/>
            <w:noWrap w:val="0"/>
            <w:vAlign w:val="center"/>
          </w:tcPr>
          <w:p w14:paraId="3E4448F8">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5275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noWrap w:val="0"/>
            <w:vAlign w:val="center"/>
          </w:tcPr>
          <w:p w14:paraId="49BBE9C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bidi="ar-SA"/>
              </w:rPr>
              <w:t>7</w:t>
            </w:r>
          </w:p>
        </w:tc>
        <w:tc>
          <w:tcPr>
            <w:tcW w:w="587" w:type="pct"/>
            <w:noWrap w:val="0"/>
            <w:vAlign w:val="center"/>
          </w:tcPr>
          <w:p w14:paraId="508D0E2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培训方案</w:t>
            </w:r>
          </w:p>
        </w:tc>
        <w:tc>
          <w:tcPr>
            <w:tcW w:w="343" w:type="pct"/>
            <w:noWrap w:val="0"/>
            <w:vAlign w:val="center"/>
          </w:tcPr>
          <w:p w14:paraId="1E4F973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eastAsia="zh-CN"/>
              </w:rPr>
            </w:pPr>
            <w:r>
              <w:rPr>
                <w:rFonts w:hint="eastAsia" w:ascii="宋体" w:hAnsi="宋体" w:eastAsia="宋体" w:cs="宋体"/>
                <w:b w:val="0"/>
                <w:bCs w:val="0"/>
                <w:color w:val="000000"/>
                <w:kern w:val="0"/>
                <w:sz w:val="21"/>
                <w:szCs w:val="21"/>
                <w:highlight w:val="none"/>
                <w:lang w:val="en-US" w:eastAsia="zh-CN"/>
              </w:rPr>
              <w:t>5</w:t>
            </w:r>
          </w:p>
        </w:tc>
        <w:tc>
          <w:tcPr>
            <w:tcW w:w="3219" w:type="pct"/>
            <w:noWrap w:val="0"/>
            <w:vAlign w:val="center"/>
          </w:tcPr>
          <w:p w14:paraId="32E2E3A5">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000000"/>
                <w:sz w:val="21"/>
                <w:szCs w:val="21"/>
                <w:highlight w:val="none"/>
                <w:lang w:val="en-US" w:eastAsia="zh-CN"/>
              </w:rPr>
              <w:t>根据</w:t>
            </w:r>
            <w:r>
              <w:rPr>
                <w:rFonts w:hint="eastAsia" w:ascii="宋体" w:hAnsi="宋体" w:eastAsia="宋体" w:cs="宋体"/>
                <w:color w:val="000000"/>
                <w:sz w:val="21"/>
                <w:szCs w:val="21"/>
                <w:highlight w:val="none"/>
              </w:rPr>
              <w:t>投标人提供</w:t>
            </w:r>
            <w:r>
              <w:rPr>
                <w:rFonts w:hint="eastAsia" w:ascii="宋体" w:hAnsi="宋体" w:eastAsia="宋体" w:cs="宋体"/>
                <w:color w:val="000000"/>
                <w:sz w:val="21"/>
                <w:szCs w:val="21"/>
                <w:highlight w:val="none"/>
                <w:lang w:eastAsia="zh-CN"/>
              </w:rPr>
              <w:t>的设备</w:t>
            </w:r>
            <w:r>
              <w:rPr>
                <w:rFonts w:hint="eastAsia" w:ascii="宋体" w:hAnsi="宋体" w:eastAsia="宋体" w:cs="宋体"/>
                <w:color w:val="000000"/>
                <w:sz w:val="21"/>
                <w:szCs w:val="21"/>
                <w:highlight w:val="none"/>
              </w:rPr>
              <w:t>培训方案</w:t>
            </w:r>
            <w:r>
              <w:rPr>
                <w:rFonts w:hint="eastAsia" w:ascii="宋体" w:hAnsi="宋体" w:eastAsia="宋体" w:cs="宋体"/>
                <w:color w:val="000000"/>
                <w:sz w:val="21"/>
                <w:szCs w:val="21"/>
                <w:highlight w:val="none"/>
                <w:lang w:val="en-US" w:eastAsia="zh-CN"/>
              </w:rPr>
              <w:t>进行</w:t>
            </w:r>
            <w:r>
              <w:rPr>
                <w:rFonts w:hint="eastAsia" w:ascii="宋体" w:hAnsi="宋体" w:eastAsia="宋体" w:cs="宋体"/>
                <w:color w:val="000000"/>
                <w:sz w:val="21"/>
                <w:szCs w:val="21"/>
                <w:highlight w:val="none"/>
                <w:lang w:eastAsia="zh-CN"/>
              </w:rPr>
              <w:t>综合打分：</w:t>
            </w:r>
            <w:r>
              <w:rPr>
                <w:rFonts w:hint="eastAsia" w:ascii="宋体" w:hAnsi="宋体" w:eastAsia="宋体" w:cs="宋体"/>
                <w:color w:val="000000"/>
                <w:sz w:val="21"/>
                <w:szCs w:val="21"/>
                <w:highlight w:val="none"/>
              </w:rPr>
              <w:t>内容包括但不限于培训计划、培训方式、培训措施等</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val="0"/>
                <w:color w:val="000000"/>
                <w:kern w:val="0"/>
                <w:sz w:val="21"/>
                <w:szCs w:val="21"/>
                <w:highlight w:val="none"/>
              </w:rPr>
              <w:t>（评分范围：</w:t>
            </w:r>
            <w:r>
              <w:rPr>
                <w:rFonts w:hint="eastAsia" w:ascii="宋体" w:hAnsi="宋体" w:eastAsia="宋体" w:cs="宋体"/>
                <w:b w:val="0"/>
                <w:bCs w:val="0"/>
                <w:color w:val="000000"/>
                <w:kern w:val="0"/>
                <w:sz w:val="21"/>
                <w:szCs w:val="21"/>
                <w:highlight w:val="none"/>
                <w:lang w:val="en-US" w:eastAsia="zh-CN"/>
              </w:rPr>
              <w:t>5；</w:t>
            </w:r>
            <w:r>
              <w:rPr>
                <w:rFonts w:hint="eastAsia" w:ascii="宋体" w:hAnsi="宋体" w:eastAsia="宋体" w:cs="宋体"/>
                <w:b w:val="0"/>
                <w:bCs w:val="0"/>
                <w:color w:val="000000"/>
                <w:kern w:val="0"/>
                <w:sz w:val="21"/>
                <w:szCs w:val="21"/>
                <w:highlight w:val="none"/>
              </w:rPr>
              <w:t>4；3；2；1；0）</w:t>
            </w:r>
          </w:p>
        </w:tc>
        <w:tc>
          <w:tcPr>
            <w:tcW w:w="488" w:type="pct"/>
            <w:noWrap w:val="0"/>
            <w:vAlign w:val="center"/>
          </w:tcPr>
          <w:p w14:paraId="2ED8DF64">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73E2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2" w:type="pct"/>
            <w:noWrap w:val="0"/>
            <w:vAlign w:val="center"/>
          </w:tcPr>
          <w:p w14:paraId="2BB77F8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bidi="ar-SA"/>
              </w:rPr>
              <w:t>8</w:t>
            </w:r>
          </w:p>
        </w:tc>
        <w:tc>
          <w:tcPr>
            <w:tcW w:w="587" w:type="pct"/>
            <w:noWrap w:val="0"/>
            <w:vAlign w:val="center"/>
          </w:tcPr>
          <w:p w14:paraId="1EF9E04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color w:val="000000"/>
                <w:sz w:val="21"/>
                <w:szCs w:val="21"/>
                <w:highlight w:val="none"/>
              </w:rPr>
              <w:t>产品演示</w:t>
            </w:r>
          </w:p>
        </w:tc>
        <w:tc>
          <w:tcPr>
            <w:tcW w:w="343" w:type="pct"/>
            <w:noWrap w:val="0"/>
            <w:vAlign w:val="center"/>
          </w:tcPr>
          <w:p w14:paraId="144CB0E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15</w:t>
            </w:r>
          </w:p>
        </w:tc>
        <w:tc>
          <w:tcPr>
            <w:tcW w:w="3219" w:type="pct"/>
            <w:noWrap w:val="0"/>
            <w:vAlign w:val="center"/>
          </w:tcPr>
          <w:p w14:paraId="0D34B58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z w:val="22"/>
                <w:szCs w:val="22"/>
                <w:highlight w:val="none"/>
              </w:rPr>
              <w:t>投标</w:t>
            </w:r>
            <w:r>
              <w:rPr>
                <w:rFonts w:hint="eastAsia" w:ascii="宋体" w:hAnsi="宋体" w:eastAsia="宋体" w:cs="宋体"/>
                <w:color w:val="auto"/>
                <w:sz w:val="22"/>
                <w:szCs w:val="22"/>
                <w:highlight w:val="none"/>
                <w:lang w:val="en-US" w:eastAsia="zh-CN"/>
              </w:rPr>
              <w:t>供应商</w:t>
            </w:r>
            <w:r>
              <w:rPr>
                <w:rFonts w:hint="eastAsia" w:ascii="宋体" w:hAnsi="宋体" w:eastAsia="宋体" w:cs="宋体"/>
                <w:color w:val="auto"/>
                <w:sz w:val="22"/>
                <w:szCs w:val="22"/>
                <w:highlight w:val="none"/>
              </w:rPr>
              <w:t>根据</w:t>
            </w:r>
            <w:r>
              <w:rPr>
                <w:rFonts w:hint="eastAsia" w:ascii="宋体" w:hAnsi="宋体" w:eastAsia="宋体" w:cs="宋体"/>
                <w:color w:val="auto"/>
                <w:kern w:val="0"/>
                <w:sz w:val="22"/>
                <w:szCs w:val="22"/>
                <w:highlight w:val="none"/>
              </w:rPr>
              <w:t>对照</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标项3主要采购内容及技术参数要求</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kern w:val="0"/>
                <w:sz w:val="22"/>
                <w:szCs w:val="22"/>
                <w:highlight w:val="none"/>
              </w:rPr>
              <w:t>中带</w:t>
            </w:r>
            <w:r>
              <w:rPr>
                <w:rFonts w:hint="eastAsia" w:ascii="宋体" w:hAnsi="宋体" w:cs="宋体"/>
                <w:b/>
                <w:color w:val="auto"/>
                <w:sz w:val="22"/>
                <w:highlight w:val="none"/>
                <w:lang w:eastAsia="zh-CN"/>
              </w:rPr>
              <w:t>“</w:t>
            </w:r>
            <w:r>
              <w:rPr>
                <w:rFonts w:hint="eastAsia" w:ascii="宋体" w:hAnsi="宋体" w:eastAsia="宋体" w:cs="宋体"/>
                <w:color w:val="auto"/>
                <w:kern w:val="0"/>
                <w:sz w:val="22"/>
                <w:szCs w:val="22"/>
                <w:highlight w:val="none"/>
              </w:rPr>
              <w:t>●</w:t>
            </w:r>
            <w:r>
              <w:rPr>
                <w:rFonts w:hint="eastAsia" w:ascii="宋体" w:hAnsi="宋体" w:cs="宋体"/>
                <w:b/>
                <w:color w:val="auto"/>
                <w:sz w:val="22"/>
                <w:highlight w:val="none"/>
                <w:lang w:eastAsia="zh-CN"/>
              </w:rPr>
              <w:t>”</w:t>
            </w:r>
            <w:r>
              <w:rPr>
                <w:rFonts w:hint="eastAsia" w:ascii="宋体" w:hAnsi="宋体" w:eastAsia="宋体" w:cs="宋体"/>
                <w:color w:val="auto"/>
                <w:kern w:val="0"/>
                <w:sz w:val="22"/>
                <w:szCs w:val="22"/>
                <w:highlight w:val="none"/>
              </w:rPr>
              <w:t>号技术性能指标进行</w:t>
            </w:r>
            <w:r>
              <w:rPr>
                <w:rFonts w:hint="eastAsia" w:ascii="宋体" w:hAnsi="宋体" w:eastAsia="宋体" w:cs="宋体"/>
                <w:color w:val="auto"/>
                <w:kern w:val="0"/>
                <w:sz w:val="22"/>
                <w:szCs w:val="22"/>
                <w:highlight w:val="none"/>
                <w:lang w:val="en-US" w:eastAsia="zh-CN"/>
              </w:rPr>
              <w:t>视频</w:t>
            </w:r>
            <w:r>
              <w:rPr>
                <w:rFonts w:hint="eastAsia" w:ascii="宋体" w:hAnsi="宋体" w:eastAsia="宋体" w:cs="宋体"/>
                <w:color w:val="auto"/>
                <w:kern w:val="0"/>
                <w:sz w:val="22"/>
                <w:szCs w:val="22"/>
                <w:highlight w:val="none"/>
              </w:rPr>
              <w:t>演示</w:t>
            </w:r>
            <w:r>
              <w:rPr>
                <w:rFonts w:hint="eastAsia" w:ascii="宋体" w:hAnsi="宋体" w:eastAsia="宋体" w:cs="宋体"/>
                <w:color w:val="auto"/>
                <w:sz w:val="22"/>
                <w:szCs w:val="22"/>
                <w:highlight w:val="none"/>
              </w:rPr>
              <w:t>，佐证其所投产品能够实现技术文件中描述的功能</w:t>
            </w:r>
            <w:r>
              <w:rPr>
                <w:rFonts w:hint="eastAsia" w:ascii="宋体" w:hAnsi="宋体" w:eastAsia="宋体" w:cs="宋体"/>
                <w:color w:val="auto"/>
                <w:kern w:val="0"/>
                <w:sz w:val="22"/>
                <w:szCs w:val="22"/>
                <w:highlight w:val="none"/>
                <w:lang w:eastAsia="zh-CN"/>
              </w:rPr>
              <w:t>。</w:t>
            </w:r>
          </w:p>
          <w:p w14:paraId="0AEDAD8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p>
          <w:p w14:paraId="27642478">
            <w:pPr>
              <w:keepNext w:val="0"/>
              <w:keepLines w:val="0"/>
              <w:widowControl/>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val="en-US" w:eastAsia="zh-CN"/>
              </w:rPr>
              <w:t>1</w:t>
            </w:r>
            <w:r>
              <w:rPr>
                <w:rFonts w:hint="eastAsia" w:ascii="宋体" w:hAnsi="宋体" w:eastAsia="宋体"/>
                <w:b w:val="0"/>
                <w:bCs w:val="0"/>
                <w:color w:val="auto"/>
                <w:sz w:val="21"/>
                <w:szCs w:val="21"/>
                <w:highlight w:val="none"/>
              </w:rPr>
              <w:t>.对应</w:t>
            </w:r>
            <w:r>
              <w:rPr>
                <w:rFonts w:hint="eastAsia" w:ascii="宋体" w:hAnsi="宋体" w:eastAsia="宋体"/>
                <w:b w:val="0"/>
                <w:bCs w:val="0"/>
                <w:color w:val="auto"/>
                <w:sz w:val="21"/>
                <w:szCs w:val="21"/>
                <w:highlight w:val="none"/>
                <w:u w:val="none"/>
                <w:lang w:eastAsia="zh-CN"/>
              </w:rPr>
              <w:t>“</w:t>
            </w:r>
            <w:r>
              <w:rPr>
                <w:rFonts w:hint="eastAsia" w:ascii="宋体" w:hAnsi="宋体" w:eastAsia="宋体" w:cs="宋体"/>
                <w:color w:val="auto"/>
                <w:sz w:val="21"/>
                <w:szCs w:val="21"/>
              </w:rPr>
              <w:t>安全用电考核系统</w:t>
            </w:r>
            <w:r>
              <w:rPr>
                <w:rFonts w:hint="eastAsia" w:ascii="宋体" w:hAnsi="宋体" w:eastAsia="宋体"/>
                <w:b w:val="0"/>
                <w:bCs w:val="0"/>
                <w:color w:val="auto"/>
                <w:sz w:val="21"/>
                <w:szCs w:val="21"/>
                <w:highlight w:val="none"/>
                <w:u w:val="none"/>
                <w:lang w:eastAsia="zh-CN"/>
              </w:rPr>
              <w:t>”</w:t>
            </w:r>
            <w:r>
              <w:rPr>
                <w:rFonts w:hint="eastAsia" w:ascii="宋体" w:hAnsi="宋体" w:eastAsia="宋体"/>
                <w:b w:val="0"/>
                <w:bCs w:val="0"/>
                <w:color w:val="auto"/>
                <w:sz w:val="21"/>
                <w:szCs w:val="21"/>
                <w:highlight w:val="none"/>
                <w:u w:val="none"/>
                <w:lang w:val="en-US" w:eastAsia="zh-CN"/>
              </w:rPr>
              <w:t>的功能进行演示</w:t>
            </w:r>
            <w:r>
              <w:rPr>
                <w:rFonts w:hint="eastAsia" w:ascii="宋体" w:hAnsi="宋体" w:eastAsia="宋体"/>
                <w:b w:val="0"/>
                <w:bCs w:val="0"/>
                <w:color w:val="auto"/>
                <w:sz w:val="21"/>
                <w:szCs w:val="21"/>
                <w:highlight w:val="none"/>
              </w:rPr>
              <w:t>，</w:t>
            </w:r>
            <w:r>
              <w:rPr>
                <w:rFonts w:hint="eastAsia" w:ascii="宋体" w:hAnsi="宋体" w:eastAsia="宋体" w:cs="宋体"/>
                <w:b/>
                <w:bCs/>
                <w:color w:val="auto"/>
                <w:kern w:val="0"/>
                <w:sz w:val="21"/>
                <w:szCs w:val="21"/>
                <w:highlight w:val="none"/>
                <w14:ligatures w14:val="none"/>
              </w:rPr>
              <w:t>完全满足各项要求的得</w:t>
            </w:r>
            <w:r>
              <w:rPr>
                <w:rFonts w:hint="eastAsia" w:ascii="宋体" w:hAnsi="宋体" w:eastAsia="宋体" w:cs="宋体"/>
                <w:b/>
                <w:bCs/>
                <w:color w:val="auto"/>
                <w:kern w:val="0"/>
                <w:sz w:val="21"/>
                <w:szCs w:val="21"/>
                <w:highlight w:val="none"/>
                <w:lang w:val="en-US" w:eastAsia="zh-CN"/>
                <w14:ligatures w14:val="none"/>
              </w:rPr>
              <w:t>5</w:t>
            </w:r>
            <w:r>
              <w:rPr>
                <w:rFonts w:hint="eastAsia" w:ascii="宋体" w:hAnsi="宋体" w:eastAsia="宋体" w:cs="宋体"/>
                <w:b/>
                <w:bCs/>
                <w:color w:val="auto"/>
                <w:kern w:val="0"/>
                <w:sz w:val="21"/>
                <w:szCs w:val="21"/>
                <w:highlight w:val="none"/>
                <w14:ligatures w14:val="none"/>
              </w:rPr>
              <w:t>分；满足部分要求的得</w:t>
            </w:r>
            <w:r>
              <w:rPr>
                <w:rFonts w:hint="eastAsia" w:ascii="宋体" w:hAnsi="宋体" w:eastAsia="宋体" w:cs="宋体"/>
                <w:b/>
                <w:bCs/>
                <w:color w:val="auto"/>
                <w:kern w:val="0"/>
                <w:sz w:val="21"/>
                <w:szCs w:val="21"/>
                <w:highlight w:val="none"/>
                <w:lang w:val="en-US" w:eastAsia="zh-CN"/>
                <w14:ligatures w14:val="none"/>
              </w:rPr>
              <w:t>2</w:t>
            </w:r>
            <w:r>
              <w:rPr>
                <w:rFonts w:hint="eastAsia" w:ascii="宋体" w:hAnsi="宋体" w:eastAsia="宋体" w:cs="宋体"/>
                <w:b/>
                <w:bCs/>
                <w:color w:val="auto"/>
                <w:kern w:val="0"/>
                <w:sz w:val="21"/>
                <w:szCs w:val="21"/>
                <w:highlight w:val="none"/>
                <w14:ligatures w14:val="none"/>
              </w:rPr>
              <w:t>分；各项要求响应程度低的得</w:t>
            </w:r>
            <w:r>
              <w:rPr>
                <w:rFonts w:hint="eastAsia" w:ascii="宋体" w:hAnsi="宋体" w:eastAsia="宋体" w:cs="宋体"/>
                <w:b/>
                <w:bCs/>
                <w:color w:val="auto"/>
                <w:kern w:val="0"/>
                <w:sz w:val="21"/>
                <w:szCs w:val="21"/>
                <w:highlight w:val="none"/>
                <w:lang w:val="en-US" w:eastAsia="zh-CN"/>
                <w14:ligatures w14:val="none"/>
              </w:rPr>
              <w:t>0.5</w:t>
            </w:r>
            <w:r>
              <w:rPr>
                <w:rFonts w:hint="eastAsia" w:ascii="宋体" w:hAnsi="宋体" w:eastAsia="宋体" w:cs="宋体"/>
                <w:b/>
                <w:bCs/>
                <w:color w:val="auto"/>
                <w:kern w:val="0"/>
                <w:sz w:val="21"/>
                <w:szCs w:val="21"/>
                <w:highlight w:val="none"/>
                <w14:ligatures w14:val="none"/>
              </w:rPr>
              <w:t>分，未提供的不得分</w:t>
            </w:r>
            <w:r>
              <w:rPr>
                <w:rFonts w:hint="eastAsia" w:ascii="宋体" w:hAnsi="宋体" w:eastAsia="宋体"/>
                <w:b w:val="0"/>
                <w:bCs w:val="0"/>
                <w:color w:val="auto"/>
                <w:sz w:val="21"/>
                <w:szCs w:val="21"/>
                <w:highlight w:val="none"/>
              </w:rPr>
              <w:t>。</w:t>
            </w:r>
          </w:p>
          <w:p w14:paraId="4D8EE93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p>
          <w:p w14:paraId="3FDFA5AD">
            <w:pPr>
              <w:keepNext w:val="0"/>
              <w:keepLines w:val="0"/>
              <w:widowControl/>
              <w:numPr>
                <w:ilvl w:val="-1"/>
                <w:numId w:val="0"/>
              </w:numPr>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val="en-US" w:eastAsia="zh-CN"/>
              </w:rPr>
              <w:t>2.</w:t>
            </w:r>
            <w:r>
              <w:rPr>
                <w:rFonts w:hint="eastAsia" w:ascii="宋体" w:hAnsi="宋体" w:eastAsia="宋体"/>
                <w:b w:val="0"/>
                <w:bCs w:val="0"/>
                <w:color w:val="auto"/>
                <w:sz w:val="21"/>
                <w:szCs w:val="21"/>
                <w:highlight w:val="none"/>
              </w:rPr>
              <w:t>对应</w:t>
            </w:r>
            <w:r>
              <w:rPr>
                <w:rFonts w:hint="eastAsia" w:ascii="宋体" w:hAnsi="宋体" w:eastAsia="宋体"/>
                <w:b w:val="0"/>
                <w:bCs w:val="0"/>
                <w:color w:val="auto"/>
                <w:sz w:val="21"/>
                <w:szCs w:val="21"/>
                <w:highlight w:val="none"/>
                <w:u w:val="none"/>
                <w:lang w:eastAsia="zh-CN"/>
              </w:rPr>
              <w:t>“</w:t>
            </w:r>
            <w:r>
              <w:rPr>
                <w:rFonts w:hint="eastAsia" w:ascii="宋体" w:hAnsi="宋体" w:eastAsia="宋体" w:cs="宋体"/>
                <w:b w:val="0"/>
                <w:bCs w:val="0"/>
                <w:sz w:val="21"/>
                <w:szCs w:val="21"/>
                <w:lang w:val="en-US" w:eastAsia="zh-CN"/>
              </w:rPr>
              <w:t>电子电工</w:t>
            </w:r>
            <w:r>
              <w:rPr>
                <w:rFonts w:hint="eastAsia" w:ascii="宋体" w:hAnsi="宋体" w:eastAsia="宋体" w:cs="宋体"/>
                <w:b w:val="0"/>
                <w:bCs w:val="0"/>
                <w:sz w:val="21"/>
                <w:szCs w:val="21"/>
              </w:rPr>
              <w:t>信息化考试系统</w:t>
            </w:r>
            <w:r>
              <w:rPr>
                <w:rFonts w:hint="eastAsia" w:ascii="宋体" w:hAnsi="宋体" w:eastAsia="宋体"/>
                <w:b w:val="0"/>
                <w:bCs w:val="0"/>
                <w:color w:val="auto"/>
                <w:sz w:val="21"/>
                <w:szCs w:val="21"/>
                <w:highlight w:val="none"/>
                <w:u w:val="none"/>
                <w:lang w:eastAsia="zh-CN"/>
              </w:rPr>
              <w:t>”</w:t>
            </w:r>
            <w:r>
              <w:rPr>
                <w:rFonts w:hint="eastAsia" w:ascii="宋体" w:hAnsi="宋体" w:eastAsia="宋体"/>
                <w:b w:val="0"/>
                <w:bCs w:val="0"/>
                <w:color w:val="auto"/>
                <w:sz w:val="21"/>
                <w:szCs w:val="21"/>
                <w:highlight w:val="none"/>
                <w:u w:val="none"/>
                <w:lang w:val="en-US" w:eastAsia="zh-CN"/>
              </w:rPr>
              <w:t>的功能进行演示</w:t>
            </w:r>
            <w:r>
              <w:rPr>
                <w:rFonts w:hint="eastAsia" w:ascii="宋体" w:hAnsi="宋体" w:eastAsia="宋体"/>
                <w:b w:val="0"/>
                <w:bCs w:val="0"/>
                <w:color w:val="auto"/>
                <w:sz w:val="21"/>
                <w:szCs w:val="21"/>
                <w:highlight w:val="none"/>
              </w:rPr>
              <w:t>，</w:t>
            </w:r>
            <w:r>
              <w:rPr>
                <w:rFonts w:hint="eastAsia" w:ascii="宋体" w:hAnsi="宋体" w:eastAsia="宋体" w:cs="宋体"/>
                <w:b/>
                <w:bCs/>
                <w:color w:val="auto"/>
                <w:kern w:val="0"/>
                <w:sz w:val="21"/>
                <w:szCs w:val="21"/>
                <w:highlight w:val="none"/>
                <w14:ligatures w14:val="none"/>
              </w:rPr>
              <w:t>完全满足各项要求的得</w:t>
            </w:r>
            <w:r>
              <w:rPr>
                <w:rFonts w:hint="eastAsia" w:ascii="宋体" w:hAnsi="宋体" w:eastAsia="宋体" w:cs="宋体"/>
                <w:b/>
                <w:bCs/>
                <w:color w:val="auto"/>
                <w:kern w:val="0"/>
                <w:sz w:val="21"/>
                <w:szCs w:val="21"/>
                <w:highlight w:val="none"/>
                <w:lang w:val="en-US" w:eastAsia="zh-CN"/>
                <w14:ligatures w14:val="none"/>
              </w:rPr>
              <w:t>5</w:t>
            </w:r>
            <w:r>
              <w:rPr>
                <w:rFonts w:hint="eastAsia" w:ascii="宋体" w:hAnsi="宋体" w:eastAsia="宋体" w:cs="宋体"/>
                <w:b/>
                <w:bCs/>
                <w:color w:val="auto"/>
                <w:kern w:val="0"/>
                <w:sz w:val="21"/>
                <w:szCs w:val="21"/>
                <w:highlight w:val="none"/>
                <w14:ligatures w14:val="none"/>
              </w:rPr>
              <w:t>分；满足部分要求的得</w:t>
            </w:r>
            <w:r>
              <w:rPr>
                <w:rFonts w:hint="eastAsia" w:ascii="宋体" w:hAnsi="宋体" w:eastAsia="宋体" w:cs="宋体"/>
                <w:b/>
                <w:bCs/>
                <w:color w:val="auto"/>
                <w:kern w:val="0"/>
                <w:sz w:val="21"/>
                <w:szCs w:val="21"/>
                <w:highlight w:val="none"/>
                <w:lang w:val="en-US" w:eastAsia="zh-CN"/>
                <w14:ligatures w14:val="none"/>
              </w:rPr>
              <w:t>2</w:t>
            </w:r>
            <w:r>
              <w:rPr>
                <w:rFonts w:hint="eastAsia" w:ascii="宋体" w:hAnsi="宋体" w:eastAsia="宋体" w:cs="宋体"/>
                <w:b/>
                <w:bCs/>
                <w:color w:val="auto"/>
                <w:kern w:val="0"/>
                <w:sz w:val="21"/>
                <w:szCs w:val="21"/>
                <w:highlight w:val="none"/>
                <w14:ligatures w14:val="none"/>
              </w:rPr>
              <w:t>分；各项要求响应程度低的得</w:t>
            </w:r>
            <w:r>
              <w:rPr>
                <w:rFonts w:hint="eastAsia" w:ascii="宋体" w:hAnsi="宋体" w:eastAsia="宋体" w:cs="宋体"/>
                <w:b/>
                <w:bCs/>
                <w:color w:val="auto"/>
                <w:kern w:val="0"/>
                <w:sz w:val="21"/>
                <w:szCs w:val="21"/>
                <w:highlight w:val="none"/>
                <w:lang w:val="en-US" w:eastAsia="zh-CN"/>
                <w14:ligatures w14:val="none"/>
              </w:rPr>
              <w:t>0.5</w:t>
            </w:r>
            <w:r>
              <w:rPr>
                <w:rFonts w:hint="eastAsia" w:ascii="宋体" w:hAnsi="宋体" w:eastAsia="宋体" w:cs="宋体"/>
                <w:b/>
                <w:bCs/>
                <w:color w:val="auto"/>
                <w:kern w:val="0"/>
                <w:sz w:val="21"/>
                <w:szCs w:val="21"/>
                <w:highlight w:val="none"/>
                <w14:ligatures w14:val="none"/>
              </w:rPr>
              <w:t>分，未提供的不得分</w:t>
            </w:r>
            <w:r>
              <w:rPr>
                <w:rFonts w:hint="eastAsia" w:ascii="宋体" w:hAnsi="宋体" w:eastAsia="宋体"/>
                <w:b w:val="0"/>
                <w:bCs w:val="0"/>
                <w:color w:val="auto"/>
                <w:sz w:val="21"/>
                <w:szCs w:val="21"/>
                <w:highlight w:val="none"/>
              </w:rPr>
              <w:t>。</w:t>
            </w:r>
          </w:p>
          <w:p w14:paraId="52721402">
            <w:pPr>
              <w:keepNext w:val="0"/>
              <w:keepLines w:val="0"/>
              <w:widowControl/>
              <w:numPr>
                <w:ilvl w:val="-1"/>
                <w:numId w:val="0"/>
              </w:numPr>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p>
          <w:p w14:paraId="1DA441EF">
            <w:pPr>
              <w:keepNext w:val="0"/>
              <w:keepLines w:val="0"/>
              <w:widowControl/>
              <w:numPr>
                <w:ilvl w:val="-1"/>
                <w:numId w:val="0"/>
              </w:numPr>
              <w:suppressLineNumbers w:val="0"/>
              <w:spacing w:before="0" w:beforeAutospacing="0" w:after="0" w:afterAutospacing="0" w:line="240" w:lineRule="auto"/>
              <w:ind w:left="0" w:right="0"/>
              <w:jc w:val="both"/>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val="en-US" w:eastAsia="zh-CN"/>
              </w:rPr>
              <w:t>3.</w:t>
            </w:r>
            <w:r>
              <w:rPr>
                <w:rFonts w:hint="eastAsia" w:ascii="宋体" w:hAnsi="宋体" w:eastAsia="宋体"/>
                <w:b w:val="0"/>
                <w:bCs w:val="0"/>
                <w:color w:val="auto"/>
                <w:sz w:val="21"/>
                <w:szCs w:val="21"/>
                <w:highlight w:val="none"/>
              </w:rPr>
              <w:t>对应</w:t>
            </w:r>
            <w:r>
              <w:rPr>
                <w:rFonts w:hint="eastAsia" w:ascii="宋体" w:hAnsi="宋体" w:eastAsia="宋体"/>
                <w:b w:val="0"/>
                <w:bCs w:val="0"/>
                <w:color w:val="auto"/>
                <w:sz w:val="21"/>
                <w:szCs w:val="21"/>
                <w:highlight w:val="none"/>
                <w:u w:val="none"/>
                <w:lang w:eastAsia="zh-CN"/>
              </w:rPr>
              <w:t>“</w:t>
            </w:r>
            <w:r>
              <w:rPr>
                <w:rFonts w:hint="eastAsia" w:ascii="宋体" w:hAnsi="宋体" w:eastAsia="宋体" w:cs="宋体"/>
                <w:b w:val="0"/>
                <w:bCs w:val="0"/>
                <w:sz w:val="21"/>
                <w:szCs w:val="21"/>
              </w:rPr>
              <w:t>拆装系统</w:t>
            </w:r>
            <w:r>
              <w:rPr>
                <w:rFonts w:hint="eastAsia" w:ascii="宋体" w:hAnsi="宋体" w:eastAsia="宋体"/>
                <w:b w:val="0"/>
                <w:bCs w:val="0"/>
                <w:color w:val="auto"/>
                <w:sz w:val="21"/>
                <w:szCs w:val="21"/>
                <w:highlight w:val="none"/>
                <w:u w:val="none"/>
                <w:lang w:eastAsia="zh-CN"/>
              </w:rPr>
              <w:t>”</w:t>
            </w:r>
            <w:r>
              <w:rPr>
                <w:rFonts w:hint="eastAsia" w:ascii="宋体" w:hAnsi="宋体" w:eastAsia="宋体"/>
                <w:b w:val="0"/>
                <w:bCs w:val="0"/>
                <w:color w:val="auto"/>
                <w:sz w:val="21"/>
                <w:szCs w:val="21"/>
                <w:highlight w:val="none"/>
                <w:u w:val="none"/>
                <w:lang w:val="en-US" w:eastAsia="zh-CN"/>
              </w:rPr>
              <w:t>的功能进行演示</w:t>
            </w:r>
            <w:r>
              <w:rPr>
                <w:rFonts w:hint="eastAsia" w:ascii="宋体" w:hAnsi="宋体" w:eastAsia="宋体"/>
                <w:b w:val="0"/>
                <w:bCs w:val="0"/>
                <w:color w:val="auto"/>
                <w:sz w:val="21"/>
                <w:szCs w:val="21"/>
                <w:highlight w:val="none"/>
              </w:rPr>
              <w:t>，</w:t>
            </w:r>
            <w:r>
              <w:rPr>
                <w:rFonts w:hint="eastAsia" w:ascii="宋体" w:hAnsi="宋体" w:eastAsia="宋体" w:cs="宋体"/>
                <w:b/>
                <w:bCs/>
                <w:color w:val="auto"/>
                <w:kern w:val="0"/>
                <w:sz w:val="21"/>
                <w:szCs w:val="21"/>
                <w:highlight w:val="none"/>
                <w14:ligatures w14:val="none"/>
              </w:rPr>
              <w:t>完全满足各项要求的得</w:t>
            </w:r>
            <w:r>
              <w:rPr>
                <w:rFonts w:hint="eastAsia" w:ascii="宋体" w:hAnsi="宋体" w:eastAsia="宋体" w:cs="宋体"/>
                <w:b/>
                <w:bCs/>
                <w:color w:val="auto"/>
                <w:kern w:val="0"/>
                <w:sz w:val="21"/>
                <w:szCs w:val="21"/>
                <w:highlight w:val="none"/>
                <w:lang w:val="en-US" w:eastAsia="zh-CN"/>
                <w14:ligatures w14:val="none"/>
              </w:rPr>
              <w:t>5</w:t>
            </w:r>
            <w:r>
              <w:rPr>
                <w:rFonts w:hint="eastAsia" w:ascii="宋体" w:hAnsi="宋体" w:eastAsia="宋体" w:cs="宋体"/>
                <w:b/>
                <w:bCs/>
                <w:color w:val="auto"/>
                <w:kern w:val="0"/>
                <w:sz w:val="21"/>
                <w:szCs w:val="21"/>
                <w:highlight w:val="none"/>
                <w14:ligatures w14:val="none"/>
              </w:rPr>
              <w:t>分；满足部分要求的得</w:t>
            </w:r>
            <w:r>
              <w:rPr>
                <w:rFonts w:hint="eastAsia" w:ascii="宋体" w:hAnsi="宋体" w:eastAsia="宋体" w:cs="宋体"/>
                <w:b/>
                <w:bCs/>
                <w:color w:val="auto"/>
                <w:kern w:val="0"/>
                <w:sz w:val="21"/>
                <w:szCs w:val="21"/>
                <w:highlight w:val="none"/>
                <w:lang w:val="en-US" w:eastAsia="zh-CN"/>
                <w14:ligatures w14:val="none"/>
              </w:rPr>
              <w:t>2</w:t>
            </w:r>
            <w:r>
              <w:rPr>
                <w:rFonts w:hint="eastAsia" w:ascii="宋体" w:hAnsi="宋体" w:eastAsia="宋体" w:cs="宋体"/>
                <w:b/>
                <w:bCs/>
                <w:color w:val="auto"/>
                <w:kern w:val="0"/>
                <w:sz w:val="21"/>
                <w:szCs w:val="21"/>
                <w:highlight w:val="none"/>
                <w14:ligatures w14:val="none"/>
              </w:rPr>
              <w:t>分；各项要求响应程度低的得</w:t>
            </w:r>
            <w:r>
              <w:rPr>
                <w:rFonts w:hint="eastAsia" w:ascii="宋体" w:hAnsi="宋体" w:eastAsia="宋体" w:cs="宋体"/>
                <w:b/>
                <w:bCs/>
                <w:color w:val="auto"/>
                <w:kern w:val="0"/>
                <w:sz w:val="21"/>
                <w:szCs w:val="21"/>
                <w:highlight w:val="none"/>
                <w:lang w:val="en-US" w:eastAsia="zh-CN"/>
                <w14:ligatures w14:val="none"/>
              </w:rPr>
              <w:t>0.5</w:t>
            </w:r>
            <w:r>
              <w:rPr>
                <w:rFonts w:hint="eastAsia" w:ascii="宋体" w:hAnsi="宋体" w:eastAsia="宋体" w:cs="宋体"/>
                <w:b/>
                <w:bCs/>
                <w:color w:val="auto"/>
                <w:kern w:val="0"/>
                <w:sz w:val="21"/>
                <w:szCs w:val="21"/>
                <w:highlight w:val="none"/>
                <w14:ligatures w14:val="none"/>
              </w:rPr>
              <w:t>分，未提供的不得分</w:t>
            </w:r>
            <w:r>
              <w:rPr>
                <w:rFonts w:hint="eastAsia" w:ascii="宋体" w:hAnsi="宋体" w:eastAsia="宋体"/>
                <w:b w:val="0"/>
                <w:bCs w:val="0"/>
                <w:color w:val="auto"/>
                <w:sz w:val="21"/>
                <w:szCs w:val="21"/>
                <w:highlight w:val="none"/>
              </w:rPr>
              <w:t>。</w:t>
            </w:r>
          </w:p>
          <w:p w14:paraId="11BE775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eastAsia="宋体" w:cs="宋体"/>
                <w:color w:val="auto"/>
                <w:kern w:val="0"/>
                <w:sz w:val="22"/>
                <w:szCs w:val="22"/>
                <w:highlight w:val="none"/>
                <w:lang w:eastAsia="zh-CN"/>
              </w:rPr>
            </w:pPr>
          </w:p>
          <w:p w14:paraId="067ACB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【演示要求】</w:t>
            </w:r>
          </w:p>
          <w:p w14:paraId="48A1425D">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演示视频提交方式：各供应商应在投标截止时间前将演示内容（以MP4或RMVB等常见模式存储，不得采用特殊或专用存储模式）加密后发送到邮箱471870577@qq.com，并电话向代理机构确认，加密密码自行保管，待电子投标文件解密后将密码发送给代理机构。</w:t>
            </w:r>
          </w:p>
          <w:p w14:paraId="22519FBB">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演示时长不超过15分钟。</w:t>
            </w:r>
          </w:p>
          <w:p w14:paraId="15F45C94">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若出现演示文件不能正常打开，或不能正常解密，则按未提交演示文件处理，本项记0分；</w:t>
            </w:r>
          </w:p>
          <w:p w14:paraId="5DDDF295">
            <w:pPr>
              <w:keepNext w:val="0"/>
              <w:keepLines w:val="0"/>
              <w:pageBreakBefore w:val="0"/>
              <w:widowControl/>
              <w:numPr>
                <w:ilvl w:val="0"/>
                <w:numId w:val="8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演示为非必须项，未提供演示的，对应演示分为0分。</w:t>
            </w:r>
          </w:p>
          <w:p w14:paraId="55F019E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exact"/>
              <w:ind w:left="0" w:right="0"/>
              <w:jc w:val="left"/>
              <w:rPr>
                <w:rFonts w:hint="eastAsia" w:ascii="宋体" w:hAnsi="宋体" w:cs="宋体"/>
                <w:b/>
                <w:color w:val="auto"/>
                <w:sz w:val="22"/>
                <w:highlight w:val="none"/>
              </w:rPr>
            </w:pPr>
            <w:r>
              <w:rPr>
                <w:rFonts w:hint="eastAsia" w:ascii="宋体" w:hAnsi="宋体" w:cs="宋体"/>
                <w:b/>
                <w:color w:val="auto"/>
                <w:sz w:val="22"/>
                <w:highlight w:val="none"/>
                <w:lang w:val="en-US" w:eastAsia="zh-CN"/>
              </w:rPr>
              <w:t>5</w:t>
            </w:r>
            <w:r>
              <w:rPr>
                <w:rFonts w:hint="eastAsia" w:ascii="宋体" w:hAnsi="宋体" w:cs="宋体"/>
                <w:b/>
                <w:color w:val="auto"/>
                <w:sz w:val="22"/>
                <w:highlight w:val="none"/>
              </w:rPr>
              <w:t>、</w:t>
            </w:r>
            <w:r>
              <w:rPr>
                <w:rFonts w:hint="eastAsia" w:ascii="宋体" w:hAnsi="宋体" w:eastAsia="宋体" w:cs="宋体"/>
                <w:b/>
                <w:bCs/>
                <w:color w:val="auto"/>
                <w:sz w:val="21"/>
                <w:szCs w:val="21"/>
                <w:highlight w:val="none"/>
                <w:lang w:val="en-US" w:eastAsia="zh-CN"/>
              </w:rPr>
              <w:t>演示播放顺序按各投标人投标文件解密的先后顺序播放。</w:t>
            </w:r>
          </w:p>
          <w:p w14:paraId="7F66BB79">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en-US" w:eastAsia="zh-CN"/>
              </w:rPr>
            </w:pPr>
            <w:r>
              <w:rPr>
                <w:rFonts w:hint="eastAsia" w:ascii="宋体" w:hAnsi="宋体" w:cs="宋体"/>
                <w:b/>
                <w:bCs/>
                <w:color w:val="auto"/>
                <w:kern w:val="0"/>
                <w:sz w:val="22"/>
                <w:highlight w:val="none"/>
                <w:lang w:val="en-US" w:eastAsia="zh-CN"/>
              </w:rPr>
              <w:t>6、</w:t>
            </w:r>
            <w:r>
              <w:rPr>
                <w:rFonts w:hint="eastAsia" w:ascii="宋体" w:hAnsi="宋体" w:cs="宋体"/>
                <w:b/>
                <w:bCs/>
                <w:color w:val="auto"/>
                <w:kern w:val="0"/>
                <w:sz w:val="22"/>
                <w:highlight w:val="none"/>
              </w:rPr>
              <w:t>演示项扣分的，但采购需求偏离表中是无偏离，则只在此项扣分，不在“技术响应”重复扣分。</w:t>
            </w:r>
          </w:p>
        </w:tc>
        <w:tc>
          <w:tcPr>
            <w:tcW w:w="488" w:type="pct"/>
            <w:noWrap w:val="0"/>
            <w:vAlign w:val="center"/>
          </w:tcPr>
          <w:p w14:paraId="00F7A858">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lang w:val="en-US" w:eastAsia="zh-CN"/>
              </w:rPr>
              <w:t>客</w:t>
            </w:r>
            <w:r>
              <w:rPr>
                <w:rFonts w:hint="eastAsia" w:ascii="宋体" w:hAnsi="宋体" w:eastAsia="宋体" w:cs="宋体"/>
                <w:b w:val="0"/>
                <w:bCs w:val="0"/>
                <w:color w:val="000000"/>
                <w:spacing w:val="-6"/>
                <w:sz w:val="21"/>
                <w:szCs w:val="21"/>
                <w:highlight w:val="none"/>
              </w:rPr>
              <w:t>观分</w:t>
            </w:r>
          </w:p>
        </w:tc>
      </w:tr>
    </w:tbl>
    <w:p w14:paraId="5F479E06">
      <w:pPr>
        <w:jc w:val="center"/>
        <w:rPr>
          <w:rFonts w:hint="eastAsia" w:ascii="宋体" w:hAnsi="宋体" w:eastAsia="宋体" w:cs="宋体"/>
          <w:b/>
          <w:bCs/>
          <w:sz w:val="28"/>
          <w:szCs w:val="28"/>
          <w:lang w:val="en-US" w:eastAsia="zh-CN"/>
        </w:rPr>
        <w:sectPr>
          <w:pgSz w:w="11906" w:h="16838"/>
          <w:pgMar w:top="1440" w:right="1304" w:bottom="1089" w:left="1531" w:header="851" w:footer="992" w:gutter="0"/>
          <w:pgNumType w:fmt="decimal"/>
          <w:cols w:space="720" w:num="1"/>
          <w:docGrid w:linePitch="312" w:charSpace="0"/>
        </w:sectPr>
      </w:pPr>
    </w:p>
    <w:p w14:paraId="7EE2604B">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标项4评分标准</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107"/>
        <w:gridCol w:w="655"/>
        <w:gridCol w:w="5984"/>
        <w:gridCol w:w="845"/>
      </w:tblGrid>
      <w:tr w14:paraId="4CD6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1" w:type="pct"/>
            <w:noWrap w:val="0"/>
            <w:vAlign w:val="center"/>
          </w:tcPr>
          <w:p w14:paraId="29EF1AB2">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序号</w:t>
            </w:r>
          </w:p>
        </w:tc>
        <w:tc>
          <w:tcPr>
            <w:tcW w:w="596" w:type="pct"/>
            <w:noWrap w:val="0"/>
            <w:vAlign w:val="center"/>
          </w:tcPr>
          <w:p w14:paraId="6BC5AC8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评审因素</w:t>
            </w:r>
          </w:p>
        </w:tc>
        <w:tc>
          <w:tcPr>
            <w:tcW w:w="353" w:type="pct"/>
            <w:noWrap w:val="0"/>
            <w:vAlign w:val="center"/>
          </w:tcPr>
          <w:p w14:paraId="6C59180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分值</w:t>
            </w:r>
          </w:p>
        </w:tc>
        <w:tc>
          <w:tcPr>
            <w:tcW w:w="3223" w:type="pct"/>
            <w:noWrap w:val="0"/>
            <w:vAlign w:val="center"/>
          </w:tcPr>
          <w:p w14:paraId="1E857E5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评分细则</w:t>
            </w:r>
          </w:p>
        </w:tc>
        <w:tc>
          <w:tcPr>
            <w:tcW w:w="455" w:type="pct"/>
            <w:noWrap w:val="0"/>
            <w:vAlign w:val="center"/>
          </w:tcPr>
          <w:p w14:paraId="15A620C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备注</w:t>
            </w:r>
          </w:p>
        </w:tc>
      </w:tr>
      <w:tr w14:paraId="3F7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1" w:type="pct"/>
            <w:noWrap w:val="0"/>
            <w:vAlign w:val="center"/>
          </w:tcPr>
          <w:p w14:paraId="462A772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1</w:t>
            </w:r>
          </w:p>
        </w:tc>
        <w:tc>
          <w:tcPr>
            <w:tcW w:w="596" w:type="pct"/>
            <w:noWrap w:val="0"/>
            <w:vAlign w:val="center"/>
          </w:tcPr>
          <w:p w14:paraId="35C0B2E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业绩</w:t>
            </w:r>
          </w:p>
        </w:tc>
        <w:tc>
          <w:tcPr>
            <w:tcW w:w="353" w:type="pct"/>
            <w:noWrap w:val="0"/>
            <w:vAlign w:val="center"/>
          </w:tcPr>
          <w:p w14:paraId="7F5CEC6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3</w:t>
            </w:r>
          </w:p>
        </w:tc>
        <w:tc>
          <w:tcPr>
            <w:tcW w:w="3223" w:type="pct"/>
            <w:noWrap w:val="0"/>
            <w:vAlign w:val="center"/>
          </w:tcPr>
          <w:p w14:paraId="4162F2AC">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sz w:val="21"/>
                <w:szCs w:val="21"/>
                <w:highlight w:val="none"/>
                <w:lang w:eastAsia="zh-CN"/>
              </w:rPr>
            </w:pPr>
            <w:r>
              <w:rPr>
                <w:rFonts w:hint="eastAsia" w:ascii="宋体" w:hAnsi="宋体" w:eastAsia="宋体" w:cs="宋体"/>
                <w:color w:val="000000"/>
                <w:kern w:val="0"/>
                <w:sz w:val="21"/>
                <w:szCs w:val="21"/>
                <w:highlight w:val="none"/>
                <w:lang w:eastAsia="zh-CN"/>
              </w:rPr>
              <w:t>投标</w:t>
            </w:r>
            <w:r>
              <w:rPr>
                <w:rFonts w:hint="eastAsia" w:ascii="宋体" w:hAnsi="宋体" w:eastAsia="宋体" w:cs="宋体"/>
                <w:color w:val="000000"/>
                <w:kern w:val="0"/>
                <w:sz w:val="21"/>
                <w:szCs w:val="21"/>
                <w:highlight w:val="none"/>
                <w:lang w:val="en-US" w:eastAsia="zh-CN"/>
              </w:rPr>
              <w:t>供应商</w:t>
            </w:r>
            <w:r>
              <w:rPr>
                <w:rFonts w:hint="eastAsia" w:ascii="宋体" w:hAnsi="宋体" w:eastAsia="宋体" w:cs="宋体"/>
                <w:color w:val="000000"/>
                <w:kern w:val="0"/>
                <w:sz w:val="21"/>
                <w:szCs w:val="21"/>
                <w:highlight w:val="none"/>
                <w:lang w:eastAsia="zh-CN"/>
              </w:rPr>
              <w:t>提供</w:t>
            </w:r>
            <w:r>
              <w:rPr>
                <w:rFonts w:hint="eastAsia" w:ascii="宋体" w:hAnsi="宋体" w:eastAsia="宋体" w:cs="宋体"/>
                <w:color w:val="000000"/>
                <w:kern w:val="0"/>
                <w:sz w:val="21"/>
                <w:szCs w:val="21"/>
                <w:highlight w:val="none"/>
              </w:rPr>
              <w:t>自20</w:t>
            </w:r>
            <w:r>
              <w:rPr>
                <w:rFonts w:hint="eastAsia" w:ascii="宋体" w:hAnsi="宋体" w:eastAsia="宋体" w:cs="宋体"/>
                <w:color w:val="000000"/>
                <w:kern w:val="0"/>
                <w:sz w:val="21"/>
                <w:szCs w:val="21"/>
                <w:highlight w:val="none"/>
                <w:lang w:val="en-US" w:eastAsia="zh-CN"/>
              </w:rPr>
              <w:t>22</w:t>
            </w:r>
            <w:r>
              <w:rPr>
                <w:rFonts w:hint="eastAsia" w:ascii="宋体" w:hAnsi="宋体" w:eastAsia="宋体" w:cs="宋体"/>
                <w:color w:val="000000"/>
                <w:kern w:val="0"/>
                <w:sz w:val="21"/>
                <w:szCs w:val="21"/>
                <w:highlight w:val="none"/>
              </w:rPr>
              <w:t>年</w:t>
            </w:r>
            <w:r>
              <w:rPr>
                <w:rFonts w:hint="eastAsia" w:ascii="宋体" w:hAnsi="宋体" w:eastAsia="宋体" w:cs="宋体"/>
                <w:color w:val="000000"/>
                <w:kern w:val="0"/>
                <w:sz w:val="21"/>
                <w:szCs w:val="21"/>
                <w:highlight w:val="none"/>
                <w:lang w:val="en-US" w:eastAsia="zh-CN"/>
              </w:rPr>
              <w:t>9</w:t>
            </w:r>
            <w:r>
              <w:rPr>
                <w:rFonts w:hint="eastAsia" w:ascii="宋体" w:hAnsi="宋体" w:eastAsia="宋体" w:cs="宋体"/>
                <w:color w:val="000000"/>
                <w:kern w:val="0"/>
                <w:sz w:val="21"/>
                <w:szCs w:val="21"/>
                <w:highlight w:val="none"/>
              </w:rPr>
              <w:t>月1日</w:t>
            </w:r>
            <w:r>
              <w:rPr>
                <w:rFonts w:hint="eastAsia" w:ascii="宋体" w:hAnsi="宋体" w:eastAsia="宋体" w:cs="宋体"/>
                <w:b w:val="0"/>
                <w:bCs w:val="0"/>
                <w:color w:val="000000"/>
                <w:kern w:val="0"/>
                <w:sz w:val="21"/>
                <w:szCs w:val="21"/>
                <w:highlight w:val="none"/>
              </w:rPr>
              <w:t>（</w:t>
            </w:r>
            <w:r>
              <w:rPr>
                <w:rFonts w:hint="eastAsia" w:ascii="宋体" w:hAnsi="宋体" w:eastAsia="宋体" w:cs="宋体"/>
                <w:b w:val="0"/>
                <w:bCs w:val="0"/>
                <w:color w:val="000000"/>
                <w:sz w:val="21"/>
                <w:szCs w:val="21"/>
                <w:highlight w:val="none"/>
                <w:lang w:eastAsia="zh-CN"/>
              </w:rPr>
              <w:t>以合同签订时间为准</w:t>
            </w:r>
            <w:r>
              <w:rPr>
                <w:rFonts w:hint="eastAsia" w:ascii="宋体" w:hAnsi="宋体" w:eastAsia="宋体" w:cs="宋体"/>
                <w:b w:val="0"/>
                <w:bCs w:val="0"/>
                <w:color w:val="000000"/>
                <w:kern w:val="0"/>
                <w:sz w:val="21"/>
                <w:szCs w:val="21"/>
                <w:highlight w:val="none"/>
              </w:rPr>
              <w:t>）</w:t>
            </w:r>
            <w:r>
              <w:rPr>
                <w:rFonts w:hint="eastAsia" w:ascii="宋体" w:hAnsi="宋体" w:eastAsia="宋体" w:cs="宋体"/>
                <w:b w:val="0"/>
                <w:bCs w:val="0"/>
                <w:color w:val="000000"/>
                <w:sz w:val="21"/>
                <w:szCs w:val="21"/>
                <w:highlight w:val="none"/>
              </w:rPr>
              <w:t>完成过</w:t>
            </w:r>
            <w:r>
              <w:rPr>
                <w:rFonts w:hint="eastAsia" w:ascii="宋体" w:hAnsi="宋体" w:eastAsia="宋体" w:cs="宋体"/>
                <w:b w:val="0"/>
                <w:bCs w:val="0"/>
                <w:color w:val="000000"/>
                <w:sz w:val="21"/>
                <w:szCs w:val="21"/>
                <w:highlight w:val="none"/>
                <w:lang w:val="en-US" w:eastAsia="zh-CN"/>
              </w:rPr>
              <w:t>类似实训室或实训中心或实训基地项目</w:t>
            </w:r>
            <w:r>
              <w:rPr>
                <w:rFonts w:hint="eastAsia" w:ascii="宋体" w:hAnsi="宋体" w:eastAsia="宋体" w:cs="宋体"/>
                <w:b w:val="0"/>
                <w:bCs w:val="0"/>
                <w:color w:val="000000"/>
                <w:sz w:val="21"/>
                <w:szCs w:val="21"/>
                <w:highlight w:val="none"/>
                <w:lang w:eastAsia="zh-CN"/>
              </w:rPr>
              <w:t>业绩</w:t>
            </w:r>
            <w:r>
              <w:rPr>
                <w:rFonts w:hint="eastAsia" w:ascii="宋体" w:hAnsi="宋体" w:eastAsia="宋体" w:cs="宋体"/>
                <w:b w:val="0"/>
                <w:bCs w:val="0"/>
                <w:color w:val="000000"/>
                <w:sz w:val="21"/>
                <w:szCs w:val="21"/>
                <w:highlight w:val="none"/>
              </w:rPr>
              <w:t>的，每提供1个得</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分，最高得</w:t>
            </w:r>
            <w:r>
              <w:rPr>
                <w:rFonts w:hint="eastAsia" w:ascii="宋体" w:hAnsi="宋体" w:eastAsia="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rPr>
              <w:t>分</w:t>
            </w:r>
            <w:r>
              <w:rPr>
                <w:rFonts w:hint="eastAsia" w:ascii="宋体" w:hAnsi="宋体" w:eastAsia="宋体" w:cs="宋体"/>
                <w:b w:val="0"/>
                <w:bCs w:val="0"/>
                <w:color w:val="000000"/>
                <w:sz w:val="21"/>
                <w:szCs w:val="21"/>
                <w:highlight w:val="none"/>
                <w:lang w:eastAsia="zh-CN"/>
              </w:rPr>
              <w:t>；</w:t>
            </w:r>
          </w:p>
          <w:p w14:paraId="72ECB26C">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注：</w:t>
            </w:r>
            <w:r>
              <w:rPr>
                <w:rFonts w:hint="eastAsia" w:ascii="宋体" w:hAnsi="宋体" w:eastAsia="宋体" w:cs="宋体"/>
                <w:color w:val="000000"/>
                <w:sz w:val="21"/>
                <w:szCs w:val="21"/>
                <w:highlight w:val="none"/>
              </w:rPr>
              <w:t>业绩证明材料</w:t>
            </w:r>
            <w:r>
              <w:rPr>
                <w:rFonts w:hint="eastAsia" w:ascii="宋体" w:hAnsi="宋体" w:eastAsia="宋体" w:cs="宋体"/>
                <w:color w:val="000000"/>
                <w:sz w:val="21"/>
                <w:szCs w:val="21"/>
                <w:highlight w:val="none"/>
                <w:lang w:val="en-US" w:eastAsia="zh-CN"/>
              </w:rPr>
              <w:t>以</w:t>
            </w:r>
            <w:r>
              <w:rPr>
                <w:rFonts w:hint="eastAsia" w:ascii="宋体" w:hAnsi="宋体" w:eastAsia="宋体" w:cs="宋体"/>
                <w:color w:val="000000"/>
                <w:sz w:val="21"/>
                <w:szCs w:val="21"/>
                <w:highlight w:val="none"/>
              </w:rPr>
              <w:t>合同</w:t>
            </w:r>
            <w:r>
              <w:rPr>
                <w:rFonts w:hint="eastAsia" w:ascii="宋体" w:hAnsi="宋体" w:eastAsia="宋体" w:cs="宋体"/>
                <w:color w:val="000000"/>
                <w:sz w:val="21"/>
                <w:szCs w:val="21"/>
                <w:highlight w:val="none"/>
                <w:lang w:val="en-US" w:eastAsia="zh-CN"/>
              </w:rPr>
              <w:t>为准（提供合同原件扫描件</w:t>
            </w:r>
            <w:r>
              <w:rPr>
                <w:rFonts w:hint="eastAsia" w:ascii="宋体" w:hAnsi="宋体" w:eastAsia="宋体" w:cs="宋体"/>
                <w:color w:val="000000"/>
                <w:sz w:val="21"/>
                <w:szCs w:val="21"/>
                <w:highlight w:val="none"/>
                <w:lang w:eastAsia="zh-CN"/>
              </w:rPr>
              <w:t>加盖</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lang w:eastAsia="zh-CN"/>
              </w:rPr>
              <w:t>公章</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未提供</w:t>
            </w:r>
            <w:r>
              <w:rPr>
                <w:rFonts w:hint="eastAsia" w:ascii="宋体" w:hAnsi="宋体" w:eastAsia="宋体" w:cs="宋体"/>
                <w:color w:val="000000"/>
                <w:sz w:val="21"/>
                <w:szCs w:val="21"/>
                <w:highlight w:val="none"/>
                <w:lang w:eastAsia="zh-CN"/>
              </w:rPr>
              <w:t>不得分</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若提供的证明材料不能明确体现业绩特征的，还需提供原项目业主出具的加盖其公章的书面证明材料。</w:t>
            </w:r>
          </w:p>
        </w:tc>
        <w:tc>
          <w:tcPr>
            <w:tcW w:w="455" w:type="pct"/>
            <w:noWrap w:val="0"/>
            <w:vAlign w:val="center"/>
          </w:tcPr>
          <w:p w14:paraId="4E7CBE5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1222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noWrap w:val="0"/>
            <w:vAlign w:val="center"/>
          </w:tcPr>
          <w:p w14:paraId="577F884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2</w:t>
            </w:r>
          </w:p>
        </w:tc>
        <w:tc>
          <w:tcPr>
            <w:tcW w:w="596" w:type="pct"/>
            <w:noWrap w:val="0"/>
            <w:vAlign w:val="center"/>
          </w:tcPr>
          <w:p w14:paraId="5D17346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技术要求响应程度</w:t>
            </w:r>
          </w:p>
        </w:tc>
        <w:tc>
          <w:tcPr>
            <w:tcW w:w="353" w:type="pct"/>
            <w:noWrap w:val="0"/>
            <w:vAlign w:val="center"/>
          </w:tcPr>
          <w:p w14:paraId="3A583BC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31</w:t>
            </w:r>
          </w:p>
        </w:tc>
        <w:tc>
          <w:tcPr>
            <w:tcW w:w="3223" w:type="pct"/>
            <w:noWrap w:val="0"/>
            <w:vAlign w:val="center"/>
          </w:tcPr>
          <w:p w14:paraId="48A17C7F">
            <w:pPr>
              <w:keepNext w:val="0"/>
              <w:keepLines w:val="0"/>
              <w:widowControl/>
              <w:suppressLineNumbers w:val="0"/>
              <w:spacing w:before="0" w:beforeAutospacing="0" w:after="0" w:afterAutospacing="0" w:line="36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不符合（负偏离）技术要求中标注“▲且加下划线”条款（不可偏离）的投标无效。</w:t>
            </w:r>
          </w:p>
          <w:p w14:paraId="76E7CCB1">
            <w:pPr>
              <w:keepNext w:val="0"/>
              <w:keepLines w:val="0"/>
              <w:widowControl/>
              <w:suppressLineNumbers w:val="0"/>
              <w:adjustRightInd w:val="0"/>
              <w:spacing w:before="0" w:beforeAutospacing="0" w:after="0" w:afterAutospacing="0" w:line="360" w:lineRule="exact"/>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w:t>
            </w:r>
            <w:r>
              <w:rPr>
                <w:rFonts w:hint="eastAsia" w:ascii="宋体" w:hAnsi="宋体" w:eastAsia="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文件明确的全部技术要求的得满分：评标委员会根据参数应答和提供参数中所要求的证明材料情况进行评分，评分要求如下：</w:t>
            </w:r>
          </w:p>
          <w:p w14:paraId="1D1795DF">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color w:val="000000"/>
                <w:sz w:val="21"/>
                <w:szCs w:val="21"/>
                <w:highlight w:val="none"/>
                <w:shd w:val="clear" w:color="auto" w:fill="FFFFFF"/>
              </w:rPr>
              <w:t>带“★”的要求为重要技术条款</w:t>
            </w:r>
            <w:r>
              <w:rPr>
                <w:rFonts w:hint="eastAsia" w:ascii="宋体" w:hAnsi="宋体" w:eastAsia="宋体" w:cs="宋体"/>
                <w:color w:val="000000"/>
                <w:kern w:val="0"/>
                <w:sz w:val="21"/>
                <w:szCs w:val="21"/>
                <w:highlight w:val="none"/>
              </w:rPr>
              <w:t>（相关条款</w:t>
            </w:r>
            <w:r>
              <w:rPr>
                <w:rFonts w:hint="eastAsia" w:ascii="宋体" w:hAnsi="宋体" w:eastAsia="宋体" w:cs="宋体"/>
                <w:color w:val="000000"/>
                <w:kern w:val="0"/>
                <w:sz w:val="21"/>
                <w:szCs w:val="21"/>
                <w:highlight w:val="none"/>
                <w:lang w:eastAsia="zh-CN"/>
              </w:rPr>
              <w:t>按要求提供</w:t>
            </w:r>
            <w:r>
              <w:rPr>
                <w:rFonts w:hint="eastAsia" w:ascii="宋体" w:hAnsi="宋体" w:eastAsia="宋体" w:cs="宋体"/>
                <w:color w:val="000000"/>
                <w:kern w:val="0"/>
                <w:sz w:val="21"/>
                <w:szCs w:val="21"/>
                <w:highlight w:val="none"/>
              </w:rPr>
              <w:t>证明文件，否则本条不得分）</w:t>
            </w:r>
            <w:r>
              <w:rPr>
                <w:rFonts w:hint="eastAsia" w:ascii="宋体" w:hAnsi="宋体" w:eastAsia="宋体" w:cs="宋体"/>
                <w:b/>
                <w:color w:val="000000"/>
                <w:sz w:val="21"/>
                <w:szCs w:val="21"/>
                <w:highlight w:val="none"/>
                <w:shd w:val="clear" w:color="auto" w:fill="FFFFFF"/>
              </w:rPr>
              <w:t>，负偏离的每条扣</w:t>
            </w:r>
            <w:r>
              <w:rPr>
                <w:rFonts w:hint="eastAsia" w:ascii="宋体" w:hAnsi="宋体" w:eastAsia="宋体" w:cs="宋体"/>
                <w:b/>
                <w:color w:val="000000"/>
                <w:sz w:val="21"/>
                <w:szCs w:val="21"/>
                <w:highlight w:val="none"/>
                <w:shd w:val="clear" w:color="auto" w:fill="FFFFFF"/>
                <w:lang w:val="en-US" w:eastAsia="zh-CN"/>
              </w:rPr>
              <w:t>2</w:t>
            </w:r>
            <w:r>
              <w:rPr>
                <w:rFonts w:hint="eastAsia" w:ascii="宋体" w:hAnsi="宋体" w:eastAsia="宋体" w:cs="宋体"/>
                <w:b/>
                <w:color w:val="000000"/>
                <w:sz w:val="21"/>
                <w:szCs w:val="21"/>
                <w:highlight w:val="none"/>
                <w:shd w:val="clear" w:color="auto" w:fill="FFFFFF"/>
              </w:rPr>
              <w:t>分</w:t>
            </w:r>
            <w:r>
              <w:rPr>
                <w:rFonts w:hint="eastAsia" w:ascii="宋体" w:hAnsi="宋体" w:eastAsia="宋体" w:cs="宋体"/>
                <w:b/>
                <w:color w:val="000000"/>
                <w:sz w:val="21"/>
                <w:szCs w:val="21"/>
                <w:highlight w:val="none"/>
                <w:shd w:val="clear" w:color="auto" w:fill="FFFFFF"/>
                <w:lang w:eastAsia="zh-CN"/>
              </w:rPr>
              <w:t>；</w:t>
            </w:r>
            <w:r>
              <w:rPr>
                <w:rFonts w:hint="eastAsia" w:ascii="宋体" w:hAnsi="宋体" w:eastAsia="宋体" w:cs="宋体"/>
                <w:b/>
                <w:color w:val="000000"/>
                <w:sz w:val="21"/>
                <w:szCs w:val="21"/>
                <w:highlight w:val="none"/>
                <w:shd w:val="clear" w:color="auto" w:fill="FFFFFF"/>
              </w:rPr>
              <w:t>非“★”的指标要求为一般技术条款，负偏离的每条扣</w:t>
            </w:r>
            <w:r>
              <w:rPr>
                <w:rFonts w:hint="eastAsia" w:ascii="宋体" w:hAnsi="宋体" w:eastAsia="宋体" w:cs="宋体"/>
                <w:b/>
                <w:color w:val="000000"/>
                <w:sz w:val="21"/>
                <w:szCs w:val="21"/>
                <w:highlight w:val="none"/>
                <w:shd w:val="clear" w:color="auto" w:fill="FFFFFF"/>
                <w:lang w:val="en-US" w:eastAsia="zh-CN"/>
              </w:rPr>
              <w:t>1</w:t>
            </w:r>
            <w:r>
              <w:rPr>
                <w:rFonts w:hint="eastAsia" w:ascii="宋体" w:hAnsi="宋体" w:eastAsia="宋体" w:cs="宋体"/>
                <w:b/>
                <w:color w:val="000000"/>
                <w:sz w:val="21"/>
                <w:szCs w:val="21"/>
                <w:highlight w:val="none"/>
                <w:shd w:val="clear" w:color="auto" w:fill="FFFFFF"/>
              </w:rPr>
              <w:t>分，扣完为止。</w:t>
            </w:r>
          </w:p>
        </w:tc>
        <w:tc>
          <w:tcPr>
            <w:tcW w:w="455" w:type="pct"/>
            <w:noWrap w:val="0"/>
            <w:vAlign w:val="center"/>
          </w:tcPr>
          <w:p w14:paraId="2F36094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2974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noWrap w:val="0"/>
            <w:vAlign w:val="center"/>
          </w:tcPr>
          <w:p w14:paraId="77456DC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3</w:t>
            </w:r>
          </w:p>
        </w:tc>
        <w:tc>
          <w:tcPr>
            <w:tcW w:w="596" w:type="pct"/>
            <w:noWrap w:val="0"/>
            <w:vAlign w:val="center"/>
          </w:tcPr>
          <w:p w14:paraId="20077AD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rPr>
              <w:t>企业资质</w:t>
            </w:r>
          </w:p>
        </w:tc>
        <w:tc>
          <w:tcPr>
            <w:tcW w:w="353" w:type="pct"/>
            <w:noWrap w:val="0"/>
            <w:vAlign w:val="center"/>
          </w:tcPr>
          <w:p w14:paraId="6575427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3</w:t>
            </w:r>
          </w:p>
        </w:tc>
        <w:tc>
          <w:tcPr>
            <w:tcW w:w="3223" w:type="pct"/>
            <w:noWrap w:val="0"/>
            <w:vAlign w:val="center"/>
          </w:tcPr>
          <w:p w14:paraId="60B17C5A">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具有有效的质量管理体系认证，得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2DC9E9B3">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具有有效的职业健康安全管理体系</w:t>
            </w:r>
            <w:r>
              <w:rPr>
                <w:rFonts w:hint="eastAsia" w:ascii="宋体" w:hAnsi="宋体" w:eastAsia="宋体" w:cs="宋体"/>
                <w:color w:val="000000"/>
                <w:sz w:val="21"/>
                <w:szCs w:val="21"/>
                <w:highlight w:val="none"/>
                <w:lang w:eastAsia="zh-CN"/>
              </w:rPr>
              <w:t>认证</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44D7AC3E">
            <w:pPr>
              <w:keepNext w:val="0"/>
              <w:keepLines w:val="0"/>
              <w:widowControl/>
              <w:suppressLineNumbers w:val="0"/>
              <w:adjustRightInd w:val="0"/>
              <w:snapToGrid w:val="0"/>
              <w:spacing w:before="0" w:beforeAutospacing="0" w:after="0" w:afterAutospacing="0"/>
              <w:ind w:left="0" w:right="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具有有效的环境管理体系</w:t>
            </w:r>
            <w:r>
              <w:rPr>
                <w:rFonts w:hint="eastAsia" w:ascii="宋体" w:hAnsi="宋体" w:eastAsia="宋体" w:cs="宋体"/>
                <w:color w:val="000000"/>
                <w:sz w:val="21"/>
                <w:szCs w:val="21"/>
                <w:highlight w:val="none"/>
                <w:lang w:eastAsia="zh-CN"/>
              </w:rPr>
              <w:t>认证</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4D148A51">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color w:val="000000"/>
                <w:kern w:val="0"/>
                <w:sz w:val="21"/>
                <w:szCs w:val="21"/>
                <w:highlight w:val="none"/>
              </w:rPr>
              <w:t>注：</w:t>
            </w:r>
            <w:r>
              <w:rPr>
                <w:rFonts w:hint="eastAsia" w:ascii="宋体" w:hAnsi="宋体" w:eastAsia="宋体" w:cs="宋体"/>
                <w:b/>
                <w:color w:val="000000"/>
                <w:sz w:val="21"/>
                <w:szCs w:val="21"/>
                <w:highlight w:val="none"/>
              </w:rPr>
              <w:t>响应文件附有中国国家认证认可监督管理委员会查询平台（网址：http://www.cnca.gov.cn/）的相关查询记录及有效期内的证书复印件加盖投标人公章，不提供不得分，证书不在有效期内不得分。</w:t>
            </w:r>
          </w:p>
        </w:tc>
        <w:tc>
          <w:tcPr>
            <w:tcW w:w="455" w:type="pct"/>
            <w:noWrap w:val="0"/>
            <w:vAlign w:val="center"/>
          </w:tcPr>
          <w:p w14:paraId="6853D51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lang w:val="en-US" w:eastAsia="zh-CN"/>
              </w:rPr>
              <w:t>客观</w:t>
            </w:r>
            <w:r>
              <w:rPr>
                <w:rFonts w:hint="eastAsia" w:ascii="宋体" w:hAnsi="宋体" w:eastAsia="宋体" w:cs="宋体"/>
                <w:b w:val="0"/>
                <w:bCs w:val="0"/>
                <w:color w:val="000000"/>
                <w:spacing w:val="-6"/>
                <w:sz w:val="21"/>
                <w:szCs w:val="21"/>
                <w:highlight w:val="none"/>
              </w:rPr>
              <w:t>分</w:t>
            </w:r>
          </w:p>
        </w:tc>
      </w:tr>
      <w:tr w14:paraId="25CB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restart"/>
            <w:noWrap w:val="0"/>
            <w:vAlign w:val="center"/>
          </w:tcPr>
          <w:p w14:paraId="1F04C7E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4</w:t>
            </w:r>
          </w:p>
        </w:tc>
        <w:tc>
          <w:tcPr>
            <w:tcW w:w="596" w:type="pct"/>
            <w:vMerge w:val="restart"/>
            <w:noWrap w:val="0"/>
            <w:vAlign w:val="center"/>
          </w:tcPr>
          <w:p w14:paraId="769296B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r>
              <w:rPr>
                <w:rFonts w:hint="eastAsia" w:ascii="宋体" w:hAnsi="宋体" w:eastAsia="宋体" w:cs="宋体"/>
                <w:b w:val="0"/>
                <w:bCs w:val="0"/>
                <w:color w:val="000000"/>
                <w:sz w:val="21"/>
                <w:szCs w:val="21"/>
                <w:highlight w:val="none"/>
                <w:lang w:bidi="ar"/>
              </w:rPr>
              <w:t>实施方案</w:t>
            </w:r>
          </w:p>
        </w:tc>
        <w:tc>
          <w:tcPr>
            <w:tcW w:w="353" w:type="pct"/>
            <w:noWrap w:val="0"/>
            <w:vAlign w:val="center"/>
          </w:tcPr>
          <w:p w14:paraId="2955283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3" w:type="pct"/>
            <w:noWrap w:val="0"/>
            <w:vAlign w:val="center"/>
          </w:tcPr>
          <w:p w14:paraId="42253F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提供的产品供货、验货、安装调试的方案：包括产品供货时间安排、运输方式、场地环境的了解、验货方案、安装调试方案、风险应对措施、应急预案等。</w:t>
            </w:r>
          </w:p>
          <w:p w14:paraId="007E97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55" w:type="pct"/>
            <w:noWrap w:val="0"/>
            <w:vAlign w:val="center"/>
          </w:tcPr>
          <w:p w14:paraId="1A89825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3F4F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noWrap w:val="0"/>
            <w:vAlign w:val="center"/>
          </w:tcPr>
          <w:p w14:paraId="46F2508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3F7A18E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53" w:type="pct"/>
            <w:noWrap w:val="0"/>
            <w:vAlign w:val="center"/>
          </w:tcPr>
          <w:p w14:paraId="1359A76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3" w:type="pct"/>
            <w:noWrap w:val="0"/>
            <w:vAlign w:val="center"/>
          </w:tcPr>
          <w:p w14:paraId="3ABEBE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提供的组织机构、实施人员配置、实施进度安排、工作程序和步骤等内容，能否满足本项目要求进行打分。（评分范围：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55" w:type="pct"/>
            <w:noWrap w:val="0"/>
            <w:vAlign w:val="center"/>
          </w:tcPr>
          <w:p w14:paraId="7631165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164E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noWrap w:val="0"/>
            <w:vAlign w:val="center"/>
          </w:tcPr>
          <w:p w14:paraId="4B07D18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2A6CDF8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53" w:type="pct"/>
            <w:noWrap w:val="0"/>
            <w:vAlign w:val="center"/>
          </w:tcPr>
          <w:p w14:paraId="3FB44E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3</w:t>
            </w:r>
          </w:p>
        </w:tc>
        <w:tc>
          <w:tcPr>
            <w:tcW w:w="3223" w:type="pct"/>
            <w:noWrap w:val="0"/>
            <w:vAlign w:val="center"/>
          </w:tcPr>
          <w:p w14:paraId="432DBB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根据投标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提供的各环节质量、安全保证措施和承诺等内容是否完整且具有针对性进行打分。（评分范围：</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；0）</w:t>
            </w:r>
          </w:p>
        </w:tc>
        <w:tc>
          <w:tcPr>
            <w:tcW w:w="455" w:type="pct"/>
            <w:noWrap w:val="0"/>
            <w:vAlign w:val="center"/>
          </w:tcPr>
          <w:p w14:paraId="3C4423A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4881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vMerge w:val="continue"/>
            <w:noWrap w:val="0"/>
            <w:vAlign w:val="center"/>
          </w:tcPr>
          <w:p w14:paraId="0DE1F3F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07EBAB5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bidi="ar"/>
              </w:rPr>
            </w:pPr>
          </w:p>
        </w:tc>
        <w:tc>
          <w:tcPr>
            <w:tcW w:w="353" w:type="pct"/>
            <w:noWrap w:val="0"/>
            <w:vAlign w:val="center"/>
          </w:tcPr>
          <w:p w14:paraId="4269769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2</w:t>
            </w:r>
          </w:p>
        </w:tc>
        <w:tc>
          <w:tcPr>
            <w:tcW w:w="3223" w:type="pct"/>
            <w:noWrap w:val="0"/>
            <w:vAlign w:val="center"/>
          </w:tcPr>
          <w:p w14:paraId="0028FD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rPr>
              <w:t>投标</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b w:val="0"/>
                <w:bCs/>
                <w:color w:val="auto"/>
                <w:kern w:val="2"/>
                <w:sz w:val="21"/>
                <w:szCs w:val="21"/>
                <w:highlight w:val="none"/>
                <w:lang w:val="en-US" w:eastAsia="zh-CN" w:bidi="ar-SA"/>
              </w:rPr>
              <w:t>根据本项目情况，提供的配套建设服务内容承诺情况。</w:t>
            </w: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1.5；1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rPr>
              <w:t>；0）</w:t>
            </w:r>
          </w:p>
        </w:tc>
        <w:tc>
          <w:tcPr>
            <w:tcW w:w="455" w:type="pct"/>
            <w:noWrap w:val="0"/>
            <w:vAlign w:val="center"/>
          </w:tcPr>
          <w:p w14:paraId="3932E60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5D66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noWrap w:val="0"/>
            <w:vAlign w:val="center"/>
          </w:tcPr>
          <w:p w14:paraId="7C5FA20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5</w:t>
            </w:r>
          </w:p>
        </w:tc>
        <w:tc>
          <w:tcPr>
            <w:tcW w:w="596" w:type="pct"/>
            <w:noWrap w:val="0"/>
            <w:vAlign w:val="center"/>
          </w:tcPr>
          <w:p w14:paraId="2381E73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bidi="ar"/>
              </w:rPr>
              <w:t>售后服务</w:t>
            </w:r>
            <w:r>
              <w:rPr>
                <w:rFonts w:hint="eastAsia" w:ascii="宋体" w:hAnsi="宋体" w:eastAsia="宋体" w:cs="宋体"/>
                <w:b w:val="0"/>
                <w:bCs w:val="0"/>
                <w:color w:val="000000"/>
                <w:sz w:val="21"/>
                <w:szCs w:val="21"/>
                <w:highlight w:val="none"/>
                <w:lang w:val="en-US" w:eastAsia="zh-CN" w:bidi="ar"/>
              </w:rPr>
              <w:t>方案</w:t>
            </w:r>
          </w:p>
        </w:tc>
        <w:tc>
          <w:tcPr>
            <w:tcW w:w="353" w:type="pct"/>
            <w:noWrap w:val="0"/>
            <w:vAlign w:val="center"/>
          </w:tcPr>
          <w:p w14:paraId="0722CEA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 w:val="0"/>
                <w:bCs w:val="0"/>
                <w:color w:val="000000"/>
                <w:sz w:val="21"/>
                <w:szCs w:val="21"/>
                <w:highlight w:val="none"/>
                <w:lang w:val="en-US" w:eastAsia="zh-CN" w:bidi="ar"/>
              </w:rPr>
              <w:t>4</w:t>
            </w:r>
          </w:p>
        </w:tc>
        <w:tc>
          <w:tcPr>
            <w:tcW w:w="3223" w:type="pct"/>
            <w:noWrap w:val="0"/>
            <w:vAlign w:val="center"/>
          </w:tcPr>
          <w:p w14:paraId="21E0DED1">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zh-TW"/>
              </w:rPr>
            </w:pPr>
            <w:r>
              <w:rPr>
                <w:rFonts w:hint="eastAsia" w:ascii="宋体" w:hAnsi="宋体" w:eastAsia="宋体" w:cs="宋体"/>
                <w:color w:val="000000"/>
                <w:sz w:val="21"/>
                <w:szCs w:val="21"/>
                <w:highlight w:val="none"/>
                <w:lang w:val="en-US" w:eastAsia="zh-CN"/>
              </w:rPr>
              <w:t>根据</w:t>
            </w:r>
            <w:r>
              <w:rPr>
                <w:rFonts w:hint="eastAsia" w:ascii="宋体" w:hAnsi="宋体" w:eastAsia="宋体" w:cs="宋体"/>
                <w:color w:val="000000"/>
                <w:sz w:val="21"/>
                <w:szCs w:val="21"/>
                <w:highlight w:val="none"/>
              </w:rPr>
              <w:t>投标人提供</w:t>
            </w:r>
            <w:r>
              <w:rPr>
                <w:rFonts w:hint="eastAsia" w:ascii="宋体" w:hAnsi="宋体" w:eastAsia="宋体" w:cs="宋体"/>
                <w:color w:val="000000"/>
                <w:sz w:val="21"/>
                <w:szCs w:val="21"/>
                <w:highlight w:val="none"/>
                <w:lang w:eastAsia="zh-CN"/>
              </w:rPr>
              <w:t>的</w:t>
            </w:r>
            <w:r>
              <w:rPr>
                <w:rFonts w:hint="eastAsia" w:ascii="宋体" w:hAnsi="宋体" w:eastAsia="宋体" w:cs="宋体"/>
                <w:color w:val="000000"/>
                <w:sz w:val="21"/>
                <w:szCs w:val="21"/>
                <w:highlight w:val="none"/>
              </w:rPr>
              <w:t>售后服务方案</w:t>
            </w:r>
            <w:r>
              <w:rPr>
                <w:rFonts w:hint="eastAsia" w:ascii="宋体" w:hAnsi="宋体" w:eastAsia="宋体" w:cs="宋体"/>
                <w:color w:val="000000"/>
                <w:sz w:val="21"/>
                <w:szCs w:val="21"/>
                <w:highlight w:val="none"/>
                <w:lang w:val="en-US" w:eastAsia="zh-CN"/>
              </w:rPr>
              <w:t>进行</w:t>
            </w:r>
            <w:r>
              <w:rPr>
                <w:rFonts w:hint="eastAsia" w:ascii="宋体" w:hAnsi="宋体" w:eastAsia="宋体" w:cs="宋体"/>
                <w:color w:val="000000"/>
                <w:sz w:val="21"/>
                <w:szCs w:val="21"/>
                <w:highlight w:val="none"/>
                <w:lang w:eastAsia="zh-CN"/>
              </w:rPr>
              <w:t>综合打分</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内容包括但不限于质保期内外的售后服务内容、维护响应计划、故障响应时间、响应方式等</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val="0"/>
                <w:color w:val="000000"/>
                <w:kern w:val="0"/>
                <w:sz w:val="21"/>
                <w:szCs w:val="21"/>
                <w:highlight w:val="none"/>
              </w:rPr>
              <w:t>（评分范围：4；3；2；1；0）</w:t>
            </w:r>
          </w:p>
        </w:tc>
        <w:tc>
          <w:tcPr>
            <w:tcW w:w="455" w:type="pct"/>
            <w:noWrap w:val="0"/>
            <w:vAlign w:val="center"/>
          </w:tcPr>
          <w:p w14:paraId="6ABEDD55">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spacing w:val="-6"/>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3585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noWrap w:val="0"/>
            <w:vAlign w:val="center"/>
          </w:tcPr>
          <w:p w14:paraId="075C565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rPr>
              <w:t>6</w:t>
            </w:r>
          </w:p>
        </w:tc>
        <w:tc>
          <w:tcPr>
            <w:tcW w:w="596" w:type="pct"/>
            <w:noWrap w:val="0"/>
            <w:vAlign w:val="center"/>
          </w:tcPr>
          <w:p w14:paraId="3538BC9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rPr>
            </w:pPr>
          </w:p>
          <w:p w14:paraId="770319D8">
            <w:pPr>
              <w:keepNext w:val="0"/>
              <w:keepLines w:val="0"/>
              <w:widowControl/>
              <w:suppressLineNumbers w:val="0"/>
              <w:spacing w:before="0" w:beforeAutospacing="0" w:after="0" w:afterAutospacing="0" w:line="360" w:lineRule="exact"/>
              <w:ind w:left="0" w:right="0"/>
              <w:jc w:val="center"/>
              <w:rPr>
                <w:rFonts w:hint="eastAsia"/>
              </w:rPr>
            </w:pPr>
            <w:r>
              <w:rPr>
                <w:rFonts w:hint="eastAsia" w:ascii="宋体" w:hAnsi="宋体" w:eastAsia="宋体" w:cs="宋体"/>
                <w:b w:val="0"/>
                <w:bCs w:val="0"/>
                <w:color w:val="000000"/>
                <w:kern w:val="0"/>
                <w:sz w:val="21"/>
                <w:szCs w:val="21"/>
                <w:highlight w:val="none"/>
              </w:rPr>
              <w:t>质保期承诺</w:t>
            </w:r>
          </w:p>
        </w:tc>
        <w:tc>
          <w:tcPr>
            <w:tcW w:w="353" w:type="pct"/>
            <w:noWrap w:val="0"/>
            <w:vAlign w:val="center"/>
          </w:tcPr>
          <w:p w14:paraId="7C86923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r>
              <w:rPr>
                <w:rFonts w:hint="eastAsia" w:ascii="宋体" w:hAnsi="宋体" w:eastAsia="宋体" w:cs="宋体"/>
                <w:b w:val="0"/>
                <w:bCs w:val="0"/>
                <w:color w:val="000000"/>
                <w:sz w:val="21"/>
                <w:szCs w:val="21"/>
                <w:highlight w:val="none"/>
                <w:lang w:val="en-US" w:eastAsia="zh-CN" w:bidi="ar"/>
              </w:rPr>
              <w:t>2</w:t>
            </w:r>
          </w:p>
        </w:tc>
        <w:tc>
          <w:tcPr>
            <w:tcW w:w="3223" w:type="pct"/>
            <w:noWrap w:val="0"/>
            <w:vAlign w:val="center"/>
          </w:tcPr>
          <w:p w14:paraId="3B6C3827">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lang w:eastAsia="zh-CN"/>
              </w:rPr>
            </w:pPr>
            <w:r>
              <w:rPr>
                <w:rFonts w:hint="eastAsia" w:ascii="宋体" w:hAnsi="宋体" w:eastAsia="宋体" w:cs="宋体"/>
                <w:b w:val="0"/>
                <w:bCs w:val="0"/>
                <w:color w:val="000000"/>
                <w:sz w:val="21"/>
                <w:szCs w:val="21"/>
                <w:highlight w:val="none"/>
                <w:lang w:val="en-US" w:eastAsia="zh-CN" w:bidi="ar"/>
              </w:rPr>
              <w:t>质保</w:t>
            </w:r>
            <w:r>
              <w:rPr>
                <w:rFonts w:hint="eastAsia" w:ascii="宋体" w:hAnsi="宋体" w:eastAsia="宋体" w:cs="宋体"/>
                <w:b w:val="0"/>
                <w:bCs w:val="0"/>
                <w:color w:val="000000"/>
                <w:sz w:val="21"/>
                <w:szCs w:val="21"/>
                <w:highlight w:val="none"/>
                <w:lang w:bidi="ar"/>
              </w:rPr>
              <w:t>服务承诺</w:t>
            </w:r>
            <w:r>
              <w:rPr>
                <w:rFonts w:hint="eastAsia" w:ascii="宋体" w:hAnsi="宋体" w:eastAsia="宋体" w:cs="宋体"/>
                <w:b w:val="0"/>
                <w:bCs w:val="0"/>
                <w:color w:val="000000"/>
                <w:sz w:val="21"/>
                <w:szCs w:val="21"/>
                <w:highlight w:val="none"/>
                <w:lang w:eastAsia="zh-CN" w:bidi="ar"/>
              </w:rPr>
              <w:t>：</w:t>
            </w:r>
            <w:r>
              <w:rPr>
                <w:rFonts w:hint="eastAsia" w:ascii="宋体" w:hAnsi="宋体" w:eastAsia="宋体" w:cs="宋体"/>
                <w:b w:val="0"/>
                <w:bCs w:val="0"/>
                <w:color w:val="000000"/>
                <w:sz w:val="21"/>
                <w:szCs w:val="21"/>
                <w:highlight w:val="none"/>
              </w:rPr>
              <w:t>质保期满足</w:t>
            </w:r>
            <w:r>
              <w:rPr>
                <w:rFonts w:hint="eastAsia" w:ascii="宋体" w:hAnsi="宋体" w:eastAsia="宋体" w:cs="宋体"/>
                <w:b w:val="0"/>
                <w:bCs w:val="0"/>
                <w:color w:val="000000"/>
                <w:sz w:val="21"/>
                <w:szCs w:val="21"/>
                <w:highlight w:val="none"/>
                <w:lang w:eastAsia="zh-CN"/>
              </w:rPr>
              <w:t>招标文件</w:t>
            </w:r>
            <w:r>
              <w:rPr>
                <w:rFonts w:hint="eastAsia" w:ascii="宋体" w:hAnsi="宋体" w:eastAsia="宋体" w:cs="宋体"/>
                <w:b w:val="0"/>
                <w:bCs w:val="0"/>
                <w:color w:val="000000"/>
                <w:sz w:val="21"/>
                <w:szCs w:val="21"/>
                <w:highlight w:val="none"/>
              </w:rPr>
              <w:t>要求的0分,每延长（项目整体）一年得</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分,最多加</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分,延长时间不足一年的不计入加分</w:t>
            </w:r>
            <w:r>
              <w:rPr>
                <w:rFonts w:hint="eastAsia" w:ascii="宋体" w:hAnsi="宋体" w:eastAsia="宋体" w:cs="宋体"/>
                <w:b w:val="0"/>
                <w:bCs w:val="0"/>
                <w:color w:val="000000"/>
                <w:sz w:val="21"/>
                <w:szCs w:val="21"/>
                <w:highlight w:val="none"/>
                <w:lang w:eastAsia="zh-CN"/>
              </w:rPr>
              <w:t>。</w:t>
            </w:r>
          </w:p>
        </w:tc>
        <w:tc>
          <w:tcPr>
            <w:tcW w:w="455" w:type="pct"/>
            <w:noWrap w:val="0"/>
            <w:vAlign w:val="center"/>
          </w:tcPr>
          <w:p w14:paraId="055F4CE0">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rPr>
              <w:t>客观分</w:t>
            </w:r>
          </w:p>
        </w:tc>
      </w:tr>
      <w:tr w14:paraId="78E9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71" w:type="pct"/>
            <w:vMerge w:val="restart"/>
            <w:noWrap w:val="0"/>
            <w:vAlign w:val="center"/>
          </w:tcPr>
          <w:p w14:paraId="0E45390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7</w:t>
            </w:r>
          </w:p>
        </w:tc>
        <w:tc>
          <w:tcPr>
            <w:tcW w:w="596" w:type="pct"/>
            <w:vMerge w:val="restart"/>
            <w:shd w:val="clear" w:color="auto" w:fill="auto"/>
            <w:noWrap w:val="0"/>
            <w:vAlign w:val="center"/>
          </w:tcPr>
          <w:p w14:paraId="403A1221">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b w:val="0"/>
                <w:bCs w:val="0"/>
                <w:snapToGrid w:val="0"/>
                <w:color w:val="0000FF"/>
                <w:kern w:val="0"/>
                <w:sz w:val="21"/>
                <w:szCs w:val="21"/>
                <w:highlight w:val="none"/>
                <w:lang w:val="en-US" w:eastAsia="zh-CN" w:bidi="ar-SA"/>
              </w:rPr>
            </w:pPr>
            <w:r>
              <w:rPr>
                <w:rFonts w:hint="eastAsia" w:ascii="宋体" w:hAnsi="宋体" w:eastAsia="宋体" w:cs="宋体"/>
                <w:b w:val="0"/>
                <w:bCs w:val="0"/>
                <w:color w:val="0000FF"/>
                <w:kern w:val="0"/>
                <w:sz w:val="21"/>
                <w:szCs w:val="21"/>
                <w:highlight w:val="none"/>
                <w:lang w:val="en-US" w:eastAsia="zh-CN"/>
              </w:rPr>
              <w:t>供应商综合实力情况</w:t>
            </w:r>
          </w:p>
          <w:p w14:paraId="464EDFD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rPr>
            </w:pPr>
          </w:p>
        </w:tc>
        <w:tc>
          <w:tcPr>
            <w:tcW w:w="353" w:type="pct"/>
            <w:shd w:val="clear" w:color="auto" w:fill="auto"/>
            <w:noWrap w:val="0"/>
            <w:vAlign w:val="center"/>
          </w:tcPr>
          <w:p w14:paraId="76D39E23">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b w:val="0"/>
                <w:bCs w:val="0"/>
                <w:snapToGrid w:val="0"/>
                <w:color w:val="0000FF"/>
                <w:kern w:val="0"/>
                <w:sz w:val="21"/>
                <w:szCs w:val="21"/>
                <w:highlight w:val="none"/>
                <w:lang w:val="en-US" w:eastAsia="zh-CN" w:bidi="ar"/>
              </w:rPr>
            </w:pPr>
            <w:r>
              <w:rPr>
                <w:rFonts w:hint="eastAsia" w:ascii="宋体" w:hAnsi="宋体" w:eastAsia="宋体" w:cs="宋体"/>
                <w:b w:val="0"/>
                <w:bCs w:val="0"/>
                <w:color w:val="0000FF"/>
                <w:sz w:val="21"/>
                <w:szCs w:val="21"/>
                <w:highlight w:val="none"/>
                <w:lang w:val="en-US" w:eastAsia="zh-CN" w:bidi="ar"/>
              </w:rPr>
              <w:t>2</w:t>
            </w:r>
          </w:p>
        </w:tc>
        <w:tc>
          <w:tcPr>
            <w:tcW w:w="3223" w:type="pct"/>
            <w:shd w:val="clear" w:color="auto" w:fill="auto"/>
            <w:noWrap w:val="0"/>
            <w:vAlign w:val="center"/>
          </w:tcPr>
          <w:p w14:paraId="19CAA223">
            <w:pPr>
              <w:keepNext w:val="0"/>
              <w:keepLines w:val="0"/>
              <w:widowControl/>
              <w:suppressLineNumbers w:val="0"/>
              <w:spacing w:before="0" w:beforeAutospacing="0" w:after="0" w:afterAutospacing="0" w:line="360" w:lineRule="exact"/>
              <w:ind w:left="0" w:right="0"/>
              <w:rPr>
                <w:rFonts w:hint="eastAsia" w:ascii="宋体" w:hAnsi="宋体" w:eastAsia="宋体" w:cs="宋体"/>
                <w:color w:val="0000FF"/>
                <w:sz w:val="22"/>
                <w:szCs w:val="22"/>
                <w:highlight w:val="none"/>
                <w:lang w:val="en-US" w:eastAsia="zh-CN"/>
              </w:rPr>
            </w:pPr>
            <w:r>
              <w:rPr>
                <w:rFonts w:hint="eastAsia" w:ascii="宋体" w:hAnsi="宋体" w:eastAsia="宋体" w:cs="宋体"/>
                <w:color w:val="0000FF"/>
                <w:sz w:val="22"/>
                <w:szCs w:val="22"/>
                <w:highlight w:val="none"/>
                <w:lang w:val="en-US" w:eastAsia="zh-CN"/>
              </w:rPr>
              <w:t>1、</w:t>
            </w:r>
            <w:r>
              <w:rPr>
                <w:rFonts w:hint="eastAsia" w:ascii="宋体" w:hAnsi="宋体" w:eastAsia="宋体" w:cs="宋体"/>
                <w:color w:val="0000FF"/>
                <w:sz w:val="22"/>
                <w:szCs w:val="22"/>
                <w:highlight w:val="none"/>
              </w:rPr>
              <w:t>供应商具有与数字</w:t>
            </w:r>
            <w:r>
              <w:rPr>
                <w:rFonts w:hint="eastAsia" w:ascii="宋体" w:hAnsi="宋体" w:eastAsia="宋体" w:cs="宋体"/>
                <w:color w:val="0000FF"/>
                <w:sz w:val="22"/>
                <w:szCs w:val="22"/>
                <w:highlight w:val="none"/>
                <w:lang w:val="en-US" w:eastAsia="zh-CN"/>
              </w:rPr>
              <w:t>孪生</w:t>
            </w:r>
            <w:r>
              <w:rPr>
                <w:rFonts w:hint="eastAsia" w:ascii="宋体" w:hAnsi="宋体" w:eastAsia="宋体" w:cs="宋体"/>
                <w:color w:val="0000FF"/>
                <w:sz w:val="22"/>
                <w:szCs w:val="22"/>
                <w:highlight w:val="none"/>
              </w:rPr>
              <w:t>平台</w:t>
            </w:r>
            <w:r>
              <w:rPr>
                <w:rFonts w:hint="eastAsia" w:ascii="宋体" w:hAnsi="宋体" w:eastAsia="宋体" w:cs="宋体"/>
                <w:color w:val="0000FF"/>
                <w:sz w:val="22"/>
                <w:szCs w:val="22"/>
                <w:highlight w:val="none"/>
                <w:lang w:val="en-US" w:eastAsia="zh-CN"/>
              </w:rPr>
              <w:t>等</w:t>
            </w:r>
            <w:r>
              <w:rPr>
                <w:rFonts w:hint="eastAsia" w:ascii="宋体" w:hAnsi="宋体" w:eastAsia="宋体" w:cs="宋体"/>
                <w:color w:val="0000FF"/>
                <w:sz w:val="22"/>
                <w:szCs w:val="22"/>
                <w:highlight w:val="none"/>
              </w:rPr>
              <w:t>相关的计算机软件著作权登记证书</w:t>
            </w:r>
            <w:r>
              <w:rPr>
                <w:rFonts w:hint="eastAsia" w:ascii="宋体" w:hAnsi="宋体" w:eastAsia="宋体" w:cs="宋体"/>
                <w:color w:val="0000FF"/>
                <w:sz w:val="22"/>
                <w:szCs w:val="22"/>
                <w:highlight w:val="none"/>
                <w:lang w:eastAsia="zh-CN"/>
              </w:rPr>
              <w:t>的，</w:t>
            </w:r>
            <w:r>
              <w:rPr>
                <w:rFonts w:hint="eastAsia" w:ascii="宋体" w:hAnsi="宋体" w:eastAsia="宋体" w:cs="宋体"/>
                <w:color w:val="0000FF"/>
                <w:sz w:val="22"/>
                <w:szCs w:val="22"/>
                <w:highlight w:val="none"/>
                <w:lang w:val="en-US" w:eastAsia="zh-CN"/>
              </w:rPr>
              <w:t>得1分；</w:t>
            </w:r>
          </w:p>
          <w:p w14:paraId="2514780D">
            <w:pPr>
              <w:keepNext w:val="0"/>
              <w:keepLines w:val="0"/>
              <w:widowControl/>
              <w:suppressLineNumbers w:val="0"/>
              <w:spacing w:before="0" w:beforeAutospacing="0" w:after="0" w:afterAutospacing="0" w:line="360" w:lineRule="exact"/>
              <w:ind w:left="0" w:right="0"/>
              <w:rPr>
                <w:rFonts w:hint="eastAsia" w:ascii="宋体" w:hAnsi="宋体" w:eastAsia="宋体" w:cs="宋体"/>
                <w:color w:val="0000FF"/>
                <w:sz w:val="22"/>
                <w:szCs w:val="22"/>
                <w:highlight w:val="none"/>
              </w:rPr>
            </w:pPr>
            <w:r>
              <w:rPr>
                <w:rFonts w:hint="eastAsia" w:ascii="宋体" w:hAnsi="宋体" w:eastAsia="宋体" w:cs="宋体"/>
                <w:color w:val="0000FF"/>
                <w:sz w:val="22"/>
                <w:szCs w:val="22"/>
                <w:highlight w:val="none"/>
                <w:lang w:val="en-US" w:eastAsia="zh-CN"/>
              </w:rPr>
              <w:t>2、</w:t>
            </w:r>
            <w:r>
              <w:rPr>
                <w:rFonts w:hint="eastAsia" w:ascii="宋体" w:hAnsi="宋体" w:eastAsia="宋体" w:cs="宋体"/>
                <w:color w:val="0000FF"/>
                <w:sz w:val="22"/>
                <w:szCs w:val="22"/>
                <w:highlight w:val="none"/>
              </w:rPr>
              <w:t>供应商具有</w:t>
            </w:r>
            <w:r>
              <w:rPr>
                <w:rFonts w:hint="eastAsia" w:ascii="宋体" w:hAnsi="宋体" w:eastAsia="宋体" w:cs="宋体"/>
                <w:color w:val="0000FF"/>
                <w:sz w:val="22"/>
                <w:szCs w:val="22"/>
                <w:highlight w:val="none"/>
                <w:lang w:val="en-US" w:eastAsia="zh-CN"/>
              </w:rPr>
              <w:t>与</w:t>
            </w:r>
            <w:r>
              <w:rPr>
                <w:rFonts w:hint="eastAsia" w:ascii="宋体" w:hAnsi="宋体" w:eastAsia="宋体" w:cs="宋体"/>
                <w:color w:val="0000FF"/>
                <w:sz w:val="22"/>
                <w:szCs w:val="22"/>
                <w:highlight w:val="none"/>
              </w:rPr>
              <w:t>机器人示教编程软件</w:t>
            </w:r>
            <w:r>
              <w:rPr>
                <w:rFonts w:hint="eastAsia" w:ascii="宋体" w:hAnsi="宋体" w:eastAsia="宋体" w:cs="宋体"/>
                <w:color w:val="0000FF"/>
                <w:sz w:val="22"/>
                <w:szCs w:val="22"/>
                <w:highlight w:val="none"/>
                <w:lang w:val="en-US" w:eastAsia="zh-CN"/>
              </w:rPr>
              <w:t>等</w:t>
            </w:r>
            <w:r>
              <w:rPr>
                <w:rFonts w:hint="eastAsia" w:ascii="宋体" w:hAnsi="宋体" w:eastAsia="宋体" w:cs="宋体"/>
                <w:color w:val="0000FF"/>
                <w:sz w:val="22"/>
                <w:szCs w:val="22"/>
                <w:highlight w:val="none"/>
              </w:rPr>
              <w:t>相关的计算机软件著作权登记证书</w:t>
            </w:r>
            <w:r>
              <w:rPr>
                <w:rFonts w:hint="eastAsia" w:ascii="宋体" w:hAnsi="宋体" w:eastAsia="宋体" w:cs="宋体"/>
                <w:color w:val="0000FF"/>
                <w:sz w:val="22"/>
                <w:szCs w:val="22"/>
                <w:highlight w:val="none"/>
                <w:lang w:eastAsia="zh-CN"/>
              </w:rPr>
              <w:t>的</w:t>
            </w:r>
            <w:r>
              <w:rPr>
                <w:rFonts w:hint="eastAsia" w:ascii="宋体" w:hAnsi="宋体" w:eastAsia="宋体" w:cs="宋体"/>
                <w:color w:val="0000FF"/>
                <w:sz w:val="22"/>
                <w:szCs w:val="22"/>
                <w:highlight w:val="none"/>
              </w:rPr>
              <w:t>，得</w:t>
            </w:r>
            <w:r>
              <w:rPr>
                <w:rFonts w:hint="eastAsia" w:ascii="宋体" w:hAnsi="宋体" w:eastAsia="宋体" w:cs="宋体"/>
                <w:color w:val="0000FF"/>
                <w:sz w:val="22"/>
                <w:szCs w:val="22"/>
                <w:highlight w:val="none"/>
                <w:lang w:val="en-US" w:eastAsia="zh-CN"/>
              </w:rPr>
              <w:t>1</w:t>
            </w:r>
            <w:r>
              <w:rPr>
                <w:rFonts w:hint="eastAsia" w:ascii="宋体" w:hAnsi="宋体" w:eastAsia="宋体" w:cs="宋体"/>
                <w:color w:val="0000FF"/>
                <w:sz w:val="22"/>
                <w:szCs w:val="22"/>
                <w:highlight w:val="none"/>
              </w:rPr>
              <w:t>分;</w:t>
            </w:r>
          </w:p>
          <w:p w14:paraId="269D3993">
            <w:pPr>
              <w:pStyle w:val="10"/>
              <w:keepNext w:val="0"/>
              <w:keepLines w:val="0"/>
              <w:widowControl/>
              <w:suppressLineNumbers w:val="0"/>
              <w:spacing w:before="0" w:beforeAutospacing="0" w:after="0" w:afterAutospacing="0"/>
              <w:ind w:left="0" w:leftChars="0" w:right="0" w:firstLine="0" w:firstLineChars="0"/>
              <w:rPr>
                <w:rFonts w:hint="eastAsia" w:ascii="仿宋_GB2312" w:hAnsi="Times New Roman" w:eastAsia="宋体" w:cs="宋体"/>
                <w:b/>
                <w:snapToGrid w:val="0"/>
                <w:color w:val="000000"/>
                <w:kern w:val="0"/>
                <w:sz w:val="32"/>
                <w:szCs w:val="32"/>
                <w:highlight w:val="none"/>
                <w:lang w:val="en-US" w:eastAsia="zh-CN" w:bidi="ar-SA"/>
              </w:rPr>
            </w:pPr>
            <w:r>
              <w:rPr>
                <w:rFonts w:hint="eastAsia" w:ascii="宋体" w:hAnsi="宋体" w:cs="宋体"/>
                <w:color w:val="0000FF"/>
                <w:sz w:val="22"/>
                <w:szCs w:val="22"/>
                <w:highlight w:val="none"/>
                <w:lang w:val="en-US" w:eastAsia="zh-CN"/>
              </w:rPr>
              <w:t>注：须提供相关的证明原件扫描件并加盖公章，否则不予认可。</w:t>
            </w:r>
          </w:p>
        </w:tc>
        <w:tc>
          <w:tcPr>
            <w:tcW w:w="455" w:type="pct"/>
            <w:vMerge w:val="restart"/>
            <w:noWrap w:val="0"/>
            <w:vAlign w:val="center"/>
          </w:tcPr>
          <w:p w14:paraId="4F8A0181">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spacing w:val="-6"/>
                <w:sz w:val="21"/>
                <w:szCs w:val="21"/>
                <w:highlight w:val="none"/>
                <w:lang w:val="en-US" w:eastAsia="zh-CN"/>
              </w:rPr>
            </w:pPr>
            <w:r>
              <w:rPr>
                <w:rFonts w:hint="eastAsia" w:cs="宋体"/>
                <w:b w:val="0"/>
                <w:bCs w:val="0"/>
                <w:color w:val="000000"/>
                <w:spacing w:val="-6"/>
                <w:sz w:val="21"/>
                <w:szCs w:val="21"/>
                <w:highlight w:val="none"/>
                <w:lang w:val="en-US" w:eastAsia="zh-CN"/>
              </w:rPr>
              <w:t>客观分</w:t>
            </w:r>
          </w:p>
        </w:tc>
      </w:tr>
      <w:tr w14:paraId="1818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71" w:type="pct"/>
            <w:vMerge w:val="continue"/>
            <w:noWrap w:val="0"/>
            <w:vAlign w:val="center"/>
          </w:tcPr>
          <w:p w14:paraId="16C20D2D">
            <w:pPr>
              <w:keepNext w:val="0"/>
              <w:keepLines w:val="0"/>
              <w:widowControl/>
              <w:suppressLineNumbers w:val="0"/>
              <w:spacing w:before="0" w:beforeAutospacing="0" w:after="0" w:afterAutospacing="0" w:line="360" w:lineRule="exact"/>
              <w:ind w:left="0" w:right="0"/>
              <w:jc w:val="center"/>
            </w:pPr>
          </w:p>
        </w:tc>
        <w:tc>
          <w:tcPr>
            <w:tcW w:w="596" w:type="pct"/>
            <w:vMerge w:val="continue"/>
            <w:noWrap w:val="0"/>
            <w:vAlign w:val="center"/>
          </w:tcPr>
          <w:p w14:paraId="662370E7">
            <w:pPr>
              <w:keepNext w:val="0"/>
              <w:keepLines w:val="0"/>
              <w:widowControl/>
              <w:suppressLineNumbers w:val="0"/>
              <w:spacing w:before="0" w:beforeAutospacing="0" w:after="0" w:afterAutospacing="0" w:line="360" w:lineRule="exact"/>
              <w:ind w:left="0" w:right="0"/>
              <w:jc w:val="center"/>
              <w:rPr>
                <w:highlight w:val="none"/>
              </w:rPr>
            </w:pPr>
          </w:p>
        </w:tc>
        <w:tc>
          <w:tcPr>
            <w:tcW w:w="353" w:type="pct"/>
            <w:shd w:val="clear" w:color="auto" w:fill="auto"/>
            <w:noWrap w:val="0"/>
            <w:vAlign w:val="center"/>
          </w:tcPr>
          <w:p w14:paraId="7F087EBA">
            <w:pPr>
              <w:keepNext w:val="0"/>
              <w:keepLines w:val="0"/>
              <w:widowControl/>
              <w:suppressLineNumbers w:val="0"/>
              <w:spacing w:before="0" w:beforeAutospacing="0" w:after="0" w:afterAutospacing="0" w:line="360" w:lineRule="exact"/>
              <w:ind w:left="0" w:leftChars="0" w:right="0" w:rightChars="0"/>
              <w:jc w:val="center"/>
              <w:rPr>
                <w:rFonts w:hint="eastAsia" w:ascii="Arial" w:hAnsi="Arial" w:eastAsia="宋体" w:cs="Arial"/>
                <w:snapToGrid w:val="0"/>
                <w:color w:val="0000FF"/>
                <w:kern w:val="0"/>
                <w:sz w:val="21"/>
                <w:szCs w:val="21"/>
                <w:highlight w:val="none"/>
                <w:lang w:val="en-US" w:eastAsia="zh-CN" w:bidi="ar-SA"/>
              </w:rPr>
            </w:pPr>
            <w:r>
              <w:rPr>
                <w:rFonts w:hint="eastAsia" w:ascii="宋体" w:hAnsi="宋体" w:eastAsia="宋体" w:cs="宋体"/>
                <w:b w:val="0"/>
                <w:bCs w:val="0"/>
                <w:color w:val="0000FF"/>
                <w:sz w:val="21"/>
                <w:szCs w:val="21"/>
                <w:highlight w:val="none"/>
                <w:lang w:val="en-US" w:eastAsia="zh-CN" w:bidi="ar"/>
              </w:rPr>
              <w:t>2</w:t>
            </w:r>
          </w:p>
        </w:tc>
        <w:tc>
          <w:tcPr>
            <w:tcW w:w="3223" w:type="pct"/>
            <w:shd w:val="clear" w:color="auto" w:fill="auto"/>
            <w:noWrap w:val="0"/>
            <w:vAlign w:val="center"/>
          </w:tcPr>
          <w:p w14:paraId="0928E6AB">
            <w:pPr>
              <w:keepNext w:val="0"/>
              <w:keepLines w:val="0"/>
              <w:widowControl/>
              <w:suppressLineNumbers w:val="0"/>
              <w:spacing w:before="0" w:beforeAutospacing="0" w:after="0" w:afterAutospacing="0" w:line="360" w:lineRule="exact"/>
              <w:ind w:left="0" w:leftChars="0" w:right="0" w:rightChars="0"/>
              <w:rPr>
                <w:rFonts w:hint="eastAsia" w:ascii="Arial" w:hAnsi="Arial" w:eastAsia="Arial" w:cs="Arial"/>
                <w:snapToGrid w:val="0"/>
                <w:color w:val="0000FF"/>
                <w:kern w:val="0"/>
                <w:sz w:val="21"/>
                <w:szCs w:val="21"/>
                <w:highlight w:val="none"/>
                <w:lang w:val="en-US" w:eastAsia="zh-CN" w:bidi="ar-SA"/>
              </w:rPr>
            </w:pPr>
            <w:r>
              <w:rPr>
                <w:rFonts w:hint="default"/>
                <w:color w:val="0000FF"/>
                <w:highlight w:val="none"/>
                <w:lang w:val="en-US" w:eastAsia="zh-CN"/>
              </w:rPr>
              <w:t>供应商具有能够展开可编程</w:t>
            </w:r>
            <w:r>
              <w:rPr>
                <w:rFonts w:hint="eastAsia"/>
                <w:color w:val="0000FF"/>
                <w:highlight w:val="none"/>
                <w:lang w:val="en-US" w:eastAsia="zh-CN"/>
              </w:rPr>
              <w:t>控制</w:t>
            </w:r>
            <w:r>
              <w:rPr>
                <w:rFonts w:hint="default"/>
                <w:color w:val="0000FF"/>
                <w:highlight w:val="none"/>
                <w:lang w:val="en-US" w:eastAsia="zh-CN"/>
              </w:rPr>
              <w:t>相关的职业技能等级鉴定，得2分</w:t>
            </w:r>
            <w:r>
              <w:rPr>
                <w:rFonts w:hint="eastAsia"/>
                <w:color w:val="0000FF"/>
                <w:highlight w:val="none"/>
                <w:lang w:val="en-US" w:eastAsia="zh-CN"/>
              </w:rPr>
              <w:t>。须</w:t>
            </w:r>
            <w:r>
              <w:rPr>
                <w:rFonts w:hint="default"/>
                <w:color w:val="0000FF"/>
                <w:highlight w:val="none"/>
                <w:lang w:val="en-US" w:eastAsia="zh-CN"/>
              </w:rPr>
              <w:t>提供有关</w:t>
            </w:r>
            <w:r>
              <w:rPr>
                <w:rFonts w:hint="eastAsia"/>
                <w:color w:val="0000FF"/>
                <w:highlight w:val="none"/>
                <w:lang w:val="en-US" w:eastAsia="zh-CN"/>
              </w:rPr>
              <w:t>部门</w:t>
            </w:r>
            <w:r>
              <w:rPr>
                <w:rFonts w:hint="default"/>
                <w:color w:val="0000FF"/>
                <w:highlight w:val="none"/>
                <w:lang w:val="en-US" w:eastAsia="zh-CN"/>
              </w:rPr>
              <w:t>出具的鉴定资格证明文件及鉴定完成颁发的证书材料</w:t>
            </w:r>
            <w:r>
              <w:rPr>
                <w:rFonts w:hint="eastAsia"/>
                <w:color w:val="0000FF"/>
                <w:highlight w:val="none"/>
                <w:lang w:val="en-US" w:eastAsia="zh-CN"/>
              </w:rPr>
              <w:t>，否不予认可。</w:t>
            </w:r>
          </w:p>
        </w:tc>
        <w:tc>
          <w:tcPr>
            <w:tcW w:w="455" w:type="pct"/>
            <w:vMerge w:val="continue"/>
            <w:noWrap w:val="0"/>
            <w:vAlign w:val="center"/>
          </w:tcPr>
          <w:p w14:paraId="1AF2E48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r>
      <w:tr w14:paraId="18D7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71" w:type="pct"/>
            <w:vMerge w:val="continue"/>
            <w:noWrap w:val="0"/>
            <w:vAlign w:val="center"/>
          </w:tcPr>
          <w:p w14:paraId="7555B36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596" w:type="pct"/>
            <w:vMerge w:val="continue"/>
            <w:noWrap w:val="0"/>
            <w:vAlign w:val="center"/>
          </w:tcPr>
          <w:p w14:paraId="00705C3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c>
          <w:tcPr>
            <w:tcW w:w="353" w:type="pct"/>
            <w:shd w:val="clear" w:color="auto" w:fill="auto"/>
            <w:noWrap w:val="0"/>
            <w:vAlign w:val="center"/>
          </w:tcPr>
          <w:p w14:paraId="5D53BE0B">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snapToGrid w:val="0"/>
                <w:color w:val="0000FF"/>
                <w:kern w:val="0"/>
                <w:sz w:val="22"/>
                <w:szCs w:val="22"/>
                <w:highlight w:val="none"/>
                <w:lang w:val="en-US" w:eastAsia="zh-CN" w:bidi="ar-SA"/>
              </w:rPr>
            </w:pPr>
            <w:r>
              <w:rPr>
                <w:rFonts w:hint="eastAsia" w:ascii="宋体" w:hAnsi="宋体" w:eastAsia="宋体" w:cs="宋体"/>
                <w:b w:val="0"/>
                <w:bCs w:val="0"/>
                <w:color w:val="0000FF"/>
                <w:sz w:val="21"/>
                <w:szCs w:val="21"/>
                <w:highlight w:val="none"/>
                <w:lang w:val="en-US" w:eastAsia="zh-CN" w:bidi="ar"/>
              </w:rPr>
              <w:t>2</w:t>
            </w:r>
          </w:p>
        </w:tc>
        <w:tc>
          <w:tcPr>
            <w:tcW w:w="3223" w:type="pct"/>
            <w:shd w:val="clear" w:color="auto" w:fill="auto"/>
            <w:noWrap w:val="0"/>
            <w:vAlign w:val="center"/>
          </w:tcPr>
          <w:p w14:paraId="128B433C">
            <w:pPr>
              <w:pStyle w:val="10"/>
              <w:keepNext w:val="0"/>
              <w:keepLines w:val="0"/>
              <w:widowControl/>
              <w:suppressLineNumbers w:val="0"/>
              <w:spacing w:before="0" w:beforeAutospacing="0" w:after="0" w:afterAutospacing="0"/>
              <w:ind w:left="0" w:right="0"/>
              <w:rPr>
                <w:rFonts w:hint="eastAsia" w:ascii="宋体" w:hAnsi="宋体" w:eastAsia="宋体" w:cs="宋体"/>
                <w:color w:val="0000FF"/>
                <w:sz w:val="22"/>
                <w:szCs w:val="22"/>
                <w:highlight w:val="none"/>
              </w:rPr>
            </w:pPr>
            <w:r>
              <w:rPr>
                <w:rFonts w:hint="eastAsia" w:ascii="宋体" w:hAnsi="宋体" w:eastAsia="宋体" w:cs="宋体"/>
                <w:color w:val="0000FF"/>
                <w:sz w:val="22"/>
                <w:szCs w:val="22"/>
                <w:highlight w:val="none"/>
              </w:rPr>
              <w:t>供应商</w:t>
            </w:r>
            <w:r>
              <w:rPr>
                <w:rFonts w:hint="eastAsia" w:ascii="宋体" w:hAnsi="宋体" w:cs="宋体"/>
                <w:color w:val="0000FF"/>
                <w:sz w:val="22"/>
                <w:szCs w:val="22"/>
                <w:highlight w:val="none"/>
                <w:lang w:val="en-US" w:eastAsia="zh-CN"/>
              </w:rPr>
              <w:t>能够</w:t>
            </w:r>
            <w:r>
              <w:rPr>
                <w:rFonts w:hint="eastAsia" w:ascii="宋体" w:hAnsi="宋体" w:eastAsia="宋体" w:cs="宋体"/>
                <w:color w:val="0000FF"/>
                <w:sz w:val="22"/>
                <w:szCs w:val="22"/>
                <w:highlight w:val="none"/>
              </w:rPr>
              <w:t>协助采购人开展智能制造领域工程师认证测评</w:t>
            </w:r>
            <w:r>
              <w:rPr>
                <w:rFonts w:hint="eastAsia" w:ascii="宋体" w:hAnsi="宋体" w:cs="宋体"/>
                <w:color w:val="0000FF"/>
                <w:sz w:val="22"/>
                <w:szCs w:val="22"/>
                <w:highlight w:val="none"/>
                <w:lang w:eastAsia="zh-CN"/>
              </w:rPr>
              <w:t>的，</w:t>
            </w:r>
            <w:r>
              <w:rPr>
                <w:rFonts w:hint="eastAsia" w:ascii="宋体" w:hAnsi="宋体" w:eastAsia="宋体" w:cs="宋体"/>
                <w:color w:val="0000FF"/>
                <w:sz w:val="22"/>
                <w:szCs w:val="22"/>
                <w:highlight w:val="none"/>
              </w:rPr>
              <w:t>得2分;</w:t>
            </w:r>
          </w:p>
          <w:p w14:paraId="2FBB6DC4">
            <w:pPr>
              <w:pStyle w:val="10"/>
              <w:keepNext w:val="0"/>
              <w:keepLines w:val="0"/>
              <w:widowControl/>
              <w:suppressLineNumbers w:val="0"/>
              <w:spacing w:before="0" w:beforeAutospacing="0" w:after="0" w:afterAutospacing="0"/>
              <w:ind w:left="0" w:leftChars="0" w:right="0" w:rightChars="0" w:firstLine="221" w:firstLineChars="100"/>
              <w:rPr>
                <w:rFonts w:hint="eastAsia" w:ascii="仿宋_GB2312" w:hAnsi="Times New Roman" w:eastAsia="宋体" w:cs="宋体"/>
                <w:b/>
                <w:snapToGrid w:val="0"/>
                <w:color w:val="0000FF"/>
                <w:kern w:val="0"/>
                <w:sz w:val="32"/>
                <w:szCs w:val="32"/>
                <w:highlight w:val="none"/>
                <w:lang w:val="en-US" w:eastAsia="zh-CN" w:bidi="ar-SA"/>
              </w:rPr>
            </w:pPr>
            <w:r>
              <w:rPr>
                <w:rFonts w:hint="eastAsia" w:ascii="宋体" w:hAnsi="宋体" w:eastAsia="宋体" w:cs="宋体"/>
                <w:color w:val="0000FF"/>
                <w:sz w:val="22"/>
                <w:szCs w:val="22"/>
                <w:highlight w:val="none"/>
              </w:rPr>
              <w:t>提供承诺函(格式自拟)，未提供或不符合要求的不得分。</w:t>
            </w:r>
          </w:p>
        </w:tc>
        <w:tc>
          <w:tcPr>
            <w:tcW w:w="455" w:type="pct"/>
            <w:vMerge w:val="continue"/>
            <w:noWrap w:val="0"/>
            <w:vAlign w:val="center"/>
          </w:tcPr>
          <w:p w14:paraId="6ECAAC5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sz w:val="21"/>
                <w:szCs w:val="21"/>
                <w:highlight w:val="none"/>
                <w:lang w:val="en-US" w:eastAsia="zh-CN" w:bidi="ar"/>
              </w:rPr>
            </w:pPr>
          </w:p>
        </w:tc>
      </w:tr>
      <w:tr w14:paraId="6295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noWrap w:val="0"/>
            <w:vAlign w:val="center"/>
          </w:tcPr>
          <w:p w14:paraId="3B534F1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bidi="ar-SA"/>
              </w:rPr>
              <w:t>8</w:t>
            </w:r>
          </w:p>
        </w:tc>
        <w:tc>
          <w:tcPr>
            <w:tcW w:w="596" w:type="pct"/>
            <w:noWrap w:val="0"/>
            <w:vAlign w:val="center"/>
          </w:tcPr>
          <w:p w14:paraId="6B89EB1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培训方案</w:t>
            </w:r>
          </w:p>
        </w:tc>
        <w:tc>
          <w:tcPr>
            <w:tcW w:w="353" w:type="pct"/>
            <w:noWrap w:val="0"/>
            <w:vAlign w:val="center"/>
          </w:tcPr>
          <w:p w14:paraId="1F8C364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val="0"/>
                <w:bCs w:val="0"/>
                <w:color w:val="000000"/>
                <w:kern w:val="0"/>
                <w:sz w:val="21"/>
                <w:szCs w:val="21"/>
                <w:highlight w:val="none"/>
                <w:lang w:eastAsia="zh-CN"/>
              </w:rPr>
            </w:pPr>
            <w:r>
              <w:rPr>
                <w:rFonts w:hint="eastAsia" w:ascii="宋体" w:hAnsi="宋体" w:eastAsia="宋体" w:cs="宋体"/>
                <w:b w:val="0"/>
                <w:bCs w:val="0"/>
                <w:color w:val="000000"/>
                <w:kern w:val="0"/>
                <w:sz w:val="21"/>
                <w:szCs w:val="21"/>
                <w:highlight w:val="none"/>
                <w:lang w:val="en-US" w:eastAsia="zh-CN"/>
              </w:rPr>
              <w:t>4</w:t>
            </w:r>
          </w:p>
        </w:tc>
        <w:tc>
          <w:tcPr>
            <w:tcW w:w="3223" w:type="pct"/>
            <w:noWrap w:val="0"/>
            <w:vAlign w:val="center"/>
          </w:tcPr>
          <w:p w14:paraId="0DCEB37C">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color w:val="000000"/>
                <w:sz w:val="21"/>
                <w:szCs w:val="21"/>
                <w:highlight w:val="none"/>
                <w:lang w:val="en-US" w:eastAsia="zh-CN"/>
              </w:rPr>
              <w:t>根据</w:t>
            </w:r>
            <w:r>
              <w:rPr>
                <w:rFonts w:hint="eastAsia" w:ascii="宋体" w:hAnsi="宋体" w:eastAsia="宋体" w:cs="宋体"/>
                <w:color w:val="000000"/>
                <w:sz w:val="21"/>
                <w:szCs w:val="21"/>
                <w:highlight w:val="none"/>
              </w:rPr>
              <w:t>投标人提供</w:t>
            </w:r>
            <w:r>
              <w:rPr>
                <w:rFonts w:hint="eastAsia" w:ascii="宋体" w:hAnsi="宋体" w:eastAsia="宋体" w:cs="宋体"/>
                <w:color w:val="000000"/>
                <w:sz w:val="21"/>
                <w:szCs w:val="21"/>
                <w:highlight w:val="none"/>
                <w:lang w:eastAsia="zh-CN"/>
              </w:rPr>
              <w:t>的设备</w:t>
            </w:r>
            <w:r>
              <w:rPr>
                <w:rFonts w:hint="eastAsia" w:ascii="宋体" w:hAnsi="宋体" w:eastAsia="宋体" w:cs="宋体"/>
                <w:color w:val="000000"/>
                <w:sz w:val="21"/>
                <w:szCs w:val="21"/>
                <w:highlight w:val="none"/>
              </w:rPr>
              <w:t>培训方案</w:t>
            </w:r>
            <w:r>
              <w:rPr>
                <w:rFonts w:hint="eastAsia" w:ascii="宋体" w:hAnsi="宋体" w:eastAsia="宋体" w:cs="宋体"/>
                <w:color w:val="000000"/>
                <w:sz w:val="21"/>
                <w:szCs w:val="21"/>
                <w:highlight w:val="none"/>
                <w:lang w:val="en-US" w:eastAsia="zh-CN"/>
              </w:rPr>
              <w:t>进行</w:t>
            </w:r>
            <w:r>
              <w:rPr>
                <w:rFonts w:hint="eastAsia" w:ascii="宋体" w:hAnsi="宋体" w:eastAsia="宋体" w:cs="宋体"/>
                <w:color w:val="000000"/>
                <w:sz w:val="21"/>
                <w:szCs w:val="21"/>
                <w:highlight w:val="none"/>
                <w:lang w:eastAsia="zh-CN"/>
              </w:rPr>
              <w:t>综合打分：</w:t>
            </w:r>
            <w:r>
              <w:rPr>
                <w:rFonts w:hint="eastAsia" w:ascii="宋体" w:hAnsi="宋体" w:eastAsia="宋体" w:cs="宋体"/>
                <w:color w:val="000000"/>
                <w:sz w:val="21"/>
                <w:szCs w:val="21"/>
                <w:highlight w:val="none"/>
              </w:rPr>
              <w:t>内容包括但不限于培训计划、培训方式、培训措施等</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val="0"/>
                <w:color w:val="000000"/>
                <w:kern w:val="0"/>
                <w:sz w:val="21"/>
                <w:szCs w:val="21"/>
                <w:highlight w:val="none"/>
              </w:rPr>
              <w:t>（评分范围：4；3；2；1；0）</w:t>
            </w:r>
          </w:p>
        </w:tc>
        <w:tc>
          <w:tcPr>
            <w:tcW w:w="455" w:type="pct"/>
            <w:noWrap w:val="0"/>
            <w:vAlign w:val="center"/>
          </w:tcPr>
          <w:p w14:paraId="3C1E27EE">
            <w:pPr>
              <w:pStyle w:val="11"/>
              <w:keepNext w:val="0"/>
              <w:keepLines w:val="0"/>
              <w:widowControl/>
              <w:suppressLineNumbers w:val="0"/>
              <w:spacing w:before="0" w:beforeAutospacing="0" w:after="0" w:afterAutospacing="0" w:line="360" w:lineRule="exact"/>
              <w:ind w:left="416" w:right="0" w:hanging="416"/>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rPr>
              <w:t>主观分</w:t>
            </w:r>
          </w:p>
        </w:tc>
      </w:tr>
      <w:tr w14:paraId="2737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1" w:type="pct"/>
            <w:noWrap w:val="0"/>
            <w:vAlign w:val="center"/>
          </w:tcPr>
          <w:p w14:paraId="792462E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bidi="ar-SA"/>
              </w:rPr>
              <w:t>9</w:t>
            </w:r>
          </w:p>
        </w:tc>
        <w:tc>
          <w:tcPr>
            <w:tcW w:w="596" w:type="pct"/>
            <w:noWrap w:val="0"/>
            <w:vAlign w:val="center"/>
          </w:tcPr>
          <w:p w14:paraId="1FA35C4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color w:val="000000"/>
                <w:sz w:val="21"/>
                <w:szCs w:val="21"/>
                <w:highlight w:val="none"/>
              </w:rPr>
              <w:t>产品演示</w:t>
            </w:r>
          </w:p>
        </w:tc>
        <w:tc>
          <w:tcPr>
            <w:tcW w:w="353" w:type="pct"/>
            <w:noWrap w:val="0"/>
            <w:vAlign w:val="center"/>
          </w:tcPr>
          <w:p w14:paraId="3C1D8BC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6</w:t>
            </w:r>
          </w:p>
        </w:tc>
        <w:tc>
          <w:tcPr>
            <w:tcW w:w="3223" w:type="pct"/>
            <w:noWrap w:val="0"/>
            <w:vAlign w:val="center"/>
          </w:tcPr>
          <w:p w14:paraId="4B1EAF4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jc w:val="left"/>
              <w:textAlignment w:val="auto"/>
              <w:rPr>
                <w:rFonts w:hint="eastAsia" w:ascii="宋体" w:hAnsi="宋体" w:cs="宋体"/>
                <w:b/>
                <w:color w:val="auto"/>
                <w:sz w:val="22"/>
                <w:highlight w:val="none"/>
              </w:rPr>
            </w:pPr>
            <w:r>
              <w:rPr>
                <w:rFonts w:hint="eastAsia" w:ascii="宋体" w:hAnsi="宋体" w:eastAsia="宋体" w:cs="宋体"/>
                <w:color w:val="auto"/>
                <w:sz w:val="22"/>
                <w:szCs w:val="22"/>
                <w:highlight w:val="none"/>
              </w:rPr>
              <w:t>投标</w:t>
            </w:r>
            <w:r>
              <w:rPr>
                <w:rFonts w:hint="eastAsia" w:ascii="宋体" w:hAnsi="宋体" w:eastAsia="宋体" w:cs="宋体"/>
                <w:color w:val="auto"/>
                <w:sz w:val="22"/>
                <w:szCs w:val="22"/>
                <w:highlight w:val="none"/>
                <w:lang w:val="en-US" w:eastAsia="zh-CN"/>
              </w:rPr>
              <w:t>供应商</w:t>
            </w:r>
            <w:r>
              <w:rPr>
                <w:rFonts w:hint="eastAsia" w:ascii="宋体" w:hAnsi="宋体" w:eastAsia="宋体" w:cs="宋体"/>
                <w:color w:val="auto"/>
                <w:sz w:val="22"/>
                <w:szCs w:val="22"/>
                <w:highlight w:val="none"/>
              </w:rPr>
              <w:t>根据</w:t>
            </w:r>
            <w:r>
              <w:rPr>
                <w:rFonts w:hint="eastAsia" w:ascii="宋体" w:hAnsi="宋体" w:eastAsia="宋体" w:cs="宋体"/>
                <w:color w:val="auto"/>
                <w:kern w:val="0"/>
                <w:sz w:val="22"/>
                <w:szCs w:val="22"/>
                <w:highlight w:val="none"/>
              </w:rPr>
              <w:t>对照</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标项4主要采购内容及技术参数要求</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kern w:val="0"/>
                <w:sz w:val="22"/>
                <w:szCs w:val="22"/>
                <w:highlight w:val="none"/>
              </w:rPr>
              <w:t>中带</w:t>
            </w:r>
            <w:r>
              <w:rPr>
                <w:rFonts w:hint="eastAsia" w:ascii="宋体" w:hAnsi="宋体" w:cs="宋体"/>
                <w:b/>
                <w:color w:val="auto"/>
                <w:sz w:val="22"/>
                <w:highlight w:val="none"/>
                <w:lang w:eastAsia="zh-CN"/>
              </w:rPr>
              <w:t>“</w:t>
            </w:r>
            <w:r>
              <w:rPr>
                <w:rFonts w:hint="eastAsia" w:ascii="宋体" w:hAnsi="宋体" w:eastAsia="宋体" w:cs="宋体"/>
                <w:color w:val="auto"/>
                <w:kern w:val="0"/>
                <w:sz w:val="22"/>
                <w:szCs w:val="22"/>
                <w:highlight w:val="none"/>
              </w:rPr>
              <w:t>●</w:t>
            </w:r>
            <w:r>
              <w:rPr>
                <w:rFonts w:hint="eastAsia" w:ascii="宋体" w:hAnsi="宋体" w:cs="宋体"/>
                <w:b/>
                <w:color w:val="auto"/>
                <w:sz w:val="22"/>
                <w:highlight w:val="none"/>
                <w:lang w:eastAsia="zh-CN"/>
              </w:rPr>
              <w:t>”</w:t>
            </w:r>
            <w:r>
              <w:rPr>
                <w:rFonts w:hint="eastAsia" w:ascii="宋体" w:hAnsi="宋体" w:eastAsia="宋体" w:cs="宋体"/>
                <w:color w:val="auto"/>
                <w:kern w:val="0"/>
                <w:sz w:val="22"/>
                <w:szCs w:val="22"/>
                <w:highlight w:val="none"/>
              </w:rPr>
              <w:t>号技术性能指标进行</w:t>
            </w:r>
            <w:r>
              <w:rPr>
                <w:rFonts w:hint="eastAsia" w:ascii="宋体" w:hAnsi="宋体" w:eastAsia="宋体" w:cs="宋体"/>
                <w:color w:val="auto"/>
                <w:kern w:val="0"/>
                <w:sz w:val="22"/>
                <w:szCs w:val="22"/>
                <w:highlight w:val="none"/>
                <w:lang w:val="en-US" w:eastAsia="zh-CN"/>
              </w:rPr>
              <w:t>视频</w:t>
            </w:r>
            <w:r>
              <w:rPr>
                <w:rFonts w:hint="eastAsia" w:ascii="宋体" w:hAnsi="宋体" w:eastAsia="宋体" w:cs="宋体"/>
                <w:color w:val="auto"/>
                <w:kern w:val="0"/>
                <w:sz w:val="22"/>
                <w:szCs w:val="22"/>
                <w:highlight w:val="none"/>
              </w:rPr>
              <w:t>演示（共</w:t>
            </w:r>
            <w:r>
              <w:rPr>
                <w:rFonts w:hint="eastAsia" w:ascii="宋体" w:hAnsi="宋体" w:eastAsia="宋体" w:cs="宋体"/>
                <w:color w:val="auto"/>
                <w:kern w:val="0"/>
                <w:sz w:val="22"/>
                <w:szCs w:val="22"/>
                <w:highlight w:val="none"/>
                <w:lang w:val="en-US" w:eastAsia="zh-CN"/>
              </w:rPr>
              <w:t>6点</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，佐证其所投产品能够实现技术文件中描述的功能，</w:t>
            </w:r>
            <w:r>
              <w:rPr>
                <w:rFonts w:hint="eastAsia" w:ascii="宋体" w:hAnsi="宋体" w:eastAsia="宋体" w:cs="宋体"/>
                <w:color w:val="auto"/>
                <w:sz w:val="22"/>
                <w:szCs w:val="22"/>
                <w:highlight w:val="none"/>
                <w:u w:val="none"/>
              </w:rPr>
              <w:t>每</w:t>
            </w:r>
            <w:r>
              <w:rPr>
                <w:rFonts w:hint="eastAsia" w:ascii="宋体" w:hAnsi="宋体" w:eastAsia="宋体" w:cs="宋体"/>
                <w:color w:val="auto"/>
                <w:kern w:val="0"/>
                <w:sz w:val="22"/>
                <w:szCs w:val="22"/>
                <w:highlight w:val="none"/>
                <w:lang w:val="en-US" w:eastAsia="zh-CN"/>
              </w:rPr>
              <w:t>点</w:t>
            </w:r>
            <w:r>
              <w:rPr>
                <w:rFonts w:hint="eastAsia" w:ascii="宋体" w:hAnsi="宋体" w:eastAsia="宋体" w:cs="宋体"/>
                <w:color w:val="auto"/>
                <w:sz w:val="22"/>
                <w:szCs w:val="22"/>
                <w:highlight w:val="none"/>
                <w:u w:val="none"/>
              </w:rPr>
              <w:t>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rPr>
              <w:t>分，共</w:t>
            </w:r>
            <w:r>
              <w:rPr>
                <w:rFonts w:hint="eastAsia" w:ascii="宋体" w:hAnsi="宋体" w:eastAsia="宋体" w:cs="宋体"/>
                <w:color w:val="auto"/>
                <w:sz w:val="22"/>
                <w:szCs w:val="22"/>
                <w:highlight w:val="none"/>
                <w:u w:val="none"/>
                <w:lang w:val="en-US" w:eastAsia="zh-CN"/>
              </w:rPr>
              <w:t>6</w:t>
            </w:r>
            <w:r>
              <w:rPr>
                <w:rFonts w:hint="eastAsia" w:ascii="宋体" w:hAnsi="宋体" w:eastAsia="宋体" w:cs="宋体"/>
                <w:color w:val="auto"/>
                <w:sz w:val="22"/>
                <w:szCs w:val="22"/>
                <w:highlight w:val="none"/>
                <w:u w:val="none"/>
              </w:rPr>
              <w:t>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rPr>
              <w:t>演示功能不齐全或不满足的</w:t>
            </w:r>
            <w:r>
              <w:rPr>
                <w:rFonts w:hint="eastAsia" w:ascii="宋体" w:hAnsi="宋体" w:eastAsia="宋体" w:cs="宋体"/>
                <w:color w:val="auto"/>
                <w:kern w:val="0"/>
                <w:sz w:val="22"/>
                <w:szCs w:val="22"/>
                <w:highlight w:val="none"/>
                <w:lang w:val="en-US" w:eastAsia="zh-CN"/>
              </w:rPr>
              <w:t>不得分</w:t>
            </w:r>
            <w:r>
              <w:rPr>
                <w:rFonts w:hint="eastAsia" w:ascii="宋体" w:hAnsi="宋体" w:eastAsia="宋体" w:cs="宋体"/>
                <w:color w:val="auto"/>
                <w:kern w:val="0"/>
                <w:sz w:val="22"/>
                <w:szCs w:val="22"/>
                <w:highlight w:val="none"/>
                <w:lang w:eastAsia="zh-CN"/>
              </w:rPr>
              <w:t>。</w:t>
            </w:r>
          </w:p>
          <w:p w14:paraId="6C833D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【演示要求】</w:t>
            </w:r>
          </w:p>
          <w:p w14:paraId="2C2A4EE8">
            <w:pPr>
              <w:keepNext w:val="0"/>
              <w:keepLines w:val="0"/>
              <w:pageBreakBefore w:val="0"/>
              <w:widowControl/>
              <w:numPr>
                <w:ilvl w:val="0"/>
                <w:numId w:val="81"/>
              </w:numPr>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演示视频提交方式：各供应商应在投标截止时间前将演示内容（以MP4或RMVB等常见模式存储，不得采用特殊或专用存储模式）加密后发送到邮箱471870577@qq.com，并电话向代理机构确认，加密密码自行保管，待电子投标文件解密后将密码发送给代理机构。</w:t>
            </w:r>
          </w:p>
          <w:p w14:paraId="4FD9901F">
            <w:pPr>
              <w:keepNext w:val="0"/>
              <w:keepLines w:val="0"/>
              <w:pageBreakBefore w:val="0"/>
              <w:widowControl/>
              <w:numPr>
                <w:ilvl w:val="0"/>
                <w:numId w:val="81"/>
              </w:numPr>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演示时长不超过15分钟。</w:t>
            </w:r>
          </w:p>
          <w:p w14:paraId="01B6A17D">
            <w:pPr>
              <w:keepNext w:val="0"/>
              <w:keepLines w:val="0"/>
              <w:pageBreakBefore w:val="0"/>
              <w:widowControl/>
              <w:numPr>
                <w:ilvl w:val="0"/>
                <w:numId w:val="81"/>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若出现演示文件不能正常打开，或不能正常解密，则按未提交演示文件处理，本项记0分；</w:t>
            </w:r>
          </w:p>
          <w:p w14:paraId="484C2C1E">
            <w:pPr>
              <w:keepNext w:val="0"/>
              <w:keepLines w:val="0"/>
              <w:pageBreakBefore w:val="0"/>
              <w:widowControl/>
              <w:numPr>
                <w:ilvl w:val="0"/>
                <w:numId w:val="81"/>
              </w:numPr>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宋体" w:hAnsi="宋体" w:cs="宋体"/>
                <w:b/>
                <w:color w:val="auto"/>
                <w:sz w:val="22"/>
                <w:highlight w:val="none"/>
              </w:rPr>
            </w:pPr>
            <w:r>
              <w:rPr>
                <w:rFonts w:hint="eastAsia" w:ascii="宋体" w:hAnsi="宋体" w:cs="宋体"/>
                <w:b/>
                <w:color w:val="auto"/>
                <w:sz w:val="22"/>
                <w:highlight w:val="none"/>
              </w:rPr>
              <w:t>演示为非必须项，未提供演示的，对应演示分为0分。</w:t>
            </w:r>
          </w:p>
          <w:p w14:paraId="0E4CF84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exact"/>
              <w:ind w:left="0" w:right="0"/>
              <w:jc w:val="left"/>
              <w:rPr>
                <w:rFonts w:hint="eastAsia" w:ascii="宋体" w:hAnsi="宋体" w:cs="宋体"/>
                <w:b/>
                <w:color w:val="auto"/>
                <w:sz w:val="22"/>
                <w:highlight w:val="none"/>
              </w:rPr>
            </w:pPr>
            <w:r>
              <w:rPr>
                <w:rFonts w:hint="eastAsia" w:ascii="宋体" w:hAnsi="宋体" w:cs="宋体"/>
                <w:b/>
                <w:color w:val="auto"/>
                <w:sz w:val="22"/>
                <w:highlight w:val="none"/>
                <w:lang w:val="en-US" w:eastAsia="zh-CN"/>
              </w:rPr>
              <w:t>5</w:t>
            </w:r>
            <w:r>
              <w:rPr>
                <w:rFonts w:hint="eastAsia" w:ascii="宋体" w:hAnsi="宋体" w:cs="宋体"/>
                <w:b/>
                <w:color w:val="auto"/>
                <w:sz w:val="22"/>
                <w:highlight w:val="none"/>
              </w:rPr>
              <w:t>、</w:t>
            </w:r>
            <w:r>
              <w:rPr>
                <w:rFonts w:hint="eastAsia" w:ascii="宋体" w:hAnsi="宋体" w:eastAsia="宋体" w:cs="宋体"/>
                <w:b/>
                <w:bCs/>
                <w:color w:val="auto"/>
                <w:sz w:val="21"/>
                <w:szCs w:val="21"/>
                <w:highlight w:val="none"/>
                <w:lang w:val="en-US" w:eastAsia="zh-CN"/>
              </w:rPr>
              <w:t>演示播放顺序按各投标人投标文件解密的先后顺序播放。</w:t>
            </w:r>
          </w:p>
          <w:p w14:paraId="1D919525">
            <w:pPr>
              <w:keepNext w:val="0"/>
              <w:keepLines w:val="0"/>
              <w:widowControl/>
              <w:suppressLineNumbers w:val="0"/>
              <w:spacing w:before="0" w:beforeAutospacing="0" w:after="0" w:afterAutospacing="0"/>
              <w:ind w:left="0" w:right="0"/>
              <w:rPr>
                <w:rFonts w:hint="eastAsia" w:ascii="宋体" w:hAnsi="宋体" w:eastAsia="宋体" w:cs="宋体"/>
                <w:b w:val="0"/>
                <w:bCs w:val="0"/>
                <w:color w:val="000000"/>
                <w:kern w:val="0"/>
                <w:sz w:val="21"/>
                <w:szCs w:val="21"/>
                <w:highlight w:val="none"/>
                <w:lang w:val="en-US" w:eastAsia="zh-CN"/>
              </w:rPr>
            </w:pPr>
            <w:r>
              <w:rPr>
                <w:rFonts w:hint="eastAsia" w:ascii="宋体" w:hAnsi="宋体" w:cs="宋体"/>
                <w:b/>
                <w:bCs/>
                <w:color w:val="auto"/>
                <w:kern w:val="0"/>
                <w:sz w:val="22"/>
                <w:highlight w:val="none"/>
                <w:lang w:val="en-US" w:eastAsia="zh-CN"/>
              </w:rPr>
              <w:t>6、</w:t>
            </w:r>
            <w:r>
              <w:rPr>
                <w:rFonts w:hint="eastAsia" w:ascii="宋体" w:hAnsi="宋体" w:cs="宋体"/>
                <w:b/>
                <w:bCs/>
                <w:color w:val="auto"/>
                <w:kern w:val="0"/>
                <w:sz w:val="22"/>
                <w:highlight w:val="none"/>
              </w:rPr>
              <w:t>演示项扣分的，但采购需求偏离表中是无偏离，则只在此项扣分，不在“技术响应”重复扣分。</w:t>
            </w:r>
          </w:p>
        </w:tc>
        <w:tc>
          <w:tcPr>
            <w:tcW w:w="455" w:type="pct"/>
            <w:noWrap w:val="0"/>
            <w:vAlign w:val="center"/>
          </w:tcPr>
          <w:p w14:paraId="3943A81E">
            <w:pPr>
              <w:keepNext w:val="0"/>
              <w:keepLines w:val="0"/>
              <w:widowControl/>
              <w:suppressLineNumbers w:val="0"/>
              <w:spacing w:before="0" w:beforeAutospacing="0" w:after="0" w:afterAutospacing="0" w:line="360" w:lineRule="exact"/>
              <w:ind w:left="0" w:right="0"/>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spacing w:val="-6"/>
                <w:sz w:val="21"/>
                <w:szCs w:val="21"/>
                <w:highlight w:val="none"/>
                <w:lang w:val="en-US" w:eastAsia="zh-CN"/>
              </w:rPr>
              <w:t>客</w:t>
            </w:r>
            <w:r>
              <w:rPr>
                <w:rFonts w:hint="eastAsia" w:ascii="宋体" w:hAnsi="宋体" w:eastAsia="宋体" w:cs="宋体"/>
                <w:b w:val="0"/>
                <w:bCs w:val="0"/>
                <w:color w:val="000000"/>
                <w:spacing w:val="-6"/>
                <w:sz w:val="21"/>
                <w:szCs w:val="21"/>
                <w:highlight w:val="none"/>
              </w:rPr>
              <w:t>观分</w:t>
            </w:r>
          </w:p>
        </w:tc>
      </w:tr>
    </w:tbl>
    <w:p w14:paraId="1B07A72B">
      <w:pPr>
        <w:jc w:val="center"/>
        <w:rPr>
          <w:rFonts w:hint="eastAsia" w:ascii="宋体" w:hAnsi="宋体" w:eastAsia="宋体" w:cs="宋体"/>
          <w:b/>
          <w:bCs/>
          <w:sz w:val="28"/>
          <w:szCs w:val="28"/>
          <w:lang w:val="en-US" w:eastAsia="zh-CN"/>
        </w:rPr>
      </w:pPr>
    </w:p>
    <w:p w14:paraId="0FC1B8CA">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2.投标报价评分</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r>
        <w:rPr>
          <w:rFonts w:hint="eastAsia" w:ascii="宋体" w:hAnsi="宋体" w:eastAsia="宋体" w:cs="宋体"/>
          <w:b/>
          <w:color w:val="auto"/>
          <w:sz w:val="21"/>
          <w:szCs w:val="21"/>
          <w:highlight w:val="none"/>
        </w:rPr>
        <w:t>（标项1、标项2、标项3、标项4通用）</w:t>
      </w:r>
      <w:r>
        <w:rPr>
          <w:rFonts w:hint="eastAsia" w:ascii="宋体" w:hAnsi="宋体" w:eastAsia="宋体" w:cs="宋体"/>
          <w:b/>
          <w:bCs/>
          <w:color w:val="auto"/>
          <w:sz w:val="21"/>
          <w:szCs w:val="21"/>
          <w:highlight w:val="none"/>
        </w:rPr>
        <w:t>：</w:t>
      </w:r>
    </w:p>
    <w:p w14:paraId="663B562F">
      <w:pPr>
        <w:ind w:firstLine="420"/>
        <w:rPr>
          <w:rFonts w:hint="eastAsia" w:ascii="宋体" w:hAnsi="宋体" w:eastAsia="宋体" w:cs="宋体"/>
          <w:b/>
          <w:bCs/>
          <w:sz w:val="21"/>
          <w:szCs w:val="21"/>
          <w:highlight w:val="none"/>
          <w:u w:val="singl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b/>
          <w:bCs/>
          <w:color w:val="auto"/>
          <w:kern w:val="0"/>
          <w:sz w:val="21"/>
          <w:szCs w:val="21"/>
          <w:highlight w:val="none"/>
          <w:u w:val="single"/>
          <w:lang w:val="en-US" w:eastAsia="zh-CN"/>
        </w:rPr>
        <w:t>1</w:t>
      </w:r>
      <w:r>
        <w:rPr>
          <w:rFonts w:hint="eastAsia" w:ascii="宋体" w:hAnsi="宋体" w:eastAsia="宋体" w:cs="宋体"/>
          <w:b/>
          <w:bCs/>
          <w:color w:val="auto"/>
          <w:sz w:val="21"/>
          <w:szCs w:val="21"/>
          <w:highlight w:val="none"/>
          <w:u w:val="single"/>
        </w:rPr>
        <w:t>▲</w:t>
      </w:r>
      <w:r>
        <w:rPr>
          <w:rFonts w:hint="eastAsia" w:ascii="宋体" w:hAnsi="宋体" w:eastAsia="宋体" w:cs="宋体"/>
          <w:b/>
          <w:bCs/>
          <w:sz w:val="21"/>
          <w:szCs w:val="21"/>
          <w:highlight w:val="none"/>
          <w:u w:val="single"/>
        </w:rPr>
        <w:t>政策功能的评标价格扣除</w:t>
      </w:r>
    </w:p>
    <w:p w14:paraId="17F1872A">
      <w:pPr>
        <w:ind w:firstLine="48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▲（1）“评标价格”是指符合相关政策要求，按一定比例对投标报价进行政策功能的扣除后，仅用作价格分评分的价格（中标价及合同价仍以其投标报价为准）。</w:t>
      </w:r>
    </w:p>
    <w:p w14:paraId="3DC0F81C">
      <w:pPr>
        <w:ind w:firstLine="480"/>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▲（2）供应商为小微（或监狱或残疾人福利性单位）企业且提供的是本企业或其他小微（或监狱或残疾人福利性单位）企业制造的货物、承担的工程或者服务，其评标价格为投标报价扣除</w:t>
      </w:r>
      <w:r>
        <w:rPr>
          <w:rFonts w:hint="eastAsia" w:ascii="宋体" w:hAnsi="宋体" w:eastAsia="宋体" w:cs="宋体"/>
          <w:b/>
          <w:bCs/>
          <w:color w:val="auto"/>
          <w:sz w:val="21"/>
          <w:szCs w:val="21"/>
          <w:highlight w:val="none"/>
          <w:u w:val="single"/>
          <w:lang w:val="en-US" w:eastAsia="zh-CN"/>
        </w:rPr>
        <w:t>10</w:t>
      </w:r>
      <w:r>
        <w:rPr>
          <w:rFonts w:hint="eastAsia" w:ascii="宋体" w:hAnsi="宋体" w:eastAsia="宋体" w:cs="宋体"/>
          <w:b/>
          <w:bCs/>
          <w:color w:val="auto"/>
          <w:sz w:val="21"/>
          <w:szCs w:val="21"/>
          <w:highlight w:val="none"/>
          <w:u w:val="single"/>
        </w:rPr>
        <w:t>%，即投标报价×</w:t>
      </w:r>
      <w:r>
        <w:rPr>
          <w:rFonts w:hint="eastAsia" w:ascii="宋体" w:hAnsi="宋体" w:eastAsia="宋体" w:cs="宋体"/>
          <w:b/>
          <w:bCs/>
          <w:color w:val="auto"/>
          <w:sz w:val="21"/>
          <w:szCs w:val="21"/>
          <w:highlight w:val="none"/>
          <w:u w:val="single"/>
          <w:lang w:val="en-US" w:eastAsia="zh-CN"/>
        </w:rPr>
        <w:t>90</w:t>
      </w:r>
      <w:r>
        <w:rPr>
          <w:rFonts w:hint="eastAsia" w:ascii="宋体" w:hAnsi="宋体" w:eastAsia="宋体" w:cs="宋体"/>
          <w:b/>
          <w:bCs/>
          <w:color w:val="auto"/>
          <w:sz w:val="21"/>
          <w:szCs w:val="21"/>
          <w:highlight w:val="none"/>
          <w:u w:val="single"/>
        </w:rPr>
        <w:t>%；</w:t>
      </w:r>
    </w:p>
    <w:p w14:paraId="73D7141D">
      <w:pPr>
        <w:pStyle w:val="9"/>
        <w:spacing w:after="0"/>
        <w:ind w:firstLine="480"/>
        <w:rPr>
          <w:rFonts w:hint="eastAsia" w:ascii="宋体" w:hAnsi="宋体" w:eastAsia="宋体" w:cs="宋体"/>
          <w:b/>
          <w:bCs/>
          <w:color w:val="auto"/>
          <w:sz w:val="21"/>
          <w:szCs w:val="21"/>
          <w:highlight w:val="none"/>
          <w:u w:val="single"/>
          <w:lang w:val="en-US" w:eastAsia="zh-CN"/>
        </w:rPr>
      </w:pPr>
      <w:r>
        <w:rPr>
          <w:rFonts w:hint="eastAsia" w:ascii="宋体" w:hAnsi="宋体" w:eastAsia="宋体" w:cs="宋体"/>
          <w:b/>
          <w:bCs/>
          <w:color w:val="auto"/>
          <w:sz w:val="21"/>
          <w:szCs w:val="21"/>
          <w:highlight w:val="none"/>
          <w:u w:val="single"/>
        </w:rPr>
        <w:t>▲（3）</w:t>
      </w:r>
      <w:r>
        <w:rPr>
          <w:rFonts w:hint="eastAsia" w:ascii="宋体" w:hAnsi="宋体" w:eastAsia="宋体" w:cs="宋体"/>
          <w:b/>
          <w:bCs/>
          <w:color w:val="auto"/>
          <w:sz w:val="21"/>
          <w:szCs w:val="21"/>
          <w:highlight w:val="none"/>
          <w:u w:val="single"/>
          <w:lang w:val="en-US" w:eastAsia="zh-CN"/>
        </w:rPr>
        <w:t>供应商为</w:t>
      </w:r>
      <w:r>
        <w:rPr>
          <w:rFonts w:hint="eastAsia" w:ascii="宋体" w:hAnsi="宋体" w:eastAsia="宋体" w:cs="宋体"/>
          <w:b/>
          <w:bCs/>
          <w:sz w:val="21"/>
          <w:szCs w:val="21"/>
          <w:highlight w:val="none"/>
          <w:u w:val="single"/>
          <w:lang w:val="en-US" w:eastAsia="zh-CN"/>
        </w:rPr>
        <w:t>大中型企业与小微企业组成联合体的（其中小微企业的合同份额占合同总额的30%及以上），且按采购文件规定提交齐全相应证明材料的，</w:t>
      </w:r>
      <w:r>
        <w:rPr>
          <w:rFonts w:hint="eastAsia" w:ascii="宋体" w:hAnsi="宋体" w:eastAsia="宋体" w:cs="宋体"/>
          <w:b/>
          <w:bCs/>
          <w:color w:val="auto"/>
          <w:sz w:val="21"/>
          <w:szCs w:val="21"/>
          <w:highlight w:val="none"/>
          <w:u w:val="single"/>
        </w:rPr>
        <w:t>其评标价格为投标报价扣除</w:t>
      </w:r>
      <w:r>
        <w:rPr>
          <w:rFonts w:hint="eastAsia" w:ascii="宋体" w:hAnsi="宋体" w:eastAsia="宋体" w:cs="宋体"/>
          <w:b/>
          <w:bCs/>
          <w:color w:val="auto"/>
          <w:sz w:val="21"/>
          <w:szCs w:val="21"/>
          <w:highlight w:val="none"/>
          <w:u w:val="single"/>
          <w:lang w:val="en-US" w:eastAsia="zh-CN"/>
        </w:rPr>
        <w:t>6</w:t>
      </w:r>
      <w:r>
        <w:rPr>
          <w:rFonts w:hint="eastAsia" w:ascii="宋体" w:hAnsi="宋体" w:eastAsia="宋体" w:cs="宋体"/>
          <w:b/>
          <w:bCs/>
          <w:color w:val="auto"/>
          <w:sz w:val="21"/>
          <w:szCs w:val="21"/>
          <w:highlight w:val="none"/>
          <w:u w:val="single"/>
        </w:rPr>
        <w:t>%，即投标报价×9</w:t>
      </w:r>
      <w:r>
        <w:rPr>
          <w:rFonts w:hint="eastAsia" w:ascii="宋体" w:hAnsi="宋体" w:eastAsia="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rPr>
        <w:t>%；</w:t>
      </w:r>
    </w:p>
    <w:p w14:paraId="7C7DA679">
      <w:pPr>
        <w:spacing w:line="360" w:lineRule="auto"/>
        <w:rPr>
          <w:rFonts w:hint="default" w:ascii="宋体" w:hAnsi="宋体" w:eastAsia="宋体" w:cs="宋体"/>
          <w:b/>
          <w:bCs/>
          <w:color w:val="auto"/>
          <w:kern w:val="0"/>
          <w:sz w:val="21"/>
          <w:szCs w:val="21"/>
          <w:highlight w:val="none"/>
          <w:u w:val="single"/>
          <w:lang w:val="en-US" w:eastAsia="zh-CN"/>
        </w:rPr>
      </w:pP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eastAsia="zh-CN"/>
        </w:rPr>
        <w:t>（</w:t>
      </w:r>
      <w:r>
        <w:rPr>
          <w:rFonts w:hint="eastAsia" w:ascii="宋体" w:hAnsi="宋体" w:eastAsia="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lang w:eastAsia="zh-CN"/>
        </w:rPr>
        <w:t>）证明材料提供不全或无法证明的视为不符合政策功能的评标价格扣除要求，将不予评标价格的扣除</w:t>
      </w:r>
      <w:r>
        <w:rPr>
          <w:rFonts w:hint="eastAsia" w:ascii="宋体" w:hAnsi="宋体" w:eastAsia="宋体" w:cs="宋体"/>
          <w:b/>
          <w:bCs/>
          <w:color w:val="auto"/>
          <w:sz w:val="21"/>
          <w:szCs w:val="21"/>
          <w:highlight w:val="none"/>
          <w:u w:val="single"/>
          <w:lang w:val="en-US" w:eastAsia="zh-CN"/>
        </w:rPr>
        <w:t>.</w:t>
      </w:r>
    </w:p>
    <w:p w14:paraId="0EB773BA">
      <w:pPr>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 投标报价得分（30分）</w:t>
      </w:r>
    </w:p>
    <w:p w14:paraId="07F1225E">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满足</w:t>
      </w:r>
      <w:r>
        <w:rPr>
          <w:rFonts w:hint="eastAsia" w:ascii="宋体" w:hAnsi="宋体" w:eastAsia="宋体" w:cs="宋体"/>
          <w:color w:val="auto"/>
          <w:kern w:val="0"/>
          <w:sz w:val="21"/>
          <w:szCs w:val="21"/>
          <w:highlight w:val="none"/>
          <w:lang w:eastAsia="zh-CN"/>
        </w:rPr>
        <w:t>采购文件</w:t>
      </w:r>
      <w:r>
        <w:rPr>
          <w:rFonts w:hint="eastAsia" w:ascii="宋体" w:hAnsi="宋体" w:eastAsia="宋体" w:cs="宋体"/>
          <w:color w:val="auto"/>
          <w:kern w:val="0"/>
          <w:sz w:val="21"/>
          <w:szCs w:val="21"/>
          <w:highlight w:val="none"/>
        </w:rPr>
        <w:t>要求且投标报价最低的投标报价</w:t>
      </w:r>
      <w:r>
        <w:rPr>
          <w:rFonts w:hint="eastAsia" w:ascii="宋体" w:hAnsi="宋体" w:eastAsia="宋体" w:cs="宋体"/>
          <w:sz w:val="21"/>
          <w:szCs w:val="21"/>
          <w:highlight w:val="none"/>
        </w:rPr>
        <w:t>（或政策功能扣除后的评标价格）</w:t>
      </w:r>
      <w:r>
        <w:rPr>
          <w:rFonts w:hint="eastAsia" w:ascii="宋体" w:hAnsi="宋体" w:eastAsia="宋体" w:cs="宋体"/>
          <w:color w:val="auto"/>
          <w:kern w:val="0"/>
          <w:sz w:val="21"/>
          <w:szCs w:val="21"/>
          <w:highlight w:val="none"/>
        </w:rPr>
        <w:t>为评标基准价；</w:t>
      </w:r>
    </w:p>
    <w:p w14:paraId="17613741">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1）有效投标人的投标报价等于评标基准价时，其投标报价评分值为满分；</w:t>
      </w:r>
    </w:p>
    <w:p w14:paraId="0418501F">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rPr>
        <w:t>其它投标人的投标报价得分</w:t>
      </w:r>
      <w:r>
        <w:rPr>
          <w:rFonts w:hint="eastAsia" w:ascii="宋体" w:hAnsi="宋体" w:eastAsia="宋体" w:cs="宋体"/>
          <w:color w:val="auto"/>
          <w:kern w:val="0"/>
          <w:sz w:val="21"/>
          <w:szCs w:val="21"/>
          <w:highlight w:val="none"/>
        </w:rPr>
        <w:t>=（评标基准价/投标人投标报价）×</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color w:val="auto"/>
          <w:sz w:val="21"/>
          <w:szCs w:val="21"/>
          <w:highlight w:val="none"/>
        </w:rPr>
        <w:t>（四舍五入，保留小数点后2位）</w:t>
      </w:r>
    </w:p>
    <w:p w14:paraId="451A2DED">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3）所有投标人的投标报价均超采购预算，重新组织招标。</w:t>
      </w:r>
    </w:p>
    <w:p w14:paraId="127D046C">
      <w:pPr>
        <w:pStyle w:val="24"/>
        <w:ind w:left="0" w:leftChars="0" w:firstLine="0" w:firstLineChars="0"/>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本项目采购预算为</w:t>
      </w:r>
      <w:r>
        <w:rPr>
          <w:rFonts w:hint="eastAsia" w:ascii="宋体" w:hAnsi="宋体" w:eastAsia="宋体" w:cs="宋体"/>
          <w:b/>
          <w:color w:val="auto"/>
          <w:sz w:val="21"/>
          <w:szCs w:val="21"/>
          <w:highlight w:val="none"/>
          <w:u w:val="single"/>
          <w:lang w:val="en-US" w:eastAsia="zh-CN"/>
        </w:rPr>
        <w:t>标项1：</w:t>
      </w:r>
      <w:r>
        <w:rPr>
          <w:rFonts w:hint="eastAsia" w:cs="宋体"/>
          <w:b/>
          <w:color w:val="auto"/>
          <w:sz w:val="21"/>
          <w:szCs w:val="21"/>
          <w:highlight w:val="none"/>
          <w:u w:val="single"/>
          <w:lang w:val="en-US" w:eastAsia="zh-CN"/>
        </w:rPr>
        <w:t>1960000</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元</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lang w:val="en-US" w:eastAsia="zh-CN"/>
        </w:rPr>
        <w:t>标项2：1680000</w:t>
      </w:r>
      <w:r>
        <w:rPr>
          <w:rFonts w:hint="eastAsia" w:ascii="宋体" w:hAnsi="宋体" w:eastAsia="宋体" w:cs="宋体"/>
          <w:b/>
          <w:color w:val="auto"/>
          <w:sz w:val="21"/>
          <w:szCs w:val="21"/>
          <w:highlight w:val="none"/>
          <w:u w:val="single"/>
        </w:rPr>
        <w:t>元</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lang w:val="en-US" w:eastAsia="zh-CN"/>
        </w:rPr>
        <w:t>标项3：546000</w:t>
      </w:r>
      <w:r>
        <w:rPr>
          <w:rFonts w:hint="eastAsia" w:ascii="宋体" w:hAnsi="宋体" w:eastAsia="宋体" w:cs="宋体"/>
          <w:b/>
          <w:color w:val="auto"/>
          <w:sz w:val="21"/>
          <w:szCs w:val="21"/>
          <w:highlight w:val="none"/>
          <w:u w:val="single"/>
        </w:rPr>
        <w:t>元</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lang w:val="en-US" w:eastAsia="zh-CN"/>
        </w:rPr>
        <w:t>标项4：768000</w:t>
      </w:r>
      <w:r>
        <w:rPr>
          <w:rFonts w:hint="eastAsia" w:ascii="宋体" w:hAnsi="宋体" w:eastAsia="宋体" w:cs="宋体"/>
          <w:b/>
          <w:color w:val="auto"/>
          <w:sz w:val="21"/>
          <w:szCs w:val="21"/>
          <w:highlight w:val="none"/>
          <w:u w:val="single"/>
        </w:rPr>
        <w:t>元。</w:t>
      </w:r>
    </w:p>
    <w:p w14:paraId="4E79AC65">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3.有效投标人的综合得分为商务技术得分和投标报价得分的总和。</w:t>
      </w:r>
    </w:p>
    <w:p w14:paraId="3181BADA">
      <w:pPr>
        <w:spacing w:line="360" w:lineRule="auto"/>
        <w:rPr>
          <w:rFonts w:hint="default" w:ascii="宋体" w:hAnsi="宋体" w:eastAsia="宋体" w:cs="宋体"/>
          <w:b/>
          <w:bCs/>
          <w:sz w:val="28"/>
          <w:szCs w:val="28"/>
          <w:lang w:val="en-US" w:eastAsia="zh-CN"/>
        </w:rPr>
        <w:sectPr>
          <w:pgSz w:w="11906" w:h="16838"/>
          <w:pgMar w:top="1440" w:right="1304" w:bottom="1089" w:left="1531" w:header="851" w:footer="992" w:gutter="0"/>
          <w:pgNumType w:fmt="decimal"/>
          <w:cols w:space="720" w:num="1"/>
          <w:docGrid w:linePitch="312" w:charSpace="0"/>
        </w:sectPr>
      </w:pPr>
      <w:r>
        <w:rPr>
          <w:rFonts w:hint="eastAsia" w:ascii="宋体" w:hAnsi="宋体" w:eastAsia="宋体" w:cs="宋体"/>
          <w:color w:val="auto"/>
          <w:sz w:val="21"/>
          <w:szCs w:val="21"/>
          <w:highlight w:val="none"/>
        </w:rPr>
        <w:t>4.评标委员会</w:t>
      </w:r>
      <w:r>
        <w:rPr>
          <w:rFonts w:hint="eastAsia" w:ascii="宋体" w:hAnsi="宋体" w:eastAsia="宋体" w:cs="宋体"/>
          <w:color w:val="auto"/>
          <w:kern w:val="0"/>
          <w:sz w:val="21"/>
          <w:szCs w:val="21"/>
          <w:highlight w:val="none"/>
        </w:rPr>
        <w:t>依据</w:t>
      </w:r>
      <w:r>
        <w:rPr>
          <w:rFonts w:hint="eastAsia" w:ascii="宋体" w:hAnsi="宋体" w:eastAsia="宋体" w:cs="宋体"/>
          <w:color w:val="auto"/>
          <w:kern w:val="0"/>
          <w:sz w:val="21"/>
          <w:szCs w:val="21"/>
          <w:highlight w:val="none"/>
          <w:lang w:eastAsia="zh-CN"/>
        </w:rPr>
        <w:t>法律法规</w:t>
      </w:r>
      <w:r>
        <w:rPr>
          <w:rFonts w:hint="eastAsia" w:ascii="宋体" w:hAnsi="宋体" w:eastAsia="宋体" w:cs="宋体"/>
          <w:color w:val="auto"/>
          <w:kern w:val="0"/>
          <w:sz w:val="21"/>
          <w:szCs w:val="21"/>
          <w:highlight w:val="none"/>
        </w:rPr>
        <w:t>及</w:t>
      </w:r>
      <w:r>
        <w:rPr>
          <w:rFonts w:hint="eastAsia" w:ascii="宋体" w:hAnsi="宋体" w:eastAsia="宋体" w:cs="宋体"/>
          <w:color w:val="auto"/>
          <w:kern w:val="0"/>
          <w:sz w:val="21"/>
          <w:szCs w:val="21"/>
          <w:highlight w:val="none"/>
          <w:lang w:eastAsia="zh-CN"/>
        </w:rPr>
        <w:t>采购文件</w:t>
      </w:r>
      <w:r>
        <w:rPr>
          <w:rFonts w:hint="eastAsia" w:ascii="宋体" w:hAnsi="宋体" w:eastAsia="宋体" w:cs="宋体"/>
          <w:color w:val="auto"/>
          <w:kern w:val="0"/>
          <w:sz w:val="21"/>
          <w:szCs w:val="21"/>
          <w:highlight w:val="none"/>
        </w:rPr>
        <w:t>有关规定在有效标中按投标人的</w:t>
      </w:r>
      <w:r>
        <w:rPr>
          <w:rFonts w:hint="eastAsia" w:ascii="宋体" w:hAnsi="宋体" w:eastAsia="宋体" w:cs="宋体"/>
          <w:color w:val="auto"/>
          <w:sz w:val="21"/>
          <w:szCs w:val="21"/>
          <w:highlight w:val="none"/>
        </w:rPr>
        <w:t>综合得分（即商务技术得分与投标报价得分之和）</w:t>
      </w:r>
      <w:r>
        <w:rPr>
          <w:rFonts w:hint="eastAsia" w:ascii="宋体" w:hAnsi="宋体" w:eastAsia="宋体" w:cs="宋体"/>
          <w:color w:val="auto"/>
          <w:kern w:val="0"/>
          <w:sz w:val="21"/>
          <w:szCs w:val="21"/>
          <w:highlight w:val="none"/>
        </w:rPr>
        <w:t>高低进行排序，综合得分</w:t>
      </w:r>
      <w:r>
        <w:rPr>
          <w:rFonts w:hint="eastAsia" w:ascii="宋体" w:hAnsi="宋体" w:eastAsia="宋体" w:cs="宋体"/>
          <w:color w:val="auto"/>
          <w:kern w:val="0"/>
          <w:sz w:val="21"/>
          <w:szCs w:val="21"/>
          <w:highlight w:val="none"/>
          <w:lang w:val="en-US" w:eastAsia="zh-CN"/>
        </w:rPr>
        <w:t>最高和次高</w:t>
      </w:r>
      <w:r>
        <w:rPr>
          <w:rFonts w:hint="eastAsia" w:ascii="宋体" w:hAnsi="宋体" w:eastAsia="宋体" w:cs="宋体"/>
          <w:color w:val="auto"/>
          <w:kern w:val="0"/>
          <w:sz w:val="21"/>
          <w:szCs w:val="21"/>
          <w:highlight w:val="none"/>
        </w:rPr>
        <w:t>的投标人推荐为第一</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第二</w:t>
      </w:r>
      <w:r>
        <w:rPr>
          <w:rFonts w:hint="eastAsia" w:ascii="宋体" w:hAnsi="宋体" w:eastAsia="宋体" w:cs="宋体"/>
          <w:color w:val="auto"/>
          <w:kern w:val="0"/>
          <w:sz w:val="21"/>
          <w:szCs w:val="21"/>
          <w:highlight w:val="none"/>
        </w:rPr>
        <w:t>中标候选人。（综合</w:t>
      </w:r>
      <w:r>
        <w:rPr>
          <w:rFonts w:hint="eastAsia" w:ascii="宋体" w:hAnsi="宋体" w:eastAsia="宋体" w:cs="宋体"/>
          <w:color w:val="auto"/>
          <w:sz w:val="21"/>
          <w:szCs w:val="21"/>
          <w:highlight w:val="none"/>
        </w:rPr>
        <w:t>得分相同的，按</w:t>
      </w:r>
      <w:r>
        <w:rPr>
          <w:rFonts w:hint="eastAsia" w:ascii="宋体" w:hAnsi="宋体" w:eastAsia="宋体" w:cs="宋体"/>
          <w:b/>
          <w:color w:val="auto"/>
          <w:sz w:val="21"/>
          <w:szCs w:val="21"/>
          <w:highlight w:val="none"/>
        </w:rPr>
        <w:t>投标报价得分</w:t>
      </w:r>
      <w:r>
        <w:rPr>
          <w:rFonts w:hint="eastAsia" w:ascii="宋体" w:hAnsi="宋体" w:eastAsia="宋体" w:cs="宋体"/>
          <w:color w:val="auto"/>
          <w:sz w:val="21"/>
          <w:szCs w:val="21"/>
          <w:highlight w:val="none"/>
        </w:rPr>
        <w:t>由高到低顺序排列。</w:t>
      </w:r>
      <w:r>
        <w:rPr>
          <w:rFonts w:hint="eastAsia" w:ascii="宋体" w:hAnsi="宋体" w:eastAsia="宋体" w:cs="宋体"/>
          <w:color w:val="auto"/>
          <w:kern w:val="0"/>
          <w:sz w:val="21"/>
          <w:szCs w:val="21"/>
          <w:highlight w:val="none"/>
        </w:rPr>
        <w:t>综合</w:t>
      </w:r>
      <w:r>
        <w:rPr>
          <w:rFonts w:hint="eastAsia" w:ascii="宋体" w:hAnsi="宋体" w:eastAsia="宋体" w:cs="宋体"/>
          <w:color w:val="auto"/>
          <w:sz w:val="21"/>
          <w:szCs w:val="21"/>
          <w:highlight w:val="none"/>
        </w:rPr>
        <w:t>得分且</w:t>
      </w:r>
      <w:r>
        <w:rPr>
          <w:rFonts w:hint="eastAsia" w:ascii="宋体" w:hAnsi="宋体" w:eastAsia="宋体" w:cs="宋体"/>
          <w:b/>
          <w:color w:val="auto"/>
          <w:sz w:val="21"/>
          <w:szCs w:val="21"/>
          <w:highlight w:val="none"/>
        </w:rPr>
        <w:t>投标报价得分</w:t>
      </w:r>
      <w:r>
        <w:rPr>
          <w:rFonts w:hint="eastAsia" w:ascii="宋体" w:hAnsi="宋体" w:eastAsia="宋体" w:cs="宋体"/>
          <w:color w:val="auto"/>
          <w:sz w:val="21"/>
          <w:szCs w:val="21"/>
          <w:highlight w:val="none"/>
        </w:rPr>
        <w:t>相同，由评标委员会随机抽签决定排名顺序。</w:t>
      </w:r>
      <w:r>
        <w:rPr>
          <w:rFonts w:hint="eastAsia" w:ascii="宋体" w:hAnsi="宋体" w:eastAsia="宋体" w:cs="宋体"/>
          <w:color w:val="auto"/>
          <w:kern w:val="0"/>
          <w:sz w:val="21"/>
          <w:szCs w:val="21"/>
          <w:highlight w:val="none"/>
        </w:rPr>
        <w:t>）如出现多标项综合得分最高时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按本章第三条相关内容执行。</w:t>
      </w:r>
    </w:p>
    <w:bookmarkEnd w:id="255"/>
    <w:p w14:paraId="3A6EE651">
      <w:pPr>
        <w:spacing w:line="360" w:lineRule="auto"/>
      </w:pPr>
    </w:p>
    <w:sectPr>
      <w:headerReference r:id="rId19" w:type="default"/>
      <w:footerReference r:id="rId20" w:type="default"/>
      <w:pgSz w:w="11906" w:h="16838"/>
      <w:pgMar w:top="1134" w:right="0" w:bottom="879" w:left="1009" w:header="0" w:footer="0" w:gutter="0"/>
      <w:pgNumType w:fmt="decimal"/>
      <w:cols w:equalWidth="0" w:num="1">
        <w:col w:w="13433"/>
      </w:cols>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modern"/>
    <w:pitch w:val="default"/>
    <w:sig w:usb0="E00006FF" w:usb1="420024FF" w:usb2="02000000" w:usb3="00000000" w:csb0="2000019F" w:csb1="00000000"/>
  </w:font>
  <w:font w:name="Tahoma">
    <w:panose1 w:val="020B0604030504040204"/>
    <w:charset w:val="00"/>
    <w:family w:val="decorative"/>
    <w:pitch w:val="default"/>
    <w:sig w:usb0="E1002EFF" w:usb1="C000605B" w:usb2="00000029" w:usb3="00000000" w:csb0="200101FF" w:csb1="20280000"/>
  </w:font>
  <w:font w:name="新宋体">
    <w:panose1 w:val="02010609030101010101"/>
    <w:charset w:val="86"/>
    <w:family w:val="swiss"/>
    <w:pitch w:val="default"/>
    <w:sig w:usb0="0000020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030FA">
    <w:pPr>
      <w:pStyle w:val="15"/>
      <w:ind w:right="360" w:firstLine="4410" w:firstLineChars="245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017A">
    <w:pPr>
      <w:pStyle w:val="15"/>
      <w:framePr w:wrap="around" w:vAnchor="text" w:hAnchor="margin" w:xAlign="center" w:y="1"/>
      <w:ind w:firstLine="360"/>
      <w:rPr>
        <w:rStyle w:val="28"/>
      </w:rPr>
    </w:pPr>
    <w:r>
      <w:fldChar w:fldCharType="begin"/>
    </w:r>
    <w:r>
      <w:rPr>
        <w:rStyle w:val="28"/>
      </w:rPr>
      <w:instrText xml:space="preserve">PAGE  </w:instrText>
    </w:r>
    <w:r>
      <w:fldChar w:fldCharType="separate"/>
    </w:r>
    <w:r>
      <w:fldChar w:fldCharType="end"/>
    </w:r>
  </w:p>
  <w:p w14:paraId="7087BDD9">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BFE00">
    <w:pPr>
      <w:pStyle w:val="15"/>
      <w:ind w:firstLine="360"/>
      <w:rPr>
        <w:rFonts w:hint="eastAsia"/>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81C10">
    <w:pPr>
      <w:pStyle w:val="15"/>
      <w:ind w:right="360" w:firstLine="4410" w:firstLineChars="245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E8E00">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355E8E00">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1AAE3">
    <w:pPr>
      <w:pStyle w:val="15"/>
      <w:ind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9CD02">
                          <w:pPr>
                            <w:pStyle w:val="1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1979CD02">
                    <w:pPr>
                      <w:pStyle w:val="1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691E3">
    <w:pPr>
      <w:tabs>
        <w:tab w:val="center" w:pos="4153"/>
        <w:tab w:val="right" w:pos="8306"/>
      </w:tabs>
      <w:snapToGrid w:val="0"/>
      <w:ind w:firstLine="360"/>
      <w:rPr>
        <w:rFonts w:hint="eastAsia"/>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F97AA">
                          <w:pPr>
                            <w:pStyle w:val="1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018F97AA">
                    <w:pPr>
                      <w:pStyle w:val="1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B7060">
    <w:pPr>
      <w:pStyle w:val="15"/>
      <w:ind w:firstLine="36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7A4A7">
                          <w:pPr>
                            <w:pStyle w:val="1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5477A4A7">
                    <w:pPr>
                      <w:pStyle w:val="1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52F52">
    <w:pPr>
      <w:pStyle w:val="15"/>
      <w:pBdr>
        <w:top w:val="single" w:color="auto" w:sz="4" w:space="1"/>
      </w:pBdr>
      <w:ind w:right="-82" w:rightChars="-39" w:firstLine="4410" w:firstLineChars="2450"/>
      <w:jc w:val="right"/>
      <w:rPr>
        <w:rFonts w:ascii="宋体" w:hAnsi="宋体" w:cs="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E32E6">
                          <w:pPr>
                            <w:pStyle w:val="15"/>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74EE32E6">
                    <w:pPr>
                      <w:pStyle w:val="15"/>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D4244">
    <w:pPr>
      <w:pStyle w:val="17"/>
      <w:ind w:firstLine="360"/>
      <w:jc w:val="left"/>
    </w:pPr>
    <w:r>
      <w:rPr>
        <w:rFonts w:hint="eastAsia"/>
      </w:rPr>
      <w:t>温州市政府采购</w:t>
    </w:r>
    <w:r>
      <w:rPr>
        <w:rFonts w:hint="eastAsia"/>
        <w:lang w:eastAsia="zh-CN"/>
      </w:rPr>
      <w:t>采购文件</w:t>
    </w:r>
    <w:r>
      <w:rPr>
        <w:rFonts w:hint="eastAsia"/>
      </w:rPr>
      <w:t xml:space="preserve">                                                                         Z100311072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D4B22">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71FE">
    <w:pPr>
      <w:ind w:firstLine="420"/>
      <w:rPr>
        <w:rFonts w:hint="eastAsia" w:ascii="Tahoma" w:hAnsi="Tahoma"/>
        <w:sz w:val="24"/>
        <w:szCs w:val="20"/>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9D911">
    <w:pPr>
      <w:pStyle w:val="17"/>
      <w:ind w:firstLine="360"/>
      <w:jc w:val="left"/>
      <w:rPr>
        <w:rFonts w:hint="eastAsia" w:eastAsia="仿宋_GB2312"/>
        <w:lang w:eastAsia="zh-CN"/>
      </w:rPr>
    </w:pPr>
    <w:r>
      <w:rPr>
        <w:rFonts w:hint="eastAsia" w:ascii="仿宋_GB2312" w:eastAsia="仿宋_GB2312"/>
      </w:rPr>
      <w:t>温州市政府分散采购</w:t>
    </w:r>
    <w:r>
      <w:rPr>
        <w:rFonts w:hint="eastAsia" w:ascii="仿宋_GB2312" w:eastAsia="仿宋_GB2312"/>
        <w:lang w:eastAsia="zh-CN"/>
      </w:rPr>
      <w:t>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196D2">
    <w:pPr>
      <w:ind w:firstLine="4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DCF13">
    <w:pPr>
      <w:pBdr>
        <w:bottom w:val="none" w:color="auto" w:sz="0" w:space="1"/>
      </w:pBdr>
      <w:tabs>
        <w:tab w:val="center" w:pos="4153"/>
        <w:tab w:val="right" w:pos="8306"/>
      </w:tabs>
      <w:snapToGrid w:val="0"/>
      <w:ind w:firstLine="360"/>
      <w:jc w:val="center"/>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46B1">
    <w:pPr>
      <w:ind w:firstLine="4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C54E">
    <w:pPr>
      <w:pStyle w:val="17"/>
      <w:jc w:val="both"/>
      <w:rPr>
        <w:rFonts w:hint="eastAsia" w:eastAsia="新宋体"/>
        <w:lang w:eastAsia="zh-CN"/>
      </w:rPr>
    </w:pPr>
    <w:r>
      <w:rPr>
        <w:rFonts w:eastAsia="新宋体"/>
      </w:rPr>
      <w:t>温州市政府分散</w:t>
    </w:r>
    <w:r>
      <w:rPr>
        <w:rFonts w:hint="eastAsia" w:eastAsia="新宋体"/>
      </w:rPr>
      <w:t>采购</w:t>
    </w:r>
    <w:r>
      <w:rPr>
        <w:rFonts w:hint="eastAsia" w:eastAsia="新宋体"/>
        <w:lang w:eastAsia="zh-CN"/>
      </w:rPr>
      <w:t>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4E4FD"/>
    <w:multiLevelType w:val="singleLevel"/>
    <w:tmpl w:val="8134E4FD"/>
    <w:lvl w:ilvl="0" w:tentative="0">
      <w:start w:val="1"/>
      <w:numFmt w:val="decimal"/>
      <w:lvlText w:val="%1."/>
      <w:lvlJc w:val="left"/>
      <w:pPr>
        <w:ind w:left="425" w:hanging="425"/>
      </w:pPr>
      <w:rPr>
        <w:rFonts w:hint="default"/>
      </w:rPr>
    </w:lvl>
  </w:abstractNum>
  <w:abstractNum w:abstractNumId="1">
    <w:nsid w:val="824BE698"/>
    <w:multiLevelType w:val="singleLevel"/>
    <w:tmpl w:val="824BE698"/>
    <w:lvl w:ilvl="0" w:tentative="0">
      <w:start w:val="1"/>
      <w:numFmt w:val="chineseCounting"/>
      <w:suff w:val="space"/>
      <w:lvlText w:val="（%1）"/>
      <w:lvlJc w:val="left"/>
      <w:rPr>
        <w:rFonts w:hint="eastAsia"/>
      </w:rPr>
    </w:lvl>
  </w:abstractNum>
  <w:abstractNum w:abstractNumId="2">
    <w:nsid w:val="8274BBC6"/>
    <w:multiLevelType w:val="singleLevel"/>
    <w:tmpl w:val="8274BBC6"/>
    <w:lvl w:ilvl="0" w:tentative="0">
      <w:start w:val="1"/>
      <w:numFmt w:val="decimalEnclosedCircleChinese"/>
      <w:suff w:val="nothing"/>
      <w:lvlText w:val="%1　"/>
      <w:lvlJc w:val="left"/>
      <w:pPr>
        <w:ind w:left="0" w:firstLine="400"/>
      </w:pPr>
      <w:rPr>
        <w:rFonts w:hint="eastAsia"/>
      </w:rPr>
    </w:lvl>
  </w:abstractNum>
  <w:abstractNum w:abstractNumId="3">
    <w:nsid w:val="8291B27C"/>
    <w:multiLevelType w:val="singleLevel"/>
    <w:tmpl w:val="8291B27C"/>
    <w:lvl w:ilvl="0" w:tentative="0">
      <w:start w:val="1"/>
      <w:numFmt w:val="decimalEnclosedCircleChinese"/>
      <w:suff w:val="nothing"/>
      <w:lvlText w:val="%1　"/>
      <w:lvlJc w:val="left"/>
      <w:pPr>
        <w:ind w:left="0" w:firstLine="400"/>
      </w:pPr>
      <w:rPr>
        <w:rFonts w:hint="eastAsia"/>
      </w:rPr>
    </w:lvl>
  </w:abstractNum>
  <w:abstractNum w:abstractNumId="4">
    <w:nsid w:val="8296D8F5"/>
    <w:multiLevelType w:val="singleLevel"/>
    <w:tmpl w:val="8296D8F5"/>
    <w:lvl w:ilvl="0" w:tentative="0">
      <w:start w:val="1"/>
      <w:numFmt w:val="decimalEnclosedCircleChinese"/>
      <w:suff w:val="nothing"/>
      <w:lvlText w:val="%1　"/>
      <w:lvlJc w:val="left"/>
      <w:pPr>
        <w:ind w:left="0" w:firstLine="400"/>
      </w:pPr>
      <w:rPr>
        <w:rFonts w:hint="eastAsia"/>
      </w:rPr>
    </w:lvl>
  </w:abstractNum>
  <w:abstractNum w:abstractNumId="5">
    <w:nsid w:val="82E428CA"/>
    <w:multiLevelType w:val="singleLevel"/>
    <w:tmpl w:val="82E428CA"/>
    <w:lvl w:ilvl="0" w:tentative="0">
      <w:start w:val="1"/>
      <w:numFmt w:val="decimalEnclosedCircleChinese"/>
      <w:suff w:val="nothing"/>
      <w:lvlText w:val="%1　"/>
      <w:lvlJc w:val="left"/>
      <w:pPr>
        <w:ind w:left="0" w:firstLine="400"/>
      </w:pPr>
      <w:rPr>
        <w:rFonts w:hint="eastAsia"/>
      </w:rPr>
    </w:lvl>
  </w:abstractNum>
  <w:abstractNum w:abstractNumId="6">
    <w:nsid w:val="8337939F"/>
    <w:multiLevelType w:val="singleLevel"/>
    <w:tmpl w:val="8337939F"/>
    <w:lvl w:ilvl="0" w:tentative="0">
      <w:start w:val="2"/>
      <w:numFmt w:val="decimal"/>
      <w:suff w:val="nothing"/>
      <w:lvlText w:val="%1、"/>
      <w:lvlJc w:val="left"/>
    </w:lvl>
  </w:abstractNum>
  <w:abstractNum w:abstractNumId="7">
    <w:nsid w:val="8D8A0F19"/>
    <w:multiLevelType w:val="singleLevel"/>
    <w:tmpl w:val="8D8A0F19"/>
    <w:lvl w:ilvl="0" w:tentative="0">
      <w:start w:val="1"/>
      <w:numFmt w:val="decimalEnclosedCircleChinese"/>
      <w:suff w:val="nothing"/>
      <w:lvlText w:val="%1　"/>
      <w:lvlJc w:val="left"/>
      <w:pPr>
        <w:ind w:left="0" w:firstLine="400"/>
      </w:pPr>
      <w:rPr>
        <w:rFonts w:hint="eastAsia"/>
      </w:rPr>
    </w:lvl>
  </w:abstractNum>
  <w:abstractNum w:abstractNumId="8">
    <w:nsid w:val="901B5B22"/>
    <w:multiLevelType w:val="singleLevel"/>
    <w:tmpl w:val="901B5B22"/>
    <w:lvl w:ilvl="0" w:tentative="0">
      <w:start w:val="1"/>
      <w:numFmt w:val="decimalEnclosedCircleChinese"/>
      <w:suff w:val="nothing"/>
      <w:lvlText w:val="%1　"/>
      <w:lvlJc w:val="left"/>
      <w:pPr>
        <w:ind w:left="0" w:firstLine="400"/>
      </w:pPr>
      <w:rPr>
        <w:rFonts w:hint="eastAsia"/>
      </w:rPr>
    </w:lvl>
  </w:abstractNum>
  <w:abstractNum w:abstractNumId="9">
    <w:nsid w:val="90787406"/>
    <w:multiLevelType w:val="singleLevel"/>
    <w:tmpl w:val="90787406"/>
    <w:lvl w:ilvl="0" w:tentative="0">
      <w:start w:val="1"/>
      <w:numFmt w:val="decimal"/>
      <w:lvlText w:val="(%1)"/>
      <w:lvlJc w:val="left"/>
      <w:pPr>
        <w:ind w:left="425" w:hanging="425"/>
      </w:pPr>
      <w:rPr>
        <w:rFonts w:hint="default"/>
      </w:rPr>
    </w:lvl>
  </w:abstractNum>
  <w:abstractNum w:abstractNumId="10">
    <w:nsid w:val="9133AE39"/>
    <w:multiLevelType w:val="singleLevel"/>
    <w:tmpl w:val="9133AE39"/>
    <w:lvl w:ilvl="0" w:tentative="0">
      <w:start w:val="1"/>
      <w:numFmt w:val="decimal"/>
      <w:lvlText w:val="(%1)"/>
      <w:lvlJc w:val="left"/>
      <w:pPr>
        <w:ind w:left="425" w:hanging="425"/>
      </w:pPr>
      <w:rPr>
        <w:rFonts w:hint="default"/>
      </w:rPr>
    </w:lvl>
  </w:abstractNum>
  <w:abstractNum w:abstractNumId="11">
    <w:nsid w:val="954718E8"/>
    <w:multiLevelType w:val="singleLevel"/>
    <w:tmpl w:val="954718E8"/>
    <w:lvl w:ilvl="0" w:tentative="0">
      <w:start w:val="1"/>
      <w:numFmt w:val="decimal"/>
      <w:suff w:val="nothing"/>
      <w:lvlText w:val="（%1）"/>
      <w:lvlJc w:val="left"/>
    </w:lvl>
  </w:abstractNum>
  <w:abstractNum w:abstractNumId="12">
    <w:nsid w:val="975952AE"/>
    <w:multiLevelType w:val="singleLevel"/>
    <w:tmpl w:val="975952AE"/>
    <w:lvl w:ilvl="0" w:tentative="0">
      <w:start w:val="1"/>
      <w:numFmt w:val="decimal"/>
      <w:lvlText w:val="(%1)"/>
      <w:lvlJc w:val="left"/>
      <w:pPr>
        <w:ind w:left="425" w:hanging="425"/>
      </w:pPr>
      <w:rPr>
        <w:rFonts w:hint="default"/>
      </w:rPr>
    </w:lvl>
  </w:abstractNum>
  <w:abstractNum w:abstractNumId="13">
    <w:nsid w:val="9936FB52"/>
    <w:multiLevelType w:val="singleLevel"/>
    <w:tmpl w:val="9936FB52"/>
    <w:lvl w:ilvl="0" w:tentative="0">
      <w:start w:val="5"/>
      <w:numFmt w:val="chineseCounting"/>
      <w:suff w:val="space"/>
      <w:lvlText w:val="第%1部分"/>
      <w:lvlJc w:val="left"/>
      <w:rPr>
        <w:rFonts w:hint="eastAsia"/>
      </w:rPr>
    </w:lvl>
  </w:abstractNum>
  <w:abstractNum w:abstractNumId="14">
    <w:nsid w:val="9C74B775"/>
    <w:multiLevelType w:val="singleLevel"/>
    <w:tmpl w:val="9C74B775"/>
    <w:lvl w:ilvl="0" w:tentative="0">
      <w:start w:val="1"/>
      <w:numFmt w:val="decimalEnclosedCircleChinese"/>
      <w:suff w:val="nothing"/>
      <w:lvlText w:val="%1　"/>
      <w:lvlJc w:val="left"/>
      <w:pPr>
        <w:ind w:left="0" w:firstLine="400"/>
      </w:pPr>
      <w:rPr>
        <w:rFonts w:hint="eastAsia"/>
      </w:rPr>
    </w:lvl>
  </w:abstractNum>
  <w:abstractNum w:abstractNumId="15">
    <w:nsid w:val="9E46C32E"/>
    <w:multiLevelType w:val="singleLevel"/>
    <w:tmpl w:val="9E46C32E"/>
    <w:lvl w:ilvl="0" w:tentative="0">
      <w:start w:val="1"/>
      <w:numFmt w:val="decimal"/>
      <w:lvlText w:val="%1)"/>
      <w:lvlJc w:val="left"/>
      <w:pPr>
        <w:ind w:left="425" w:hanging="425"/>
      </w:pPr>
      <w:rPr>
        <w:rFonts w:hint="default"/>
      </w:rPr>
    </w:lvl>
  </w:abstractNum>
  <w:abstractNum w:abstractNumId="16">
    <w:nsid w:val="A881AFEA"/>
    <w:multiLevelType w:val="singleLevel"/>
    <w:tmpl w:val="A881AFEA"/>
    <w:lvl w:ilvl="0" w:tentative="0">
      <w:start w:val="1"/>
      <w:numFmt w:val="bullet"/>
      <w:lvlText w:val=""/>
      <w:lvlJc w:val="left"/>
      <w:pPr>
        <w:ind w:left="420" w:hanging="420"/>
      </w:pPr>
      <w:rPr>
        <w:rFonts w:hint="default" w:ascii="Wingdings" w:hAnsi="Wingdings"/>
      </w:rPr>
    </w:lvl>
  </w:abstractNum>
  <w:abstractNum w:abstractNumId="17">
    <w:nsid w:val="B3C8D3D9"/>
    <w:multiLevelType w:val="singleLevel"/>
    <w:tmpl w:val="B3C8D3D9"/>
    <w:lvl w:ilvl="0" w:tentative="0">
      <w:start w:val="1"/>
      <w:numFmt w:val="decimal"/>
      <w:lvlText w:val="(%1)"/>
      <w:lvlJc w:val="left"/>
      <w:pPr>
        <w:ind w:left="425" w:hanging="425"/>
      </w:pPr>
      <w:rPr>
        <w:rFonts w:hint="default"/>
      </w:rPr>
    </w:lvl>
  </w:abstractNum>
  <w:abstractNum w:abstractNumId="18">
    <w:nsid w:val="B6C863EE"/>
    <w:multiLevelType w:val="singleLevel"/>
    <w:tmpl w:val="B6C863EE"/>
    <w:lvl w:ilvl="0" w:tentative="0">
      <w:start w:val="1"/>
      <w:numFmt w:val="decimalEnclosedCircleChinese"/>
      <w:suff w:val="nothing"/>
      <w:lvlText w:val="%1　"/>
      <w:lvlJc w:val="left"/>
      <w:pPr>
        <w:ind w:left="0" w:firstLine="400"/>
      </w:pPr>
      <w:rPr>
        <w:rFonts w:hint="eastAsia"/>
      </w:rPr>
    </w:lvl>
  </w:abstractNum>
  <w:abstractNum w:abstractNumId="19">
    <w:nsid w:val="B728518F"/>
    <w:multiLevelType w:val="singleLevel"/>
    <w:tmpl w:val="B728518F"/>
    <w:lvl w:ilvl="0" w:tentative="0">
      <w:start w:val="1"/>
      <w:numFmt w:val="decimal"/>
      <w:lvlText w:val="%1."/>
      <w:lvlJc w:val="left"/>
      <w:pPr>
        <w:ind w:left="425" w:hanging="425"/>
      </w:pPr>
      <w:rPr>
        <w:rFonts w:hint="default"/>
      </w:rPr>
    </w:lvl>
  </w:abstractNum>
  <w:abstractNum w:abstractNumId="20">
    <w:nsid w:val="C105B3F5"/>
    <w:multiLevelType w:val="singleLevel"/>
    <w:tmpl w:val="C105B3F5"/>
    <w:lvl w:ilvl="0" w:tentative="0">
      <w:start w:val="1"/>
      <w:numFmt w:val="decimal"/>
      <w:lvlText w:val="(%1)"/>
      <w:lvlJc w:val="left"/>
      <w:pPr>
        <w:ind w:left="425" w:hanging="425"/>
      </w:pPr>
      <w:rPr>
        <w:rFonts w:hint="default"/>
      </w:rPr>
    </w:lvl>
  </w:abstractNum>
  <w:abstractNum w:abstractNumId="21">
    <w:nsid w:val="C5188978"/>
    <w:multiLevelType w:val="singleLevel"/>
    <w:tmpl w:val="C5188978"/>
    <w:lvl w:ilvl="0" w:tentative="0">
      <w:start w:val="1"/>
      <w:numFmt w:val="decimal"/>
      <w:lvlText w:val="(%1)"/>
      <w:lvlJc w:val="left"/>
      <w:pPr>
        <w:ind w:left="425" w:hanging="425"/>
      </w:pPr>
      <w:rPr>
        <w:rFonts w:hint="default"/>
      </w:rPr>
    </w:lvl>
  </w:abstractNum>
  <w:abstractNum w:abstractNumId="22">
    <w:nsid w:val="C5813277"/>
    <w:multiLevelType w:val="singleLevel"/>
    <w:tmpl w:val="C5813277"/>
    <w:lvl w:ilvl="0" w:tentative="0">
      <w:start w:val="1"/>
      <w:numFmt w:val="lowerLetter"/>
      <w:suff w:val="nothing"/>
      <w:lvlText w:val="%1"/>
      <w:lvlJc w:val="left"/>
      <w:pPr>
        <w:ind w:left="0" w:firstLine="420"/>
      </w:pPr>
      <w:rPr>
        <w:rFonts w:hint="default"/>
      </w:rPr>
    </w:lvl>
  </w:abstractNum>
  <w:abstractNum w:abstractNumId="23">
    <w:nsid w:val="CB1C3BB6"/>
    <w:multiLevelType w:val="singleLevel"/>
    <w:tmpl w:val="CB1C3BB6"/>
    <w:lvl w:ilvl="0" w:tentative="0">
      <w:start w:val="1"/>
      <w:numFmt w:val="decimalEnclosedCircleChinese"/>
      <w:suff w:val="nothing"/>
      <w:lvlText w:val="%1　"/>
      <w:lvlJc w:val="left"/>
      <w:pPr>
        <w:ind w:left="0" w:firstLine="400"/>
      </w:pPr>
      <w:rPr>
        <w:rFonts w:hint="eastAsia"/>
      </w:rPr>
    </w:lvl>
  </w:abstractNum>
  <w:abstractNum w:abstractNumId="24">
    <w:nsid w:val="CFA3C476"/>
    <w:multiLevelType w:val="singleLevel"/>
    <w:tmpl w:val="CFA3C476"/>
    <w:lvl w:ilvl="0" w:tentative="0">
      <w:start w:val="1"/>
      <w:numFmt w:val="decimal"/>
      <w:lvlText w:val="(%1)"/>
      <w:lvlJc w:val="left"/>
      <w:pPr>
        <w:ind w:left="425" w:hanging="425"/>
      </w:pPr>
      <w:rPr>
        <w:rFonts w:hint="default"/>
      </w:rPr>
    </w:lvl>
  </w:abstractNum>
  <w:abstractNum w:abstractNumId="25">
    <w:nsid w:val="D103DDE5"/>
    <w:multiLevelType w:val="singleLevel"/>
    <w:tmpl w:val="D103DDE5"/>
    <w:lvl w:ilvl="0" w:tentative="0">
      <w:start w:val="1"/>
      <w:numFmt w:val="decimal"/>
      <w:lvlText w:val="(%1)"/>
      <w:lvlJc w:val="left"/>
      <w:pPr>
        <w:ind w:left="425" w:hanging="425"/>
      </w:pPr>
      <w:rPr>
        <w:rFonts w:hint="default"/>
      </w:rPr>
    </w:lvl>
  </w:abstractNum>
  <w:abstractNum w:abstractNumId="26">
    <w:nsid w:val="D22FEE61"/>
    <w:multiLevelType w:val="singleLevel"/>
    <w:tmpl w:val="D22FEE61"/>
    <w:lvl w:ilvl="0" w:tentative="0">
      <w:start w:val="1"/>
      <w:numFmt w:val="decimal"/>
      <w:lvlText w:val="(%1)"/>
      <w:lvlJc w:val="left"/>
      <w:pPr>
        <w:ind w:left="425" w:hanging="425"/>
      </w:pPr>
      <w:rPr>
        <w:rFonts w:hint="default"/>
      </w:rPr>
    </w:lvl>
  </w:abstractNum>
  <w:abstractNum w:abstractNumId="27">
    <w:nsid w:val="DCD53282"/>
    <w:multiLevelType w:val="singleLevel"/>
    <w:tmpl w:val="DCD53282"/>
    <w:lvl w:ilvl="0" w:tentative="0">
      <w:start w:val="1"/>
      <w:numFmt w:val="decimal"/>
      <w:lvlText w:val="(%1)"/>
      <w:lvlJc w:val="left"/>
      <w:pPr>
        <w:ind w:left="425" w:hanging="425"/>
      </w:pPr>
      <w:rPr>
        <w:rFonts w:hint="default"/>
      </w:rPr>
    </w:lvl>
  </w:abstractNum>
  <w:abstractNum w:abstractNumId="28">
    <w:nsid w:val="DD075191"/>
    <w:multiLevelType w:val="singleLevel"/>
    <w:tmpl w:val="DD075191"/>
    <w:lvl w:ilvl="0" w:tentative="0">
      <w:start w:val="1"/>
      <w:numFmt w:val="decimalEnclosedCircleChinese"/>
      <w:suff w:val="nothing"/>
      <w:lvlText w:val="%1　"/>
      <w:lvlJc w:val="left"/>
      <w:pPr>
        <w:ind w:left="0" w:firstLine="400"/>
      </w:pPr>
      <w:rPr>
        <w:rFonts w:hint="eastAsia"/>
      </w:rPr>
    </w:lvl>
  </w:abstractNum>
  <w:abstractNum w:abstractNumId="29">
    <w:nsid w:val="DFCDC9FF"/>
    <w:multiLevelType w:val="singleLevel"/>
    <w:tmpl w:val="DFCDC9FF"/>
    <w:lvl w:ilvl="0" w:tentative="0">
      <w:start w:val="1"/>
      <w:numFmt w:val="decimal"/>
      <w:lvlText w:val="(%1)"/>
      <w:lvlJc w:val="left"/>
      <w:pPr>
        <w:ind w:left="425" w:hanging="425"/>
      </w:pPr>
      <w:rPr>
        <w:rFonts w:hint="default"/>
      </w:rPr>
    </w:lvl>
  </w:abstractNum>
  <w:abstractNum w:abstractNumId="30">
    <w:nsid w:val="E0E86C58"/>
    <w:multiLevelType w:val="singleLevel"/>
    <w:tmpl w:val="E0E86C58"/>
    <w:lvl w:ilvl="0" w:tentative="0">
      <w:start w:val="1"/>
      <w:numFmt w:val="decimal"/>
      <w:lvlText w:val="(%1)"/>
      <w:lvlJc w:val="left"/>
      <w:pPr>
        <w:ind w:left="425" w:hanging="425"/>
      </w:pPr>
      <w:rPr>
        <w:rFonts w:hint="default"/>
      </w:rPr>
    </w:lvl>
  </w:abstractNum>
  <w:abstractNum w:abstractNumId="31">
    <w:nsid w:val="E3CA9F5B"/>
    <w:multiLevelType w:val="singleLevel"/>
    <w:tmpl w:val="E3CA9F5B"/>
    <w:lvl w:ilvl="0" w:tentative="0">
      <w:start w:val="1"/>
      <w:numFmt w:val="decimal"/>
      <w:suff w:val="nothing"/>
      <w:lvlText w:val="%1、"/>
      <w:lvlJc w:val="left"/>
    </w:lvl>
  </w:abstractNum>
  <w:abstractNum w:abstractNumId="32">
    <w:nsid w:val="ECB8AC21"/>
    <w:multiLevelType w:val="singleLevel"/>
    <w:tmpl w:val="ECB8AC21"/>
    <w:lvl w:ilvl="0" w:tentative="0">
      <w:start w:val="4"/>
      <w:numFmt w:val="decimal"/>
      <w:suff w:val="nothing"/>
      <w:lvlText w:val="%1、"/>
      <w:lvlJc w:val="left"/>
    </w:lvl>
  </w:abstractNum>
  <w:abstractNum w:abstractNumId="33">
    <w:nsid w:val="FB0F5EB6"/>
    <w:multiLevelType w:val="singleLevel"/>
    <w:tmpl w:val="FB0F5EB6"/>
    <w:lvl w:ilvl="0" w:tentative="0">
      <w:start w:val="1"/>
      <w:numFmt w:val="decimalEnclosedCircleChinese"/>
      <w:suff w:val="nothing"/>
      <w:lvlText w:val="%1　"/>
      <w:lvlJc w:val="left"/>
      <w:pPr>
        <w:ind w:left="0" w:firstLine="400"/>
      </w:pPr>
      <w:rPr>
        <w:rFonts w:hint="eastAsia"/>
      </w:rPr>
    </w:lvl>
  </w:abstractNum>
  <w:abstractNum w:abstractNumId="34">
    <w:nsid w:val="FB3650C4"/>
    <w:multiLevelType w:val="singleLevel"/>
    <w:tmpl w:val="FB3650C4"/>
    <w:lvl w:ilvl="0" w:tentative="0">
      <w:start w:val="1"/>
      <w:numFmt w:val="decimalEnclosedCircleChinese"/>
      <w:suff w:val="nothing"/>
      <w:lvlText w:val="%1　"/>
      <w:lvlJc w:val="left"/>
      <w:pPr>
        <w:ind w:left="0" w:firstLine="400"/>
      </w:pPr>
      <w:rPr>
        <w:rFonts w:hint="eastAsia"/>
      </w:rPr>
    </w:lvl>
  </w:abstractNum>
  <w:abstractNum w:abstractNumId="35">
    <w:nsid w:val="FBB3378F"/>
    <w:multiLevelType w:val="singleLevel"/>
    <w:tmpl w:val="FBB3378F"/>
    <w:lvl w:ilvl="0" w:tentative="0">
      <w:start w:val="1"/>
      <w:numFmt w:val="decimal"/>
      <w:lvlText w:val="(%1)"/>
      <w:lvlJc w:val="left"/>
      <w:pPr>
        <w:ind w:left="425" w:hanging="425"/>
      </w:pPr>
      <w:rPr>
        <w:rFonts w:hint="default"/>
      </w:rPr>
    </w:lvl>
  </w:abstractNum>
  <w:abstractNum w:abstractNumId="36">
    <w:nsid w:val="FE541194"/>
    <w:multiLevelType w:val="singleLevel"/>
    <w:tmpl w:val="FE541194"/>
    <w:lvl w:ilvl="0" w:tentative="0">
      <w:start w:val="1"/>
      <w:numFmt w:val="chineseCounting"/>
      <w:suff w:val="space"/>
      <w:lvlText w:val="第%1部分"/>
      <w:lvlJc w:val="left"/>
      <w:rPr>
        <w:rFonts w:hint="eastAsia"/>
      </w:rPr>
    </w:lvl>
  </w:abstractNum>
  <w:abstractNum w:abstractNumId="37">
    <w:nsid w:val="00000012"/>
    <w:multiLevelType w:val="singleLevel"/>
    <w:tmpl w:val="00000012"/>
    <w:lvl w:ilvl="0" w:tentative="0">
      <w:start w:val="4"/>
      <w:numFmt w:val="decimal"/>
      <w:suff w:val="space"/>
      <w:lvlText w:val="%1．"/>
      <w:lvlJc w:val="left"/>
    </w:lvl>
  </w:abstractNum>
  <w:abstractNum w:abstractNumId="38">
    <w:nsid w:val="00000019"/>
    <w:multiLevelType w:val="multilevel"/>
    <w:tmpl w:val="00000019"/>
    <w:lvl w:ilvl="0" w:tentative="0">
      <w:start w:val="1"/>
      <w:numFmt w:val="decimalEnclosedCircleChinese"/>
      <w:suff w:val="nothing"/>
      <w:lvlText w:val="%1　"/>
      <w:lvlJc w:val="left"/>
      <w:pPr>
        <w:ind w:left="0" w:firstLine="4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00000090"/>
    <w:multiLevelType w:val="multilevel"/>
    <w:tmpl w:val="00000090"/>
    <w:lvl w:ilvl="0" w:tentative="0">
      <w:start w:val="1"/>
      <w:numFmt w:val="decimal"/>
      <w:suff w:val="nothing"/>
      <w:lvlText w:val="%1"/>
      <w:lvlJc w:val="left"/>
      <w:pPr>
        <w:ind w:left="420" w:hanging="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0">
    <w:nsid w:val="046661FB"/>
    <w:multiLevelType w:val="singleLevel"/>
    <w:tmpl w:val="046661FB"/>
    <w:lvl w:ilvl="0" w:tentative="0">
      <w:start w:val="1"/>
      <w:numFmt w:val="decimal"/>
      <w:suff w:val="nothing"/>
      <w:lvlText w:val="%1．"/>
      <w:lvlJc w:val="left"/>
      <w:pPr>
        <w:ind w:left="0" w:firstLine="400"/>
      </w:pPr>
      <w:rPr>
        <w:rFonts w:hint="default"/>
      </w:rPr>
    </w:lvl>
  </w:abstractNum>
  <w:abstractNum w:abstractNumId="41">
    <w:nsid w:val="07DE0690"/>
    <w:multiLevelType w:val="singleLevel"/>
    <w:tmpl w:val="07DE0690"/>
    <w:lvl w:ilvl="0" w:tentative="0">
      <w:start w:val="1"/>
      <w:numFmt w:val="decimal"/>
      <w:lvlText w:val="(%1)"/>
      <w:lvlJc w:val="left"/>
      <w:pPr>
        <w:ind w:left="425" w:hanging="425"/>
      </w:pPr>
      <w:rPr>
        <w:rFonts w:hint="default"/>
      </w:rPr>
    </w:lvl>
  </w:abstractNum>
  <w:abstractNum w:abstractNumId="42">
    <w:nsid w:val="08BAC38D"/>
    <w:multiLevelType w:val="singleLevel"/>
    <w:tmpl w:val="08BAC38D"/>
    <w:lvl w:ilvl="0" w:tentative="0">
      <w:start w:val="4"/>
      <w:numFmt w:val="decimal"/>
      <w:suff w:val="space"/>
      <w:lvlText w:val="%1．"/>
      <w:lvlJc w:val="left"/>
    </w:lvl>
  </w:abstractNum>
  <w:abstractNum w:abstractNumId="43">
    <w:nsid w:val="0C91516F"/>
    <w:multiLevelType w:val="singleLevel"/>
    <w:tmpl w:val="0C91516F"/>
    <w:lvl w:ilvl="0" w:tentative="0">
      <w:start w:val="1"/>
      <w:numFmt w:val="decimal"/>
      <w:lvlText w:val="(%1)"/>
      <w:lvlJc w:val="left"/>
      <w:pPr>
        <w:ind w:left="425" w:hanging="425"/>
      </w:pPr>
      <w:rPr>
        <w:rFonts w:hint="default"/>
      </w:rPr>
    </w:lvl>
  </w:abstractNum>
  <w:abstractNum w:abstractNumId="44">
    <w:nsid w:val="0F446A1E"/>
    <w:multiLevelType w:val="singleLevel"/>
    <w:tmpl w:val="0F446A1E"/>
    <w:lvl w:ilvl="0" w:tentative="0">
      <w:start w:val="1"/>
      <w:numFmt w:val="decimal"/>
      <w:lvlText w:val="(%1)"/>
      <w:lvlJc w:val="left"/>
      <w:pPr>
        <w:ind w:left="425" w:hanging="425"/>
      </w:pPr>
      <w:rPr>
        <w:rFonts w:hint="default"/>
      </w:rPr>
    </w:lvl>
  </w:abstractNum>
  <w:abstractNum w:abstractNumId="45">
    <w:nsid w:val="120F2D2B"/>
    <w:multiLevelType w:val="singleLevel"/>
    <w:tmpl w:val="120F2D2B"/>
    <w:lvl w:ilvl="0" w:tentative="0">
      <w:start w:val="1"/>
      <w:numFmt w:val="decimalEnclosedCircleChinese"/>
      <w:suff w:val="nothing"/>
      <w:lvlText w:val="%1　"/>
      <w:lvlJc w:val="left"/>
      <w:pPr>
        <w:ind w:left="0" w:firstLine="400"/>
      </w:pPr>
      <w:rPr>
        <w:rFonts w:hint="eastAsia"/>
      </w:rPr>
    </w:lvl>
  </w:abstractNum>
  <w:abstractNum w:abstractNumId="46">
    <w:nsid w:val="12316C14"/>
    <w:multiLevelType w:val="singleLevel"/>
    <w:tmpl w:val="12316C14"/>
    <w:lvl w:ilvl="0" w:tentative="0">
      <w:start w:val="1"/>
      <w:numFmt w:val="decimalEnclosedCircleChinese"/>
      <w:suff w:val="nothing"/>
      <w:lvlText w:val="%1　"/>
      <w:lvlJc w:val="left"/>
      <w:pPr>
        <w:ind w:left="0" w:firstLine="400"/>
      </w:pPr>
      <w:rPr>
        <w:rFonts w:hint="eastAsia"/>
      </w:rPr>
    </w:lvl>
  </w:abstractNum>
  <w:abstractNum w:abstractNumId="47">
    <w:nsid w:val="132FAB1F"/>
    <w:multiLevelType w:val="singleLevel"/>
    <w:tmpl w:val="132FAB1F"/>
    <w:lvl w:ilvl="0" w:tentative="0">
      <w:start w:val="1"/>
      <w:numFmt w:val="decimal"/>
      <w:suff w:val="space"/>
      <w:lvlText w:val="%1)"/>
      <w:lvlJc w:val="left"/>
    </w:lvl>
  </w:abstractNum>
  <w:abstractNum w:abstractNumId="48">
    <w:nsid w:val="1342CA12"/>
    <w:multiLevelType w:val="singleLevel"/>
    <w:tmpl w:val="1342CA12"/>
    <w:lvl w:ilvl="0" w:tentative="0">
      <w:start w:val="1"/>
      <w:numFmt w:val="decimal"/>
      <w:suff w:val="nothing"/>
      <w:lvlText w:val="%1、"/>
      <w:lvlJc w:val="left"/>
    </w:lvl>
  </w:abstractNum>
  <w:abstractNum w:abstractNumId="49">
    <w:nsid w:val="16309491"/>
    <w:multiLevelType w:val="singleLevel"/>
    <w:tmpl w:val="16309491"/>
    <w:lvl w:ilvl="0" w:tentative="0">
      <w:start w:val="1"/>
      <w:numFmt w:val="decimalEnclosedCircleChinese"/>
      <w:suff w:val="nothing"/>
      <w:lvlText w:val="%1　"/>
      <w:lvlJc w:val="left"/>
      <w:pPr>
        <w:ind w:left="0" w:firstLine="400"/>
      </w:pPr>
      <w:rPr>
        <w:rFonts w:hint="eastAsia"/>
      </w:rPr>
    </w:lvl>
  </w:abstractNum>
  <w:abstractNum w:abstractNumId="50">
    <w:nsid w:val="176271BF"/>
    <w:multiLevelType w:val="singleLevel"/>
    <w:tmpl w:val="176271BF"/>
    <w:lvl w:ilvl="0" w:tentative="0">
      <w:start w:val="1"/>
      <w:numFmt w:val="decimalEnclosedCircleChinese"/>
      <w:suff w:val="nothing"/>
      <w:lvlText w:val="%1　"/>
      <w:lvlJc w:val="left"/>
      <w:pPr>
        <w:ind w:left="0" w:firstLine="400"/>
      </w:pPr>
      <w:rPr>
        <w:rFonts w:hint="eastAsia"/>
      </w:rPr>
    </w:lvl>
  </w:abstractNum>
  <w:abstractNum w:abstractNumId="51">
    <w:nsid w:val="17BF9EE0"/>
    <w:multiLevelType w:val="singleLevel"/>
    <w:tmpl w:val="17BF9EE0"/>
    <w:lvl w:ilvl="0" w:tentative="0">
      <w:start w:val="1"/>
      <w:numFmt w:val="decimal"/>
      <w:lvlText w:val="(%1)"/>
      <w:lvlJc w:val="left"/>
      <w:pPr>
        <w:ind w:left="425" w:hanging="425"/>
      </w:pPr>
      <w:rPr>
        <w:rFonts w:hint="default"/>
      </w:rPr>
    </w:lvl>
  </w:abstractNum>
  <w:abstractNum w:abstractNumId="52">
    <w:nsid w:val="199BE308"/>
    <w:multiLevelType w:val="singleLevel"/>
    <w:tmpl w:val="199BE308"/>
    <w:lvl w:ilvl="0" w:tentative="0">
      <w:start w:val="1"/>
      <w:numFmt w:val="decimal"/>
      <w:lvlText w:val="(%1)"/>
      <w:lvlJc w:val="left"/>
      <w:pPr>
        <w:ind w:left="425" w:hanging="425"/>
      </w:pPr>
      <w:rPr>
        <w:rFonts w:hint="default"/>
      </w:rPr>
    </w:lvl>
  </w:abstractNum>
  <w:abstractNum w:abstractNumId="53">
    <w:nsid w:val="1CDAB856"/>
    <w:multiLevelType w:val="singleLevel"/>
    <w:tmpl w:val="1CDAB856"/>
    <w:lvl w:ilvl="0" w:tentative="0">
      <w:start w:val="1"/>
      <w:numFmt w:val="decimal"/>
      <w:lvlText w:val="(%1)"/>
      <w:lvlJc w:val="left"/>
      <w:pPr>
        <w:ind w:left="425" w:hanging="425"/>
      </w:pPr>
      <w:rPr>
        <w:rFonts w:hint="default"/>
      </w:rPr>
    </w:lvl>
  </w:abstractNum>
  <w:abstractNum w:abstractNumId="54">
    <w:nsid w:val="24435E07"/>
    <w:multiLevelType w:val="singleLevel"/>
    <w:tmpl w:val="24435E07"/>
    <w:lvl w:ilvl="0" w:tentative="0">
      <w:start w:val="1"/>
      <w:numFmt w:val="decimal"/>
      <w:lvlText w:val="%1)"/>
      <w:lvlJc w:val="left"/>
      <w:pPr>
        <w:ind w:left="425" w:hanging="425"/>
      </w:pPr>
      <w:rPr>
        <w:rFonts w:hint="default"/>
      </w:rPr>
    </w:lvl>
  </w:abstractNum>
  <w:abstractNum w:abstractNumId="55">
    <w:nsid w:val="274401BF"/>
    <w:multiLevelType w:val="singleLevel"/>
    <w:tmpl w:val="274401BF"/>
    <w:lvl w:ilvl="0" w:tentative="0">
      <w:start w:val="1"/>
      <w:numFmt w:val="chineseCounting"/>
      <w:suff w:val="nothing"/>
      <w:lvlText w:val="%1、"/>
      <w:lvlJc w:val="left"/>
      <w:rPr>
        <w:rFonts w:hint="eastAsia"/>
      </w:rPr>
    </w:lvl>
  </w:abstractNum>
  <w:abstractNum w:abstractNumId="56">
    <w:nsid w:val="2D1865D3"/>
    <w:multiLevelType w:val="singleLevel"/>
    <w:tmpl w:val="2D1865D3"/>
    <w:lvl w:ilvl="0" w:tentative="0">
      <w:start w:val="1"/>
      <w:numFmt w:val="decimalEnclosedCircleChinese"/>
      <w:suff w:val="nothing"/>
      <w:lvlText w:val="%1　"/>
      <w:lvlJc w:val="left"/>
      <w:pPr>
        <w:ind w:left="0" w:firstLine="400"/>
      </w:pPr>
      <w:rPr>
        <w:rFonts w:hint="eastAsia"/>
      </w:rPr>
    </w:lvl>
  </w:abstractNum>
  <w:abstractNum w:abstractNumId="57">
    <w:nsid w:val="2E32A6AD"/>
    <w:multiLevelType w:val="singleLevel"/>
    <w:tmpl w:val="2E32A6AD"/>
    <w:lvl w:ilvl="0" w:tentative="0">
      <w:start w:val="1"/>
      <w:numFmt w:val="decimalEnclosedCircleChinese"/>
      <w:suff w:val="nothing"/>
      <w:lvlText w:val="%1　"/>
      <w:lvlJc w:val="left"/>
      <w:pPr>
        <w:ind w:left="0" w:firstLine="400"/>
      </w:pPr>
      <w:rPr>
        <w:rFonts w:hint="eastAsia"/>
      </w:rPr>
    </w:lvl>
  </w:abstractNum>
  <w:abstractNum w:abstractNumId="58">
    <w:nsid w:val="300CD388"/>
    <w:multiLevelType w:val="singleLevel"/>
    <w:tmpl w:val="300CD388"/>
    <w:lvl w:ilvl="0" w:tentative="0">
      <w:start w:val="1"/>
      <w:numFmt w:val="decimal"/>
      <w:suff w:val="nothing"/>
      <w:lvlText w:val="%1、"/>
      <w:lvlJc w:val="left"/>
    </w:lvl>
  </w:abstractNum>
  <w:abstractNum w:abstractNumId="59">
    <w:nsid w:val="3303109A"/>
    <w:multiLevelType w:val="singleLevel"/>
    <w:tmpl w:val="3303109A"/>
    <w:lvl w:ilvl="0" w:tentative="0">
      <w:start w:val="1"/>
      <w:numFmt w:val="decimal"/>
      <w:lvlText w:val="(%1)"/>
      <w:lvlJc w:val="left"/>
      <w:pPr>
        <w:ind w:left="425" w:hanging="425"/>
      </w:pPr>
      <w:rPr>
        <w:rFonts w:hint="default"/>
      </w:rPr>
    </w:lvl>
  </w:abstractNum>
  <w:abstractNum w:abstractNumId="60">
    <w:nsid w:val="3B5F161F"/>
    <w:multiLevelType w:val="singleLevel"/>
    <w:tmpl w:val="3B5F161F"/>
    <w:lvl w:ilvl="0" w:tentative="0">
      <w:start w:val="1"/>
      <w:numFmt w:val="decimal"/>
      <w:lvlText w:val="(%1)"/>
      <w:lvlJc w:val="left"/>
      <w:pPr>
        <w:ind w:left="425" w:hanging="425"/>
      </w:pPr>
      <w:rPr>
        <w:rFonts w:hint="default"/>
      </w:rPr>
    </w:lvl>
  </w:abstractNum>
  <w:abstractNum w:abstractNumId="61">
    <w:nsid w:val="3B740B65"/>
    <w:multiLevelType w:val="singleLevel"/>
    <w:tmpl w:val="3B740B65"/>
    <w:lvl w:ilvl="0" w:tentative="0">
      <w:start w:val="1"/>
      <w:numFmt w:val="decimal"/>
      <w:lvlText w:val="%1)"/>
      <w:lvlJc w:val="left"/>
      <w:pPr>
        <w:ind w:left="425" w:hanging="425"/>
      </w:pPr>
      <w:rPr>
        <w:rFonts w:hint="default"/>
      </w:rPr>
    </w:lvl>
  </w:abstractNum>
  <w:abstractNum w:abstractNumId="62">
    <w:nsid w:val="3E4D6CEC"/>
    <w:multiLevelType w:val="singleLevel"/>
    <w:tmpl w:val="3E4D6CEC"/>
    <w:lvl w:ilvl="0" w:tentative="0">
      <w:start w:val="1"/>
      <w:numFmt w:val="decimalEnclosedCircleChinese"/>
      <w:suff w:val="nothing"/>
      <w:lvlText w:val="%1　"/>
      <w:lvlJc w:val="left"/>
      <w:pPr>
        <w:ind w:left="0" w:firstLine="400"/>
      </w:pPr>
      <w:rPr>
        <w:rFonts w:hint="eastAsia"/>
      </w:rPr>
    </w:lvl>
  </w:abstractNum>
  <w:abstractNum w:abstractNumId="63">
    <w:nsid w:val="3F31A2EA"/>
    <w:multiLevelType w:val="singleLevel"/>
    <w:tmpl w:val="3F31A2EA"/>
    <w:lvl w:ilvl="0" w:tentative="0">
      <w:start w:val="1"/>
      <w:numFmt w:val="decimal"/>
      <w:lvlText w:val="%1."/>
      <w:lvlJc w:val="left"/>
      <w:pPr>
        <w:ind w:left="425" w:hanging="425"/>
      </w:pPr>
      <w:rPr>
        <w:rFonts w:hint="default"/>
      </w:rPr>
    </w:lvl>
  </w:abstractNum>
  <w:abstractNum w:abstractNumId="64">
    <w:nsid w:val="40733B6A"/>
    <w:multiLevelType w:val="singleLevel"/>
    <w:tmpl w:val="40733B6A"/>
    <w:lvl w:ilvl="0" w:tentative="0">
      <w:start w:val="1"/>
      <w:numFmt w:val="chineseCounting"/>
      <w:suff w:val="nothing"/>
      <w:lvlText w:val="%1、"/>
      <w:lvlJc w:val="left"/>
      <w:rPr>
        <w:rFonts w:hint="eastAsia"/>
      </w:rPr>
    </w:lvl>
  </w:abstractNum>
  <w:abstractNum w:abstractNumId="65">
    <w:nsid w:val="4240EA59"/>
    <w:multiLevelType w:val="singleLevel"/>
    <w:tmpl w:val="4240EA59"/>
    <w:lvl w:ilvl="0" w:tentative="0">
      <w:start w:val="1"/>
      <w:numFmt w:val="decimal"/>
      <w:suff w:val="nothing"/>
      <w:lvlText w:val="%1、"/>
      <w:lvlJc w:val="left"/>
    </w:lvl>
  </w:abstractNum>
  <w:abstractNum w:abstractNumId="66">
    <w:nsid w:val="4580BB41"/>
    <w:multiLevelType w:val="singleLevel"/>
    <w:tmpl w:val="4580BB41"/>
    <w:lvl w:ilvl="0" w:tentative="0">
      <w:start w:val="1"/>
      <w:numFmt w:val="decimal"/>
      <w:lvlText w:val="(%1)"/>
      <w:lvlJc w:val="left"/>
      <w:pPr>
        <w:ind w:left="425" w:hanging="425"/>
      </w:pPr>
      <w:rPr>
        <w:rFonts w:hint="default"/>
      </w:rPr>
    </w:lvl>
  </w:abstractNum>
  <w:abstractNum w:abstractNumId="67">
    <w:nsid w:val="4AF7D4E4"/>
    <w:multiLevelType w:val="singleLevel"/>
    <w:tmpl w:val="4AF7D4E4"/>
    <w:lvl w:ilvl="0" w:tentative="0">
      <w:start w:val="1"/>
      <w:numFmt w:val="decimal"/>
      <w:lvlText w:val="(%1)"/>
      <w:lvlJc w:val="left"/>
      <w:pPr>
        <w:ind w:left="425" w:hanging="425"/>
      </w:pPr>
      <w:rPr>
        <w:rFonts w:hint="default"/>
      </w:rPr>
    </w:lvl>
  </w:abstractNum>
  <w:abstractNum w:abstractNumId="68">
    <w:nsid w:val="54FA2AFD"/>
    <w:multiLevelType w:val="singleLevel"/>
    <w:tmpl w:val="54FA2AFD"/>
    <w:lvl w:ilvl="0" w:tentative="0">
      <w:start w:val="1"/>
      <w:numFmt w:val="decimal"/>
      <w:lvlText w:val="(%1)"/>
      <w:lvlJc w:val="left"/>
      <w:pPr>
        <w:ind w:left="425" w:hanging="425"/>
      </w:pPr>
      <w:rPr>
        <w:rFonts w:hint="default"/>
      </w:rPr>
    </w:lvl>
  </w:abstractNum>
  <w:abstractNum w:abstractNumId="69">
    <w:nsid w:val="5A3C92CC"/>
    <w:multiLevelType w:val="singleLevel"/>
    <w:tmpl w:val="5A3C92CC"/>
    <w:lvl w:ilvl="0" w:tentative="0">
      <w:start w:val="1"/>
      <w:numFmt w:val="decimalEnclosedCircleChinese"/>
      <w:suff w:val="nothing"/>
      <w:lvlText w:val="%1　"/>
      <w:lvlJc w:val="left"/>
      <w:pPr>
        <w:ind w:left="0" w:firstLine="400"/>
      </w:pPr>
      <w:rPr>
        <w:rFonts w:hint="eastAsia"/>
      </w:rPr>
    </w:lvl>
  </w:abstractNum>
  <w:abstractNum w:abstractNumId="70">
    <w:nsid w:val="5B0CF4CA"/>
    <w:multiLevelType w:val="singleLevel"/>
    <w:tmpl w:val="5B0CF4CA"/>
    <w:lvl w:ilvl="0" w:tentative="0">
      <w:start w:val="1"/>
      <w:numFmt w:val="decimal"/>
      <w:suff w:val="space"/>
      <w:lvlText w:val="%1."/>
      <w:lvlJc w:val="left"/>
    </w:lvl>
  </w:abstractNum>
  <w:abstractNum w:abstractNumId="71">
    <w:nsid w:val="5BD347AD"/>
    <w:multiLevelType w:val="singleLevel"/>
    <w:tmpl w:val="5BD347AD"/>
    <w:lvl w:ilvl="0" w:tentative="0">
      <w:start w:val="1"/>
      <w:numFmt w:val="decimal"/>
      <w:lvlText w:val="(%1)"/>
      <w:lvlJc w:val="left"/>
      <w:pPr>
        <w:ind w:left="425" w:hanging="425"/>
      </w:pPr>
      <w:rPr>
        <w:rFonts w:hint="default"/>
      </w:rPr>
    </w:lvl>
  </w:abstractNum>
  <w:abstractNum w:abstractNumId="72">
    <w:nsid w:val="5C137CC8"/>
    <w:multiLevelType w:val="singleLevel"/>
    <w:tmpl w:val="5C137CC8"/>
    <w:lvl w:ilvl="0" w:tentative="0">
      <w:start w:val="1"/>
      <w:numFmt w:val="decimalEnclosedCircleChinese"/>
      <w:suff w:val="nothing"/>
      <w:lvlText w:val="%1　"/>
      <w:lvlJc w:val="left"/>
      <w:pPr>
        <w:ind w:left="0" w:firstLine="400"/>
      </w:pPr>
      <w:rPr>
        <w:rFonts w:hint="eastAsia"/>
      </w:rPr>
    </w:lvl>
  </w:abstractNum>
  <w:abstractNum w:abstractNumId="73">
    <w:nsid w:val="614D6BBE"/>
    <w:multiLevelType w:val="singleLevel"/>
    <w:tmpl w:val="614D6BBE"/>
    <w:lvl w:ilvl="0" w:tentative="0">
      <w:start w:val="1"/>
      <w:numFmt w:val="chineseCounting"/>
      <w:suff w:val="nothing"/>
      <w:lvlText w:val="%1、"/>
      <w:lvlJc w:val="left"/>
      <w:pPr>
        <w:ind w:left="3388"/>
      </w:pPr>
      <w:rPr>
        <w:rFonts w:hint="eastAsia"/>
      </w:rPr>
    </w:lvl>
  </w:abstractNum>
  <w:abstractNum w:abstractNumId="74">
    <w:nsid w:val="66751BE4"/>
    <w:multiLevelType w:val="singleLevel"/>
    <w:tmpl w:val="66751BE4"/>
    <w:lvl w:ilvl="0" w:tentative="0">
      <w:start w:val="1"/>
      <w:numFmt w:val="chineseCounting"/>
      <w:suff w:val="nothing"/>
      <w:lvlText w:val="%1、"/>
      <w:lvlJc w:val="left"/>
      <w:pPr>
        <w:ind w:left="0" w:firstLine="0"/>
      </w:pPr>
    </w:lvl>
  </w:abstractNum>
  <w:abstractNum w:abstractNumId="75">
    <w:nsid w:val="66751BEF"/>
    <w:multiLevelType w:val="singleLevel"/>
    <w:tmpl w:val="66751BEF"/>
    <w:lvl w:ilvl="0" w:tentative="0">
      <w:start w:val="3"/>
      <w:numFmt w:val="chineseCounting"/>
      <w:suff w:val="nothing"/>
      <w:lvlText w:val="%1、"/>
      <w:lvlJc w:val="left"/>
      <w:pPr>
        <w:ind w:left="0" w:firstLine="0"/>
      </w:pPr>
    </w:lvl>
  </w:abstractNum>
  <w:abstractNum w:abstractNumId="76">
    <w:nsid w:val="6A688D62"/>
    <w:multiLevelType w:val="singleLevel"/>
    <w:tmpl w:val="6A688D62"/>
    <w:lvl w:ilvl="0" w:tentative="0">
      <w:start w:val="3"/>
      <w:numFmt w:val="decimal"/>
      <w:lvlText w:val="%1."/>
      <w:lvlJc w:val="left"/>
      <w:pPr>
        <w:tabs>
          <w:tab w:val="left" w:pos="312"/>
        </w:tabs>
        <w:ind w:left="420" w:leftChars="0" w:firstLine="0" w:firstLineChars="0"/>
      </w:pPr>
    </w:lvl>
  </w:abstractNum>
  <w:abstractNum w:abstractNumId="77">
    <w:nsid w:val="6D02C011"/>
    <w:multiLevelType w:val="singleLevel"/>
    <w:tmpl w:val="6D02C011"/>
    <w:lvl w:ilvl="0" w:tentative="0">
      <w:start w:val="1"/>
      <w:numFmt w:val="decimal"/>
      <w:lvlText w:val="(%1)"/>
      <w:lvlJc w:val="left"/>
      <w:pPr>
        <w:ind w:left="425" w:hanging="425"/>
      </w:pPr>
      <w:rPr>
        <w:rFonts w:hint="default"/>
      </w:rPr>
    </w:lvl>
  </w:abstractNum>
  <w:abstractNum w:abstractNumId="78">
    <w:nsid w:val="715D12DC"/>
    <w:multiLevelType w:val="singleLevel"/>
    <w:tmpl w:val="715D12DC"/>
    <w:lvl w:ilvl="0" w:tentative="0">
      <w:start w:val="1"/>
      <w:numFmt w:val="decimalEnclosedCircleChinese"/>
      <w:suff w:val="nothing"/>
      <w:lvlText w:val="%1　"/>
      <w:lvlJc w:val="left"/>
      <w:pPr>
        <w:ind w:left="0" w:firstLine="400"/>
      </w:pPr>
      <w:rPr>
        <w:rFonts w:hint="eastAsia"/>
      </w:rPr>
    </w:lvl>
  </w:abstractNum>
  <w:abstractNum w:abstractNumId="79">
    <w:nsid w:val="7991A6FA"/>
    <w:multiLevelType w:val="singleLevel"/>
    <w:tmpl w:val="7991A6FA"/>
    <w:lvl w:ilvl="0" w:tentative="0">
      <w:start w:val="1"/>
      <w:numFmt w:val="decimal"/>
      <w:lvlText w:val="(%1)"/>
      <w:lvlJc w:val="left"/>
      <w:pPr>
        <w:ind w:left="425" w:hanging="425"/>
      </w:pPr>
      <w:rPr>
        <w:rFonts w:hint="default"/>
      </w:rPr>
    </w:lvl>
  </w:abstractNum>
  <w:abstractNum w:abstractNumId="80">
    <w:nsid w:val="7A042C66"/>
    <w:multiLevelType w:val="singleLevel"/>
    <w:tmpl w:val="7A042C66"/>
    <w:lvl w:ilvl="0" w:tentative="0">
      <w:start w:val="1"/>
      <w:numFmt w:val="decimal"/>
      <w:lvlText w:val="(%1)"/>
      <w:lvlJc w:val="left"/>
      <w:pPr>
        <w:ind w:left="425" w:hanging="425"/>
      </w:pPr>
      <w:rPr>
        <w:rFonts w:hint="default"/>
      </w:rPr>
    </w:lvl>
  </w:abstractNum>
  <w:num w:numId="1">
    <w:abstractNumId w:val="55"/>
  </w:num>
  <w:num w:numId="2">
    <w:abstractNumId w:val="76"/>
  </w:num>
  <w:num w:numId="3">
    <w:abstractNumId w:val="36"/>
  </w:num>
  <w:num w:numId="4">
    <w:abstractNumId w:val="57"/>
  </w:num>
  <w:num w:numId="5">
    <w:abstractNumId w:val="11"/>
  </w:num>
  <w:num w:numId="6">
    <w:abstractNumId w:val="0"/>
  </w:num>
  <w:num w:numId="7">
    <w:abstractNumId w:val="69"/>
  </w:num>
  <w:num w:numId="8">
    <w:abstractNumId w:val="33"/>
  </w:num>
  <w:num w:numId="9">
    <w:abstractNumId w:val="19"/>
  </w:num>
  <w:num w:numId="10">
    <w:abstractNumId w:val="63"/>
  </w:num>
  <w:num w:numId="11">
    <w:abstractNumId w:val="15"/>
  </w:num>
  <w:num w:numId="12">
    <w:abstractNumId w:val="17"/>
  </w:num>
  <w:num w:numId="13">
    <w:abstractNumId w:val="16"/>
  </w:num>
  <w:num w:numId="14">
    <w:abstractNumId w:val="47"/>
  </w:num>
  <w:num w:numId="15">
    <w:abstractNumId w:val="37"/>
  </w:num>
  <w:num w:numId="16">
    <w:abstractNumId w:val="38"/>
  </w:num>
  <w:num w:numId="17">
    <w:abstractNumId w:val="42"/>
  </w:num>
  <w:num w:numId="18">
    <w:abstractNumId w:val="53"/>
  </w:num>
  <w:num w:numId="19">
    <w:abstractNumId w:val="49"/>
  </w:num>
  <w:num w:numId="20">
    <w:abstractNumId w:val="52"/>
  </w:num>
  <w:num w:numId="21">
    <w:abstractNumId w:val="32"/>
  </w:num>
  <w:num w:numId="22">
    <w:abstractNumId w:val="73"/>
  </w:num>
  <w:num w:numId="23">
    <w:abstractNumId w:val="1"/>
  </w:num>
  <w:num w:numId="24">
    <w:abstractNumId w:val="64"/>
  </w:num>
  <w:num w:numId="25">
    <w:abstractNumId w:val="40"/>
  </w:num>
  <w:num w:numId="26">
    <w:abstractNumId w:val="70"/>
  </w:num>
  <w:num w:numId="27">
    <w:abstractNumId w:val="6"/>
  </w:num>
  <w:num w:numId="28">
    <w:abstractNumId w:val="58"/>
  </w:num>
  <w:num w:numId="29">
    <w:abstractNumId w:val="74"/>
    <w:lvlOverride w:ilvl="0">
      <w:startOverride w:val="1"/>
    </w:lvlOverride>
  </w:num>
  <w:num w:numId="30">
    <w:abstractNumId w:val="75"/>
    <w:lvlOverride w:ilvl="0">
      <w:startOverride w:val="3"/>
    </w:lvlOverride>
  </w:num>
  <w:num w:numId="31">
    <w:abstractNumId w:val="14"/>
  </w:num>
  <w:num w:numId="32">
    <w:abstractNumId w:val="9"/>
  </w:num>
  <w:num w:numId="33">
    <w:abstractNumId w:val="50"/>
  </w:num>
  <w:num w:numId="34">
    <w:abstractNumId w:val="66"/>
  </w:num>
  <w:num w:numId="35">
    <w:abstractNumId w:val="12"/>
  </w:num>
  <w:num w:numId="36">
    <w:abstractNumId w:val="29"/>
  </w:num>
  <w:num w:numId="37">
    <w:abstractNumId w:val="34"/>
  </w:num>
  <w:num w:numId="38">
    <w:abstractNumId w:val="68"/>
  </w:num>
  <w:num w:numId="39">
    <w:abstractNumId w:val="44"/>
  </w:num>
  <w:num w:numId="40">
    <w:abstractNumId w:val="23"/>
  </w:num>
  <w:num w:numId="41">
    <w:abstractNumId w:val="7"/>
  </w:num>
  <w:num w:numId="42">
    <w:abstractNumId w:val="78"/>
  </w:num>
  <w:num w:numId="43">
    <w:abstractNumId w:val="10"/>
  </w:num>
  <w:num w:numId="44">
    <w:abstractNumId w:val="79"/>
  </w:num>
  <w:num w:numId="45">
    <w:abstractNumId w:val="80"/>
  </w:num>
  <w:num w:numId="46">
    <w:abstractNumId w:val="59"/>
  </w:num>
  <w:num w:numId="47">
    <w:abstractNumId w:val="71"/>
  </w:num>
  <w:num w:numId="48">
    <w:abstractNumId w:val="77"/>
  </w:num>
  <w:num w:numId="49">
    <w:abstractNumId w:val="24"/>
  </w:num>
  <w:num w:numId="50">
    <w:abstractNumId w:val="35"/>
  </w:num>
  <w:num w:numId="51">
    <w:abstractNumId w:val="26"/>
  </w:num>
  <w:num w:numId="52">
    <w:abstractNumId w:val="60"/>
  </w:num>
  <w:num w:numId="53">
    <w:abstractNumId w:val="21"/>
  </w:num>
  <w:num w:numId="54">
    <w:abstractNumId w:val="41"/>
  </w:num>
  <w:num w:numId="55">
    <w:abstractNumId w:val="27"/>
  </w:num>
  <w:num w:numId="56">
    <w:abstractNumId w:val="51"/>
  </w:num>
  <w:num w:numId="57">
    <w:abstractNumId w:val="67"/>
  </w:num>
  <w:num w:numId="58">
    <w:abstractNumId w:val="20"/>
  </w:num>
  <w:num w:numId="59">
    <w:abstractNumId w:val="25"/>
  </w:num>
  <w:num w:numId="60">
    <w:abstractNumId w:val="30"/>
  </w:num>
  <w:num w:numId="61">
    <w:abstractNumId w:val="5"/>
  </w:num>
  <w:num w:numId="62">
    <w:abstractNumId w:val="43"/>
  </w:num>
  <w:num w:numId="63">
    <w:abstractNumId w:val="56"/>
  </w:num>
  <w:num w:numId="64">
    <w:abstractNumId w:val="28"/>
  </w:num>
  <w:num w:numId="65">
    <w:abstractNumId w:val="61"/>
  </w:num>
  <w:num w:numId="66">
    <w:abstractNumId w:val="39"/>
  </w:num>
  <w:num w:numId="67">
    <w:abstractNumId w:val="4"/>
  </w:num>
  <w:num w:numId="68">
    <w:abstractNumId w:val="45"/>
  </w:num>
  <w:num w:numId="69">
    <w:abstractNumId w:val="8"/>
  </w:num>
  <w:num w:numId="70">
    <w:abstractNumId w:val="18"/>
  </w:num>
  <w:num w:numId="71">
    <w:abstractNumId w:val="72"/>
  </w:num>
  <w:num w:numId="72">
    <w:abstractNumId w:val="62"/>
  </w:num>
  <w:num w:numId="73">
    <w:abstractNumId w:val="22"/>
  </w:num>
  <w:num w:numId="74">
    <w:abstractNumId w:val="46"/>
  </w:num>
  <w:num w:numId="75">
    <w:abstractNumId w:val="2"/>
  </w:num>
  <w:num w:numId="76">
    <w:abstractNumId w:val="54"/>
  </w:num>
  <w:num w:numId="77">
    <w:abstractNumId w:val="3"/>
  </w:num>
  <w:num w:numId="78">
    <w:abstractNumId w:val="13"/>
  </w:num>
  <w:num w:numId="79">
    <w:abstractNumId w:val="65"/>
  </w:num>
  <w:num w:numId="80">
    <w:abstractNumId w:val="31"/>
  </w:num>
  <w:num w:numId="81">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ODY1N2EyYjZmOTU3YjQ5ZjYzNjM1NjM3NmJmMTY2NWMifQ=="/>
  </w:docVars>
  <w:rsids>
    <w:rsidRoot w:val="00000000"/>
    <w:rsid w:val="02960209"/>
    <w:rsid w:val="088C683C"/>
    <w:rsid w:val="09D24D98"/>
    <w:rsid w:val="13BB591F"/>
    <w:rsid w:val="154F3B59"/>
    <w:rsid w:val="158F246E"/>
    <w:rsid w:val="2212677F"/>
    <w:rsid w:val="222241C0"/>
    <w:rsid w:val="22F162E8"/>
    <w:rsid w:val="24406739"/>
    <w:rsid w:val="26561339"/>
    <w:rsid w:val="281F23A7"/>
    <w:rsid w:val="29191A07"/>
    <w:rsid w:val="372F47A5"/>
    <w:rsid w:val="3BA205B4"/>
    <w:rsid w:val="41ED183A"/>
    <w:rsid w:val="42960766"/>
    <w:rsid w:val="43661D2E"/>
    <w:rsid w:val="4B4A241E"/>
    <w:rsid w:val="500261D1"/>
    <w:rsid w:val="52CD22E8"/>
    <w:rsid w:val="574C41A4"/>
    <w:rsid w:val="5E0A3F02"/>
    <w:rsid w:val="5E174500"/>
    <w:rsid w:val="5F7A51A1"/>
    <w:rsid w:val="63037F39"/>
    <w:rsid w:val="659E61F1"/>
    <w:rsid w:val="6CB63AA7"/>
    <w:rsid w:val="706C68B1"/>
    <w:rsid w:val="70EF7B0A"/>
    <w:rsid w:val="7C256909"/>
    <w:rsid w:val="7DCD4862"/>
    <w:rsid w:val="7EB744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33"/>
    <w:qFormat/>
    <w:uiPriority w:val="0"/>
    <w:pPr>
      <w:keepNext/>
      <w:spacing w:line="360" w:lineRule="auto"/>
      <w:jc w:val="center"/>
      <w:outlineLvl w:val="0"/>
    </w:pPr>
    <w:rPr>
      <w:rFonts w:ascii="楷体_GB2312" w:hAnsi="楷体_GB2312"/>
      <w:b/>
      <w:bCs/>
      <w:sz w:val="32"/>
    </w:rPr>
  </w:style>
  <w:style w:type="paragraph" w:styleId="3">
    <w:name w:val="heading 2"/>
    <w:basedOn w:val="1"/>
    <w:next w:val="1"/>
    <w:unhideWhenUsed/>
    <w:qFormat/>
    <w:uiPriority w:val="0"/>
    <w:pPr>
      <w:keepNext/>
      <w:keepLines/>
      <w:spacing w:before="260" w:beforeLines="0" w:after="260" w:afterLines="0" w:line="360" w:lineRule="auto"/>
      <w:jc w:val="center"/>
      <w:outlineLvl w:val="1"/>
    </w:pPr>
    <w:rPr>
      <w:rFonts w:ascii="Arial" w:hAnsi="Arial" w:eastAsia="Arial"/>
      <w:b/>
      <w:bCs/>
      <w:sz w:val="28"/>
      <w:szCs w:val="32"/>
    </w:rPr>
  </w:style>
  <w:style w:type="paragraph" w:styleId="4">
    <w:name w:val="heading 3"/>
    <w:basedOn w:val="1"/>
    <w:next w:val="1"/>
    <w:unhideWhenUsed/>
    <w:qFormat/>
    <w:uiPriority w:val="0"/>
    <w:pPr>
      <w:keepNext/>
      <w:keepLines/>
      <w:spacing w:before="260" w:beforeLines="0" w:after="260" w:afterLines="0" w:line="415" w:lineRule="auto"/>
      <w:outlineLvl w:val="2"/>
    </w:pPr>
    <w:rPr>
      <w:b/>
      <w:bCs/>
      <w:sz w:val="24"/>
      <w:szCs w:val="32"/>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5">
    <w:name w:val="Normal Indent"/>
    <w:basedOn w:val="1"/>
    <w:qFormat/>
    <w:uiPriority w:val="0"/>
    <w:pPr>
      <w:adjustRightInd w:val="0"/>
      <w:spacing w:line="312" w:lineRule="atLeast"/>
      <w:ind w:firstLine="420"/>
      <w:textAlignment w:val="baseline"/>
    </w:pPr>
    <w:rPr>
      <w:rFonts w:eastAsia="宋体"/>
      <w:kern w:val="0"/>
      <w:szCs w:val="20"/>
    </w:rPr>
  </w:style>
  <w:style w:type="paragraph" w:styleId="6">
    <w:name w:val="caption"/>
    <w:basedOn w:val="1"/>
    <w:next w:val="1"/>
    <w:unhideWhenUsed/>
    <w:qFormat/>
    <w:uiPriority w:val="0"/>
    <w:pPr>
      <w:autoSpaceDE w:val="0"/>
      <w:autoSpaceDN w:val="0"/>
      <w:adjustRightInd w:val="0"/>
      <w:jc w:val="left"/>
    </w:pPr>
    <w:rPr>
      <w:rFonts w:ascii="Arial" w:hAnsi="Arial" w:eastAsia="黑体" w:cs="Arial"/>
      <w:kern w:val="0"/>
      <w:sz w:val="20"/>
      <w:szCs w:val="20"/>
    </w:rPr>
  </w:style>
  <w:style w:type="paragraph" w:styleId="7">
    <w:name w:val="toa heading"/>
    <w:basedOn w:val="1"/>
    <w:next w:val="1"/>
    <w:qFormat/>
    <w:uiPriority w:val="99"/>
    <w:pPr>
      <w:spacing w:before="120" w:after="160" w:line="278" w:lineRule="auto"/>
    </w:pPr>
    <w:rPr>
      <w:rFonts w:ascii="Arial" w:hAnsi="Arial" w:eastAsiaTheme="minorEastAsia" w:cstheme="minorBidi"/>
      <w:szCs w:val="22"/>
    </w:rPr>
  </w:style>
  <w:style w:type="paragraph" w:styleId="8">
    <w:name w:val="annotation text"/>
    <w:basedOn w:val="1"/>
    <w:qFormat/>
    <w:uiPriority w:val="0"/>
    <w:pPr>
      <w:jc w:val="left"/>
    </w:pPr>
    <w:rPr>
      <w:rFonts w:ascii="Times New Roman" w:hAnsi="Times New Roman"/>
    </w:rPr>
  </w:style>
  <w:style w:type="paragraph" w:styleId="9">
    <w:name w:val="Body Text"/>
    <w:basedOn w:val="1"/>
    <w:next w:val="10"/>
    <w:semiHidden/>
    <w:qFormat/>
    <w:uiPriority w:val="0"/>
    <w:rPr>
      <w:rFonts w:ascii="宋体" w:hAnsi="宋体" w:eastAsia="宋体" w:cs="宋体"/>
      <w:sz w:val="10"/>
      <w:szCs w:val="10"/>
      <w:lang w:val="en-US" w:eastAsia="en-US" w:bidi="ar-SA"/>
    </w:rPr>
  </w:style>
  <w:style w:type="paragraph" w:styleId="10">
    <w:name w:val="Body Text First Indent"/>
    <w:basedOn w:val="9"/>
    <w:next w:val="1"/>
    <w:qFormat/>
    <w:uiPriority w:val="0"/>
    <w:pPr>
      <w:autoSpaceDE w:val="0"/>
      <w:autoSpaceDN w:val="0"/>
      <w:adjustRightInd w:val="0"/>
      <w:ind w:firstLine="420" w:firstLineChars="100"/>
      <w:jc w:val="left"/>
    </w:pPr>
    <w:rPr>
      <w:rFonts w:ascii="仿宋_GB2312" w:hAnsi="Times New Roman" w:eastAsia="宋体"/>
      <w:b/>
      <w:kern w:val="0"/>
      <w:sz w:val="32"/>
      <w:szCs w:val="32"/>
    </w:rPr>
  </w:style>
  <w:style w:type="paragraph" w:styleId="11">
    <w:name w:val="Body Text Indent"/>
    <w:basedOn w:val="1"/>
    <w:qFormat/>
    <w:uiPriority w:val="0"/>
    <w:pPr>
      <w:adjustRightInd w:val="0"/>
      <w:spacing w:line="360" w:lineRule="auto"/>
      <w:ind w:firstLine="490"/>
      <w:jc w:val="left"/>
    </w:pPr>
    <w:rPr>
      <w:rFonts w:ascii="宋体" w:hAnsi="宋体" w:eastAsia="宋体"/>
      <w:sz w:val="24"/>
      <w:szCs w:val="20"/>
    </w:rPr>
  </w:style>
  <w:style w:type="paragraph" w:styleId="12">
    <w:name w:val="Block Text"/>
    <w:basedOn w:val="1"/>
    <w:qFormat/>
    <w:uiPriority w:val="99"/>
    <w:pPr>
      <w:spacing w:after="120"/>
      <w:ind w:left="1440" w:leftChars="700" w:right="1440" w:rightChars="700"/>
    </w:pPr>
  </w:style>
  <w:style w:type="paragraph" w:styleId="13">
    <w:name w:val="Plain Text"/>
    <w:basedOn w:val="1"/>
    <w:qFormat/>
    <w:uiPriority w:val="0"/>
    <w:rPr>
      <w:rFonts w:ascii="宋体" w:hAnsi="Courier New" w:eastAsia="宋体"/>
      <w:szCs w:val="20"/>
    </w:rPr>
  </w:style>
  <w:style w:type="paragraph" w:styleId="14">
    <w:name w:val="Date"/>
    <w:basedOn w:val="1"/>
    <w:next w:val="1"/>
    <w:qFormat/>
    <w:uiPriority w:val="0"/>
    <w:pPr>
      <w:spacing w:line="440" w:lineRule="exact"/>
    </w:pPr>
    <w:rPr>
      <w:rFonts w:eastAsia="宋体"/>
      <w:spacing w:val="12"/>
      <w:sz w:val="24"/>
      <w:szCs w:val="20"/>
    </w:rPr>
  </w:style>
  <w:style w:type="paragraph" w:styleId="15">
    <w:name w:val="footer"/>
    <w:basedOn w:val="1"/>
    <w:qFormat/>
    <w:uiPriority w:val="0"/>
    <w:pPr>
      <w:tabs>
        <w:tab w:val="center" w:pos="4153"/>
        <w:tab w:val="right" w:pos="8306"/>
      </w:tabs>
      <w:snapToGrid w:val="0"/>
      <w:jc w:val="left"/>
    </w:pPr>
    <w:rPr>
      <w:rFonts w:eastAsia="宋体"/>
      <w:sz w:val="18"/>
      <w:szCs w:val="18"/>
    </w:rPr>
  </w:style>
  <w:style w:type="paragraph" w:styleId="16">
    <w:name w:val="envelope return"/>
    <w:basedOn w:val="1"/>
    <w:qFormat/>
    <w:uiPriority w:val="0"/>
    <w:pPr>
      <w:snapToGrid w:val="0"/>
      <w:spacing w:line="360" w:lineRule="auto"/>
      <w:ind w:firstLine="200" w:firstLineChars="200"/>
    </w:pPr>
    <w:rPr>
      <w:rFonts w:ascii="Arial" w:hAnsi="Arial" w:eastAsia="等线" w:cs="等线"/>
      <w:spacing w:val="-10"/>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8">
    <w:name w:val="toc 1"/>
    <w:basedOn w:val="1"/>
    <w:next w:val="1"/>
    <w:qFormat/>
    <w:uiPriority w:val="0"/>
    <w:pPr>
      <w:spacing w:line="360" w:lineRule="exact"/>
      <w:ind w:left="718" w:hanging="718" w:hangingChars="342"/>
    </w:pPr>
    <w:rPr>
      <w:rFonts w:ascii="Arial" w:hAnsi="Arial" w:eastAsia="楷体_GB2312" w:cs="Arial"/>
    </w:rPr>
  </w:style>
  <w:style w:type="paragraph" w:styleId="19">
    <w:name w:val="List"/>
    <w:basedOn w:val="1"/>
    <w:qFormat/>
    <w:uiPriority w:val="0"/>
    <w:pPr>
      <w:ind w:left="200" w:hanging="200" w:hangingChars="200"/>
    </w:pPr>
  </w:style>
  <w:style w:type="paragraph" w:styleId="20">
    <w:name w:val="toc 6"/>
    <w:basedOn w:val="1"/>
    <w:next w:val="1"/>
    <w:qFormat/>
    <w:uiPriority w:val="0"/>
    <w:pPr>
      <w:autoSpaceDE w:val="0"/>
      <w:autoSpaceDN w:val="0"/>
      <w:adjustRightInd w:val="0"/>
      <w:ind w:left="2100" w:leftChars="1000"/>
      <w:jc w:val="left"/>
    </w:pPr>
    <w:rPr>
      <w:kern w:val="0"/>
      <w:sz w:val="20"/>
      <w:szCs w:val="20"/>
    </w:rPr>
  </w:style>
  <w:style w:type="paragraph" w:styleId="21">
    <w:name w:val="toc 2"/>
    <w:basedOn w:val="1"/>
    <w:next w:val="1"/>
    <w:qFormat/>
    <w:uiPriority w:val="0"/>
    <w:pPr>
      <w:ind w:left="420" w:leftChars="200"/>
    </w:pPr>
  </w:style>
  <w:style w:type="paragraph" w:styleId="22">
    <w:name w:val="Normal (Web)"/>
    <w:basedOn w:val="1"/>
    <w:qFormat/>
    <w:uiPriority w:val="0"/>
    <w:pPr>
      <w:widowControl/>
      <w:spacing w:before="100" w:beforeLines="0" w:beforeAutospacing="1" w:after="100" w:afterLines="0" w:afterAutospacing="1"/>
      <w:jc w:val="left"/>
    </w:pPr>
    <w:rPr>
      <w:rFonts w:hint="eastAsia" w:ascii="宋体" w:hAnsi="宋体"/>
      <w:color w:val="000000"/>
      <w:kern w:val="0"/>
      <w:sz w:val="24"/>
    </w:rPr>
  </w:style>
  <w:style w:type="paragraph" w:styleId="23">
    <w:name w:val="Title"/>
    <w:basedOn w:val="1"/>
    <w:qFormat/>
    <w:uiPriority w:val="0"/>
    <w:pPr>
      <w:autoSpaceDE w:val="0"/>
      <w:autoSpaceDN w:val="0"/>
      <w:adjustRightInd w:val="0"/>
      <w:spacing w:before="240" w:after="60"/>
      <w:jc w:val="center"/>
      <w:outlineLvl w:val="0"/>
    </w:pPr>
    <w:rPr>
      <w:rFonts w:ascii="Cambria" w:hAnsi="Cambria" w:eastAsia="宋体"/>
      <w:b/>
      <w:bCs/>
      <w:kern w:val="0"/>
      <w:sz w:val="32"/>
      <w:szCs w:val="32"/>
    </w:rPr>
  </w:style>
  <w:style w:type="paragraph" w:styleId="24">
    <w:name w:val="Body Text First Indent 2"/>
    <w:basedOn w:val="11"/>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uiPriority w:val="0"/>
  </w:style>
  <w:style w:type="table" w:customStyle="1" w:styleId="29">
    <w:name w:val="Table Normal"/>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宋体" w:hAnsi="宋体" w:eastAsia="宋体" w:cs="宋体"/>
      <w:sz w:val="10"/>
      <w:szCs w:val="10"/>
      <w:lang w:val="en-US" w:eastAsia="en-US" w:bidi="ar-SA"/>
    </w:rPr>
  </w:style>
  <w:style w:type="paragraph" w:customStyle="1" w:styleId="31">
    <w:name w:val="表格文字"/>
    <w:basedOn w:val="13"/>
    <w:next w:val="9"/>
    <w:qFormat/>
    <w:uiPriority w:val="0"/>
    <w:pPr>
      <w:spacing w:line="420" w:lineRule="atLeast"/>
      <w:jc w:val="left"/>
    </w:pPr>
    <w:rPr>
      <w:szCs w:val="20"/>
    </w:rPr>
  </w:style>
  <w:style w:type="paragraph" w:customStyle="1" w:styleId="32">
    <w:name w:val="[Normal]"/>
    <w:qFormat/>
    <w:uiPriority w:val="0"/>
    <w:rPr>
      <w:rFonts w:ascii="宋体" w:hAnsi="宋体" w:eastAsia="Arial" w:cs="Arial"/>
      <w:sz w:val="24"/>
      <w:szCs w:val="22"/>
      <w:lang w:val="zh-CN" w:eastAsia="zh-CN" w:bidi="ar-SA"/>
    </w:rPr>
  </w:style>
  <w:style w:type="character" w:customStyle="1" w:styleId="33">
    <w:name w:val="标题 1 Char"/>
    <w:link w:val="2"/>
    <w:qFormat/>
    <w:uiPriority w:val="0"/>
    <w:rPr>
      <w:rFonts w:ascii="楷体_GB2312" w:hAnsi="楷体_GB2312"/>
      <w:b/>
      <w:bCs/>
      <w:sz w:val="32"/>
    </w:rPr>
  </w:style>
  <w:style w:type="paragraph" w:customStyle="1" w:styleId="34">
    <w:name w:val="样式 首行缩进:  2 字符"/>
    <w:basedOn w:val="1"/>
    <w:qFormat/>
    <w:uiPriority w:val="0"/>
    <w:pPr>
      <w:spacing w:line="360" w:lineRule="auto"/>
      <w:ind w:firstLine="480" w:firstLineChars="200"/>
    </w:pPr>
    <w:rPr>
      <w:rFonts w:ascii="宋体" w:hAnsi="宋体" w:cs="宋体"/>
      <w:color w:val="000000"/>
      <w:sz w:val="24"/>
    </w:rPr>
  </w:style>
  <w:style w:type="character" w:customStyle="1" w:styleId="35">
    <w:name w:val="font21"/>
    <w:qFormat/>
    <w:uiPriority w:val="0"/>
    <w:rPr>
      <w:rFonts w:hint="default" w:ascii="Times New Roman" w:hAnsi="Times New Roman" w:cs="Times New Roman"/>
      <w:color w:val="000000"/>
      <w:sz w:val="20"/>
      <w:szCs w:val="20"/>
      <w:u w:val="none"/>
    </w:rPr>
  </w:style>
  <w:style w:type="paragraph" w:customStyle="1" w:styleId="36">
    <w:name w:val="Other|1"/>
    <w:basedOn w:val="1"/>
    <w:qFormat/>
    <w:uiPriority w:val="0"/>
    <w:pPr>
      <w:widowControl w:val="0"/>
      <w:shd w:val="clear" w:color="auto" w:fill="auto"/>
      <w:spacing w:line="300" w:lineRule="exact"/>
    </w:pPr>
    <w:rPr>
      <w:rFonts w:ascii="宋体" w:hAnsi="宋体" w:eastAsia="宋体" w:cs="宋体"/>
      <w:sz w:val="19"/>
      <w:szCs w:val="19"/>
      <w:u w:val="none"/>
      <w:shd w:val="clear" w:color="auto" w:fill="auto"/>
      <w:lang w:val="zh-TW" w:eastAsia="zh-TW" w:bidi="zh-TW"/>
    </w:rPr>
  </w:style>
  <w:style w:type="paragraph" w:customStyle="1" w:styleId="37">
    <w:name w:val="Normal Indent"/>
    <w:basedOn w:val="1"/>
    <w:qFormat/>
    <w:uiPriority w:val="0"/>
    <w:pPr>
      <w:ind w:firstLine="420"/>
    </w:pPr>
    <w:rPr>
      <w:szCs w:val="20"/>
    </w:rPr>
  </w:style>
  <w:style w:type="paragraph" w:customStyle="1" w:styleId="38">
    <w:name w:val="纯文本2"/>
    <w:basedOn w:val="1"/>
    <w:qFormat/>
    <w:uiPriority w:val="0"/>
    <w:pPr>
      <w:adjustRightInd w:val="0"/>
      <w:snapToGrid w:val="0"/>
      <w:spacing w:line="288" w:lineRule="auto"/>
      <w:ind w:firstLine="200" w:firstLineChars="200"/>
    </w:pPr>
    <w:rPr>
      <w:rFonts w:ascii="宋体" w:hAnsi="Courier New"/>
    </w:rPr>
  </w:style>
  <w:style w:type="paragraph" w:customStyle="1" w:styleId="39">
    <w:name w:val="正文5"/>
    <w:qFormat/>
    <w:uiPriority w:val="0"/>
    <w:pPr>
      <w:widowControl w:val="0"/>
      <w:jc w:val="both"/>
    </w:pPr>
    <w:rPr>
      <w:rFonts w:ascii="Arial" w:hAnsi="Arial" w:eastAsia="Arial" w:cs="Arial"/>
      <w:kern w:val="2"/>
      <w:sz w:val="21"/>
      <w:szCs w:val="22"/>
      <w:lang w:val="en-US" w:eastAsia="zh-CN" w:bidi="ar-SA"/>
    </w:rPr>
  </w:style>
  <w:style w:type="paragraph" w:customStyle="1" w:styleId="40">
    <w:name w:val="1-正文1统一"/>
    <w:basedOn w:val="1"/>
    <w:qFormat/>
    <w:locked/>
    <w:uiPriority w:val="0"/>
    <w:pPr>
      <w:ind w:firstLine="480"/>
    </w:pPr>
    <w:rPr>
      <w:sz w:val="28"/>
    </w:rPr>
  </w:style>
  <w:style w:type="paragraph" w:customStyle="1" w:styleId="41">
    <w:name w:val="Plain Text"/>
    <w:basedOn w:val="42"/>
    <w:qFormat/>
    <w:uiPriority w:val="0"/>
    <w:pPr>
      <w:widowControl/>
      <w:jc w:val="left"/>
    </w:pPr>
    <w:rPr>
      <w:rFonts w:ascii="宋体" w:hAnsi="Courier New"/>
    </w:rPr>
  </w:style>
  <w:style w:type="paragraph" w:customStyle="1" w:styleId="42">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43">
    <w:name w:val="纯文本1"/>
    <w:basedOn w:val="1"/>
    <w:qFormat/>
    <w:uiPriority w:val="0"/>
    <w:rPr>
      <w:rFonts w:hint="eastAsia" w:ascii="宋体" w:hAnsi="Courier New"/>
      <w:kern w:val="2"/>
    </w:rPr>
  </w:style>
  <w:style w:type="paragraph" w:customStyle="1" w:styleId="44">
    <w:name w:val="正文首行缩进（奇虎360）"/>
    <w:basedOn w:val="45"/>
    <w:qFormat/>
    <w:uiPriority w:val="0"/>
    <w:pPr>
      <w:spacing w:after="50"/>
      <w:ind w:firstLine="200" w:firstLineChars="200"/>
    </w:pPr>
  </w:style>
  <w:style w:type="paragraph" w:customStyle="1" w:styleId="45">
    <w:name w:val="正文（奇虎360）"/>
    <w:qFormat/>
    <w:uiPriority w:val="0"/>
    <w:pPr>
      <w:spacing w:line="300" w:lineRule="auto"/>
    </w:pPr>
    <w:rPr>
      <w:rFonts w:ascii="Arial" w:hAnsi="Arial" w:eastAsia="宋体" w:cs="Times New Roman"/>
      <w:sz w:val="21"/>
      <w:szCs w:val="21"/>
      <w:lang w:val="en-US" w:eastAsia="zh-CN" w:bidi="ar-SA"/>
    </w:rPr>
  </w:style>
  <w:style w:type="paragraph" w:customStyle="1" w:styleId="46">
    <w:name w:val="Default"/>
    <w:next w:val="1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正文缩进1"/>
    <w:basedOn w:val="1"/>
    <w:next w:val="1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8">
    <w:name w:val="索引 11"/>
    <w:basedOn w:val="1"/>
    <w:next w:val="1"/>
    <w:qFormat/>
    <w:uiPriority w:val="99"/>
    <w:pPr>
      <w:adjustRightInd/>
      <w:spacing w:line="360" w:lineRule="auto"/>
    </w:pPr>
    <w:rPr>
      <w:rFonts w:ascii="仿宋_GB2312" w:eastAsia="仿宋_GB2312"/>
      <w:sz w:val="24"/>
      <w:szCs w:val="20"/>
    </w:rPr>
  </w:style>
  <w:style w:type="paragraph" w:customStyle="1" w:styleId="4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0">
    <w:name w:val="正文文本 21"/>
    <w:basedOn w:val="1"/>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51">
    <w:name w:val="Fließtext"/>
    <w:basedOn w:val="1"/>
    <w:qFormat/>
    <w:uiPriority w:val="0"/>
    <w:pPr>
      <w:overflowPunct w:val="0"/>
      <w:autoSpaceDE w:val="0"/>
      <w:autoSpaceDN w:val="0"/>
      <w:adjustRightInd w:val="0"/>
      <w:textAlignment w:val="baseline"/>
    </w:pPr>
    <w:rPr>
      <w:kern w:val="28"/>
      <w:szCs w:val="20"/>
    </w:rPr>
  </w:style>
  <w:style w:type="paragraph" w:styleId="52">
    <w:name w:val="List Paragraph"/>
    <w:basedOn w:val="1"/>
    <w:qFormat/>
    <w:uiPriority w:val="99"/>
    <w:pPr>
      <w:spacing w:line="360" w:lineRule="auto"/>
      <w:ind w:firstLine="420" w:firstLineChars="200"/>
      <w:jc w:val="left"/>
    </w:pPr>
    <w:rPr>
      <w:rFonts w:ascii="Times New Roman" w:hAnsi="Times New Roman" w:eastAsia="宋体" w:cs="Times New Roman"/>
      <w:sz w:val="24"/>
      <w:szCs w:val="24"/>
    </w:rPr>
  </w:style>
  <w:style w:type="paragraph" w:customStyle="1" w:styleId="53">
    <w:name w:val="表 靠左"/>
    <w:basedOn w:val="1"/>
    <w:qFormat/>
    <w:uiPriority w:val="0"/>
    <w:pPr>
      <w:widowControl w:val="0"/>
      <w:kinsoku/>
      <w:autoSpaceDE/>
      <w:autoSpaceDN/>
      <w:adjustRightInd/>
      <w:snapToGrid/>
      <w:textAlignment w:val="auto"/>
    </w:pPr>
    <w:rPr>
      <w:rFonts w:ascii="Times New Roman" w:hAnsi="Times New Roman" w:eastAsia="宋体" w:cs="Times New Roman"/>
      <w:snapToGrid/>
      <w:color w:val="auto"/>
      <w:kern w:val="2"/>
    </w:rPr>
  </w:style>
  <w:style w:type="paragraph" w:customStyle="1" w:styleId="54">
    <w:name w:val="文本正文 Char"/>
    <w:basedOn w:val="1"/>
    <w:qFormat/>
    <w:uiPriority w:val="0"/>
    <w:pPr>
      <w:spacing w:line="360" w:lineRule="auto"/>
      <w:ind w:firstLine="200" w:firstLineChars="200"/>
    </w:pPr>
    <w:rPr>
      <w:kern w:val="0"/>
      <w:sz w:val="24"/>
      <w:szCs w:val="20"/>
    </w:rPr>
  </w:style>
  <w:style w:type="paragraph" w:customStyle="1" w:styleId="5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6">
    <w:name w:val="正文2"/>
    <w:basedOn w:val="1"/>
    <w:qFormat/>
    <w:uiPriority w:val="0"/>
    <w:pPr>
      <w:spacing w:before="156" w:line="360" w:lineRule="auto"/>
      <w:ind w:firstLine="510" w:firstLineChars="200"/>
    </w:pPr>
    <w:rPr>
      <w:sz w:val="24"/>
      <w:szCs w:val="20"/>
    </w:rPr>
  </w:style>
  <w:style w:type="paragraph" w:customStyle="1" w:styleId="57">
    <w:name w:val="正文空2字"/>
    <w:basedOn w:val="58"/>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58">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footer" Target="footer2.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1.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header" Target="head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130</Pages>
  <Words>6529</Words>
  <Characters>7167</Characters>
  <Lines>0</Lines>
  <Paragraphs>0</Paragraphs>
  <TotalTime>0</TotalTime>
  <ScaleCrop>false</ScaleCrop>
  <LinksUpToDate>false</LinksUpToDate>
  <CharactersWithSpaces>9268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2024-06-21T10:43:00Z</dcterms:created>
  <dc:creator>超级侧卫</dc:creator>
  <cp:lastModifiedBy>指尖の纏繞</cp:lastModifiedBy>
  <dcterms:modified xsi:type="dcterms:W3CDTF">2025-09-26T08:28:54Z</dcterms:modified>
  <dc:title>温州市政府分散采购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2024-06-21T10:43:46Z</vt:filetime>
  </property>
  <property fmtid="{D5CDD505-2E9C-101B-9397-08002B2CF9AE}" pid="4" name="KSOProductBuildVer">
    <vt:lpwstr>2052-12.1.0.22529</vt:lpwstr>
  </property>
  <property fmtid="{D5CDD505-2E9C-101B-9397-08002B2CF9AE}" pid="5" name="ICV">
    <vt:lpwstr>85CE1FC32B30487C9F38B769FD376E91_13</vt:lpwstr>
  </property>
  <property fmtid="{D5CDD505-2E9C-101B-9397-08002B2CF9AE}" pid="6" name="KSOTemplateDocerSaveRecord">
    <vt:lpwstr>eyJoZGlkIjoiZTMwNjdkY2QwYjEzYWI0ZWE0OGQwNGEyZDNhMDhkZTIiLCJ1c2VySWQiOiIyMjc4MjU0NTgifQ==</vt:lpwstr>
  </property>
</Properties>
</file>