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360" w:lineRule="auto"/>
        <w:ind w:right="-874" w:rightChars="-416"/>
        <w:jc w:val="center"/>
        <w:rPr>
          <w:rFonts w:ascii="宋体" w:hAnsi="宋体" w:cs="宋体"/>
          <w:sz w:val="36"/>
          <w:szCs w:val="36"/>
        </w:rPr>
      </w:pPr>
      <w:bookmarkStart w:id="2" w:name="_GoBack"/>
      <w:bookmarkEnd w:id="2"/>
      <w:r>
        <w:rPr>
          <w:rFonts w:hint="eastAsia" w:ascii="宋体" w:hAnsi="宋体" w:cs="宋体"/>
          <w:sz w:val="36"/>
          <w:szCs w:val="36"/>
        </w:rPr>
        <w:t>东营</w:t>
      </w:r>
      <w:r>
        <w:rPr>
          <w:rFonts w:hint="eastAsia" w:ascii="宋体" w:hAnsi="宋体" w:cs="宋体"/>
          <w:sz w:val="36"/>
          <w:szCs w:val="36"/>
          <w:lang w:val="en-US" w:eastAsia="zh-CN"/>
        </w:rPr>
        <w:t>原油储备</w:t>
      </w:r>
      <w:r>
        <w:rPr>
          <w:rFonts w:hint="eastAsia" w:ascii="宋体" w:hAnsi="宋体" w:cs="宋体"/>
          <w:sz w:val="36"/>
          <w:szCs w:val="36"/>
        </w:rPr>
        <w:t>项目</w:t>
      </w:r>
      <w:r>
        <w:rPr>
          <w:rFonts w:hint="eastAsia" w:ascii="宋体" w:hAnsi="宋体" w:cs="宋体"/>
          <w:sz w:val="36"/>
          <w:szCs w:val="36"/>
          <w:lang w:val="en-US" w:eastAsia="zh-CN"/>
        </w:rPr>
        <w:t>二</w:t>
      </w:r>
      <w:r>
        <w:rPr>
          <w:rFonts w:hint="eastAsia" w:ascii="宋体" w:hAnsi="宋体" w:cs="宋体"/>
          <w:sz w:val="36"/>
          <w:szCs w:val="36"/>
        </w:rPr>
        <w:t>钢结构平台</w:t>
      </w:r>
      <w:r>
        <w:rPr>
          <w:rFonts w:hint="eastAsia" w:ascii="宋体" w:hAnsi="宋体" w:cs="宋体"/>
          <w:sz w:val="36"/>
          <w:szCs w:val="36"/>
          <w:lang w:val="en-US" w:eastAsia="zh-CN"/>
        </w:rPr>
        <w:t>采购</w:t>
      </w:r>
    </w:p>
    <w:p>
      <w:pPr>
        <w:pStyle w:val="2"/>
        <w:spacing w:before="120" w:after="120" w:line="360" w:lineRule="auto"/>
        <w:ind w:right="-874" w:rightChars="-416"/>
        <w:jc w:val="center"/>
        <w:rPr>
          <w:rFonts w:hint="eastAsia" w:ascii="宋体" w:hAnsi="宋体" w:cs="宋体"/>
          <w:sz w:val="36"/>
          <w:szCs w:val="36"/>
        </w:rPr>
      </w:pPr>
      <w:r>
        <w:rPr>
          <w:rFonts w:hint="eastAsia" w:ascii="宋体" w:hAnsi="宋体" w:cs="宋体"/>
          <w:sz w:val="36"/>
          <w:szCs w:val="36"/>
          <w:lang w:val="en-US" w:eastAsia="zh-CN"/>
        </w:rPr>
        <w:t>技术</w:t>
      </w:r>
      <w:r>
        <w:rPr>
          <w:rFonts w:hint="eastAsia" w:ascii="宋体" w:hAnsi="宋体" w:cs="宋体"/>
          <w:sz w:val="36"/>
          <w:szCs w:val="36"/>
        </w:rPr>
        <w:t>要求</w:t>
      </w:r>
    </w:p>
    <w:p>
      <w:pPr>
        <w:pStyle w:val="13"/>
        <w:numPr>
          <w:ilvl w:val="0"/>
          <w:numId w:val="1"/>
        </w:numPr>
        <w:spacing w:line="360" w:lineRule="auto"/>
        <w:ind w:left="0" w:firstLine="0" w:firstLineChars="0"/>
        <w:rPr>
          <w:b/>
          <w:sz w:val="28"/>
          <w:szCs w:val="28"/>
        </w:rPr>
      </w:pPr>
      <w:r>
        <w:rPr>
          <w:rFonts w:hint="eastAsia"/>
          <w:b/>
          <w:sz w:val="28"/>
          <w:szCs w:val="28"/>
          <w:lang w:val="en-US" w:eastAsia="zh-CN"/>
        </w:rPr>
        <w:t>供货</w:t>
      </w:r>
      <w:r>
        <w:rPr>
          <w:rFonts w:hint="eastAsia"/>
          <w:b/>
          <w:sz w:val="28"/>
          <w:szCs w:val="28"/>
        </w:rPr>
        <w:t>范围</w:t>
      </w:r>
    </w:p>
    <w:p>
      <w:pPr>
        <w:pStyle w:val="13"/>
        <w:numPr>
          <w:ilvl w:val="0"/>
          <w:numId w:val="2"/>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250处钢结构平台及栏杆、斜梯的制作、运输、组织验收、倒运、安装就位、调平与固定等工作。</w:t>
      </w:r>
    </w:p>
    <w:p>
      <w:pPr>
        <w:pStyle w:val="13"/>
        <w:numPr>
          <w:ilvl w:val="0"/>
          <w:numId w:val="2"/>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钢结构防腐。</w:t>
      </w:r>
    </w:p>
    <w:p>
      <w:pPr>
        <w:pStyle w:val="13"/>
        <w:numPr>
          <w:ilvl w:val="0"/>
          <w:numId w:val="2"/>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钢结构平台接地连接，包括100处盘梯原接地扁钢拆除后再与新设钢结构平台焊接及相关的防腐；150处人孔平台新设接地连接及相关的防腐。</w:t>
      </w:r>
    </w:p>
    <w:p>
      <w:pPr>
        <w:pStyle w:val="13"/>
        <w:numPr>
          <w:ilvl w:val="0"/>
          <w:numId w:val="1"/>
        </w:numPr>
        <w:spacing w:line="360" w:lineRule="auto"/>
        <w:ind w:left="0" w:firstLine="0" w:firstLineChars="0"/>
        <w:rPr>
          <w:rFonts w:cs="微软雅黑" w:asciiTheme="minorEastAsia" w:hAnsiTheme="minorEastAsia" w:eastAsiaTheme="minorEastAsia"/>
          <w:sz w:val="24"/>
        </w:rPr>
      </w:pPr>
      <w:r>
        <w:rPr>
          <w:rFonts w:hint="eastAsia"/>
          <w:b/>
          <w:sz w:val="28"/>
          <w:szCs w:val="28"/>
        </w:rPr>
        <w:t>总体要求</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投标前</w:t>
      </w:r>
      <w:r>
        <w:rPr>
          <w:rFonts w:hint="eastAsia" w:cs="微软雅黑" w:asciiTheme="minorEastAsia" w:hAnsiTheme="minorEastAsia" w:eastAsiaTheme="minorEastAsia"/>
          <w:sz w:val="24"/>
          <w:lang w:val="en-US" w:eastAsia="zh-CN"/>
        </w:rPr>
        <w:t>建议乙方</w:t>
      </w:r>
      <w:r>
        <w:rPr>
          <w:rFonts w:hint="eastAsia" w:cs="微软雅黑" w:asciiTheme="minorEastAsia" w:hAnsiTheme="minorEastAsia" w:eastAsiaTheme="minorEastAsia"/>
          <w:sz w:val="24"/>
        </w:rPr>
        <w:t>至现场查勘，充分了解现场情况。</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钢结构平台制作图纸文件应满足国家及行业相应的资质及设计深度要求。</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图纸文件应通过我方的审查后方可实施。</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钢结构平台需满足现场安装、使用、接地等要求。</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需特别注意储罐环墙周边已有电缆支架、槽盒、液位计等物品的位置，并注意避让。</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现场已处于生产运行阶段，需严格遵守生产方的各项管理规定，各项工具用品均需防爆。</w:t>
      </w:r>
    </w:p>
    <w:p>
      <w:pPr>
        <w:pStyle w:val="13"/>
        <w:numPr>
          <w:ilvl w:val="0"/>
          <w:numId w:val="3"/>
        </w:numPr>
        <w:spacing w:line="360" w:lineRule="auto"/>
        <w:ind w:firstLine="0" w:firstLineChars="0"/>
        <w:rPr>
          <w:rFonts w:cs="微软雅黑" w:asciiTheme="minorEastAsia" w:hAnsiTheme="minorEastAsia" w:eastAsiaTheme="minorEastAsia"/>
          <w:sz w:val="24"/>
          <w:highlight w:val="none"/>
        </w:rPr>
      </w:pPr>
      <w:r>
        <w:rPr>
          <w:rFonts w:hint="eastAsia" w:cs="微软雅黑" w:asciiTheme="minorEastAsia" w:hAnsiTheme="minorEastAsia" w:eastAsiaTheme="minorEastAsia"/>
          <w:sz w:val="24"/>
          <w:highlight w:val="none"/>
        </w:rPr>
        <w:t>现场施工用电取自生产检修电源，电费</w:t>
      </w:r>
      <w:r>
        <w:rPr>
          <w:rFonts w:hint="eastAsia" w:cs="微软雅黑" w:asciiTheme="minorEastAsia" w:hAnsiTheme="minorEastAsia" w:eastAsiaTheme="minorEastAsia"/>
          <w:sz w:val="24"/>
          <w:highlight w:val="none"/>
          <w:lang w:val="en-US" w:eastAsia="zh-CN"/>
        </w:rPr>
        <w:t>由乙方支付</w:t>
      </w:r>
      <w:r>
        <w:rPr>
          <w:rFonts w:hint="eastAsia" w:cs="微软雅黑" w:asciiTheme="minorEastAsia" w:hAnsiTheme="minorEastAsia" w:eastAsiaTheme="minorEastAsia"/>
          <w:sz w:val="24"/>
          <w:highlight w:val="none"/>
        </w:rPr>
        <w:t>。</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钢结构材料提供材质证明材料；在工厂完成制作、喷砂、防腐过程需</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见证；出厂验收合格后再发运至现场。</w:t>
      </w:r>
    </w:p>
    <w:p>
      <w:pPr>
        <w:pStyle w:val="13"/>
        <w:numPr>
          <w:ilvl w:val="0"/>
          <w:numId w:val="3"/>
        </w:numPr>
        <w:spacing w:line="360" w:lineRule="auto"/>
        <w:ind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现场安装位置处于防火堤内储罐旁边，现场仅提供空白混凝土地面，其他吊装、倒运、就位等工作内容均由</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完成。</w:t>
      </w:r>
    </w:p>
    <w:p>
      <w:pPr>
        <w:pStyle w:val="13"/>
        <w:numPr>
          <w:ilvl w:val="0"/>
          <w:numId w:val="1"/>
        </w:numPr>
        <w:spacing w:line="360" w:lineRule="auto"/>
        <w:ind w:left="0" w:firstLine="0" w:firstLineChars="0"/>
        <w:rPr>
          <w:b/>
          <w:sz w:val="28"/>
          <w:szCs w:val="28"/>
        </w:rPr>
      </w:pPr>
      <w:r>
        <w:rPr>
          <w:rFonts w:hint="eastAsia"/>
          <w:b/>
          <w:sz w:val="28"/>
          <w:szCs w:val="28"/>
          <w:lang w:val="en-US" w:eastAsia="zh-CN"/>
        </w:rPr>
        <w:t>供货</w:t>
      </w:r>
      <w:r>
        <w:rPr>
          <w:rFonts w:hint="eastAsia"/>
          <w:b/>
          <w:sz w:val="28"/>
          <w:szCs w:val="28"/>
        </w:rPr>
        <w:t>技术要求</w:t>
      </w:r>
      <w:r>
        <w:rPr>
          <w:rFonts w:hint="eastAsia"/>
          <w:b/>
          <w:sz w:val="28"/>
          <w:szCs w:val="28"/>
          <w:lang w:val="en-US" w:eastAsia="zh-CN"/>
        </w:rPr>
        <w:t>和安装要求</w:t>
      </w:r>
    </w:p>
    <w:p>
      <w:pPr>
        <w:pStyle w:val="13"/>
        <w:spacing w:line="360" w:lineRule="auto"/>
        <w:ind w:left="197" w:firstLine="0" w:firstLineChars="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1. 技术要求详见图纸。</w:t>
      </w:r>
    </w:p>
    <w:p>
      <w:pPr>
        <w:pStyle w:val="13"/>
        <w:spacing w:line="360" w:lineRule="auto"/>
        <w:ind w:left="197" w:firstLine="0" w:firstLineChars="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 xml:space="preserve">2. </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施工人员管理</w:t>
      </w:r>
    </w:p>
    <w:p>
      <w:pPr>
        <w:spacing w:line="360" w:lineRule="auto"/>
        <w:ind w:left="-283" w:leftChars="-135" w:firstLine="480" w:firstLineChars="20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 xml:space="preserve">2.1 </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入厂施工人员须经</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相关部门审核。</w:t>
      </w:r>
    </w:p>
    <w:p>
      <w:pPr>
        <w:spacing w:line="360" w:lineRule="auto"/>
        <w:ind w:left="-283" w:leftChars="-135" w:firstLine="480" w:firstLineChars="20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 xml:space="preserve">2.2 </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施工人员要求</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（1）</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施工人员年龄应在18周岁以上、60周岁以下（施工作业人员年龄不得超过55周岁），进场人员名单中从事工种不足一年的人员占作业队伍的最高比例不能超过5%。</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（2）</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应保证</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施工人员身体健康无疾病史，如心脏病、高血压等职业禁忌症。</w:t>
      </w:r>
      <w:r>
        <w:rPr>
          <w:rFonts w:hint="eastAsia" w:cs="微软雅黑" w:asciiTheme="minorEastAsia" w:hAnsiTheme="minorEastAsia" w:eastAsiaTheme="minorEastAsia"/>
          <w:sz w:val="24"/>
          <w:lang w:val="en-US" w:eastAsia="zh-CN"/>
        </w:rPr>
        <w:t>乙方</w:t>
      </w:r>
      <w:r>
        <w:rPr>
          <w:rFonts w:hint="eastAsia" w:cs="微软雅黑" w:asciiTheme="minorEastAsia" w:hAnsiTheme="minorEastAsia" w:eastAsiaTheme="minorEastAsia"/>
          <w:sz w:val="24"/>
        </w:rPr>
        <w:t>应组织对施工人员进行健康体检，合格后方可进厂作业。</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（3）</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必须与</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施工人员签订用工合同，必须为施工人员缴纳工伤保险，并为从事危险作业人员购买意外伤害保险，每人的人身意外伤害保险的保险金额不低于100万元。</w:t>
      </w:r>
    </w:p>
    <w:p>
      <w:pPr>
        <w:spacing w:line="360" w:lineRule="auto"/>
        <w:ind w:left="-283" w:leftChars="-135" w:firstLine="480" w:firstLineChars="20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2.3 特种作业人员要求</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（1）</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特种作业人员必须经过安全技术培训，取得国家或地方政府主管部门颁发的“特种作业人员操作证”，施工人员身份证与特种作业证对应并真实有效。</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w:t>
      </w:r>
      <w:r>
        <w:rPr>
          <w:rFonts w:cs="微软雅黑" w:asciiTheme="minorEastAsia" w:hAnsiTheme="minorEastAsia" w:eastAsiaTheme="minorEastAsia"/>
          <w:sz w:val="24"/>
        </w:rPr>
        <w:t>2</w:t>
      </w:r>
      <w:r>
        <w:rPr>
          <w:rFonts w:hint="eastAsia" w:cs="微软雅黑" w:asciiTheme="minorEastAsia" w:hAnsiTheme="minorEastAsia" w:eastAsiaTheme="minorEastAsia"/>
          <w:sz w:val="24"/>
        </w:rPr>
        <w:t>）</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特种作业人员在作业过程中必须严格执行持证项目作业法规及相关制度，严禁违章作业。</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w:t>
      </w:r>
      <w:r>
        <w:rPr>
          <w:rFonts w:cs="微软雅黑" w:asciiTheme="minorEastAsia" w:hAnsiTheme="minorEastAsia" w:eastAsiaTheme="minorEastAsia"/>
          <w:sz w:val="24"/>
        </w:rPr>
        <w:t>3</w:t>
      </w:r>
      <w:r>
        <w:rPr>
          <w:rFonts w:hint="eastAsia" w:cs="微软雅黑" w:asciiTheme="minorEastAsia" w:hAnsiTheme="minorEastAsia" w:eastAsiaTheme="minorEastAsia"/>
          <w:sz w:val="24"/>
        </w:rPr>
        <w:t>）</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不得违章指挥，无证人员不得从事特种作业或从事非持证项目作业。</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w:t>
      </w:r>
      <w:r>
        <w:rPr>
          <w:rFonts w:cs="微软雅黑" w:asciiTheme="minorEastAsia" w:hAnsiTheme="minorEastAsia" w:eastAsiaTheme="minorEastAsia"/>
          <w:sz w:val="24"/>
        </w:rPr>
        <w:t>4</w:t>
      </w:r>
      <w:r>
        <w:rPr>
          <w:rFonts w:hint="eastAsia" w:cs="微软雅黑" w:asciiTheme="minorEastAsia" w:hAnsiTheme="minorEastAsia" w:eastAsiaTheme="minorEastAsia"/>
          <w:sz w:val="24"/>
        </w:rPr>
        <w:t>）应急局颁发人员资质包括焊工、热切割、高（低）电工、高处作业、登高架设；质监局颁发人员资质包括承压焊工、起重指挥；住建厅颁发人员资质包括脚手架搭设。应急局焊工证为资格证，所有焊工必须配备；从事特种设备焊接需持有应急局、质监局双证。依据谁施工谁搭设脚手架的原则，至少配备2名有证架子工。登高施工人员应具备高处作业证。</w:t>
      </w:r>
    </w:p>
    <w:p>
      <w:pPr>
        <w:spacing w:line="360" w:lineRule="auto"/>
        <w:ind w:left="-283" w:leftChars="-135" w:firstLine="480" w:firstLineChars="200"/>
        <w:rPr>
          <w:rFonts w:cs="微软雅黑" w:asciiTheme="minorEastAsia" w:hAnsiTheme="minorEastAsia" w:eastAsiaTheme="minorEastAsia"/>
          <w:sz w:val="24"/>
          <w:highlight w:val="none"/>
        </w:rPr>
      </w:pPr>
      <w:r>
        <w:rPr>
          <w:rFonts w:hint="eastAsia" w:cs="微软雅黑" w:asciiTheme="minorEastAsia" w:hAnsiTheme="minorEastAsia" w:eastAsiaTheme="minorEastAsia"/>
          <w:sz w:val="24"/>
          <w:highlight w:val="none"/>
        </w:rPr>
        <w:t>（</w:t>
      </w:r>
      <w:r>
        <w:rPr>
          <w:rFonts w:cs="微软雅黑" w:asciiTheme="minorEastAsia" w:hAnsiTheme="minorEastAsia" w:eastAsiaTheme="minorEastAsia"/>
          <w:sz w:val="24"/>
          <w:highlight w:val="none"/>
        </w:rPr>
        <w:t>5</w:t>
      </w:r>
      <w:r>
        <w:rPr>
          <w:rFonts w:hint="eastAsia" w:cs="微软雅黑" w:asciiTheme="minorEastAsia" w:hAnsiTheme="minorEastAsia" w:eastAsiaTheme="minorEastAsia"/>
          <w:sz w:val="24"/>
          <w:highlight w:val="none"/>
        </w:rPr>
        <w:t>）按照设计文件中焊接接头等级要求，焊接一次合格率不低于98%。</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w:t>
      </w:r>
      <w:r>
        <w:rPr>
          <w:rFonts w:cs="微软雅黑" w:asciiTheme="minorEastAsia" w:hAnsiTheme="minorEastAsia" w:eastAsiaTheme="minorEastAsia"/>
          <w:sz w:val="24"/>
        </w:rPr>
        <w:t>6</w:t>
      </w:r>
      <w:r>
        <w:rPr>
          <w:rFonts w:hint="eastAsia" w:cs="微软雅黑" w:asciiTheme="minorEastAsia" w:hAnsiTheme="minorEastAsia" w:eastAsiaTheme="minorEastAsia"/>
          <w:sz w:val="24"/>
        </w:rPr>
        <w:t>）根据区域分工，从事电器仪表施工，</w:t>
      </w:r>
      <w:r>
        <w:rPr>
          <w:rFonts w:hint="eastAsia" w:cs="微软雅黑" w:asciiTheme="minorEastAsia" w:hAnsiTheme="minorEastAsia" w:eastAsiaTheme="minorEastAsia"/>
          <w:sz w:val="24"/>
          <w:lang w:val="en-US" w:eastAsia="zh-CN"/>
        </w:rPr>
        <w:t>乙方</w:t>
      </w:r>
      <w:r>
        <w:rPr>
          <w:rFonts w:hint="eastAsia" w:cs="微软雅黑" w:asciiTheme="minorEastAsia" w:hAnsiTheme="minorEastAsia" w:eastAsiaTheme="minorEastAsia"/>
          <w:sz w:val="24"/>
        </w:rPr>
        <w:t>应配备充足的高压作业、低压作业、电力电缆作业、电气试验、防爆电气作业等专业电工。</w:t>
      </w:r>
    </w:p>
    <w:p>
      <w:pPr>
        <w:spacing w:line="360" w:lineRule="auto"/>
        <w:ind w:left="-283" w:leftChars="-135" w:firstLine="480" w:firstLineChars="20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2.4 特殊作业人员要求</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（1）</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应安排身体素质良好的施工人员进行受限空间作业，并按照</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要求佩戴相应的劳动防护用品。对于年龄偏大施工人员，</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应安排其从事辅助性工作，严禁安排登高、进罐等特殊检修作业。</w:t>
      </w:r>
    </w:p>
    <w:p>
      <w:pPr>
        <w:spacing w:line="360" w:lineRule="auto"/>
        <w:ind w:left="-283" w:leftChars="-135" w:firstLine="480" w:firstLineChars="200"/>
        <w:rPr>
          <w:rFonts w:cs="微软雅黑" w:asciiTheme="minorEastAsia" w:hAnsiTheme="minorEastAsia" w:eastAsiaTheme="minorEastAsia"/>
          <w:sz w:val="24"/>
          <w:highlight w:val="none"/>
        </w:rPr>
      </w:pPr>
      <w:r>
        <w:rPr>
          <w:rFonts w:hint="eastAsia" w:cs="微软雅黑" w:asciiTheme="minorEastAsia" w:hAnsiTheme="minorEastAsia" w:eastAsiaTheme="minorEastAsia"/>
          <w:sz w:val="24"/>
          <w:highlight w:val="none"/>
        </w:rPr>
        <w:t>（</w:t>
      </w:r>
      <w:r>
        <w:rPr>
          <w:rFonts w:cs="微软雅黑" w:asciiTheme="minorEastAsia" w:hAnsiTheme="minorEastAsia" w:eastAsiaTheme="minorEastAsia"/>
          <w:sz w:val="24"/>
          <w:highlight w:val="none"/>
        </w:rPr>
        <w:t>2</w:t>
      </w:r>
      <w:r>
        <w:rPr>
          <w:rFonts w:hint="eastAsia" w:cs="微软雅黑" w:asciiTheme="minorEastAsia" w:hAnsiTheme="minorEastAsia" w:eastAsiaTheme="minorEastAsia"/>
          <w:sz w:val="24"/>
          <w:highlight w:val="none"/>
        </w:rPr>
        <w:t>）从事夜间检修作业和受限空间检修作业，</w:t>
      </w:r>
      <w:r>
        <w:rPr>
          <w:rFonts w:hint="eastAsia" w:cs="微软雅黑" w:asciiTheme="minorEastAsia" w:hAnsiTheme="minorEastAsia" w:eastAsiaTheme="minorEastAsia"/>
          <w:sz w:val="24"/>
          <w:highlight w:val="none"/>
          <w:lang w:eastAsia="zh-CN"/>
        </w:rPr>
        <w:t>乙方</w:t>
      </w:r>
      <w:r>
        <w:rPr>
          <w:rFonts w:hint="eastAsia" w:cs="微软雅黑" w:asciiTheme="minorEastAsia" w:hAnsiTheme="minorEastAsia" w:eastAsiaTheme="minorEastAsia"/>
          <w:sz w:val="24"/>
          <w:highlight w:val="none"/>
        </w:rPr>
        <w:t>必须安排2名及以上人员，其中1人为安全监护人员。</w:t>
      </w:r>
    </w:p>
    <w:p>
      <w:pPr>
        <w:spacing w:line="360" w:lineRule="auto"/>
        <w:ind w:left="-283" w:leftChars="-135" w:firstLine="480" w:firstLineChars="200"/>
        <w:rPr>
          <w:rFonts w:cs="微软雅黑" w:asciiTheme="minorEastAsia" w:hAnsiTheme="minorEastAsia" w:eastAsiaTheme="minorEastAsia"/>
          <w:sz w:val="24"/>
        </w:rPr>
      </w:pPr>
      <w:r>
        <w:rPr>
          <w:rFonts w:cs="微软雅黑" w:asciiTheme="minorEastAsia" w:hAnsiTheme="minorEastAsia" w:eastAsiaTheme="minorEastAsia"/>
          <w:sz w:val="24"/>
        </w:rPr>
        <w:t>3.</w:t>
      </w:r>
      <w:r>
        <w:rPr>
          <w:rFonts w:hint="eastAsia" w:cs="微软雅黑" w:asciiTheme="minorEastAsia" w:hAnsiTheme="minorEastAsia" w:eastAsiaTheme="minorEastAsia"/>
          <w:sz w:val="24"/>
        </w:rPr>
        <w:t>2.5 工机具要求</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（1）</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必须配备焊条烘干箱和保温桶；</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w:t>
      </w:r>
      <w:r>
        <w:rPr>
          <w:rFonts w:cs="微软雅黑" w:asciiTheme="minorEastAsia" w:hAnsiTheme="minorEastAsia" w:eastAsiaTheme="minorEastAsia"/>
          <w:sz w:val="24"/>
        </w:rPr>
        <w:t>2</w:t>
      </w:r>
      <w:r>
        <w:rPr>
          <w:rFonts w:hint="eastAsia" w:cs="微软雅黑" w:asciiTheme="minorEastAsia" w:hAnsiTheme="minorEastAsia" w:eastAsiaTheme="minorEastAsia"/>
          <w:sz w:val="24"/>
        </w:rPr>
        <w:t>）</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必须配备充足的防爆工具。</w:t>
      </w:r>
    </w:p>
    <w:p>
      <w:pPr>
        <w:pStyle w:val="13"/>
        <w:spacing w:line="360" w:lineRule="auto"/>
        <w:ind w:left="197" w:firstLine="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3.</w:t>
      </w:r>
      <w:r>
        <w:rPr>
          <w:rFonts w:cs="微软雅黑" w:asciiTheme="minorEastAsia" w:hAnsiTheme="minorEastAsia" w:eastAsiaTheme="minorEastAsia"/>
          <w:sz w:val="24"/>
        </w:rPr>
        <w:t>3</w:t>
      </w:r>
      <w:r>
        <w:rPr>
          <w:rFonts w:hint="eastAsia" w:cs="微软雅黑" w:asciiTheme="minorEastAsia" w:hAnsiTheme="minorEastAsia" w:eastAsiaTheme="minorEastAsia"/>
          <w:sz w:val="24"/>
        </w:rPr>
        <w:t xml:space="preserve"> 表面色规定</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3.</w:t>
      </w:r>
      <w:r>
        <w:rPr>
          <w:rFonts w:cs="微软雅黑" w:asciiTheme="minorEastAsia" w:hAnsiTheme="minorEastAsia" w:eastAsiaTheme="minorEastAsia"/>
          <w:sz w:val="24"/>
        </w:rPr>
        <w:t>3.</w:t>
      </w:r>
      <w:r>
        <w:rPr>
          <w:rFonts w:hint="eastAsia" w:cs="微软雅黑" w:asciiTheme="minorEastAsia" w:hAnsiTheme="minorEastAsia" w:eastAsiaTheme="minorEastAsia"/>
          <w:sz w:val="24"/>
        </w:rPr>
        <w:t>1 构架、平台、梯子、扶手等表面色应符合下表规定</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drawing>
          <wp:inline distT="0" distB="0" distL="114300" distR="114300">
            <wp:extent cx="5270500" cy="1289685"/>
            <wp:effectExtent l="0" t="0" r="0" b="5715"/>
            <wp:docPr id="1" name="图片 1" descr="8c78405f750a4c14842dc8532ad4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78405f750a4c14842dc8532ad4d35"/>
                    <pic:cNvPicPr>
                      <a:picLocks noChangeAspect="1"/>
                    </pic:cNvPicPr>
                  </pic:nvPicPr>
                  <pic:blipFill>
                    <a:blip r:embed="rId4"/>
                    <a:srcRect t="14484"/>
                    <a:stretch>
                      <a:fillRect/>
                    </a:stretch>
                  </pic:blipFill>
                  <pic:spPr>
                    <a:xfrm>
                      <a:off x="0" y="0"/>
                      <a:ext cx="5270500" cy="1289685"/>
                    </a:xfrm>
                    <a:prstGeom prst="rect">
                      <a:avLst/>
                    </a:prstGeom>
                  </pic:spPr>
                </pic:pic>
              </a:graphicData>
            </a:graphic>
          </wp:inline>
        </w:drawing>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3.</w:t>
      </w:r>
      <w:r>
        <w:rPr>
          <w:rFonts w:cs="微软雅黑" w:asciiTheme="minorEastAsia" w:hAnsiTheme="minorEastAsia" w:eastAsiaTheme="minorEastAsia"/>
          <w:sz w:val="24"/>
        </w:rPr>
        <w:t>3.</w:t>
      </w:r>
      <w:r>
        <w:rPr>
          <w:rFonts w:hint="eastAsia" w:cs="微软雅黑" w:asciiTheme="minorEastAsia" w:hAnsiTheme="minorEastAsia" w:eastAsiaTheme="minorEastAsia"/>
          <w:sz w:val="24"/>
        </w:rPr>
        <w:t>2 色卡选用 GB/T3181附录A中十三种，即中酞蓝、海蓝、蓝灰、天酞蓝、中灰、海灰、艳绿、苹果绿、象牙、淡黄、桔黄、中黄、大红。</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RAL9006 银色</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RAL9005 黑色</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 9010 白色</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RAL1018 对应 GSB05-1426-2001 Y06 淡黄</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RAL5009 对应GSB05-1426-2001PB08蓝灰</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RAL1003 对应 GSB05-1426-2001 Y07 中黄</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RAL2004 对应GSB05-1426-2001YR04 橘黄</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RAL2002对应GSB05-1426-2001R03大红</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RAL5012对应GSB05-1426-2001PB09 天蓝</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RAL5009 对应GSB05-1426-2001PB08蓝灰</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RAL5019 对应 GSB05-1426-2001 PB05 海蓝</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RAL5002 对应SB05-1426-2001PB04中酞蓝</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 6019 对应GSB05-1426-2001G01 苹果绿</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RAL6023 对应 GSB05-1426-2001G03 艳绿</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RAL7038 对应GSB05-1426-2001B05海灰</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RAL7033 对应GSB05-1426-2001B03中灰</w:t>
      </w:r>
    </w:p>
    <w:p>
      <w:pPr>
        <w:spacing w:line="360" w:lineRule="auto"/>
        <w:ind w:left="-283" w:leftChars="-135" w:firstLine="480" w:firstLineChars="200"/>
        <w:rPr>
          <w:rFonts w:cs="微软雅黑" w:asciiTheme="minorEastAsia" w:hAnsiTheme="minorEastAsia" w:eastAsiaTheme="minorEastAsia"/>
          <w:sz w:val="24"/>
        </w:rPr>
      </w:pPr>
    </w:p>
    <w:p>
      <w:pPr>
        <w:pStyle w:val="13"/>
        <w:numPr>
          <w:ilvl w:val="0"/>
          <w:numId w:val="1"/>
        </w:numPr>
        <w:spacing w:line="360" w:lineRule="auto"/>
        <w:ind w:left="0" w:firstLine="0" w:firstLineChars="0"/>
        <w:rPr>
          <w:b/>
          <w:sz w:val="28"/>
          <w:szCs w:val="28"/>
        </w:rPr>
      </w:pPr>
      <w:r>
        <w:rPr>
          <w:rFonts w:hint="eastAsia"/>
          <w:b/>
          <w:sz w:val="28"/>
          <w:szCs w:val="28"/>
          <w:lang w:val="en-US" w:eastAsia="zh-CN"/>
        </w:rPr>
        <w:t>安装</w:t>
      </w:r>
      <w:r>
        <w:rPr>
          <w:rFonts w:hint="eastAsia"/>
          <w:b/>
          <w:sz w:val="28"/>
          <w:szCs w:val="28"/>
        </w:rPr>
        <w:t>质量要求</w:t>
      </w:r>
    </w:p>
    <w:p>
      <w:pPr>
        <w:pStyle w:val="13"/>
        <w:numPr>
          <w:ilvl w:val="0"/>
          <w:numId w:val="4"/>
        </w:numPr>
        <w:spacing w:line="360" w:lineRule="auto"/>
        <w:ind w:left="618"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应安排专业技术人员与</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项目负责人对接，详细了解施工项目技术要求，编制合理的施工方案，并监督施工人员按照要求进行施工，保证施工质量。</w:t>
      </w:r>
    </w:p>
    <w:p>
      <w:pPr>
        <w:pStyle w:val="13"/>
        <w:numPr>
          <w:ilvl w:val="0"/>
          <w:numId w:val="4"/>
        </w:numPr>
        <w:spacing w:line="360" w:lineRule="auto"/>
        <w:ind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应严格按照国家、行业施工规范进行施工，并对</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提出的主要质量控制点制定施工措施。</w:t>
      </w:r>
    </w:p>
    <w:p>
      <w:pPr>
        <w:pStyle w:val="13"/>
        <w:numPr>
          <w:ilvl w:val="0"/>
          <w:numId w:val="4"/>
        </w:numPr>
        <w:spacing w:line="360" w:lineRule="auto"/>
        <w:ind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若出现施工质量问题，</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应立刻组织返修。</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有权根据质量问题的影响程度对</w:t>
      </w:r>
      <w:r>
        <w:rPr>
          <w:rFonts w:hint="eastAsia" w:cs="微软雅黑" w:asciiTheme="minorEastAsia" w:hAnsiTheme="minorEastAsia" w:eastAsiaTheme="minorEastAsia"/>
          <w:sz w:val="24"/>
          <w:lang w:val="en-US" w:eastAsia="zh-CN"/>
        </w:rPr>
        <w:t>乙方</w:t>
      </w:r>
      <w:r>
        <w:rPr>
          <w:rFonts w:hint="eastAsia" w:cs="微软雅黑" w:asciiTheme="minorEastAsia" w:hAnsiTheme="minorEastAsia" w:eastAsiaTheme="minorEastAsia"/>
          <w:sz w:val="24"/>
        </w:rPr>
        <w:t>进行经济处罚。</w:t>
      </w:r>
    </w:p>
    <w:p>
      <w:pPr>
        <w:pStyle w:val="13"/>
        <w:numPr>
          <w:ilvl w:val="0"/>
          <w:numId w:val="4"/>
        </w:numPr>
        <w:spacing w:line="360" w:lineRule="auto"/>
        <w:ind w:left="618"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应严格按照</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检维修工程验收要求进行验收，未经过验收不得进行下一步施工。</w:t>
      </w:r>
    </w:p>
    <w:p>
      <w:pPr>
        <w:pStyle w:val="13"/>
        <w:numPr>
          <w:ilvl w:val="0"/>
          <w:numId w:val="1"/>
        </w:numPr>
        <w:spacing w:line="360" w:lineRule="auto"/>
        <w:ind w:left="0" w:firstLine="0" w:firstLineChars="0"/>
        <w:rPr>
          <w:b/>
          <w:sz w:val="28"/>
          <w:szCs w:val="28"/>
        </w:rPr>
      </w:pPr>
      <w:r>
        <w:rPr>
          <w:rFonts w:hint="eastAsia"/>
          <w:b/>
          <w:sz w:val="28"/>
          <w:szCs w:val="28"/>
          <w:lang w:val="en-US" w:eastAsia="zh-CN"/>
        </w:rPr>
        <w:t>安装</w:t>
      </w:r>
      <w:r>
        <w:rPr>
          <w:rFonts w:hint="eastAsia"/>
          <w:b/>
          <w:sz w:val="28"/>
          <w:szCs w:val="28"/>
        </w:rPr>
        <w:t>施工验收</w:t>
      </w:r>
    </w:p>
    <w:p>
      <w:pPr>
        <w:spacing w:line="360" w:lineRule="auto"/>
        <w:rPr>
          <w:rFonts w:cs="微软雅黑" w:asciiTheme="minorEastAsia" w:hAnsiTheme="minorEastAsia" w:eastAsiaTheme="minorEastAsia"/>
          <w:sz w:val="24"/>
        </w:rPr>
      </w:pP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施工验收按照图纸及相关现行国家、行业及地方施工验收规范进行验收。</w:t>
      </w:r>
    </w:p>
    <w:p>
      <w:pPr>
        <w:spacing w:line="360" w:lineRule="auto"/>
        <w:ind w:left="-283" w:leftChars="-135" w:firstLine="964" w:firstLineChars="400"/>
        <w:rPr>
          <w:rStyle w:val="9"/>
          <w:rFonts w:cs="微软雅黑" w:asciiTheme="minorEastAsia" w:hAnsiTheme="minorEastAsia" w:eastAsiaTheme="minorEastAsia"/>
          <w:b w:val="0"/>
          <w:bCs w:val="0"/>
          <w:sz w:val="24"/>
        </w:rPr>
      </w:pPr>
      <w:r>
        <w:rPr>
          <w:rStyle w:val="9"/>
          <w:rFonts w:hint="eastAsia"/>
          <w:sz w:val="24"/>
          <w:lang w:eastAsia="zh-CN"/>
        </w:rPr>
        <w:t>（</w:t>
      </w:r>
      <w:r>
        <w:rPr>
          <w:rStyle w:val="9"/>
          <w:rFonts w:hint="eastAsia"/>
          <w:sz w:val="24"/>
          <w:lang w:val="en-US" w:eastAsia="zh-CN"/>
        </w:rPr>
        <w:t>一</w:t>
      </w:r>
      <w:r>
        <w:rPr>
          <w:rStyle w:val="9"/>
          <w:rFonts w:hint="eastAsia"/>
          <w:sz w:val="24"/>
          <w:lang w:eastAsia="zh-CN"/>
        </w:rPr>
        <w:t>）</w:t>
      </w:r>
      <w:r>
        <w:rPr>
          <w:rStyle w:val="9"/>
          <w:rFonts w:hint="eastAsia"/>
          <w:sz w:val="24"/>
        </w:rPr>
        <w:t>标准、规范的选用原则</w:t>
      </w:r>
    </w:p>
    <w:p>
      <w:pPr>
        <w:pStyle w:val="13"/>
        <w:numPr>
          <w:ilvl w:val="0"/>
          <w:numId w:val="5"/>
        </w:numPr>
        <w:spacing w:line="360" w:lineRule="auto"/>
        <w:ind w:left="0" w:firstLine="42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对于本协议描述的标准规范的任何修改或偏离应该首先经过发包人的批准。</w:t>
      </w:r>
    </w:p>
    <w:p>
      <w:pPr>
        <w:pStyle w:val="13"/>
        <w:numPr>
          <w:ilvl w:val="0"/>
          <w:numId w:val="5"/>
        </w:numPr>
        <w:spacing w:line="360" w:lineRule="auto"/>
        <w:ind w:left="0" w:firstLine="42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在遵守中国法律、法规与满足国家强制性标准要求的前提下，必须依据项目要求或设计文件规定来确定所使用的标准。</w:t>
      </w:r>
    </w:p>
    <w:p>
      <w:pPr>
        <w:pStyle w:val="13"/>
        <w:numPr>
          <w:ilvl w:val="0"/>
          <w:numId w:val="5"/>
        </w:numPr>
        <w:spacing w:line="360" w:lineRule="auto"/>
        <w:ind w:left="0" w:firstLine="42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拟采用的规范标准间发生矛盾时，应以较严格的执行。特殊情况要得到发包人的同意。</w:t>
      </w:r>
    </w:p>
    <w:p>
      <w:pPr>
        <w:pStyle w:val="13"/>
        <w:numPr>
          <w:ilvl w:val="0"/>
          <w:numId w:val="5"/>
        </w:numPr>
        <w:spacing w:line="360" w:lineRule="auto"/>
        <w:ind w:left="0" w:firstLine="420"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以国家公布的有效版本为准，无论在合同生效日以前或以后出现版本变化，承包人应无条件执行新版本的强制性标准所要求的内容，如新版本为推荐性要求，则双方协商解决。</w:t>
      </w:r>
      <w:bookmarkStart w:id="0" w:name="_Toc358107060"/>
      <w:bookmarkStart w:id="1" w:name="_Toc374173439"/>
    </w:p>
    <w:bookmarkEnd w:id="0"/>
    <w:bookmarkEnd w:id="1"/>
    <w:p>
      <w:pPr>
        <w:spacing w:line="360" w:lineRule="auto"/>
        <w:ind w:left="-283" w:leftChars="-135" w:firstLine="482" w:firstLineChars="200"/>
        <w:rPr>
          <w:rFonts w:cs="微软雅黑" w:asciiTheme="minorEastAsia" w:hAnsiTheme="minorEastAsia" w:eastAsiaTheme="minorEastAsia"/>
          <w:b/>
          <w:sz w:val="24"/>
        </w:rPr>
      </w:pPr>
      <w:r>
        <w:rPr>
          <w:rFonts w:cs="微软雅黑" w:asciiTheme="minorEastAsia" w:hAnsiTheme="minorEastAsia" w:eastAsiaTheme="minorEastAsia"/>
          <w:b/>
          <w:sz w:val="24"/>
        </w:rPr>
        <w:t>参考标准：</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《钢结构通用规范》（GB 55006-2021）</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《钢结构设计标准》（GB 50017-2017）</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《钢结构工程施工规范》（GB 50755-2012）</w:t>
      </w:r>
    </w:p>
    <w:p>
      <w:pPr>
        <w:spacing w:line="360" w:lineRule="auto"/>
        <w:ind w:left="-283" w:leftChars="-135" w:firstLine="480" w:firstLineChars="200"/>
        <w:rPr>
          <w:rFonts w:cs="微软雅黑" w:asciiTheme="minorEastAsia" w:hAnsiTheme="minorEastAsia" w:eastAsiaTheme="minorEastAsia"/>
          <w:sz w:val="24"/>
        </w:rPr>
      </w:pPr>
      <w:r>
        <w:rPr>
          <w:rFonts w:hint="eastAsia" w:cs="微软雅黑" w:asciiTheme="minorEastAsia" w:hAnsiTheme="minorEastAsia" w:eastAsiaTheme="minorEastAsia"/>
          <w:sz w:val="24"/>
        </w:rPr>
        <w:t>《钢结构防腐涂装技术规程》（CECS243-2013）</w:t>
      </w:r>
    </w:p>
    <w:p>
      <w:pPr>
        <w:spacing w:line="360" w:lineRule="auto"/>
        <w:ind w:left="-283" w:leftChars="-135" w:firstLine="480" w:firstLineChars="200"/>
        <w:rPr>
          <w:rStyle w:val="9"/>
          <w:rFonts w:hint="eastAsia" w:cs="微软雅黑" w:asciiTheme="minorEastAsia" w:hAnsiTheme="minorEastAsia" w:eastAsiaTheme="minorEastAsia"/>
          <w:b w:val="0"/>
          <w:bCs w:val="0"/>
          <w:sz w:val="24"/>
        </w:rPr>
      </w:pPr>
      <w:r>
        <w:rPr>
          <w:rFonts w:hint="eastAsia" w:cs="微软雅黑" w:asciiTheme="minorEastAsia" w:hAnsiTheme="minorEastAsia" w:eastAsiaTheme="minorEastAsia"/>
          <w:sz w:val="24"/>
        </w:rPr>
        <w:t>《钢结构工程施工质量验收标准》（GB50205-2020）</w:t>
      </w:r>
    </w:p>
    <w:p>
      <w:pPr>
        <w:spacing w:line="360" w:lineRule="auto"/>
        <w:ind w:left="-283" w:leftChars="-135" w:firstLine="482" w:firstLineChars="200"/>
        <w:rPr>
          <w:rStyle w:val="9"/>
          <w:sz w:val="24"/>
        </w:rPr>
      </w:pPr>
      <w:r>
        <w:rPr>
          <w:rStyle w:val="9"/>
          <w:rFonts w:hint="eastAsia"/>
          <w:sz w:val="24"/>
          <w:lang w:eastAsia="zh-CN"/>
        </w:rPr>
        <w:t>（</w:t>
      </w:r>
      <w:r>
        <w:rPr>
          <w:rStyle w:val="9"/>
          <w:rFonts w:hint="eastAsia"/>
          <w:sz w:val="24"/>
          <w:lang w:val="en-US" w:eastAsia="zh-CN"/>
        </w:rPr>
        <w:t>二</w:t>
      </w:r>
      <w:r>
        <w:rPr>
          <w:rStyle w:val="9"/>
          <w:rFonts w:hint="eastAsia"/>
          <w:sz w:val="24"/>
          <w:lang w:eastAsia="zh-CN"/>
        </w:rPr>
        <w:t>）</w:t>
      </w:r>
      <w:r>
        <w:rPr>
          <w:rStyle w:val="9"/>
          <w:rFonts w:hint="eastAsia"/>
          <w:sz w:val="24"/>
        </w:rPr>
        <w:t>其他验收要求</w:t>
      </w:r>
    </w:p>
    <w:p>
      <w:pPr>
        <w:pStyle w:val="13"/>
        <w:numPr>
          <w:ilvl w:val="0"/>
          <w:numId w:val="6"/>
        </w:numPr>
        <w:spacing w:line="360" w:lineRule="auto"/>
        <w:ind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在</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施工验收过程中，若发现施工质量不符合有关规定及未达到设计要求，</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应负责无偿修理或返工，并在双方议定的措施和期限内完成。</w:t>
      </w:r>
    </w:p>
    <w:p>
      <w:pPr>
        <w:pStyle w:val="13"/>
        <w:numPr>
          <w:ilvl w:val="0"/>
          <w:numId w:val="6"/>
        </w:numPr>
        <w:spacing w:line="360" w:lineRule="auto"/>
        <w:ind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rPr>
        <w:t>凡隐蔽工程完成后，</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要提前24小时通知</w:t>
      </w:r>
      <w:r>
        <w:rPr>
          <w:rFonts w:hint="eastAsia" w:cs="微软雅黑" w:asciiTheme="minorEastAsia" w:hAnsiTheme="minorEastAsia" w:eastAsiaTheme="minorEastAsia"/>
          <w:sz w:val="24"/>
          <w:lang w:eastAsia="zh-CN"/>
        </w:rPr>
        <w:t>甲方</w:t>
      </w:r>
      <w:r>
        <w:rPr>
          <w:rFonts w:hint="eastAsia" w:cs="微软雅黑" w:asciiTheme="minorEastAsia" w:hAnsiTheme="minorEastAsia" w:eastAsiaTheme="minorEastAsia"/>
          <w:sz w:val="24"/>
        </w:rPr>
        <w:t>进行验收，必须经过验收合格并作出记录后，</w:t>
      </w: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方可进行下一工序的施工。</w:t>
      </w:r>
    </w:p>
    <w:p>
      <w:pPr>
        <w:pStyle w:val="13"/>
        <w:numPr>
          <w:ilvl w:val="0"/>
          <w:numId w:val="6"/>
        </w:numPr>
        <w:spacing w:line="360" w:lineRule="auto"/>
        <w:ind w:firstLineChars="0"/>
        <w:rPr>
          <w:rFonts w:cs="微软雅黑" w:asciiTheme="minorEastAsia" w:hAnsiTheme="minorEastAsia" w:eastAsiaTheme="minorEastAsia"/>
          <w:sz w:val="24"/>
        </w:rPr>
      </w:pPr>
      <w:r>
        <w:rPr>
          <w:rFonts w:hint="eastAsia" w:cs="微软雅黑" w:asciiTheme="minorEastAsia" w:hAnsiTheme="minorEastAsia" w:eastAsiaTheme="minorEastAsia"/>
          <w:sz w:val="24"/>
          <w:lang w:eastAsia="zh-CN"/>
        </w:rPr>
        <w:t>乙方</w:t>
      </w:r>
      <w:r>
        <w:rPr>
          <w:rFonts w:hint="eastAsia" w:cs="微软雅黑" w:asciiTheme="minorEastAsia" w:hAnsiTheme="minorEastAsia" w:eastAsiaTheme="minorEastAsia"/>
          <w:sz w:val="24"/>
        </w:rPr>
        <w:t>对</w:t>
      </w:r>
      <w:r>
        <w:rPr>
          <w:rFonts w:hint="eastAsia" w:cs="微软雅黑" w:asciiTheme="minorEastAsia" w:hAnsiTheme="minorEastAsia" w:eastAsiaTheme="minorEastAsia"/>
          <w:sz w:val="24"/>
          <w:lang w:val="en-US" w:eastAsia="zh-CN"/>
        </w:rPr>
        <w:t>安装</w:t>
      </w:r>
      <w:r>
        <w:rPr>
          <w:rFonts w:hint="eastAsia" w:cs="微软雅黑" w:asciiTheme="minorEastAsia" w:hAnsiTheme="minorEastAsia" w:eastAsiaTheme="minorEastAsia"/>
          <w:sz w:val="24"/>
        </w:rPr>
        <w:t>工程质量保修期与主体结构保质期同步。在规定的保修期内，凡因施工造成的质量事故和质量缺陷均由</w:t>
      </w:r>
      <w:r>
        <w:rPr>
          <w:rFonts w:hint="eastAsia" w:cs="微软雅黑" w:asciiTheme="minorEastAsia" w:hAnsiTheme="minorEastAsia" w:eastAsiaTheme="minorEastAsia"/>
          <w:sz w:val="24"/>
          <w:lang w:val="en-US" w:eastAsia="zh-CN"/>
        </w:rPr>
        <w:t>乙方</w:t>
      </w:r>
      <w:r>
        <w:rPr>
          <w:rFonts w:hint="eastAsia" w:cs="微软雅黑" w:asciiTheme="minorEastAsia" w:hAnsiTheme="minorEastAsia" w:eastAsiaTheme="minorEastAsia"/>
          <w:sz w:val="24"/>
        </w:rPr>
        <w:t>负责无偿返修。</w:t>
      </w:r>
    </w:p>
    <w:p>
      <w:pPr>
        <w:spacing w:line="360" w:lineRule="auto"/>
        <w:ind w:left="-135" w:firstLine="482" w:firstLineChars="200"/>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CBD31"/>
    <w:multiLevelType w:val="singleLevel"/>
    <w:tmpl w:val="C38CBD31"/>
    <w:lvl w:ilvl="0" w:tentative="0">
      <w:start w:val="1"/>
      <w:numFmt w:val="decimal"/>
      <w:suff w:val="space"/>
      <w:lvlText w:val="%1."/>
      <w:lvlJc w:val="left"/>
    </w:lvl>
  </w:abstractNum>
  <w:abstractNum w:abstractNumId="1">
    <w:nsid w:val="183551A4"/>
    <w:multiLevelType w:val="multilevel"/>
    <w:tmpl w:val="183551A4"/>
    <w:lvl w:ilvl="0" w:tentative="0">
      <w:start w:val="1"/>
      <w:numFmt w:val="decimal"/>
      <w:lvlText w:val="%1."/>
      <w:lvlJc w:val="left"/>
      <w:pPr>
        <w:ind w:left="617" w:hanging="420"/>
      </w:pPr>
    </w:lvl>
    <w:lvl w:ilvl="1" w:tentative="0">
      <w:start w:val="1"/>
      <w:numFmt w:val="lowerLetter"/>
      <w:lvlText w:val="%2)"/>
      <w:lvlJc w:val="left"/>
      <w:pPr>
        <w:ind w:left="1037" w:hanging="420"/>
      </w:pPr>
    </w:lvl>
    <w:lvl w:ilvl="2" w:tentative="0">
      <w:start w:val="1"/>
      <w:numFmt w:val="lowerRoman"/>
      <w:lvlText w:val="%3."/>
      <w:lvlJc w:val="right"/>
      <w:pPr>
        <w:ind w:left="1457" w:hanging="420"/>
      </w:pPr>
    </w:lvl>
    <w:lvl w:ilvl="3" w:tentative="0">
      <w:start w:val="1"/>
      <w:numFmt w:val="decimal"/>
      <w:lvlText w:val="%4."/>
      <w:lvlJc w:val="left"/>
      <w:pPr>
        <w:ind w:left="1877" w:hanging="420"/>
      </w:pPr>
    </w:lvl>
    <w:lvl w:ilvl="4" w:tentative="0">
      <w:start w:val="1"/>
      <w:numFmt w:val="lowerLetter"/>
      <w:lvlText w:val="%5)"/>
      <w:lvlJc w:val="left"/>
      <w:pPr>
        <w:ind w:left="2297" w:hanging="420"/>
      </w:pPr>
    </w:lvl>
    <w:lvl w:ilvl="5" w:tentative="0">
      <w:start w:val="1"/>
      <w:numFmt w:val="lowerRoman"/>
      <w:lvlText w:val="%6."/>
      <w:lvlJc w:val="right"/>
      <w:pPr>
        <w:ind w:left="2717" w:hanging="420"/>
      </w:pPr>
    </w:lvl>
    <w:lvl w:ilvl="6" w:tentative="0">
      <w:start w:val="1"/>
      <w:numFmt w:val="decimal"/>
      <w:lvlText w:val="%7."/>
      <w:lvlJc w:val="left"/>
      <w:pPr>
        <w:ind w:left="3137" w:hanging="420"/>
      </w:pPr>
    </w:lvl>
    <w:lvl w:ilvl="7" w:tentative="0">
      <w:start w:val="1"/>
      <w:numFmt w:val="lowerLetter"/>
      <w:lvlText w:val="%8)"/>
      <w:lvlJc w:val="left"/>
      <w:pPr>
        <w:ind w:left="3557" w:hanging="420"/>
      </w:pPr>
    </w:lvl>
    <w:lvl w:ilvl="8" w:tentative="0">
      <w:start w:val="1"/>
      <w:numFmt w:val="lowerRoman"/>
      <w:lvlText w:val="%9."/>
      <w:lvlJc w:val="right"/>
      <w:pPr>
        <w:ind w:left="3977" w:hanging="420"/>
      </w:pPr>
    </w:lvl>
  </w:abstractNum>
  <w:abstractNum w:abstractNumId="2">
    <w:nsid w:val="54517DAA"/>
    <w:multiLevelType w:val="multilevel"/>
    <w:tmpl w:val="54517DAA"/>
    <w:lvl w:ilvl="0" w:tentative="0">
      <w:start w:val="1"/>
      <w:numFmt w:val="decimal"/>
      <w:lvlText w:val="%1."/>
      <w:lvlJc w:val="left"/>
      <w:pPr>
        <w:ind w:left="617" w:hanging="420"/>
      </w:pPr>
    </w:lvl>
    <w:lvl w:ilvl="1" w:tentative="0">
      <w:start w:val="1"/>
      <w:numFmt w:val="lowerLetter"/>
      <w:lvlText w:val="%2)"/>
      <w:lvlJc w:val="left"/>
      <w:pPr>
        <w:ind w:left="1037" w:hanging="420"/>
      </w:pPr>
    </w:lvl>
    <w:lvl w:ilvl="2" w:tentative="0">
      <w:start w:val="1"/>
      <w:numFmt w:val="lowerRoman"/>
      <w:lvlText w:val="%3."/>
      <w:lvlJc w:val="right"/>
      <w:pPr>
        <w:ind w:left="1457" w:hanging="420"/>
      </w:pPr>
    </w:lvl>
    <w:lvl w:ilvl="3" w:tentative="0">
      <w:start w:val="1"/>
      <w:numFmt w:val="decimal"/>
      <w:lvlText w:val="%4."/>
      <w:lvlJc w:val="left"/>
      <w:pPr>
        <w:ind w:left="1877" w:hanging="420"/>
      </w:pPr>
    </w:lvl>
    <w:lvl w:ilvl="4" w:tentative="0">
      <w:start w:val="1"/>
      <w:numFmt w:val="lowerLetter"/>
      <w:lvlText w:val="%5)"/>
      <w:lvlJc w:val="left"/>
      <w:pPr>
        <w:ind w:left="2297" w:hanging="420"/>
      </w:pPr>
    </w:lvl>
    <w:lvl w:ilvl="5" w:tentative="0">
      <w:start w:val="1"/>
      <w:numFmt w:val="lowerRoman"/>
      <w:lvlText w:val="%6."/>
      <w:lvlJc w:val="right"/>
      <w:pPr>
        <w:ind w:left="2717" w:hanging="420"/>
      </w:pPr>
    </w:lvl>
    <w:lvl w:ilvl="6" w:tentative="0">
      <w:start w:val="1"/>
      <w:numFmt w:val="decimal"/>
      <w:lvlText w:val="%7."/>
      <w:lvlJc w:val="left"/>
      <w:pPr>
        <w:ind w:left="3137" w:hanging="420"/>
      </w:pPr>
    </w:lvl>
    <w:lvl w:ilvl="7" w:tentative="0">
      <w:start w:val="1"/>
      <w:numFmt w:val="lowerLetter"/>
      <w:lvlText w:val="%8)"/>
      <w:lvlJc w:val="left"/>
      <w:pPr>
        <w:ind w:left="3557" w:hanging="420"/>
      </w:pPr>
    </w:lvl>
    <w:lvl w:ilvl="8" w:tentative="0">
      <w:start w:val="1"/>
      <w:numFmt w:val="lowerRoman"/>
      <w:lvlText w:val="%9."/>
      <w:lvlJc w:val="right"/>
      <w:pPr>
        <w:ind w:left="3977" w:hanging="420"/>
      </w:pPr>
    </w:lvl>
  </w:abstractNum>
  <w:abstractNum w:abstractNumId="3">
    <w:nsid w:val="56263039"/>
    <w:multiLevelType w:val="multilevel"/>
    <w:tmpl w:val="56263039"/>
    <w:lvl w:ilvl="0" w:tentative="0">
      <w:start w:val="1"/>
      <w:numFmt w:val="decimal"/>
      <w:lvlText w:val="%1."/>
      <w:lvlJc w:val="left"/>
      <w:pPr>
        <w:ind w:left="617" w:hanging="420"/>
      </w:pPr>
    </w:lvl>
    <w:lvl w:ilvl="1" w:tentative="0">
      <w:start w:val="1"/>
      <w:numFmt w:val="lowerLetter"/>
      <w:lvlText w:val="%2)"/>
      <w:lvlJc w:val="left"/>
      <w:pPr>
        <w:ind w:left="1037" w:hanging="420"/>
      </w:pPr>
    </w:lvl>
    <w:lvl w:ilvl="2" w:tentative="0">
      <w:start w:val="1"/>
      <w:numFmt w:val="lowerRoman"/>
      <w:lvlText w:val="%3."/>
      <w:lvlJc w:val="right"/>
      <w:pPr>
        <w:ind w:left="1457" w:hanging="420"/>
      </w:pPr>
    </w:lvl>
    <w:lvl w:ilvl="3" w:tentative="0">
      <w:start w:val="1"/>
      <w:numFmt w:val="decimal"/>
      <w:lvlText w:val="%4."/>
      <w:lvlJc w:val="left"/>
      <w:pPr>
        <w:ind w:left="1877" w:hanging="420"/>
      </w:pPr>
    </w:lvl>
    <w:lvl w:ilvl="4" w:tentative="0">
      <w:start w:val="1"/>
      <w:numFmt w:val="lowerLetter"/>
      <w:lvlText w:val="%5)"/>
      <w:lvlJc w:val="left"/>
      <w:pPr>
        <w:ind w:left="2297" w:hanging="420"/>
      </w:pPr>
    </w:lvl>
    <w:lvl w:ilvl="5" w:tentative="0">
      <w:start w:val="1"/>
      <w:numFmt w:val="lowerRoman"/>
      <w:lvlText w:val="%6."/>
      <w:lvlJc w:val="right"/>
      <w:pPr>
        <w:ind w:left="2717" w:hanging="420"/>
      </w:pPr>
    </w:lvl>
    <w:lvl w:ilvl="6" w:tentative="0">
      <w:start w:val="1"/>
      <w:numFmt w:val="decimal"/>
      <w:lvlText w:val="%7."/>
      <w:lvlJc w:val="left"/>
      <w:pPr>
        <w:ind w:left="3137" w:hanging="420"/>
      </w:pPr>
    </w:lvl>
    <w:lvl w:ilvl="7" w:tentative="0">
      <w:start w:val="1"/>
      <w:numFmt w:val="lowerLetter"/>
      <w:lvlText w:val="%8)"/>
      <w:lvlJc w:val="left"/>
      <w:pPr>
        <w:ind w:left="3557" w:hanging="420"/>
      </w:pPr>
    </w:lvl>
    <w:lvl w:ilvl="8" w:tentative="0">
      <w:start w:val="1"/>
      <w:numFmt w:val="lowerRoman"/>
      <w:lvlText w:val="%9."/>
      <w:lvlJc w:val="right"/>
      <w:pPr>
        <w:ind w:left="3977" w:hanging="420"/>
      </w:pPr>
    </w:lvl>
  </w:abstractNum>
  <w:abstractNum w:abstractNumId="4">
    <w:nsid w:val="6A9E7830"/>
    <w:multiLevelType w:val="singleLevel"/>
    <w:tmpl w:val="6A9E7830"/>
    <w:lvl w:ilvl="0" w:tentative="0">
      <w:start w:val="1"/>
      <w:numFmt w:val="decimal"/>
      <w:suff w:val="space"/>
      <w:lvlText w:val="%1."/>
      <w:lvlJc w:val="left"/>
    </w:lvl>
  </w:abstractNum>
  <w:abstractNum w:abstractNumId="5">
    <w:nsid w:val="706E029F"/>
    <w:multiLevelType w:val="multilevel"/>
    <w:tmpl w:val="706E029F"/>
    <w:lvl w:ilvl="0" w:tentative="0">
      <w:start w:val="1"/>
      <w:numFmt w:val="chineseCountingThousand"/>
      <w:lvlText w:val="%1、"/>
      <w:lvlJc w:val="left"/>
      <w:pPr>
        <w:ind w:left="137" w:hanging="420"/>
      </w:p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trackedChanges" w:enforcement="1" w:cryptProviderType="rsaFull" w:cryptAlgorithmClass="hash" w:cryptAlgorithmType="typeAny" w:cryptAlgorithmSid="4" w:cryptSpinCount="0" w:hash="VTt68NemkjfFxA6g9gZKZ5YAzNg=" w:salt="5EbZWiltNk8fyD/1H9uBw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4073870835886970NX"/>
    <w:docVar w:name="aztPrintName" w:val="000000ESAOAPRINT"/>
    <w:docVar w:name="aztPrintType" w:val="2"/>
    <w:docVar w:name="commondata" w:val="eyJoZGlkIjoiOTAyNjY4NmFiNTE2OWM2NDk4ZTZmYzU4NzA2Y2I3N2MifQ=="/>
  </w:docVars>
  <w:rsids>
    <w:rsidRoot w:val="00FD496E"/>
    <w:rsid w:val="00001306"/>
    <w:rsid w:val="00001815"/>
    <w:rsid w:val="00027F0F"/>
    <w:rsid w:val="00032A73"/>
    <w:rsid w:val="00070033"/>
    <w:rsid w:val="000F01FB"/>
    <w:rsid w:val="000F0313"/>
    <w:rsid w:val="00115C7F"/>
    <w:rsid w:val="00121F8E"/>
    <w:rsid w:val="00122F71"/>
    <w:rsid w:val="00151D2E"/>
    <w:rsid w:val="0016590E"/>
    <w:rsid w:val="0018704C"/>
    <w:rsid w:val="001B5FA7"/>
    <w:rsid w:val="001D4E57"/>
    <w:rsid w:val="002075C1"/>
    <w:rsid w:val="00221DE4"/>
    <w:rsid w:val="00225ABA"/>
    <w:rsid w:val="002830B8"/>
    <w:rsid w:val="00293320"/>
    <w:rsid w:val="00293A0D"/>
    <w:rsid w:val="002B56B8"/>
    <w:rsid w:val="002D366D"/>
    <w:rsid w:val="002D3C90"/>
    <w:rsid w:val="003162E5"/>
    <w:rsid w:val="00327A76"/>
    <w:rsid w:val="003353F1"/>
    <w:rsid w:val="003513F6"/>
    <w:rsid w:val="0039109D"/>
    <w:rsid w:val="003D7071"/>
    <w:rsid w:val="004338F3"/>
    <w:rsid w:val="00465422"/>
    <w:rsid w:val="00475154"/>
    <w:rsid w:val="00482FEF"/>
    <w:rsid w:val="00560ECC"/>
    <w:rsid w:val="00563CA4"/>
    <w:rsid w:val="005829F9"/>
    <w:rsid w:val="005B6626"/>
    <w:rsid w:val="005B79B0"/>
    <w:rsid w:val="005D6AEB"/>
    <w:rsid w:val="005E307C"/>
    <w:rsid w:val="006646FA"/>
    <w:rsid w:val="00692C20"/>
    <w:rsid w:val="006958A9"/>
    <w:rsid w:val="006C4AFC"/>
    <w:rsid w:val="006D3557"/>
    <w:rsid w:val="006F6856"/>
    <w:rsid w:val="00721C8C"/>
    <w:rsid w:val="00724578"/>
    <w:rsid w:val="00725B8F"/>
    <w:rsid w:val="00781EE2"/>
    <w:rsid w:val="00832B39"/>
    <w:rsid w:val="00835C4C"/>
    <w:rsid w:val="00840031"/>
    <w:rsid w:val="00840986"/>
    <w:rsid w:val="00857B98"/>
    <w:rsid w:val="008B316A"/>
    <w:rsid w:val="008B7098"/>
    <w:rsid w:val="008E2457"/>
    <w:rsid w:val="008E5CAB"/>
    <w:rsid w:val="0095740C"/>
    <w:rsid w:val="009A43B2"/>
    <w:rsid w:val="00A07855"/>
    <w:rsid w:val="00A62840"/>
    <w:rsid w:val="00A74572"/>
    <w:rsid w:val="00A87D30"/>
    <w:rsid w:val="00AD312D"/>
    <w:rsid w:val="00AE58DD"/>
    <w:rsid w:val="00BA6597"/>
    <w:rsid w:val="00C04811"/>
    <w:rsid w:val="00C158D1"/>
    <w:rsid w:val="00C6154E"/>
    <w:rsid w:val="00C760A4"/>
    <w:rsid w:val="00CB51B4"/>
    <w:rsid w:val="00D10185"/>
    <w:rsid w:val="00D2643F"/>
    <w:rsid w:val="00D72456"/>
    <w:rsid w:val="00DA052E"/>
    <w:rsid w:val="00DA490B"/>
    <w:rsid w:val="00DC6BB5"/>
    <w:rsid w:val="00E05B27"/>
    <w:rsid w:val="00E1744C"/>
    <w:rsid w:val="00E44559"/>
    <w:rsid w:val="00E45D9E"/>
    <w:rsid w:val="00EC3D8B"/>
    <w:rsid w:val="00ED34C6"/>
    <w:rsid w:val="00EF5D5C"/>
    <w:rsid w:val="00F60C7F"/>
    <w:rsid w:val="00F62575"/>
    <w:rsid w:val="00F66398"/>
    <w:rsid w:val="00F930B3"/>
    <w:rsid w:val="00F93F25"/>
    <w:rsid w:val="00FB2866"/>
    <w:rsid w:val="00FD496E"/>
    <w:rsid w:val="00FD7A70"/>
    <w:rsid w:val="00FF5DA6"/>
    <w:rsid w:val="00FF5FDC"/>
    <w:rsid w:val="01536131"/>
    <w:rsid w:val="01B36BD0"/>
    <w:rsid w:val="05DD24C9"/>
    <w:rsid w:val="071278D9"/>
    <w:rsid w:val="0863024E"/>
    <w:rsid w:val="0DE25709"/>
    <w:rsid w:val="0FA230F8"/>
    <w:rsid w:val="0FFF31BA"/>
    <w:rsid w:val="123D6042"/>
    <w:rsid w:val="19EA1D92"/>
    <w:rsid w:val="1B3F432B"/>
    <w:rsid w:val="1F304B38"/>
    <w:rsid w:val="21523C6C"/>
    <w:rsid w:val="21E87E67"/>
    <w:rsid w:val="23312834"/>
    <w:rsid w:val="26A4351D"/>
    <w:rsid w:val="27441678"/>
    <w:rsid w:val="2C406CAE"/>
    <w:rsid w:val="31FE0694"/>
    <w:rsid w:val="3442504B"/>
    <w:rsid w:val="354E5D94"/>
    <w:rsid w:val="35B900B0"/>
    <w:rsid w:val="35E03699"/>
    <w:rsid w:val="3CE55188"/>
    <w:rsid w:val="3F0D1FB8"/>
    <w:rsid w:val="41645F2A"/>
    <w:rsid w:val="42BA1E87"/>
    <w:rsid w:val="44144CFF"/>
    <w:rsid w:val="447F4EF1"/>
    <w:rsid w:val="475F7A75"/>
    <w:rsid w:val="48E4220D"/>
    <w:rsid w:val="49D6301F"/>
    <w:rsid w:val="4AAD291B"/>
    <w:rsid w:val="4B830FCB"/>
    <w:rsid w:val="4BB36B14"/>
    <w:rsid w:val="508D74C0"/>
    <w:rsid w:val="51BF7BAC"/>
    <w:rsid w:val="54EF3267"/>
    <w:rsid w:val="58DC2572"/>
    <w:rsid w:val="5A5453A1"/>
    <w:rsid w:val="5E9E2432"/>
    <w:rsid w:val="5F5B2DD4"/>
    <w:rsid w:val="5F5C75F8"/>
    <w:rsid w:val="620254D2"/>
    <w:rsid w:val="62165229"/>
    <w:rsid w:val="642015E7"/>
    <w:rsid w:val="64700100"/>
    <w:rsid w:val="65E25CF5"/>
    <w:rsid w:val="674C1F87"/>
    <w:rsid w:val="678E4977"/>
    <w:rsid w:val="69B33D0B"/>
    <w:rsid w:val="6A4E1054"/>
    <w:rsid w:val="6D350CC7"/>
    <w:rsid w:val="6E6E56E4"/>
    <w:rsid w:val="6E770192"/>
    <w:rsid w:val="702A5867"/>
    <w:rsid w:val="713D5561"/>
    <w:rsid w:val="726350FB"/>
    <w:rsid w:val="751F2A87"/>
    <w:rsid w:val="75405EDE"/>
    <w:rsid w:val="77971F8F"/>
    <w:rsid w:val="7BD611A8"/>
    <w:rsid w:val="7DC0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4"/>
    <w:qFormat/>
    <w:uiPriority w:val="0"/>
    <w:pPr>
      <w:spacing w:after="120"/>
    </w:pPr>
    <w:rPr>
      <w:rFonts w:asciiTheme="minorHAnsi" w:hAnsiTheme="minorHAnsi" w:eastAsiaTheme="minorEastAsia" w:cstheme="minorBidi"/>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tabs>
        <w:tab w:val="left" w:pos="360"/>
      </w:tabs>
      <w:spacing w:before="100" w:beforeAutospacing="1" w:after="100" w:afterAutospacing="1"/>
      <w:jc w:val="left"/>
    </w:pPr>
    <w:rPr>
      <w:rFonts w:ascii="Arial Unicode MS" w:hAnsi="Arial Unicode MS" w:eastAsia="Arial Unicode MS" w:cs="Arial Unicode MS"/>
      <w:kern w:val="0"/>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1 Char"/>
    <w:basedOn w:val="8"/>
    <w:link w:val="2"/>
    <w:qFormat/>
    <w:uiPriority w:val="99"/>
    <w:rPr>
      <w:rFonts w:ascii="Times New Roman" w:hAnsi="Times New Roman" w:eastAsia="宋体" w:cs="Times New Roman"/>
      <w:b/>
      <w:bCs/>
      <w:kern w:val="44"/>
      <w:sz w:val="44"/>
      <w:szCs w:val="44"/>
    </w:rPr>
  </w:style>
  <w:style w:type="paragraph" w:styleId="13">
    <w:name w:val="List Paragraph"/>
    <w:basedOn w:val="1"/>
    <w:link w:val="15"/>
    <w:qFormat/>
    <w:uiPriority w:val="34"/>
    <w:pPr>
      <w:ind w:firstLine="420" w:firstLineChars="200"/>
    </w:pPr>
    <w:rPr>
      <w:rFonts w:ascii="Calibri" w:hAnsi="Calibri"/>
      <w:szCs w:val="22"/>
    </w:rPr>
  </w:style>
  <w:style w:type="character" w:customStyle="1" w:styleId="14">
    <w:name w:val="正文文本 Char"/>
    <w:basedOn w:val="8"/>
    <w:link w:val="3"/>
    <w:qFormat/>
    <w:uiPriority w:val="0"/>
    <w:rPr>
      <w:szCs w:val="24"/>
    </w:rPr>
  </w:style>
  <w:style w:type="character" w:customStyle="1" w:styleId="15">
    <w:name w:val="列出段落 Char"/>
    <w:link w:val="13"/>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435</Words>
  <Characters>2483</Characters>
  <Lines>20</Lines>
  <Paragraphs>5</Paragraphs>
  <TotalTime>3</TotalTime>
  <ScaleCrop>false</ScaleCrop>
  <LinksUpToDate>false</LinksUpToDate>
  <CharactersWithSpaces>2913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2021-05-31T00:51:00Z</dcterms:created>
  <dc:creator>匿名用户</dc:creator>
  <cp:lastModifiedBy>黄桂红</cp:lastModifiedBy>
  <dcterms:modified xsi:type="dcterms:W3CDTF">2025-11-12T02:45:30Z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9EF8018EA8C44979B7529801331F7E88</vt:lpwstr>
  </property>
  <property fmtid="{D5CDD505-2E9C-101B-9397-08002B2CF9AE}" pid="4" name="KSOTemplateDocerSaveRecord">
    <vt:lpwstr>eyJoZGlkIjoiNDhjMzU3NGU5M2M2OThkMDBhY2Q2NjFlMDUzMzczZTkiLCJ1c2VySWQiOiIzNjY3MzY1NjcifQ==</vt:lpwstr>
  </property>
</Properties>
</file>