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9FC4A">
      <w:pPr>
        <w:spacing w:line="360" w:lineRule="auto"/>
        <w:jc w:val="center"/>
        <w:rPr>
          <w:rFonts w:ascii="宋体" w:hAnsi="宋体" w:eastAsia="宋体" w:cs="宋体"/>
          <w:b/>
          <w:color w:val="auto"/>
          <w:sz w:val="52"/>
          <w:szCs w:val="52"/>
          <w:highlight w:val="none"/>
          <w:lang w:val="zh-CN"/>
        </w:rPr>
      </w:pPr>
      <w:r>
        <w:rPr>
          <w:rFonts w:hint="eastAsia" w:ascii="宋体" w:hAnsi="宋体" w:eastAsia="宋体" w:cs="宋体"/>
          <w:b/>
          <w:color w:val="auto"/>
          <w:sz w:val="52"/>
          <w:szCs w:val="52"/>
          <w:highlight w:val="none"/>
          <w:lang w:val="en-US" w:eastAsia="zh-CN"/>
        </w:rPr>
        <w:t>知识城凤凰湖-九龙湖云道项目施工总承包</w:t>
      </w:r>
    </w:p>
    <w:p w14:paraId="1895698F">
      <w:pPr>
        <w:spacing w:line="360" w:lineRule="auto"/>
        <w:jc w:val="center"/>
        <w:rPr>
          <w:rFonts w:ascii="宋体" w:hAnsi="宋体" w:eastAsia="宋体" w:cs="宋体"/>
          <w:b/>
          <w:bCs/>
          <w:color w:val="auto"/>
          <w:spacing w:val="26"/>
          <w:sz w:val="110"/>
          <w:szCs w:val="110"/>
          <w:highlight w:val="none"/>
        </w:rPr>
      </w:pPr>
    </w:p>
    <w:p w14:paraId="1C0D482E">
      <w:pPr>
        <w:spacing w:line="360" w:lineRule="auto"/>
        <w:jc w:val="center"/>
        <w:rPr>
          <w:rFonts w:ascii="宋体" w:hAnsi="宋体" w:eastAsia="宋体" w:cs="宋体"/>
          <w:b/>
          <w:bCs/>
          <w:color w:val="auto"/>
          <w:spacing w:val="26"/>
          <w:sz w:val="110"/>
          <w:szCs w:val="110"/>
          <w:highlight w:val="none"/>
        </w:rPr>
      </w:pPr>
    </w:p>
    <w:p w14:paraId="0914C31F">
      <w:pPr>
        <w:spacing w:line="360" w:lineRule="auto"/>
        <w:jc w:val="center"/>
        <w:rPr>
          <w:rFonts w:ascii="宋体" w:hAnsi="宋体" w:eastAsia="宋体" w:cs="宋体"/>
          <w:b/>
          <w:bCs/>
          <w:color w:val="auto"/>
          <w:spacing w:val="26"/>
          <w:sz w:val="110"/>
          <w:szCs w:val="110"/>
          <w:highlight w:val="none"/>
        </w:rPr>
      </w:pPr>
      <w:r>
        <w:rPr>
          <w:rFonts w:hint="eastAsia" w:ascii="宋体" w:hAnsi="宋体" w:eastAsia="宋体" w:cs="宋体"/>
          <w:b/>
          <w:bCs/>
          <w:color w:val="auto"/>
          <w:spacing w:val="26"/>
          <w:sz w:val="110"/>
          <w:szCs w:val="110"/>
          <w:highlight w:val="none"/>
        </w:rPr>
        <w:t>招标文件</w:t>
      </w:r>
    </w:p>
    <w:p w14:paraId="2216FC7E">
      <w:pPr>
        <w:spacing w:line="360" w:lineRule="auto"/>
        <w:ind w:left="420" w:leftChars="200"/>
        <w:rPr>
          <w:rFonts w:ascii="宋体" w:hAnsi="宋体" w:eastAsia="宋体" w:cs="宋体"/>
          <w:color w:val="auto"/>
          <w:sz w:val="30"/>
          <w:szCs w:val="30"/>
          <w:highlight w:val="none"/>
        </w:rPr>
      </w:pPr>
    </w:p>
    <w:p w14:paraId="6B57FC1D">
      <w:pPr>
        <w:spacing w:line="360" w:lineRule="auto"/>
        <w:ind w:left="420" w:leftChars="200"/>
        <w:rPr>
          <w:rFonts w:ascii="宋体" w:hAnsi="宋体" w:eastAsia="宋体" w:cs="宋体"/>
          <w:color w:val="auto"/>
          <w:sz w:val="30"/>
          <w:szCs w:val="30"/>
          <w:highlight w:val="none"/>
        </w:rPr>
      </w:pPr>
    </w:p>
    <w:p w14:paraId="58745825">
      <w:pPr>
        <w:spacing w:line="360" w:lineRule="auto"/>
        <w:ind w:left="420" w:leftChars="200"/>
        <w:rPr>
          <w:rFonts w:ascii="宋体" w:hAnsi="宋体" w:eastAsia="宋体" w:cs="宋体"/>
          <w:color w:val="auto"/>
          <w:sz w:val="30"/>
          <w:szCs w:val="30"/>
          <w:highlight w:val="none"/>
        </w:rPr>
      </w:pPr>
    </w:p>
    <w:p w14:paraId="0A7146B6">
      <w:pPr>
        <w:spacing w:line="360" w:lineRule="auto"/>
        <w:ind w:left="420" w:leftChars="200"/>
        <w:rPr>
          <w:rFonts w:ascii="宋体" w:hAnsi="宋体" w:eastAsia="宋体" w:cs="宋体"/>
          <w:color w:val="auto"/>
          <w:sz w:val="30"/>
          <w:szCs w:val="30"/>
          <w:highlight w:val="none"/>
        </w:rPr>
      </w:pPr>
    </w:p>
    <w:p w14:paraId="77098D75">
      <w:pPr>
        <w:spacing w:line="360" w:lineRule="auto"/>
        <w:ind w:left="420" w:leftChars="200"/>
        <w:rPr>
          <w:rFonts w:ascii="宋体" w:hAnsi="宋体" w:eastAsia="宋体" w:cs="宋体"/>
          <w:color w:val="auto"/>
          <w:sz w:val="30"/>
          <w:szCs w:val="30"/>
          <w:highlight w:val="none"/>
        </w:rPr>
      </w:pPr>
    </w:p>
    <w:p w14:paraId="18E26109">
      <w:pPr>
        <w:spacing w:line="360" w:lineRule="auto"/>
        <w:rPr>
          <w:rFonts w:ascii="宋体" w:hAnsi="宋体" w:eastAsia="宋体" w:cs="Times New Roman"/>
          <w:color w:val="auto"/>
          <w:highlight w:val="none"/>
        </w:rPr>
      </w:pPr>
    </w:p>
    <w:p w14:paraId="426C8F0E">
      <w:pPr>
        <w:spacing w:line="360" w:lineRule="auto"/>
        <w:ind w:left="420" w:leftChars="200" w:firstLine="639" w:firstLineChars="213"/>
        <w:rPr>
          <w:rFonts w:hint="eastAsia" w:ascii="宋体" w:hAnsi="宋体" w:eastAsia="宋体" w:cs="宋体"/>
          <w:color w:val="auto"/>
          <w:sz w:val="30"/>
          <w:szCs w:val="30"/>
          <w:highlight w:val="none"/>
        </w:rPr>
      </w:pPr>
    </w:p>
    <w:p w14:paraId="20411AE1">
      <w:pPr>
        <w:spacing w:line="360" w:lineRule="auto"/>
        <w:ind w:left="420" w:leftChars="200" w:firstLine="639" w:firstLineChars="213"/>
        <w:rPr>
          <w:rFonts w:ascii="宋体" w:hAnsi="宋体" w:eastAsia="宋体" w:cs="宋体"/>
          <w:color w:val="auto"/>
          <w:spacing w:val="-2"/>
          <w:sz w:val="30"/>
          <w:szCs w:val="30"/>
          <w:highlight w:val="none"/>
          <w:u w:val="single"/>
        </w:rPr>
      </w:pPr>
      <w:r>
        <w:rPr>
          <w:rFonts w:hint="eastAsia" w:ascii="宋体" w:hAnsi="宋体" w:eastAsia="宋体" w:cs="宋体"/>
          <w:color w:val="auto"/>
          <w:sz w:val="30"/>
          <w:szCs w:val="30"/>
          <w:highlight w:val="none"/>
        </w:rPr>
        <w:t>招  标 单 位：</w:t>
      </w:r>
      <w:r>
        <w:rPr>
          <w:rFonts w:hint="eastAsia" w:ascii="宋体" w:hAnsi="宋体" w:eastAsia="宋体" w:cs="宋体"/>
          <w:color w:val="auto"/>
          <w:spacing w:val="-2"/>
          <w:sz w:val="30"/>
          <w:szCs w:val="30"/>
          <w:highlight w:val="none"/>
          <w:u w:val="single"/>
        </w:rPr>
        <w:t>中新广州知识城财政投资建设项目管理中心</w:t>
      </w:r>
    </w:p>
    <w:p w14:paraId="437C767F">
      <w:pPr>
        <w:spacing w:line="360" w:lineRule="auto"/>
        <w:ind w:left="420" w:leftChars="200" w:firstLine="639" w:firstLineChars="213"/>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招标代理单位：</w:t>
      </w:r>
      <w:r>
        <w:rPr>
          <w:rFonts w:hint="default" w:ascii="宋体" w:hAnsi="宋体" w:eastAsia="宋体" w:cs="宋体"/>
          <w:color w:val="auto"/>
          <w:sz w:val="30"/>
          <w:szCs w:val="30"/>
          <w:highlight w:val="none"/>
          <w:u w:val="single"/>
          <w:lang w:val="en-US" w:eastAsia="zh-CN"/>
        </w:rPr>
        <w:t>北京中交建设工程咨询有限公司</w:t>
      </w:r>
    </w:p>
    <w:p w14:paraId="47CF1447">
      <w:pPr>
        <w:spacing w:line="360" w:lineRule="auto"/>
        <w:ind w:left="420" w:leftChars="200" w:firstLine="639" w:firstLineChars="213"/>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日        期：</w:t>
      </w:r>
      <w:r>
        <w:rPr>
          <w:rFonts w:hint="eastAsia" w:ascii="宋体" w:hAnsi="宋体" w:eastAsia="宋体" w:cs="宋体"/>
          <w:color w:val="auto"/>
          <w:sz w:val="30"/>
          <w:szCs w:val="30"/>
          <w:highlight w:val="none"/>
          <w:u w:val="single"/>
        </w:rPr>
        <w:t>202</w:t>
      </w:r>
      <w:r>
        <w:rPr>
          <w:rFonts w:hint="eastAsia" w:ascii="宋体" w:hAnsi="宋体" w:eastAsia="宋体" w:cs="宋体"/>
          <w:color w:val="auto"/>
          <w:sz w:val="30"/>
          <w:szCs w:val="30"/>
          <w:highlight w:val="none"/>
          <w:u w:val="single"/>
          <w:lang w:val="en-US" w:eastAsia="zh-CN"/>
        </w:rPr>
        <w:t>6</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lang w:val="en-US" w:eastAsia="zh-CN"/>
        </w:rPr>
        <w:t>3</w:t>
      </w:r>
      <w:r>
        <w:rPr>
          <w:rFonts w:hint="eastAsia" w:ascii="宋体" w:hAnsi="宋体" w:eastAsia="宋体" w:cs="宋体"/>
          <w:color w:val="auto"/>
          <w:sz w:val="30"/>
          <w:szCs w:val="30"/>
          <w:highlight w:val="none"/>
        </w:rPr>
        <w:t>月</w:t>
      </w:r>
    </w:p>
    <w:p w14:paraId="1E7E4ADD">
      <w:pPr>
        <w:spacing w:line="360" w:lineRule="auto"/>
        <w:jc w:val="center"/>
        <w:rPr>
          <w:rFonts w:hint="eastAsia" w:ascii="宋体" w:hAnsi="宋体" w:eastAsia="宋体" w:cs="宋体"/>
          <w:b/>
          <w:bCs/>
          <w:color w:val="auto"/>
          <w:sz w:val="32"/>
          <w:szCs w:val="32"/>
          <w:highlight w:val="none"/>
        </w:rPr>
        <w:sectPr>
          <w:headerReference r:id="rId3" w:type="first"/>
          <w:footerReference r:id="rId5" w:type="first"/>
          <w:footerReference r:id="rId4" w:type="default"/>
          <w:endnotePr>
            <w:numFmt w:val="decimal"/>
          </w:endnotePr>
          <w:pgSz w:w="11906" w:h="16838"/>
          <w:pgMar w:top="1440" w:right="1440" w:bottom="1440" w:left="1440" w:header="851" w:footer="992" w:gutter="0"/>
          <w:pgNumType w:fmt="decimal"/>
          <w:cols w:space="720" w:num="1"/>
          <w:titlePg/>
          <w:docGrid w:type="lines" w:linePitch="318" w:charSpace="0"/>
        </w:sectPr>
      </w:pPr>
    </w:p>
    <w:p w14:paraId="3E233897">
      <w:pPr>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录</w:t>
      </w:r>
    </w:p>
    <w:p w14:paraId="06330A66">
      <w:pPr>
        <w:pStyle w:val="33"/>
        <w:tabs>
          <w:tab w:val="right" w:leader="dot" w:pos="9498"/>
          <w:tab w:val="clear" w:pos="9060"/>
        </w:tabs>
        <w:rPr>
          <w:rFonts w:cstheme="minorBidi"/>
          <w:caps w:val="0"/>
          <w:color w:val="auto"/>
          <w:kern w:val="2"/>
          <w:sz w:val="24"/>
          <w:szCs w:val="24"/>
          <w:highlight w:val="none"/>
          <w14:ligatures w14:val="standardContextual"/>
        </w:rPr>
      </w:pPr>
      <w:r>
        <w:rPr>
          <w:rFonts w:hint="eastAsia" w:cs="宋体"/>
          <w:color w:val="auto"/>
          <w:sz w:val="24"/>
          <w:szCs w:val="24"/>
          <w:highlight w:val="none"/>
        </w:rPr>
        <w:fldChar w:fldCharType="begin"/>
      </w:r>
      <w:r>
        <w:rPr>
          <w:rFonts w:hint="eastAsia" w:cs="宋体"/>
          <w:color w:val="auto"/>
          <w:sz w:val="24"/>
          <w:szCs w:val="24"/>
          <w:highlight w:val="none"/>
        </w:rPr>
        <w:instrText xml:space="preserve"> TOC \o "1-3" \h \z \u </w:instrText>
      </w:r>
      <w:r>
        <w:rPr>
          <w:rFonts w:hint="eastAsia" w:cs="宋体"/>
          <w:color w:val="auto"/>
          <w:sz w:val="24"/>
          <w:szCs w:val="24"/>
          <w:highlight w:val="none"/>
        </w:rPr>
        <w:fldChar w:fldCharType="separate"/>
      </w:r>
      <w:r>
        <w:rPr>
          <w:color w:val="auto"/>
          <w:sz w:val="24"/>
          <w:szCs w:val="24"/>
          <w:highlight w:val="none"/>
        </w:rPr>
        <w:fldChar w:fldCharType="begin"/>
      </w:r>
      <w:r>
        <w:rPr>
          <w:color w:val="auto"/>
          <w:sz w:val="24"/>
          <w:szCs w:val="24"/>
          <w:highlight w:val="none"/>
        </w:rPr>
        <w:instrText xml:space="preserve"> HYPERLINK \l "_Toc202907276" </w:instrText>
      </w:r>
      <w:r>
        <w:rPr>
          <w:color w:val="auto"/>
          <w:sz w:val="24"/>
          <w:szCs w:val="24"/>
          <w:highlight w:val="none"/>
        </w:rPr>
        <w:fldChar w:fldCharType="separate"/>
      </w:r>
      <w:r>
        <w:rPr>
          <w:rStyle w:val="59"/>
          <w:rFonts w:hint="eastAsia" w:ascii="宋体" w:hAnsi="宋体" w:eastAsia="宋体" w:cs="宋体"/>
          <w:b/>
          <w:color w:val="auto"/>
          <w:kern w:val="44"/>
          <w:sz w:val="24"/>
          <w:szCs w:val="24"/>
          <w:highlight w:val="none"/>
        </w:rPr>
        <w:t>第一章 投标须知</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w:instrText>
      </w:r>
      <w:r>
        <w:rPr>
          <w:color w:val="auto"/>
          <w:sz w:val="24"/>
          <w:szCs w:val="24"/>
          <w:highlight w:val="none"/>
        </w:rPr>
        <w:instrText xml:space="preserve">PAGEREF _Toc202907276 \h</w:instrText>
      </w:r>
      <w:r>
        <w:rPr>
          <w:rFonts w:hint="eastAsia"/>
          <w:color w:val="auto"/>
          <w:sz w:val="24"/>
          <w:szCs w:val="24"/>
          <w:highlight w:val="none"/>
        </w:rPr>
        <w:instrText xml:space="preserve"> </w:instrText>
      </w:r>
      <w:r>
        <w:rPr>
          <w:rFonts w:hint="eastAsia"/>
          <w:color w:val="auto"/>
          <w:sz w:val="24"/>
          <w:szCs w:val="24"/>
          <w:highlight w:val="none"/>
        </w:rPr>
        <w:fldChar w:fldCharType="separate"/>
      </w:r>
      <w:r>
        <w:rPr>
          <w:color w:val="auto"/>
          <w:sz w:val="24"/>
          <w:szCs w:val="24"/>
          <w:highlight w:val="none"/>
        </w:rPr>
        <w:t>2</w:t>
      </w:r>
      <w:r>
        <w:rPr>
          <w:rFonts w:hint="eastAsia"/>
          <w:color w:val="auto"/>
          <w:sz w:val="24"/>
          <w:szCs w:val="24"/>
          <w:highlight w:val="none"/>
        </w:rPr>
        <w:fldChar w:fldCharType="end"/>
      </w:r>
      <w:r>
        <w:rPr>
          <w:rFonts w:hint="eastAsia"/>
          <w:color w:val="auto"/>
          <w:sz w:val="24"/>
          <w:szCs w:val="24"/>
          <w:highlight w:val="none"/>
        </w:rPr>
        <w:fldChar w:fldCharType="end"/>
      </w:r>
    </w:p>
    <w:p w14:paraId="0709F4EA">
      <w:pPr>
        <w:pStyle w:val="41"/>
        <w:tabs>
          <w:tab w:val="right" w:leader="dot" w:pos="9498"/>
          <w:tab w:val="clear" w:pos="9060"/>
        </w:tabs>
        <w:rPr>
          <w:rFonts w:ascii="宋体" w:hAnsi="宋体" w:cstheme="minorBidi"/>
          <w:color w:val="auto"/>
          <w:sz w:val="24"/>
          <w:szCs w:val="24"/>
          <w:highlight w:val="none"/>
          <w14:ligatures w14:val="standardContextual"/>
        </w:rPr>
      </w:pPr>
      <w:r>
        <w:rPr>
          <w:color w:val="auto"/>
          <w:sz w:val="24"/>
          <w:szCs w:val="24"/>
          <w:highlight w:val="none"/>
        </w:rPr>
        <w:fldChar w:fldCharType="begin"/>
      </w:r>
      <w:r>
        <w:rPr>
          <w:color w:val="auto"/>
          <w:sz w:val="24"/>
          <w:szCs w:val="24"/>
          <w:highlight w:val="none"/>
        </w:rPr>
        <w:instrText xml:space="preserve"> HYPERLINK \l "_Toc202907277" </w:instrText>
      </w:r>
      <w:r>
        <w:rPr>
          <w:color w:val="auto"/>
          <w:sz w:val="24"/>
          <w:szCs w:val="24"/>
          <w:highlight w:val="none"/>
        </w:rPr>
        <w:fldChar w:fldCharType="separate"/>
      </w:r>
      <w:r>
        <w:rPr>
          <w:rStyle w:val="59"/>
          <w:rFonts w:hint="eastAsia" w:ascii="宋体" w:hAnsi="宋体" w:eastAsia="宋体" w:cs="宋体"/>
          <w:b/>
          <w:color w:val="auto"/>
          <w:kern w:val="0"/>
          <w:sz w:val="24"/>
          <w:szCs w:val="24"/>
          <w:highlight w:val="none"/>
        </w:rPr>
        <w:t>一、投标须知前附表</w:t>
      </w:r>
      <w:r>
        <w:rPr>
          <w:rFonts w:hint="eastAsia" w:ascii="宋体" w:hAnsi="宋体"/>
          <w:color w:val="auto"/>
          <w:sz w:val="24"/>
          <w:szCs w:val="24"/>
          <w:highlight w:val="none"/>
        </w:rPr>
        <w:tab/>
      </w: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w:instrText>
      </w:r>
      <w:r>
        <w:rPr>
          <w:rFonts w:ascii="宋体" w:hAnsi="宋体"/>
          <w:color w:val="auto"/>
          <w:sz w:val="24"/>
          <w:szCs w:val="24"/>
          <w:highlight w:val="none"/>
        </w:rPr>
        <w:instrText xml:space="preserve">PAGEREF _Toc202907277 \h</w:instrText>
      </w:r>
      <w:r>
        <w:rPr>
          <w:rFonts w:hint="eastAsia" w:ascii="宋体" w:hAnsi="宋体"/>
          <w:color w:val="auto"/>
          <w:sz w:val="24"/>
          <w:szCs w:val="24"/>
          <w:highlight w:val="none"/>
        </w:rPr>
        <w:instrText xml:space="preserve"> </w:instrText>
      </w:r>
      <w:r>
        <w:rPr>
          <w:rFonts w:hint="eastAsia" w:ascii="宋体" w:hAnsi="宋体"/>
          <w:color w:val="auto"/>
          <w:sz w:val="24"/>
          <w:szCs w:val="24"/>
          <w:highlight w:val="none"/>
        </w:rPr>
        <w:fldChar w:fldCharType="separate"/>
      </w:r>
      <w:r>
        <w:rPr>
          <w:rFonts w:ascii="宋体" w:hAnsi="宋体"/>
          <w:color w:val="auto"/>
          <w:sz w:val="24"/>
          <w:szCs w:val="24"/>
          <w:highlight w:val="none"/>
        </w:rPr>
        <w:t>2</w:t>
      </w:r>
      <w:r>
        <w:rPr>
          <w:rFonts w:hint="eastAsia" w:ascii="宋体" w:hAnsi="宋体"/>
          <w:color w:val="auto"/>
          <w:sz w:val="24"/>
          <w:szCs w:val="24"/>
          <w:highlight w:val="none"/>
        </w:rPr>
        <w:fldChar w:fldCharType="end"/>
      </w:r>
      <w:r>
        <w:rPr>
          <w:rFonts w:hint="eastAsia" w:ascii="宋体" w:hAnsi="宋体"/>
          <w:color w:val="auto"/>
          <w:sz w:val="24"/>
          <w:szCs w:val="24"/>
          <w:highlight w:val="none"/>
        </w:rPr>
        <w:fldChar w:fldCharType="end"/>
      </w:r>
    </w:p>
    <w:p w14:paraId="08B0BF66">
      <w:pPr>
        <w:pStyle w:val="41"/>
        <w:tabs>
          <w:tab w:val="right" w:leader="dot" w:pos="9498"/>
          <w:tab w:val="clear" w:pos="9060"/>
        </w:tabs>
        <w:rPr>
          <w:rFonts w:ascii="宋体" w:hAnsi="宋体" w:cstheme="minorBidi"/>
          <w:color w:val="auto"/>
          <w:sz w:val="24"/>
          <w:szCs w:val="24"/>
          <w:highlight w:val="none"/>
          <w14:ligatures w14:val="standardContextual"/>
        </w:rPr>
      </w:pPr>
      <w:r>
        <w:rPr>
          <w:color w:val="auto"/>
          <w:sz w:val="24"/>
          <w:szCs w:val="24"/>
          <w:highlight w:val="none"/>
        </w:rPr>
        <w:fldChar w:fldCharType="begin"/>
      </w:r>
      <w:r>
        <w:rPr>
          <w:color w:val="auto"/>
          <w:sz w:val="24"/>
          <w:szCs w:val="24"/>
          <w:highlight w:val="none"/>
        </w:rPr>
        <w:instrText xml:space="preserve"> HYPERLINK \l "_Toc202907278" </w:instrText>
      </w:r>
      <w:r>
        <w:rPr>
          <w:color w:val="auto"/>
          <w:sz w:val="24"/>
          <w:szCs w:val="24"/>
          <w:highlight w:val="none"/>
        </w:rPr>
        <w:fldChar w:fldCharType="separate"/>
      </w:r>
      <w:r>
        <w:rPr>
          <w:rStyle w:val="59"/>
          <w:rFonts w:hint="eastAsia" w:ascii="宋体" w:hAnsi="宋体" w:eastAsia="宋体" w:cs="宋体"/>
          <w:b/>
          <w:color w:val="auto"/>
          <w:kern w:val="0"/>
          <w:sz w:val="24"/>
          <w:szCs w:val="24"/>
          <w:highlight w:val="none"/>
        </w:rPr>
        <w:t>二、投标须知修改表</w:t>
      </w:r>
      <w:r>
        <w:rPr>
          <w:rFonts w:hint="eastAsia" w:ascii="宋体" w:hAnsi="宋体"/>
          <w:color w:val="auto"/>
          <w:sz w:val="24"/>
          <w:szCs w:val="24"/>
          <w:highlight w:val="none"/>
        </w:rPr>
        <w:tab/>
      </w: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w:instrText>
      </w:r>
      <w:r>
        <w:rPr>
          <w:rFonts w:ascii="宋体" w:hAnsi="宋体"/>
          <w:color w:val="auto"/>
          <w:sz w:val="24"/>
          <w:szCs w:val="24"/>
          <w:highlight w:val="none"/>
        </w:rPr>
        <w:instrText xml:space="preserve">PAGEREF _Toc202907278 \h</w:instrText>
      </w:r>
      <w:r>
        <w:rPr>
          <w:rFonts w:hint="eastAsia" w:ascii="宋体" w:hAnsi="宋体"/>
          <w:color w:val="auto"/>
          <w:sz w:val="24"/>
          <w:szCs w:val="24"/>
          <w:highlight w:val="none"/>
        </w:rPr>
        <w:instrText xml:space="preserve"> </w:instrText>
      </w:r>
      <w:r>
        <w:rPr>
          <w:rFonts w:hint="eastAsia" w:ascii="宋体" w:hAnsi="宋体"/>
          <w:color w:val="auto"/>
          <w:sz w:val="24"/>
          <w:szCs w:val="24"/>
          <w:highlight w:val="none"/>
        </w:rPr>
        <w:fldChar w:fldCharType="separate"/>
      </w:r>
      <w:r>
        <w:rPr>
          <w:rFonts w:ascii="宋体" w:hAnsi="宋体"/>
          <w:color w:val="auto"/>
          <w:sz w:val="24"/>
          <w:szCs w:val="24"/>
          <w:highlight w:val="none"/>
        </w:rPr>
        <w:t>12</w:t>
      </w:r>
      <w:r>
        <w:rPr>
          <w:rFonts w:hint="eastAsia" w:ascii="宋体" w:hAnsi="宋体"/>
          <w:color w:val="auto"/>
          <w:sz w:val="24"/>
          <w:szCs w:val="24"/>
          <w:highlight w:val="none"/>
        </w:rPr>
        <w:fldChar w:fldCharType="end"/>
      </w:r>
      <w:r>
        <w:rPr>
          <w:rFonts w:hint="eastAsia" w:ascii="宋体" w:hAnsi="宋体"/>
          <w:color w:val="auto"/>
          <w:sz w:val="24"/>
          <w:szCs w:val="24"/>
          <w:highlight w:val="none"/>
        </w:rPr>
        <w:fldChar w:fldCharType="end"/>
      </w:r>
    </w:p>
    <w:p w14:paraId="2C907B1E">
      <w:pPr>
        <w:pStyle w:val="41"/>
        <w:tabs>
          <w:tab w:val="right" w:leader="dot" w:pos="9498"/>
          <w:tab w:val="clear" w:pos="9060"/>
        </w:tabs>
        <w:rPr>
          <w:rFonts w:ascii="宋体" w:hAnsi="宋体" w:cstheme="minorBidi"/>
          <w:color w:val="auto"/>
          <w:sz w:val="24"/>
          <w:szCs w:val="24"/>
          <w:highlight w:val="none"/>
          <w14:ligatures w14:val="standardContextual"/>
        </w:rPr>
      </w:pPr>
      <w:r>
        <w:rPr>
          <w:color w:val="auto"/>
          <w:sz w:val="24"/>
          <w:szCs w:val="24"/>
          <w:highlight w:val="none"/>
        </w:rPr>
        <w:fldChar w:fldCharType="begin"/>
      </w:r>
      <w:r>
        <w:rPr>
          <w:color w:val="auto"/>
          <w:sz w:val="24"/>
          <w:szCs w:val="24"/>
          <w:highlight w:val="none"/>
        </w:rPr>
        <w:instrText xml:space="preserve"> HYPERLINK \l "_Toc202907279" </w:instrText>
      </w:r>
      <w:r>
        <w:rPr>
          <w:color w:val="auto"/>
          <w:sz w:val="24"/>
          <w:szCs w:val="24"/>
          <w:highlight w:val="none"/>
        </w:rPr>
        <w:fldChar w:fldCharType="separate"/>
      </w:r>
      <w:r>
        <w:rPr>
          <w:rStyle w:val="59"/>
          <w:rFonts w:hint="eastAsia" w:ascii="宋体" w:hAnsi="宋体" w:eastAsia="宋体" w:cs="Times New Roman"/>
          <w:b/>
          <w:color w:val="auto"/>
          <w:kern w:val="0"/>
          <w:sz w:val="24"/>
          <w:szCs w:val="24"/>
          <w:highlight w:val="none"/>
        </w:rPr>
        <w:t>三、投标须知通用条款</w:t>
      </w:r>
      <w:r>
        <w:rPr>
          <w:rFonts w:hint="eastAsia" w:ascii="宋体" w:hAnsi="宋体"/>
          <w:color w:val="auto"/>
          <w:sz w:val="24"/>
          <w:szCs w:val="24"/>
          <w:highlight w:val="none"/>
        </w:rPr>
        <w:tab/>
      </w: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w:instrText>
      </w:r>
      <w:r>
        <w:rPr>
          <w:rFonts w:ascii="宋体" w:hAnsi="宋体"/>
          <w:color w:val="auto"/>
          <w:sz w:val="24"/>
          <w:szCs w:val="24"/>
          <w:highlight w:val="none"/>
        </w:rPr>
        <w:instrText xml:space="preserve">PAGEREF _Toc202907279 \h</w:instrText>
      </w:r>
      <w:r>
        <w:rPr>
          <w:rFonts w:hint="eastAsia" w:ascii="宋体" w:hAnsi="宋体"/>
          <w:color w:val="auto"/>
          <w:sz w:val="24"/>
          <w:szCs w:val="24"/>
          <w:highlight w:val="none"/>
        </w:rPr>
        <w:instrText xml:space="preserve"> </w:instrText>
      </w:r>
      <w:r>
        <w:rPr>
          <w:rFonts w:hint="eastAsia" w:ascii="宋体" w:hAnsi="宋体"/>
          <w:color w:val="auto"/>
          <w:sz w:val="24"/>
          <w:szCs w:val="24"/>
          <w:highlight w:val="none"/>
        </w:rPr>
        <w:fldChar w:fldCharType="separate"/>
      </w:r>
      <w:r>
        <w:rPr>
          <w:rFonts w:ascii="宋体" w:hAnsi="宋体"/>
          <w:color w:val="auto"/>
          <w:sz w:val="24"/>
          <w:szCs w:val="24"/>
          <w:highlight w:val="none"/>
        </w:rPr>
        <w:t>33</w:t>
      </w:r>
      <w:r>
        <w:rPr>
          <w:rFonts w:hint="eastAsia" w:ascii="宋体" w:hAnsi="宋体"/>
          <w:color w:val="auto"/>
          <w:sz w:val="24"/>
          <w:szCs w:val="24"/>
          <w:highlight w:val="none"/>
        </w:rPr>
        <w:fldChar w:fldCharType="end"/>
      </w:r>
      <w:r>
        <w:rPr>
          <w:rFonts w:hint="eastAsia" w:ascii="宋体" w:hAnsi="宋体"/>
          <w:color w:val="auto"/>
          <w:sz w:val="24"/>
          <w:szCs w:val="24"/>
          <w:highlight w:val="none"/>
        </w:rPr>
        <w:fldChar w:fldCharType="end"/>
      </w:r>
    </w:p>
    <w:p w14:paraId="13AFA8E2">
      <w:pPr>
        <w:pStyle w:val="33"/>
        <w:tabs>
          <w:tab w:val="right" w:leader="dot" w:pos="9498"/>
          <w:tab w:val="clear" w:pos="9060"/>
        </w:tabs>
        <w:rPr>
          <w:rFonts w:cstheme="minorBidi"/>
          <w:caps w:val="0"/>
          <w:color w:val="auto"/>
          <w:kern w:val="2"/>
          <w:sz w:val="24"/>
          <w:szCs w:val="24"/>
          <w:highlight w:val="none"/>
          <w14:ligatures w14:val="standardContextual"/>
        </w:rPr>
      </w:pPr>
      <w:r>
        <w:rPr>
          <w:color w:val="auto"/>
          <w:sz w:val="24"/>
          <w:szCs w:val="24"/>
          <w:highlight w:val="none"/>
        </w:rPr>
        <w:fldChar w:fldCharType="begin"/>
      </w:r>
      <w:r>
        <w:rPr>
          <w:color w:val="auto"/>
          <w:sz w:val="24"/>
          <w:szCs w:val="24"/>
          <w:highlight w:val="none"/>
        </w:rPr>
        <w:instrText xml:space="preserve"> HYPERLINK \l "_Toc202907285" </w:instrText>
      </w:r>
      <w:r>
        <w:rPr>
          <w:color w:val="auto"/>
          <w:sz w:val="24"/>
          <w:szCs w:val="24"/>
          <w:highlight w:val="none"/>
        </w:rPr>
        <w:fldChar w:fldCharType="separate"/>
      </w:r>
      <w:r>
        <w:rPr>
          <w:rStyle w:val="59"/>
          <w:rFonts w:hint="eastAsia" w:ascii="宋体" w:hAnsi="宋体" w:eastAsia="宋体" w:cs="宋体"/>
          <w:b/>
          <w:color w:val="auto"/>
          <w:kern w:val="44"/>
          <w:sz w:val="24"/>
          <w:szCs w:val="24"/>
          <w:highlight w:val="none"/>
        </w:rPr>
        <w:t>第二章 开标、评标及定标办法</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w:instrText>
      </w:r>
      <w:r>
        <w:rPr>
          <w:color w:val="auto"/>
          <w:sz w:val="24"/>
          <w:szCs w:val="24"/>
          <w:highlight w:val="none"/>
        </w:rPr>
        <w:instrText xml:space="preserve">PAGEREF _Toc202907285 \h</w:instrText>
      </w:r>
      <w:r>
        <w:rPr>
          <w:rFonts w:hint="eastAsia"/>
          <w:color w:val="auto"/>
          <w:sz w:val="24"/>
          <w:szCs w:val="24"/>
          <w:highlight w:val="none"/>
        </w:rPr>
        <w:instrText xml:space="preserve"> </w:instrText>
      </w:r>
      <w:r>
        <w:rPr>
          <w:rFonts w:hint="eastAsia"/>
          <w:color w:val="auto"/>
          <w:sz w:val="24"/>
          <w:szCs w:val="24"/>
          <w:highlight w:val="none"/>
        </w:rPr>
        <w:fldChar w:fldCharType="separate"/>
      </w:r>
      <w:r>
        <w:rPr>
          <w:color w:val="auto"/>
          <w:sz w:val="24"/>
          <w:szCs w:val="24"/>
          <w:highlight w:val="none"/>
        </w:rPr>
        <w:t>47</w:t>
      </w:r>
      <w:r>
        <w:rPr>
          <w:rFonts w:hint="eastAsia"/>
          <w:color w:val="auto"/>
          <w:sz w:val="24"/>
          <w:szCs w:val="24"/>
          <w:highlight w:val="none"/>
        </w:rPr>
        <w:fldChar w:fldCharType="end"/>
      </w:r>
      <w:r>
        <w:rPr>
          <w:rFonts w:hint="eastAsia"/>
          <w:color w:val="auto"/>
          <w:sz w:val="24"/>
          <w:szCs w:val="24"/>
          <w:highlight w:val="none"/>
        </w:rPr>
        <w:fldChar w:fldCharType="end"/>
      </w:r>
    </w:p>
    <w:p w14:paraId="69C071B4">
      <w:pPr>
        <w:pStyle w:val="41"/>
        <w:tabs>
          <w:tab w:val="right" w:leader="dot" w:pos="9498"/>
          <w:tab w:val="clear" w:pos="9060"/>
        </w:tabs>
        <w:rPr>
          <w:rFonts w:ascii="宋体" w:hAnsi="宋体" w:cstheme="minorBidi"/>
          <w:color w:val="auto"/>
          <w:sz w:val="24"/>
          <w:szCs w:val="24"/>
          <w:highlight w:val="none"/>
          <w14:ligatures w14:val="standardContextual"/>
        </w:rPr>
      </w:pPr>
      <w:r>
        <w:rPr>
          <w:color w:val="auto"/>
          <w:sz w:val="24"/>
          <w:szCs w:val="24"/>
          <w:highlight w:val="none"/>
        </w:rPr>
        <w:fldChar w:fldCharType="begin"/>
      </w:r>
      <w:r>
        <w:rPr>
          <w:color w:val="auto"/>
          <w:sz w:val="24"/>
          <w:szCs w:val="24"/>
          <w:highlight w:val="none"/>
        </w:rPr>
        <w:instrText xml:space="preserve"> HYPERLINK \l "_Toc202907286" </w:instrText>
      </w:r>
      <w:r>
        <w:rPr>
          <w:color w:val="auto"/>
          <w:sz w:val="24"/>
          <w:szCs w:val="24"/>
          <w:highlight w:val="none"/>
        </w:rPr>
        <w:fldChar w:fldCharType="separate"/>
      </w:r>
      <w:r>
        <w:rPr>
          <w:rStyle w:val="59"/>
          <w:rFonts w:hint="eastAsia" w:ascii="宋体" w:hAnsi="宋体" w:eastAsia="宋体" w:cs="宋体"/>
          <w:b/>
          <w:color w:val="auto"/>
          <w:kern w:val="0"/>
          <w:sz w:val="24"/>
          <w:szCs w:val="24"/>
          <w:highlight w:val="none"/>
        </w:rPr>
        <w:t>一、开标、评标及定标办法修改表</w:t>
      </w:r>
      <w:r>
        <w:rPr>
          <w:rFonts w:hint="eastAsia" w:ascii="宋体" w:hAnsi="宋体"/>
          <w:color w:val="auto"/>
          <w:sz w:val="24"/>
          <w:szCs w:val="24"/>
          <w:highlight w:val="none"/>
        </w:rPr>
        <w:tab/>
      </w: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w:instrText>
      </w:r>
      <w:r>
        <w:rPr>
          <w:rFonts w:ascii="宋体" w:hAnsi="宋体"/>
          <w:color w:val="auto"/>
          <w:sz w:val="24"/>
          <w:szCs w:val="24"/>
          <w:highlight w:val="none"/>
        </w:rPr>
        <w:instrText xml:space="preserve">PAGEREF _Toc202907286 \h</w:instrText>
      </w:r>
      <w:r>
        <w:rPr>
          <w:rFonts w:hint="eastAsia" w:ascii="宋体" w:hAnsi="宋体"/>
          <w:color w:val="auto"/>
          <w:sz w:val="24"/>
          <w:szCs w:val="24"/>
          <w:highlight w:val="none"/>
        </w:rPr>
        <w:instrText xml:space="preserve"> </w:instrText>
      </w:r>
      <w:r>
        <w:rPr>
          <w:rFonts w:hint="eastAsia" w:ascii="宋体" w:hAnsi="宋体"/>
          <w:color w:val="auto"/>
          <w:sz w:val="24"/>
          <w:szCs w:val="24"/>
          <w:highlight w:val="none"/>
        </w:rPr>
        <w:fldChar w:fldCharType="separate"/>
      </w:r>
      <w:r>
        <w:rPr>
          <w:rFonts w:ascii="宋体" w:hAnsi="宋体"/>
          <w:color w:val="auto"/>
          <w:sz w:val="24"/>
          <w:szCs w:val="24"/>
          <w:highlight w:val="none"/>
        </w:rPr>
        <w:t>47</w:t>
      </w:r>
      <w:r>
        <w:rPr>
          <w:rFonts w:hint="eastAsia" w:ascii="宋体" w:hAnsi="宋体"/>
          <w:color w:val="auto"/>
          <w:sz w:val="24"/>
          <w:szCs w:val="24"/>
          <w:highlight w:val="none"/>
        </w:rPr>
        <w:fldChar w:fldCharType="end"/>
      </w:r>
      <w:r>
        <w:rPr>
          <w:rFonts w:hint="eastAsia" w:ascii="宋体" w:hAnsi="宋体"/>
          <w:color w:val="auto"/>
          <w:sz w:val="24"/>
          <w:szCs w:val="24"/>
          <w:highlight w:val="none"/>
        </w:rPr>
        <w:fldChar w:fldCharType="end"/>
      </w:r>
    </w:p>
    <w:p w14:paraId="7BDFBCAC">
      <w:pPr>
        <w:pStyle w:val="41"/>
        <w:tabs>
          <w:tab w:val="right" w:leader="dot" w:pos="9498"/>
          <w:tab w:val="clear" w:pos="9060"/>
        </w:tabs>
        <w:rPr>
          <w:rFonts w:ascii="宋体" w:hAnsi="宋体" w:cstheme="minorBidi"/>
          <w:color w:val="auto"/>
          <w:sz w:val="24"/>
          <w:szCs w:val="24"/>
          <w:highlight w:val="none"/>
          <w14:ligatures w14:val="standardContextual"/>
        </w:rPr>
      </w:pPr>
      <w:r>
        <w:rPr>
          <w:color w:val="auto"/>
          <w:sz w:val="24"/>
          <w:szCs w:val="24"/>
          <w:highlight w:val="none"/>
        </w:rPr>
        <w:fldChar w:fldCharType="begin"/>
      </w:r>
      <w:r>
        <w:rPr>
          <w:color w:val="auto"/>
          <w:sz w:val="24"/>
          <w:szCs w:val="24"/>
          <w:highlight w:val="none"/>
        </w:rPr>
        <w:instrText xml:space="preserve"> HYPERLINK \l "_Toc202907287" </w:instrText>
      </w:r>
      <w:r>
        <w:rPr>
          <w:color w:val="auto"/>
          <w:sz w:val="24"/>
          <w:szCs w:val="24"/>
          <w:highlight w:val="none"/>
        </w:rPr>
        <w:fldChar w:fldCharType="separate"/>
      </w:r>
      <w:r>
        <w:rPr>
          <w:rStyle w:val="59"/>
          <w:rFonts w:hint="eastAsia" w:ascii="宋体" w:hAnsi="宋体" w:eastAsia="宋体" w:cs="Times New Roman"/>
          <w:b/>
          <w:color w:val="auto"/>
          <w:kern w:val="0"/>
          <w:sz w:val="24"/>
          <w:szCs w:val="24"/>
          <w:highlight w:val="none"/>
        </w:rPr>
        <w:t>二、开标、评标及定标办法通用条款</w:t>
      </w:r>
      <w:r>
        <w:rPr>
          <w:rFonts w:hint="eastAsia" w:ascii="宋体" w:hAnsi="宋体"/>
          <w:color w:val="auto"/>
          <w:sz w:val="24"/>
          <w:szCs w:val="24"/>
          <w:highlight w:val="none"/>
        </w:rPr>
        <w:tab/>
      </w: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w:instrText>
      </w:r>
      <w:r>
        <w:rPr>
          <w:rFonts w:ascii="宋体" w:hAnsi="宋体"/>
          <w:color w:val="auto"/>
          <w:sz w:val="24"/>
          <w:szCs w:val="24"/>
          <w:highlight w:val="none"/>
        </w:rPr>
        <w:instrText xml:space="preserve">PAGEREF _Toc202907287 \h</w:instrText>
      </w:r>
      <w:r>
        <w:rPr>
          <w:rFonts w:hint="eastAsia" w:ascii="宋体" w:hAnsi="宋体"/>
          <w:color w:val="auto"/>
          <w:sz w:val="24"/>
          <w:szCs w:val="24"/>
          <w:highlight w:val="none"/>
        </w:rPr>
        <w:instrText xml:space="preserve"> </w:instrText>
      </w:r>
      <w:r>
        <w:rPr>
          <w:rFonts w:hint="eastAsia" w:ascii="宋体" w:hAnsi="宋体"/>
          <w:color w:val="auto"/>
          <w:sz w:val="24"/>
          <w:szCs w:val="24"/>
          <w:highlight w:val="none"/>
        </w:rPr>
        <w:fldChar w:fldCharType="separate"/>
      </w:r>
      <w:r>
        <w:rPr>
          <w:rFonts w:ascii="宋体" w:hAnsi="宋体"/>
          <w:color w:val="auto"/>
          <w:sz w:val="24"/>
          <w:szCs w:val="24"/>
          <w:highlight w:val="none"/>
        </w:rPr>
        <w:t>63</w:t>
      </w:r>
      <w:r>
        <w:rPr>
          <w:rFonts w:hint="eastAsia" w:ascii="宋体" w:hAnsi="宋体"/>
          <w:color w:val="auto"/>
          <w:sz w:val="24"/>
          <w:szCs w:val="24"/>
          <w:highlight w:val="none"/>
        </w:rPr>
        <w:fldChar w:fldCharType="end"/>
      </w:r>
      <w:r>
        <w:rPr>
          <w:rFonts w:hint="eastAsia" w:ascii="宋体" w:hAnsi="宋体"/>
          <w:color w:val="auto"/>
          <w:sz w:val="24"/>
          <w:szCs w:val="24"/>
          <w:highlight w:val="none"/>
        </w:rPr>
        <w:fldChar w:fldCharType="end"/>
      </w:r>
    </w:p>
    <w:p w14:paraId="7A6BBEDE">
      <w:pPr>
        <w:pStyle w:val="33"/>
        <w:tabs>
          <w:tab w:val="right" w:leader="dot" w:pos="9498"/>
          <w:tab w:val="clear" w:pos="9060"/>
        </w:tabs>
        <w:rPr>
          <w:rFonts w:hint="eastAsia" w:eastAsia="宋体" w:cstheme="minorBidi"/>
          <w:caps w:val="0"/>
          <w:color w:val="auto"/>
          <w:kern w:val="2"/>
          <w:sz w:val="24"/>
          <w:szCs w:val="24"/>
          <w:highlight w:val="none"/>
          <w:lang w:val="en-US" w:eastAsia="zh-CN"/>
          <w14:ligatures w14:val="standardContextual"/>
        </w:rPr>
      </w:pPr>
      <w:r>
        <w:rPr>
          <w:color w:val="auto"/>
          <w:sz w:val="24"/>
          <w:szCs w:val="24"/>
          <w:highlight w:val="none"/>
        </w:rPr>
        <w:fldChar w:fldCharType="begin"/>
      </w:r>
      <w:r>
        <w:rPr>
          <w:color w:val="auto"/>
          <w:sz w:val="24"/>
          <w:szCs w:val="24"/>
          <w:highlight w:val="none"/>
        </w:rPr>
        <w:instrText xml:space="preserve"> HYPERLINK \l "_Toc202907304" </w:instrText>
      </w:r>
      <w:r>
        <w:rPr>
          <w:color w:val="auto"/>
          <w:sz w:val="24"/>
          <w:szCs w:val="24"/>
          <w:highlight w:val="none"/>
        </w:rPr>
        <w:fldChar w:fldCharType="separate"/>
      </w:r>
      <w:r>
        <w:rPr>
          <w:rStyle w:val="59"/>
          <w:rFonts w:hint="eastAsia" w:ascii="宋体" w:hAnsi="宋体" w:eastAsia="宋体" w:cs="宋体"/>
          <w:b/>
          <w:color w:val="auto"/>
          <w:kern w:val="44"/>
          <w:sz w:val="24"/>
          <w:szCs w:val="24"/>
          <w:highlight w:val="none"/>
        </w:rPr>
        <w:t>第三章 合同条款</w:t>
      </w:r>
      <w:r>
        <w:rPr>
          <w:rFonts w:hint="eastAsia"/>
          <w:color w:val="auto"/>
          <w:sz w:val="24"/>
          <w:szCs w:val="24"/>
          <w:highlight w:val="none"/>
        </w:rPr>
        <w:tab/>
      </w:r>
      <w:r>
        <w:rPr>
          <w:rFonts w:hint="eastAsia"/>
          <w:color w:val="auto"/>
          <w:sz w:val="24"/>
          <w:szCs w:val="24"/>
          <w:highlight w:val="none"/>
          <w:lang w:val="en-US" w:eastAsia="zh-CN"/>
        </w:rPr>
        <w:t>9</w:t>
      </w:r>
      <w:r>
        <w:rPr>
          <w:rFonts w:hint="eastAsia"/>
          <w:color w:val="auto"/>
          <w:sz w:val="24"/>
          <w:szCs w:val="24"/>
          <w:highlight w:val="none"/>
        </w:rPr>
        <w:fldChar w:fldCharType="end"/>
      </w:r>
      <w:r>
        <w:rPr>
          <w:rFonts w:hint="eastAsia"/>
          <w:color w:val="auto"/>
          <w:sz w:val="24"/>
          <w:szCs w:val="24"/>
          <w:highlight w:val="none"/>
          <w:lang w:val="en-US" w:eastAsia="zh-CN"/>
        </w:rPr>
        <w:t>4</w:t>
      </w:r>
    </w:p>
    <w:p w14:paraId="77C6892D">
      <w:pPr>
        <w:pStyle w:val="33"/>
        <w:tabs>
          <w:tab w:val="right" w:leader="dot" w:pos="9498"/>
          <w:tab w:val="clear" w:pos="9060"/>
        </w:tabs>
        <w:rPr>
          <w:rFonts w:cstheme="minorBidi"/>
          <w:caps w:val="0"/>
          <w:color w:val="auto"/>
          <w:kern w:val="2"/>
          <w:sz w:val="24"/>
          <w:szCs w:val="24"/>
          <w:highlight w:val="none"/>
          <w14:ligatures w14:val="standardContextual"/>
        </w:rPr>
      </w:pPr>
      <w:r>
        <w:rPr>
          <w:color w:val="auto"/>
          <w:sz w:val="24"/>
          <w:szCs w:val="24"/>
          <w:highlight w:val="none"/>
        </w:rPr>
        <w:fldChar w:fldCharType="begin"/>
      </w:r>
      <w:r>
        <w:rPr>
          <w:color w:val="auto"/>
          <w:sz w:val="24"/>
          <w:szCs w:val="24"/>
          <w:highlight w:val="none"/>
        </w:rPr>
        <w:instrText xml:space="preserve"> HYPERLINK \l "_Toc202907305" </w:instrText>
      </w:r>
      <w:r>
        <w:rPr>
          <w:color w:val="auto"/>
          <w:sz w:val="24"/>
          <w:szCs w:val="24"/>
          <w:highlight w:val="none"/>
        </w:rPr>
        <w:fldChar w:fldCharType="separate"/>
      </w:r>
      <w:r>
        <w:rPr>
          <w:rStyle w:val="59"/>
          <w:rFonts w:hint="eastAsia" w:ascii="宋体" w:hAnsi="宋体" w:eastAsia="宋体" w:cs="宋体"/>
          <w:b/>
          <w:color w:val="auto"/>
          <w:kern w:val="44"/>
          <w:sz w:val="24"/>
          <w:szCs w:val="24"/>
          <w:highlight w:val="none"/>
        </w:rPr>
        <w:t>第四章 投标文件格式</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w:instrText>
      </w:r>
      <w:r>
        <w:rPr>
          <w:color w:val="auto"/>
          <w:sz w:val="24"/>
          <w:szCs w:val="24"/>
          <w:highlight w:val="none"/>
        </w:rPr>
        <w:instrText xml:space="preserve">PAGEREF _Toc202907305 \h</w:instrText>
      </w:r>
      <w:r>
        <w:rPr>
          <w:rFonts w:hint="eastAsia"/>
          <w:color w:val="auto"/>
          <w:sz w:val="24"/>
          <w:szCs w:val="24"/>
          <w:highlight w:val="none"/>
        </w:rPr>
        <w:instrText xml:space="preserve"> </w:instrText>
      </w:r>
      <w:r>
        <w:rPr>
          <w:rFonts w:hint="eastAsia"/>
          <w:color w:val="auto"/>
          <w:sz w:val="24"/>
          <w:szCs w:val="24"/>
          <w:highlight w:val="none"/>
        </w:rPr>
        <w:fldChar w:fldCharType="separate"/>
      </w:r>
      <w:r>
        <w:rPr>
          <w:color w:val="auto"/>
          <w:sz w:val="24"/>
          <w:szCs w:val="24"/>
          <w:highlight w:val="none"/>
        </w:rPr>
        <w:t>180</w:t>
      </w:r>
      <w:r>
        <w:rPr>
          <w:rFonts w:hint="eastAsia"/>
          <w:color w:val="auto"/>
          <w:sz w:val="24"/>
          <w:szCs w:val="24"/>
          <w:highlight w:val="none"/>
        </w:rPr>
        <w:fldChar w:fldCharType="end"/>
      </w:r>
      <w:r>
        <w:rPr>
          <w:rFonts w:hint="eastAsia"/>
          <w:color w:val="auto"/>
          <w:sz w:val="24"/>
          <w:szCs w:val="24"/>
          <w:highlight w:val="none"/>
        </w:rPr>
        <w:fldChar w:fldCharType="end"/>
      </w:r>
    </w:p>
    <w:p w14:paraId="482FDAC5">
      <w:pPr>
        <w:pStyle w:val="41"/>
        <w:tabs>
          <w:tab w:val="left" w:pos="1200"/>
          <w:tab w:val="right" w:leader="dot" w:pos="9498"/>
          <w:tab w:val="clear" w:pos="9060"/>
        </w:tabs>
        <w:rPr>
          <w:rFonts w:ascii="宋体" w:hAnsi="宋体" w:cstheme="minorBidi"/>
          <w:color w:val="auto"/>
          <w:sz w:val="24"/>
          <w:szCs w:val="24"/>
          <w:highlight w:val="none"/>
          <w14:ligatures w14:val="standardContextual"/>
        </w:rPr>
      </w:pPr>
      <w:r>
        <w:rPr>
          <w:color w:val="auto"/>
          <w:sz w:val="24"/>
          <w:szCs w:val="24"/>
          <w:highlight w:val="none"/>
        </w:rPr>
        <w:fldChar w:fldCharType="begin"/>
      </w:r>
      <w:r>
        <w:rPr>
          <w:color w:val="auto"/>
          <w:sz w:val="24"/>
          <w:szCs w:val="24"/>
          <w:highlight w:val="none"/>
        </w:rPr>
        <w:instrText xml:space="preserve"> HYPERLINK \l "_Toc202907306" </w:instrText>
      </w:r>
      <w:r>
        <w:rPr>
          <w:color w:val="auto"/>
          <w:sz w:val="24"/>
          <w:szCs w:val="24"/>
          <w:highlight w:val="none"/>
        </w:rPr>
        <w:fldChar w:fldCharType="separate"/>
      </w:r>
      <w:r>
        <w:rPr>
          <w:rStyle w:val="59"/>
          <w:rFonts w:hint="eastAsia" w:ascii="宋体" w:hAnsi="宋体" w:eastAsia="宋体" w:cs="宋体"/>
          <w:b/>
          <w:color w:val="auto"/>
          <w:kern w:val="0"/>
          <w:sz w:val="24"/>
          <w:szCs w:val="24"/>
          <w:highlight w:val="none"/>
        </w:rPr>
        <w:t>一、技术标投标文件格式</w:t>
      </w:r>
      <w:r>
        <w:rPr>
          <w:rFonts w:hint="eastAsia" w:ascii="宋体" w:hAnsi="宋体"/>
          <w:color w:val="auto"/>
          <w:sz w:val="24"/>
          <w:szCs w:val="24"/>
          <w:highlight w:val="none"/>
        </w:rPr>
        <w:tab/>
      </w: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w:instrText>
      </w:r>
      <w:r>
        <w:rPr>
          <w:rFonts w:ascii="宋体" w:hAnsi="宋体"/>
          <w:color w:val="auto"/>
          <w:sz w:val="24"/>
          <w:szCs w:val="24"/>
          <w:highlight w:val="none"/>
        </w:rPr>
        <w:instrText xml:space="preserve">PAGEREF _Toc202907306 \h</w:instrText>
      </w:r>
      <w:r>
        <w:rPr>
          <w:rFonts w:hint="eastAsia" w:ascii="宋体" w:hAnsi="宋体"/>
          <w:color w:val="auto"/>
          <w:sz w:val="24"/>
          <w:szCs w:val="24"/>
          <w:highlight w:val="none"/>
        </w:rPr>
        <w:instrText xml:space="preserve"> </w:instrText>
      </w:r>
      <w:r>
        <w:rPr>
          <w:rFonts w:hint="eastAsia" w:ascii="宋体" w:hAnsi="宋体"/>
          <w:color w:val="auto"/>
          <w:sz w:val="24"/>
          <w:szCs w:val="24"/>
          <w:highlight w:val="none"/>
        </w:rPr>
        <w:fldChar w:fldCharType="separate"/>
      </w:r>
      <w:r>
        <w:rPr>
          <w:rFonts w:ascii="宋体" w:hAnsi="宋体"/>
          <w:color w:val="auto"/>
          <w:sz w:val="24"/>
          <w:szCs w:val="24"/>
          <w:highlight w:val="none"/>
        </w:rPr>
        <w:t>180</w:t>
      </w:r>
      <w:r>
        <w:rPr>
          <w:rFonts w:hint="eastAsia" w:ascii="宋体" w:hAnsi="宋体"/>
          <w:color w:val="auto"/>
          <w:sz w:val="24"/>
          <w:szCs w:val="24"/>
          <w:highlight w:val="none"/>
        </w:rPr>
        <w:fldChar w:fldCharType="end"/>
      </w:r>
      <w:r>
        <w:rPr>
          <w:rFonts w:hint="eastAsia" w:ascii="宋体" w:hAnsi="宋体"/>
          <w:color w:val="auto"/>
          <w:sz w:val="24"/>
          <w:szCs w:val="24"/>
          <w:highlight w:val="none"/>
        </w:rPr>
        <w:fldChar w:fldCharType="end"/>
      </w:r>
    </w:p>
    <w:p w14:paraId="7BF446A5">
      <w:pPr>
        <w:pStyle w:val="41"/>
        <w:tabs>
          <w:tab w:val="left" w:pos="1200"/>
          <w:tab w:val="right" w:leader="dot" w:pos="9498"/>
          <w:tab w:val="clear" w:pos="9060"/>
        </w:tabs>
        <w:rPr>
          <w:rFonts w:ascii="宋体" w:hAnsi="宋体" w:cstheme="minorBidi"/>
          <w:color w:val="auto"/>
          <w:sz w:val="24"/>
          <w:szCs w:val="24"/>
          <w:highlight w:val="none"/>
          <w14:ligatures w14:val="standardContextual"/>
        </w:rPr>
      </w:pPr>
      <w:r>
        <w:rPr>
          <w:color w:val="auto"/>
          <w:sz w:val="24"/>
          <w:szCs w:val="24"/>
          <w:highlight w:val="none"/>
        </w:rPr>
        <w:fldChar w:fldCharType="begin"/>
      </w:r>
      <w:r>
        <w:rPr>
          <w:color w:val="auto"/>
          <w:sz w:val="24"/>
          <w:szCs w:val="24"/>
          <w:highlight w:val="none"/>
        </w:rPr>
        <w:instrText xml:space="preserve"> HYPERLINK \l "_Toc202907316" </w:instrText>
      </w:r>
      <w:r>
        <w:rPr>
          <w:color w:val="auto"/>
          <w:sz w:val="24"/>
          <w:szCs w:val="24"/>
          <w:highlight w:val="none"/>
        </w:rPr>
        <w:fldChar w:fldCharType="separate"/>
      </w:r>
      <w:r>
        <w:rPr>
          <w:rStyle w:val="59"/>
          <w:rFonts w:hint="eastAsia" w:ascii="宋体" w:hAnsi="宋体" w:eastAsia="宋体" w:cs="宋体"/>
          <w:b/>
          <w:color w:val="auto"/>
          <w:kern w:val="0"/>
          <w:sz w:val="24"/>
          <w:szCs w:val="24"/>
          <w:highlight w:val="none"/>
        </w:rPr>
        <w:t>二、经济标投标文件格式</w:t>
      </w:r>
      <w:r>
        <w:rPr>
          <w:rFonts w:hint="eastAsia" w:ascii="宋体" w:hAnsi="宋体"/>
          <w:color w:val="auto"/>
          <w:sz w:val="24"/>
          <w:szCs w:val="24"/>
          <w:highlight w:val="none"/>
        </w:rPr>
        <w:tab/>
      </w: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w:instrText>
      </w:r>
      <w:r>
        <w:rPr>
          <w:rFonts w:ascii="宋体" w:hAnsi="宋体"/>
          <w:color w:val="auto"/>
          <w:sz w:val="24"/>
          <w:szCs w:val="24"/>
          <w:highlight w:val="none"/>
        </w:rPr>
        <w:instrText xml:space="preserve">PAGEREF _Toc202907316 \h</w:instrText>
      </w:r>
      <w:r>
        <w:rPr>
          <w:rFonts w:hint="eastAsia" w:ascii="宋体" w:hAnsi="宋体"/>
          <w:color w:val="auto"/>
          <w:sz w:val="24"/>
          <w:szCs w:val="24"/>
          <w:highlight w:val="none"/>
        </w:rPr>
        <w:instrText xml:space="preserve"> </w:instrText>
      </w:r>
      <w:r>
        <w:rPr>
          <w:rFonts w:hint="eastAsia" w:ascii="宋体" w:hAnsi="宋体"/>
          <w:color w:val="auto"/>
          <w:sz w:val="24"/>
          <w:szCs w:val="24"/>
          <w:highlight w:val="none"/>
        </w:rPr>
        <w:fldChar w:fldCharType="separate"/>
      </w:r>
      <w:r>
        <w:rPr>
          <w:rFonts w:ascii="宋体" w:hAnsi="宋体"/>
          <w:color w:val="auto"/>
          <w:sz w:val="24"/>
          <w:szCs w:val="24"/>
          <w:highlight w:val="none"/>
        </w:rPr>
        <w:t>207</w:t>
      </w:r>
      <w:r>
        <w:rPr>
          <w:rFonts w:hint="eastAsia" w:ascii="宋体" w:hAnsi="宋体"/>
          <w:color w:val="auto"/>
          <w:sz w:val="24"/>
          <w:szCs w:val="24"/>
          <w:highlight w:val="none"/>
        </w:rPr>
        <w:fldChar w:fldCharType="end"/>
      </w:r>
      <w:r>
        <w:rPr>
          <w:rFonts w:hint="eastAsia" w:ascii="宋体" w:hAnsi="宋体"/>
          <w:color w:val="auto"/>
          <w:sz w:val="24"/>
          <w:szCs w:val="24"/>
          <w:highlight w:val="none"/>
        </w:rPr>
        <w:fldChar w:fldCharType="end"/>
      </w:r>
    </w:p>
    <w:p w14:paraId="6ED87FB7">
      <w:pPr>
        <w:pStyle w:val="33"/>
        <w:tabs>
          <w:tab w:val="right" w:leader="dot" w:pos="9498"/>
          <w:tab w:val="clear" w:pos="9060"/>
        </w:tabs>
        <w:rPr>
          <w:rFonts w:cstheme="minorBidi"/>
          <w:caps w:val="0"/>
          <w:color w:val="auto"/>
          <w:kern w:val="2"/>
          <w:sz w:val="24"/>
          <w:szCs w:val="24"/>
          <w:highlight w:val="none"/>
          <w14:ligatures w14:val="standardContextual"/>
        </w:rPr>
      </w:pPr>
      <w:r>
        <w:rPr>
          <w:color w:val="auto"/>
          <w:sz w:val="24"/>
          <w:szCs w:val="24"/>
          <w:highlight w:val="none"/>
        </w:rPr>
        <w:fldChar w:fldCharType="begin"/>
      </w:r>
      <w:r>
        <w:rPr>
          <w:color w:val="auto"/>
          <w:sz w:val="24"/>
          <w:szCs w:val="24"/>
          <w:highlight w:val="none"/>
        </w:rPr>
        <w:instrText xml:space="preserve"> HYPERLINK \l "_Toc202907320" </w:instrText>
      </w:r>
      <w:r>
        <w:rPr>
          <w:color w:val="auto"/>
          <w:sz w:val="24"/>
          <w:szCs w:val="24"/>
          <w:highlight w:val="none"/>
        </w:rPr>
        <w:fldChar w:fldCharType="separate"/>
      </w:r>
      <w:r>
        <w:rPr>
          <w:rStyle w:val="59"/>
          <w:rFonts w:hint="eastAsia" w:ascii="宋体" w:hAnsi="宋体" w:eastAsia="宋体" w:cs="宋体"/>
          <w:b/>
          <w:color w:val="auto"/>
          <w:kern w:val="44"/>
          <w:sz w:val="24"/>
          <w:szCs w:val="24"/>
          <w:highlight w:val="none"/>
        </w:rPr>
        <w:t>第五章 技术条件（工程建设标准）</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w:instrText>
      </w:r>
      <w:r>
        <w:rPr>
          <w:color w:val="auto"/>
          <w:sz w:val="24"/>
          <w:szCs w:val="24"/>
          <w:highlight w:val="none"/>
        </w:rPr>
        <w:instrText xml:space="preserve">PAGEREF _Toc202907320 \h</w:instrText>
      </w:r>
      <w:r>
        <w:rPr>
          <w:rFonts w:hint="eastAsia"/>
          <w:color w:val="auto"/>
          <w:sz w:val="24"/>
          <w:szCs w:val="24"/>
          <w:highlight w:val="none"/>
        </w:rPr>
        <w:instrText xml:space="preserve"> </w:instrText>
      </w:r>
      <w:r>
        <w:rPr>
          <w:rFonts w:hint="eastAsia"/>
          <w:color w:val="auto"/>
          <w:sz w:val="24"/>
          <w:szCs w:val="24"/>
          <w:highlight w:val="none"/>
        </w:rPr>
        <w:fldChar w:fldCharType="separate"/>
      </w:r>
      <w:r>
        <w:rPr>
          <w:color w:val="auto"/>
          <w:sz w:val="24"/>
          <w:szCs w:val="24"/>
          <w:highlight w:val="none"/>
        </w:rPr>
        <w:t>210</w:t>
      </w:r>
      <w:r>
        <w:rPr>
          <w:rFonts w:hint="eastAsia"/>
          <w:color w:val="auto"/>
          <w:sz w:val="24"/>
          <w:szCs w:val="24"/>
          <w:highlight w:val="none"/>
        </w:rPr>
        <w:fldChar w:fldCharType="end"/>
      </w:r>
      <w:r>
        <w:rPr>
          <w:rFonts w:hint="eastAsia"/>
          <w:color w:val="auto"/>
          <w:sz w:val="24"/>
          <w:szCs w:val="24"/>
          <w:highlight w:val="none"/>
        </w:rPr>
        <w:fldChar w:fldCharType="end"/>
      </w:r>
    </w:p>
    <w:p w14:paraId="3C8647BD">
      <w:pPr>
        <w:pStyle w:val="33"/>
        <w:tabs>
          <w:tab w:val="right" w:leader="dot" w:pos="9498"/>
          <w:tab w:val="clear" w:pos="9060"/>
        </w:tabs>
        <w:rPr>
          <w:rFonts w:cstheme="minorBidi"/>
          <w:caps w:val="0"/>
          <w:color w:val="auto"/>
          <w:kern w:val="2"/>
          <w:sz w:val="24"/>
          <w:szCs w:val="24"/>
          <w:highlight w:val="none"/>
          <w14:ligatures w14:val="standardContextual"/>
        </w:rPr>
      </w:pPr>
      <w:r>
        <w:rPr>
          <w:color w:val="auto"/>
          <w:sz w:val="24"/>
          <w:szCs w:val="24"/>
          <w:highlight w:val="none"/>
        </w:rPr>
        <w:fldChar w:fldCharType="begin"/>
      </w:r>
      <w:r>
        <w:rPr>
          <w:color w:val="auto"/>
          <w:sz w:val="24"/>
          <w:szCs w:val="24"/>
          <w:highlight w:val="none"/>
        </w:rPr>
        <w:instrText xml:space="preserve"> HYPERLINK \l "_Toc202907321" </w:instrText>
      </w:r>
      <w:r>
        <w:rPr>
          <w:color w:val="auto"/>
          <w:sz w:val="24"/>
          <w:szCs w:val="24"/>
          <w:highlight w:val="none"/>
        </w:rPr>
        <w:fldChar w:fldCharType="separate"/>
      </w:r>
      <w:r>
        <w:rPr>
          <w:rStyle w:val="59"/>
          <w:rFonts w:hint="eastAsia" w:ascii="宋体" w:hAnsi="宋体" w:eastAsia="宋体" w:cs="宋体"/>
          <w:b/>
          <w:color w:val="auto"/>
          <w:kern w:val="44"/>
          <w:sz w:val="24"/>
          <w:szCs w:val="24"/>
          <w:highlight w:val="none"/>
        </w:rPr>
        <w:t>第六章 图纸及勘察资料</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w:instrText>
      </w:r>
      <w:r>
        <w:rPr>
          <w:color w:val="auto"/>
          <w:sz w:val="24"/>
          <w:szCs w:val="24"/>
          <w:highlight w:val="none"/>
        </w:rPr>
        <w:instrText xml:space="preserve">PAGEREF _Toc202907321 \h</w:instrText>
      </w:r>
      <w:r>
        <w:rPr>
          <w:rFonts w:hint="eastAsia"/>
          <w:color w:val="auto"/>
          <w:sz w:val="24"/>
          <w:szCs w:val="24"/>
          <w:highlight w:val="none"/>
        </w:rPr>
        <w:instrText xml:space="preserve"> </w:instrText>
      </w:r>
      <w:r>
        <w:rPr>
          <w:rFonts w:hint="eastAsia"/>
          <w:color w:val="auto"/>
          <w:sz w:val="24"/>
          <w:szCs w:val="24"/>
          <w:highlight w:val="none"/>
        </w:rPr>
        <w:fldChar w:fldCharType="separate"/>
      </w:r>
      <w:r>
        <w:rPr>
          <w:color w:val="auto"/>
          <w:sz w:val="24"/>
          <w:szCs w:val="24"/>
          <w:highlight w:val="none"/>
        </w:rPr>
        <w:t>213</w:t>
      </w:r>
      <w:r>
        <w:rPr>
          <w:rFonts w:hint="eastAsia"/>
          <w:color w:val="auto"/>
          <w:sz w:val="24"/>
          <w:szCs w:val="24"/>
          <w:highlight w:val="none"/>
        </w:rPr>
        <w:fldChar w:fldCharType="end"/>
      </w:r>
      <w:r>
        <w:rPr>
          <w:rFonts w:hint="eastAsia"/>
          <w:color w:val="auto"/>
          <w:sz w:val="24"/>
          <w:szCs w:val="24"/>
          <w:highlight w:val="none"/>
        </w:rPr>
        <w:fldChar w:fldCharType="end"/>
      </w:r>
    </w:p>
    <w:p w14:paraId="15847357">
      <w:pPr>
        <w:pStyle w:val="33"/>
        <w:tabs>
          <w:tab w:val="right" w:leader="dot" w:pos="9498"/>
          <w:tab w:val="clear" w:pos="9060"/>
        </w:tabs>
        <w:rPr>
          <w:rFonts w:cstheme="minorBidi"/>
          <w:caps w:val="0"/>
          <w:color w:val="auto"/>
          <w:kern w:val="2"/>
          <w:sz w:val="24"/>
          <w:szCs w:val="24"/>
          <w:highlight w:val="none"/>
          <w14:ligatures w14:val="standardContextual"/>
        </w:rPr>
      </w:pPr>
      <w:r>
        <w:rPr>
          <w:color w:val="auto"/>
          <w:sz w:val="24"/>
          <w:szCs w:val="24"/>
          <w:highlight w:val="none"/>
        </w:rPr>
        <w:fldChar w:fldCharType="begin"/>
      </w:r>
      <w:r>
        <w:rPr>
          <w:color w:val="auto"/>
          <w:sz w:val="24"/>
          <w:szCs w:val="24"/>
          <w:highlight w:val="none"/>
        </w:rPr>
        <w:instrText xml:space="preserve"> HYPERLINK \l "_Toc202907322" </w:instrText>
      </w:r>
      <w:r>
        <w:rPr>
          <w:color w:val="auto"/>
          <w:sz w:val="24"/>
          <w:szCs w:val="24"/>
          <w:highlight w:val="none"/>
        </w:rPr>
        <w:fldChar w:fldCharType="separate"/>
      </w:r>
      <w:r>
        <w:rPr>
          <w:rStyle w:val="59"/>
          <w:rFonts w:hint="eastAsia" w:ascii="宋体" w:hAnsi="宋体" w:eastAsia="宋体" w:cs="宋体"/>
          <w:b/>
          <w:color w:val="auto"/>
          <w:kern w:val="44"/>
          <w:sz w:val="24"/>
          <w:szCs w:val="24"/>
          <w:highlight w:val="none"/>
        </w:rPr>
        <w:t>第七章 工程量清单</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w:instrText>
      </w:r>
      <w:r>
        <w:rPr>
          <w:color w:val="auto"/>
          <w:sz w:val="24"/>
          <w:szCs w:val="24"/>
          <w:highlight w:val="none"/>
        </w:rPr>
        <w:instrText xml:space="preserve">PAGEREF _Toc202907322 \h</w:instrText>
      </w:r>
      <w:r>
        <w:rPr>
          <w:rFonts w:hint="eastAsia"/>
          <w:color w:val="auto"/>
          <w:sz w:val="24"/>
          <w:szCs w:val="24"/>
          <w:highlight w:val="none"/>
        </w:rPr>
        <w:instrText xml:space="preserve"> </w:instrText>
      </w:r>
      <w:r>
        <w:rPr>
          <w:rFonts w:hint="eastAsia"/>
          <w:color w:val="auto"/>
          <w:sz w:val="24"/>
          <w:szCs w:val="24"/>
          <w:highlight w:val="none"/>
        </w:rPr>
        <w:fldChar w:fldCharType="separate"/>
      </w:r>
      <w:r>
        <w:rPr>
          <w:color w:val="auto"/>
          <w:sz w:val="24"/>
          <w:szCs w:val="24"/>
          <w:highlight w:val="none"/>
        </w:rPr>
        <w:t>214</w:t>
      </w:r>
      <w:r>
        <w:rPr>
          <w:rFonts w:hint="eastAsia"/>
          <w:color w:val="auto"/>
          <w:sz w:val="24"/>
          <w:szCs w:val="24"/>
          <w:highlight w:val="none"/>
        </w:rPr>
        <w:fldChar w:fldCharType="end"/>
      </w:r>
      <w:r>
        <w:rPr>
          <w:rFonts w:hint="eastAsia"/>
          <w:color w:val="auto"/>
          <w:sz w:val="24"/>
          <w:szCs w:val="24"/>
          <w:highlight w:val="none"/>
        </w:rPr>
        <w:fldChar w:fldCharType="end"/>
      </w:r>
    </w:p>
    <w:p w14:paraId="5A506C8F">
      <w:pPr>
        <w:pStyle w:val="33"/>
        <w:tabs>
          <w:tab w:val="right" w:leader="dot" w:pos="9498"/>
          <w:tab w:val="clear" w:pos="9060"/>
        </w:tabs>
        <w:rPr>
          <w:rFonts w:cstheme="minorBidi"/>
          <w:caps w:val="0"/>
          <w:color w:val="auto"/>
          <w:kern w:val="2"/>
          <w:sz w:val="24"/>
          <w:szCs w:val="24"/>
          <w:highlight w:val="none"/>
          <w14:ligatures w14:val="standardContextual"/>
        </w:rPr>
      </w:pPr>
      <w:r>
        <w:rPr>
          <w:color w:val="auto"/>
          <w:sz w:val="24"/>
          <w:szCs w:val="24"/>
          <w:highlight w:val="none"/>
        </w:rPr>
        <w:fldChar w:fldCharType="begin"/>
      </w:r>
      <w:r>
        <w:rPr>
          <w:color w:val="auto"/>
          <w:sz w:val="24"/>
          <w:szCs w:val="24"/>
          <w:highlight w:val="none"/>
        </w:rPr>
        <w:instrText xml:space="preserve"> HYPERLINK \l "_Toc202907323" </w:instrText>
      </w:r>
      <w:r>
        <w:rPr>
          <w:color w:val="auto"/>
          <w:sz w:val="24"/>
          <w:szCs w:val="24"/>
          <w:highlight w:val="none"/>
        </w:rPr>
        <w:fldChar w:fldCharType="separate"/>
      </w:r>
      <w:r>
        <w:rPr>
          <w:rStyle w:val="59"/>
          <w:rFonts w:hint="eastAsia" w:ascii="宋体" w:hAnsi="宋体" w:eastAsia="宋体" w:cs="宋体"/>
          <w:b/>
          <w:color w:val="auto"/>
          <w:kern w:val="44"/>
          <w:sz w:val="24"/>
          <w:szCs w:val="24"/>
          <w:highlight w:val="none"/>
        </w:rPr>
        <w:t>第八章 最高投标限价</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w:instrText>
      </w:r>
      <w:r>
        <w:rPr>
          <w:color w:val="auto"/>
          <w:sz w:val="24"/>
          <w:szCs w:val="24"/>
          <w:highlight w:val="none"/>
        </w:rPr>
        <w:instrText xml:space="preserve">PAGEREF _Toc202907323 \h</w:instrText>
      </w:r>
      <w:r>
        <w:rPr>
          <w:rFonts w:hint="eastAsia"/>
          <w:color w:val="auto"/>
          <w:sz w:val="24"/>
          <w:szCs w:val="24"/>
          <w:highlight w:val="none"/>
        </w:rPr>
        <w:instrText xml:space="preserve"> </w:instrText>
      </w:r>
      <w:r>
        <w:rPr>
          <w:rFonts w:hint="eastAsia"/>
          <w:color w:val="auto"/>
          <w:sz w:val="24"/>
          <w:szCs w:val="24"/>
          <w:highlight w:val="none"/>
        </w:rPr>
        <w:fldChar w:fldCharType="separate"/>
      </w:r>
      <w:r>
        <w:rPr>
          <w:color w:val="auto"/>
          <w:sz w:val="24"/>
          <w:szCs w:val="24"/>
          <w:highlight w:val="none"/>
        </w:rPr>
        <w:t>215</w:t>
      </w:r>
      <w:r>
        <w:rPr>
          <w:rFonts w:hint="eastAsia"/>
          <w:color w:val="auto"/>
          <w:sz w:val="24"/>
          <w:szCs w:val="24"/>
          <w:highlight w:val="none"/>
        </w:rPr>
        <w:fldChar w:fldCharType="end"/>
      </w:r>
      <w:r>
        <w:rPr>
          <w:rFonts w:hint="eastAsia"/>
          <w:color w:val="auto"/>
          <w:sz w:val="24"/>
          <w:szCs w:val="24"/>
          <w:highlight w:val="none"/>
        </w:rPr>
        <w:fldChar w:fldCharType="end"/>
      </w:r>
    </w:p>
    <w:p w14:paraId="6B35BA15">
      <w:pPr>
        <w:tabs>
          <w:tab w:val="right" w:leader="dot" w:pos="9498"/>
        </w:tabs>
        <w:spacing w:line="360" w:lineRule="auto"/>
        <w:rPr>
          <w:rFonts w:ascii="宋体" w:hAnsi="宋体" w:eastAsia="宋体" w:cs="宋体"/>
          <w:color w:val="auto"/>
          <w:szCs w:val="21"/>
          <w:highlight w:val="none"/>
        </w:rPr>
      </w:pPr>
      <w:r>
        <w:rPr>
          <w:rFonts w:hint="eastAsia" w:ascii="宋体" w:hAnsi="宋体" w:eastAsia="宋体" w:cs="宋体"/>
          <w:color w:val="auto"/>
          <w:sz w:val="24"/>
          <w:szCs w:val="24"/>
          <w:highlight w:val="none"/>
        </w:rPr>
        <w:fldChar w:fldCharType="end"/>
      </w:r>
    </w:p>
    <w:p w14:paraId="05A791C3">
      <w:pPr>
        <w:keepNext/>
        <w:keepLines/>
        <w:spacing w:line="360" w:lineRule="auto"/>
        <w:jc w:val="center"/>
        <w:outlineLvl w:val="0"/>
        <w:rPr>
          <w:rFonts w:ascii="宋体" w:hAnsi="宋体" w:eastAsia="宋体" w:cs="宋体"/>
          <w:b/>
          <w:color w:val="auto"/>
          <w:kern w:val="44"/>
          <w:sz w:val="28"/>
          <w:szCs w:val="28"/>
          <w:highlight w:val="none"/>
        </w:rPr>
      </w:pPr>
      <w:r>
        <w:rPr>
          <w:rFonts w:hint="eastAsia" w:ascii="宋体" w:hAnsi="宋体" w:eastAsia="宋体" w:cs="宋体"/>
          <w:color w:val="auto"/>
          <w:kern w:val="44"/>
          <w:sz w:val="28"/>
          <w:szCs w:val="28"/>
          <w:highlight w:val="none"/>
        </w:rPr>
        <w:br w:type="page"/>
      </w:r>
      <w:bookmarkStart w:id="0" w:name="_Toc202907276"/>
      <w:r>
        <w:rPr>
          <w:rFonts w:hint="eastAsia" w:ascii="宋体" w:hAnsi="宋体" w:eastAsia="宋体" w:cs="宋体"/>
          <w:b/>
          <w:color w:val="auto"/>
          <w:kern w:val="44"/>
          <w:sz w:val="28"/>
          <w:szCs w:val="28"/>
          <w:highlight w:val="none"/>
        </w:rPr>
        <w:t>第一章 投标须知</w:t>
      </w:r>
      <w:bookmarkEnd w:id="0"/>
    </w:p>
    <w:p w14:paraId="0D7156EB">
      <w:pPr>
        <w:keepNext/>
        <w:keepLines/>
        <w:numPr>
          <w:ilvl w:val="1"/>
          <w:numId w:val="0"/>
        </w:numPr>
        <w:spacing w:line="360" w:lineRule="auto"/>
        <w:jc w:val="center"/>
        <w:outlineLvl w:val="1"/>
        <w:rPr>
          <w:rFonts w:ascii="宋体" w:hAnsi="宋体" w:eastAsia="宋体" w:cs="宋体"/>
          <w:b/>
          <w:color w:val="auto"/>
          <w:kern w:val="0"/>
          <w:sz w:val="24"/>
          <w:szCs w:val="24"/>
          <w:highlight w:val="none"/>
        </w:rPr>
      </w:pPr>
      <w:bookmarkStart w:id="1" w:name="_Toc202907277"/>
      <w:r>
        <w:rPr>
          <w:rFonts w:hint="eastAsia" w:ascii="宋体" w:hAnsi="宋体" w:eastAsia="宋体" w:cs="宋体"/>
          <w:b/>
          <w:color w:val="auto"/>
          <w:kern w:val="0"/>
          <w:sz w:val="24"/>
          <w:szCs w:val="24"/>
          <w:highlight w:val="none"/>
        </w:rPr>
        <w:t>一、投标须知前附表</w:t>
      </w:r>
      <w:bookmarkEnd w:id="1"/>
    </w:p>
    <w:p w14:paraId="3EBD7343">
      <w:pPr>
        <w:spacing w:line="360" w:lineRule="auto"/>
        <w:ind w:firstLine="424" w:firstLineChars="201"/>
        <w:rPr>
          <w:rFonts w:ascii="宋体" w:hAnsi="宋体" w:eastAsia="宋体" w:cs="宋体"/>
          <w:b/>
          <w:color w:val="auto"/>
          <w:szCs w:val="21"/>
          <w:highlight w:val="none"/>
        </w:rPr>
      </w:pPr>
      <w:r>
        <w:rPr>
          <w:rFonts w:hint="eastAsia" w:ascii="宋体" w:hAnsi="宋体" w:eastAsia="宋体" w:cs="宋体"/>
          <w:b/>
          <w:color w:val="auto"/>
          <w:szCs w:val="21"/>
          <w:highlight w:val="none"/>
        </w:rPr>
        <w:t>声明：本投标须知前附表使用GZJTZB2025-3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50"/>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925"/>
        <w:gridCol w:w="1564"/>
        <w:gridCol w:w="6094"/>
      </w:tblGrid>
      <w:tr w14:paraId="18E7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24C636DA">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501" w:type="pct"/>
            <w:vAlign w:val="center"/>
          </w:tcPr>
          <w:p w14:paraId="0B9BE063">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847" w:type="pct"/>
            <w:vAlign w:val="center"/>
          </w:tcPr>
          <w:p w14:paraId="20230C97">
            <w:pPr>
              <w:spacing w:line="276" w:lineRule="auto"/>
              <w:ind w:firstLine="458"/>
              <w:rPr>
                <w:rFonts w:ascii="宋体" w:hAnsi="宋体" w:eastAsia="宋体" w:cs="宋体"/>
                <w:color w:val="auto"/>
                <w:szCs w:val="21"/>
                <w:highlight w:val="none"/>
              </w:rPr>
            </w:pPr>
            <w:r>
              <w:rPr>
                <w:rFonts w:hint="eastAsia" w:ascii="宋体" w:hAnsi="宋体" w:eastAsia="宋体" w:cs="宋体"/>
                <w:color w:val="auto"/>
                <w:szCs w:val="21"/>
                <w:highlight w:val="none"/>
              </w:rPr>
              <w:t>内容</w:t>
            </w:r>
          </w:p>
        </w:tc>
        <w:tc>
          <w:tcPr>
            <w:tcW w:w="3301" w:type="pct"/>
            <w:vAlign w:val="center"/>
          </w:tcPr>
          <w:p w14:paraId="71988D44">
            <w:pPr>
              <w:spacing w:line="276" w:lineRule="auto"/>
              <w:ind w:firstLine="458"/>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说明与要求</w:t>
            </w:r>
          </w:p>
        </w:tc>
      </w:tr>
      <w:tr w14:paraId="7CC0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3821B6F5">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01" w:type="pct"/>
            <w:vAlign w:val="center"/>
          </w:tcPr>
          <w:p w14:paraId="1778D3F1">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47" w:type="pct"/>
            <w:vAlign w:val="center"/>
          </w:tcPr>
          <w:p w14:paraId="6E988FF0">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定义</w:t>
            </w:r>
          </w:p>
        </w:tc>
        <w:tc>
          <w:tcPr>
            <w:tcW w:w="3301" w:type="pct"/>
            <w:vAlign w:val="center"/>
          </w:tcPr>
          <w:p w14:paraId="6E0A830B">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招标人（即发包人）：</w:t>
            </w:r>
            <w:r>
              <w:rPr>
                <w:rFonts w:hint="eastAsia" w:ascii="宋体" w:hAnsi="宋体" w:eastAsia="宋体" w:cs="宋体"/>
                <w:color w:val="auto"/>
                <w:szCs w:val="21"/>
                <w:highlight w:val="none"/>
                <w:u w:val="single"/>
              </w:rPr>
              <w:t>中新广州知识城财政投资建设项目管理中心</w:t>
            </w:r>
          </w:p>
          <w:p w14:paraId="3F3E0FE8">
            <w:pPr>
              <w:spacing w:line="276"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招标代理：</w:t>
            </w:r>
            <w:r>
              <w:rPr>
                <w:rFonts w:hint="eastAsia" w:ascii="宋体" w:hAnsi="宋体" w:eastAsia="宋体" w:cs="宋体"/>
                <w:color w:val="auto"/>
                <w:szCs w:val="21"/>
                <w:highlight w:val="none"/>
                <w:u w:val="single"/>
              </w:rPr>
              <w:t>北京中交建设工程咨询有限公司</w:t>
            </w:r>
          </w:p>
          <w:p w14:paraId="565C2161">
            <w:pPr>
              <w:spacing w:line="276"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设计单位：</w:t>
            </w:r>
            <w:r>
              <w:rPr>
                <w:rFonts w:hint="eastAsia" w:ascii="宋体" w:hAnsi="宋体" w:eastAsia="宋体" w:cs="宋体"/>
                <w:color w:val="auto"/>
                <w:szCs w:val="21"/>
                <w:highlight w:val="none"/>
                <w:u w:val="single"/>
                <w:lang w:val="en-US" w:eastAsia="zh-CN"/>
              </w:rPr>
              <w:t>（主）林同棪国际工程咨询（中国）有限公司</w:t>
            </w:r>
          </w:p>
          <w:p w14:paraId="24D12B8D">
            <w:pPr>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（成）广州园林建筑规划设计研究总院有限公司</w:t>
            </w:r>
          </w:p>
          <w:p w14:paraId="055D775F">
            <w:pPr>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监理单位：</w:t>
            </w:r>
            <w:r>
              <w:rPr>
                <w:rFonts w:hint="eastAsia" w:ascii="宋体" w:hAnsi="宋体" w:eastAsia="宋体" w:cs="宋体"/>
                <w:color w:val="auto"/>
                <w:szCs w:val="21"/>
                <w:highlight w:val="none"/>
                <w:u w:val="single"/>
              </w:rPr>
              <w:t xml:space="preserve">     /     </w:t>
            </w:r>
          </w:p>
          <w:p w14:paraId="1EDBB82C">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检测机构：</w:t>
            </w:r>
            <w:r>
              <w:rPr>
                <w:rFonts w:hint="eastAsia" w:ascii="宋体" w:hAnsi="宋体" w:eastAsia="宋体" w:cs="宋体"/>
                <w:color w:val="auto"/>
                <w:szCs w:val="21"/>
                <w:highlight w:val="none"/>
                <w:u w:val="single"/>
              </w:rPr>
              <w:t xml:space="preserve">     /     </w:t>
            </w:r>
          </w:p>
        </w:tc>
      </w:tr>
      <w:tr w14:paraId="62E8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15446AB0">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501" w:type="pct"/>
            <w:vAlign w:val="center"/>
          </w:tcPr>
          <w:p w14:paraId="3002C1FC">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847" w:type="pct"/>
            <w:vAlign w:val="center"/>
          </w:tcPr>
          <w:p w14:paraId="1BB7A076">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3301" w:type="pct"/>
            <w:vAlign w:val="center"/>
          </w:tcPr>
          <w:p w14:paraId="71F3CAB0">
            <w:pPr>
              <w:spacing w:line="276" w:lineRule="auto"/>
              <w:rPr>
                <w:rFonts w:hint="eastAsia" w:ascii="宋体" w:hAnsi="宋体" w:eastAsia="宋体" w:cs="宋体"/>
                <w:color w:val="auto"/>
                <w:szCs w:val="21"/>
                <w:highlight w:val="none"/>
                <w:u w:val="single"/>
                <w:lang w:eastAsia="zh-CN"/>
              </w:rPr>
            </w:pPr>
            <w:r>
              <w:rPr>
                <w:rFonts w:hint="eastAsia" w:ascii="宋体" w:hAnsi="宋体" w:eastAsia="宋体" w:cs="Times New Roman"/>
                <w:color w:val="auto"/>
                <w:szCs w:val="21"/>
                <w:highlight w:val="none"/>
              </w:rPr>
              <w:t>工程名称：</w:t>
            </w:r>
            <w:r>
              <w:rPr>
                <w:rFonts w:hint="eastAsia" w:ascii="宋体" w:hAnsi="宋体" w:eastAsia="宋体" w:cs="宋体"/>
                <w:color w:val="auto"/>
                <w:szCs w:val="21"/>
                <w:highlight w:val="none"/>
                <w:lang w:eastAsia="zh-CN"/>
              </w:rPr>
              <w:t>知识城凤凰湖-九龙湖云道项目</w:t>
            </w:r>
          </w:p>
          <w:p w14:paraId="1E6E7732">
            <w:pPr>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招标项目名称：</w:t>
            </w:r>
            <w:r>
              <w:rPr>
                <w:rFonts w:hint="eastAsia" w:ascii="宋体" w:hAnsi="宋体" w:eastAsia="宋体" w:cs="宋体"/>
                <w:color w:val="auto"/>
                <w:szCs w:val="21"/>
                <w:highlight w:val="none"/>
                <w:lang w:eastAsia="zh-CN"/>
              </w:rPr>
              <w:t>知识城凤凰湖-九龙湖云道项目施工总承包</w:t>
            </w:r>
          </w:p>
        </w:tc>
      </w:tr>
      <w:tr w14:paraId="4C2F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150DD170">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501" w:type="pct"/>
            <w:vAlign w:val="center"/>
          </w:tcPr>
          <w:p w14:paraId="31D623C1">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847" w:type="pct"/>
            <w:vAlign w:val="center"/>
          </w:tcPr>
          <w:p w14:paraId="421D6CCE">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建设地点</w:t>
            </w:r>
          </w:p>
        </w:tc>
        <w:tc>
          <w:tcPr>
            <w:tcW w:w="3301" w:type="pct"/>
            <w:vAlign w:val="center"/>
          </w:tcPr>
          <w:p w14:paraId="611DE96F">
            <w:pPr>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详见本工程招标公告</w:t>
            </w:r>
          </w:p>
        </w:tc>
      </w:tr>
      <w:tr w14:paraId="1CD1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12429F6A">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501" w:type="pct"/>
            <w:vAlign w:val="center"/>
          </w:tcPr>
          <w:p w14:paraId="30805305">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847" w:type="pct"/>
            <w:vAlign w:val="center"/>
          </w:tcPr>
          <w:p w14:paraId="62533012">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建设规模</w:t>
            </w:r>
          </w:p>
        </w:tc>
        <w:tc>
          <w:tcPr>
            <w:tcW w:w="3301" w:type="pct"/>
            <w:vAlign w:val="center"/>
          </w:tcPr>
          <w:p w14:paraId="4BA605C5">
            <w:pPr>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详见本工程招标公告，具体以工程量清单及图纸为准。</w:t>
            </w:r>
          </w:p>
        </w:tc>
      </w:tr>
      <w:tr w14:paraId="2737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61EA90E6">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501" w:type="pct"/>
            <w:vAlign w:val="center"/>
          </w:tcPr>
          <w:p w14:paraId="5469BBE4">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847" w:type="pct"/>
            <w:vAlign w:val="center"/>
          </w:tcPr>
          <w:p w14:paraId="0136D8DA">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承包方式</w:t>
            </w:r>
          </w:p>
        </w:tc>
        <w:tc>
          <w:tcPr>
            <w:tcW w:w="3301" w:type="pct"/>
            <w:vAlign w:val="center"/>
          </w:tcPr>
          <w:p w14:paraId="40E43819">
            <w:pPr>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包工、包料、包工期、包质量、包安全、包文明施工，包验收、包保修。综合单价包干；措施项目费</w:t>
            </w:r>
            <w:r>
              <w:rPr>
                <w:rFonts w:hint="eastAsia" w:ascii="宋体" w:hAnsi="宋体" w:eastAsia="宋体" w:cs="宋体"/>
                <w:color w:val="auto"/>
                <w:szCs w:val="21"/>
                <w:highlight w:val="none"/>
                <w:u w:val="single"/>
                <w:lang w:val="en-US" w:eastAsia="zh-CN"/>
              </w:rPr>
              <w:t>总价</w:t>
            </w:r>
            <w:r>
              <w:rPr>
                <w:rFonts w:hint="eastAsia" w:ascii="宋体" w:hAnsi="宋体" w:eastAsia="宋体" w:cs="宋体"/>
                <w:color w:val="auto"/>
                <w:szCs w:val="21"/>
                <w:highlight w:val="none"/>
                <w:u w:val="single"/>
              </w:rPr>
              <w:t>包干。</w:t>
            </w:r>
          </w:p>
        </w:tc>
      </w:tr>
      <w:tr w14:paraId="099B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05287350">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501" w:type="pct"/>
            <w:vAlign w:val="center"/>
          </w:tcPr>
          <w:p w14:paraId="1759CCA5">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847" w:type="pct"/>
            <w:vAlign w:val="center"/>
          </w:tcPr>
          <w:p w14:paraId="0A788BD7">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3301" w:type="pct"/>
            <w:vAlign w:val="center"/>
          </w:tcPr>
          <w:p w14:paraId="4A6F0028">
            <w:pPr>
              <w:spacing w:line="276" w:lineRule="auto"/>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auto"/>
                <w:szCs w:val="21"/>
                <w:highlight w:val="none"/>
                <w:u w:val="single"/>
              </w:rPr>
              <w:t>符合设计图纸要求和国家、省、市相关法律法规规定要求及行业工程质量合格标准</w:t>
            </w:r>
            <w:r>
              <w:rPr>
                <w:rFonts w:hint="eastAsia" w:ascii="宋体" w:hAnsi="宋体" w:eastAsia="宋体" w:cs="宋体"/>
                <w:color w:val="auto"/>
                <w:szCs w:val="21"/>
                <w:highlight w:val="none"/>
                <w:u w:val="single"/>
                <w:lang w:eastAsia="zh-CN"/>
              </w:rPr>
              <w:t>，</w:t>
            </w:r>
            <w:r>
              <w:rPr>
                <w:rFonts w:hint="eastAsia" w:ascii="宋体" w:hAnsi="宋体" w:eastAsia="宋体" w:cs="宋体"/>
                <w:color w:val="000000" w:themeColor="text1"/>
                <w:szCs w:val="21"/>
                <w:highlight w:val="none"/>
                <w:u w:val="single"/>
                <w14:textFill>
                  <w14:solidFill>
                    <w14:schemeClr w14:val="tx1"/>
                  </w14:solidFill>
                </w14:textFill>
              </w:rPr>
              <w:t>并取得</w:t>
            </w:r>
            <w:r>
              <w:rPr>
                <w:rFonts w:hint="eastAsia" w:ascii="宋体" w:hAnsi="宋体" w:eastAsia="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广东省市政工程最高质量水平评价</w:t>
            </w:r>
            <w:r>
              <w:rPr>
                <w:rFonts w:hint="eastAsia" w:ascii="宋体" w:hAnsi="宋体" w:eastAsia="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或其他省级行业协会工程质量奖</w:t>
            </w:r>
            <w:r>
              <w:rPr>
                <w:rFonts w:hint="eastAsia" w:ascii="宋体" w:hAnsi="宋体" w:eastAsia="宋体" w:cs="宋体"/>
                <w:color w:val="000000" w:themeColor="text1"/>
                <w:szCs w:val="21"/>
                <w:highlight w:val="none"/>
                <w:u w:val="single"/>
                <w:lang w:eastAsia="zh-CN"/>
                <w14:textFill>
                  <w14:solidFill>
                    <w14:schemeClr w14:val="tx1"/>
                  </w14:solidFill>
                </w14:textFill>
              </w:rPr>
              <w:t>。</w:t>
            </w:r>
          </w:p>
          <w:p w14:paraId="094644F4">
            <w:pPr>
              <w:spacing w:line="276" w:lineRule="auto"/>
              <w:rPr>
                <w:color w:val="auto"/>
                <w:highlight w:val="none"/>
              </w:rPr>
            </w:pPr>
            <w:r>
              <w:rPr>
                <w:rFonts w:hint="eastAsia" w:ascii="宋体" w:hAnsi="宋体" w:eastAsia="宋体" w:cs="宋体"/>
                <w:color w:val="auto"/>
                <w:szCs w:val="21"/>
                <w:highlight w:val="none"/>
                <w:u w:val="single"/>
              </w:rPr>
              <w:t>注：本工程正式签署合同时，质量标准按中标人投标文件承诺质量标准。</w:t>
            </w:r>
          </w:p>
        </w:tc>
      </w:tr>
      <w:tr w14:paraId="2591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534A13C5">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501" w:type="pct"/>
            <w:vAlign w:val="center"/>
          </w:tcPr>
          <w:p w14:paraId="127A048F">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847" w:type="pct"/>
            <w:vAlign w:val="center"/>
          </w:tcPr>
          <w:p w14:paraId="7C97AC3F">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招标范围</w:t>
            </w:r>
          </w:p>
        </w:tc>
        <w:tc>
          <w:tcPr>
            <w:tcW w:w="3301" w:type="pct"/>
            <w:vAlign w:val="center"/>
          </w:tcPr>
          <w:p w14:paraId="51C1D315">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详见本工程招标公告，具体以工程量清单及图纸为准。</w:t>
            </w:r>
          </w:p>
        </w:tc>
      </w:tr>
      <w:tr w14:paraId="3034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42973757">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501" w:type="pct"/>
            <w:vAlign w:val="center"/>
          </w:tcPr>
          <w:p w14:paraId="4A30D27B">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847" w:type="pct"/>
            <w:vAlign w:val="center"/>
          </w:tcPr>
          <w:p w14:paraId="18C56DB9">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工期要求</w:t>
            </w:r>
          </w:p>
        </w:tc>
        <w:tc>
          <w:tcPr>
            <w:tcW w:w="3301" w:type="pct"/>
            <w:vAlign w:val="center"/>
          </w:tcPr>
          <w:p w14:paraId="6DA48687">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工期：</w:t>
            </w:r>
            <w:r>
              <w:rPr>
                <w:rFonts w:hint="eastAsia" w:ascii="宋体" w:hAnsi="宋体" w:eastAsia="宋体" w:cs="宋体"/>
                <w:color w:val="auto"/>
                <w:szCs w:val="21"/>
                <w:highlight w:val="none"/>
                <w:u w:val="single"/>
                <w:lang w:val="en-US" w:eastAsia="zh-CN"/>
              </w:rPr>
              <w:t>180</w:t>
            </w:r>
            <w:r>
              <w:rPr>
                <w:rFonts w:hint="eastAsia" w:ascii="宋体" w:hAnsi="宋体" w:eastAsia="宋体" w:cs="宋体"/>
                <w:color w:val="auto"/>
                <w:szCs w:val="21"/>
                <w:highlight w:val="none"/>
                <w:u w:val="single"/>
              </w:rPr>
              <w:t>日历天，暂定开工日期</w:t>
            </w:r>
            <w:r>
              <w:rPr>
                <w:rFonts w:hint="eastAsia" w:ascii="宋体" w:hAnsi="宋体" w:eastAsia="宋体" w:cs="宋体"/>
                <w:color w:val="auto"/>
                <w:szCs w:val="21"/>
                <w:highlight w:val="none"/>
                <w:u w:val="single"/>
                <w:lang w:val="en-US" w:eastAsia="zh-CN"/>
              </w:rPr>
              <w:t>2026年4月25日</w:t>
            </w:r>
            <w:r>
              <w:rPr>
                <w:rFonts w:hint="eastAsia" w:ascii="宋体" w:hAnsi="宋体" w:eastAsia="宋体" w:cs="宋体"/>
                <w:color w:val="auto"/>
                <w:szCs w:val="21"/>
                <w:highlight w:val="none"/>
                <w:u w:val="single"/>
              </w:rPr>
              <w:t>。</w:t>
            </w:r>
          </w:p>
          <w:p w14:paraId="57EF3A10">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注：本工程正式签署合同时，施工工期按中标投标文件承诺工期。</w:t>
            </w:r>
          </w:p>
        </w:tc>
      </w:tr>
      <w:tr w14:paraId="5313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084CECD4">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501" w:type="pct"/>
            <w:vAlign w:val="center"/>
          </w:tcPr>
          <w:p w14:paraId="0C366D41">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847" w:type="pct"/>
            <w:vAlign w:val="center"/>
          </w:tcPr>
          <w:p w14:paraId="1A3CA6C7">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资金来源</w:t>
            </w:r>
          </w:p>
        </w:tc>
        <w:tc>
          <w:tcPr>
            <w:tcW w:w="3301" w:type="pct"/>
            <w:vAlign w:val="center"/>
          </w:tcPr>
          <w:p w14:paraId="11140CB5">
            <w:pPr>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详见招标公告，资金已落实。</w:t>
            </w:r>
          </w:p>
        </w:tc>
      </w:tr>
      <w:tr w14:paraId="3BD4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07715EA2">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501" w:type="pct"/>
            <w:vAlign w:val="center"/>
          </w:tcPr>
          <w:p w14:paraId="2B2BB0E2">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4.1</w:t>
            </w:r>
          </w:p>
        </w:tc>
        <w:tc>
          <w:tcPr>
            <w:tcW w:w="847" w:type="pct"/>
            <w:vAlign w:val="center"/>
          </w:tcPr>
          <w:p w14:paraId="38D33227">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投标人资质等级及项目负责人等级要求</w:t>
            </w:r>
          </w:p>
        </w:tc>
        <w:tc>
          <w:tcPr>
            <w:tcW w:w="3301" w:type="pct"/>
            <w:vAlign w:val="center"/>
          </w:tcPr>
          <w:p w14:paraId="73570CCC">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详见本工程招标公告</w:t>
            </w:r>
          </w:p>
        </w:tc>
      </w:tr>
      <w:tr w14:paraId="56A8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37AE4C0F">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501" w:type="pct"/>
            <w:vAlign w:val="center"/>
          </w:tcPr>
          <w:p w14:paraId="7914A954">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4.2</w:t>
            </w:r>
          </w:p>
        </w:tc>
        <w:tc>
          <w:tcPr>
            <w:tcW w:w="847" w:type="pct"/>
            <w:vAlign w:val="center"/>
          </w:tcPr>
          <w:p w14:paraId="5DB9946F">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资格审查方式</w:t>
            </w:r>
          </w:p>
        </w:tc>
        <w:tc>
          <w:tcPr>
            <w:tcW w:w="3301" w:type="pct"/>
            <w:vAlign w:val="center"/>
          </w:tcPr>
          <w:p w14:paraId="140E6774">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详见本工程招标公告</w:t>
            </w:r>
          </w:p>
        </w:tc>
      </w:tr>
      <w:tr w14:paraId="272F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5E89808F">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501" w:type="pct"/>
            <w:vAlign w:val="center"/>
          </w:tcPr>
          <w:p w14:paraId="72FFC9EC">
            <w:pPr>
              <w:spacing w:line="276" w:lineRule="auto"/>
              <w:rPr>
                <w:rFonts w:ascii="宋体" w:hAnsi="宋体" w:eastAsia="宋体" w:cs="宋体"/>
                <w:color w:val="auto"/>
                <w:szCs w:val="21"/>
                <w:highlight w:val="none"/>
              </w:rPr>
            </w:pPr>
            <w:r>
              <w:rPr>
                <w:rFonts w:ascii="宋体" w:hAnsi="宋体" w:eastAsia="宋体" w:cs="Times New Roman"/>
                <w:color w:val="auto"/>
                <w:szCs w:val="21"/>
                <w:highlight w:val="none"/>
              </w:rPr>
              <w:t>5</w:t>
            </w:r>
          </w:p>
        </w:tc>
        <w:tc>
          <w:tcPr>
            <w:tcW w:w="847" w:type="pct"/>
            <w:vAlign w:val="center"/>
          </w:tcPr>
          <w:p w14:paraId="1045214B">
            <w:pPr>
              <w:spacing w:line="276"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踏勘现场及投标费用</w:t>
            </w:r>
          </w:p>
        </w:tc>
        <w:tc>
          <w:tcPr>
            <w:tcW w:w="3301" w:type="pct"/>
            <w:vAlign w:val="center"/>
          </w:tcPr>
          <w:p w14:paraId="06286C41">
            <w:pPr>
              <w:spacing w:line="276" w:lineRule="auto"/>
              <w:rPr>
                <w:rFonts w:ascii="宋体" w:hAnsi="宋体" w:eastAsia="宋体" w:cs="宋体"/>
                <w:color w:val="auto"/>
                <w:kern w:val="0"/>
                <w:szCs w:val="21"/>
                <w:highlight w:val="none"/>
              </w:rPr>
            </w:pPr>
            <w:bookmarkStart w:id="2" w:name="EBdfd7e3fe86a241738f1c1d356c309534"/>
            <w:r>
              <w:rPr>
                <w:rFonts w:hint="eastAsia" w:ascii="宋体" w:hAnsi="宋体" w:eastAsia="宋体" w:cs="宋体"/>
                <w:color w:val="auto"/>
                <w:szCs w:val="21"/>
                <w:highlight w:val="none"/>
                <w:u w:val="single"/>
              </w:rPr>
              <w:t>自行踏勘，投标人不进行踏勘的，视为已熟知现场条件，自行承担相关风险。</w:t>
            </w:r>
            <w:bookmarkEnd w:id="2"/>
          </w:p>
        </w:tc>
      </w:tr>
      <w:tr w14:paraId="1B1A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4122BDA9">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501" w:type="pct"/>
            <w:vAlign w:val="center"/>
          </w:tcPr>
          <w:p w14:paraId="728ABC84">
            <w:pPr>
              <w:spacing w:line="276" w:lineRule="auto"/>
              <w:rPr>
                <w:rFonts w:ascii="宋体" w:hAnsi="宋体" w:eastAsia="宋体" w:cs="宋体"/>
                <w:color w:val="auto"/>
                <w:szCs w:val="21"/>
                <w:highlight w:val="none"/>
              </w:rPr>
            </w:pPr>
            <w:r>
              <w:rPr>
                <w:rFonts w:ascii="宋体" w:hAnsi="宋体" w:eastAsia="宋体" w:cs="Times New Roman"/>
                <w:color w:val="auto"/>
                <w:szCs w:val="21"/>
                <w:highlight w:val="none"/>
              </w:rPr>
              <w:t>8</w:t>
            </w:r>
          </w:p>
        </w:tc>
        <w:tc>
          <w:tcPr>
            <w:tcW w:w="847" w:type="pct"/>
            <w:vAlign w:val="center"/>
          </w:tcPr>
          <w:p w14:paraId="5B01E179">
            <w:pPr>
              <w:spacing w:line="276"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投标答疑</w:t>
            </w:r>
          </w:p>
        </w:tc>
        <w:tc>
          <w:tcPr>
            <w:tcW w:w="3301" w:type="pct"/>
            <w:vAlign w:val="center"/>
          </w:tcPr>
          <w:p w14:paraId="517B5EDF">
            <w:pPr>
              <w:spacing w:line="276"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疑问提交时间：</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时前；</w:t>
            </w:r>
          </w:p>
          <w:p w14:paraId="4C92479A">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形式：投标人的疑问通过</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Times New Roman"/>
                <w:color w:val="auto"/>
                <w:szCs w:val="21"/>
                <w:highlight w:val="none"/>
              </w:rPr>
              <w:t>交易平台提交。</w:t>
            </w:r>
          </w:p>
          <w:p w14:paraId="35CB9C73">
            <w:pPr>
              <w:spacing w:line="276" w:lineRule="auto"/>
              <w:rPr>
                <w:rFonts w:ascii="宋体" w:hAnsi="宋体" w:eastAsia="宋体" w:cs="宋体"/>
                <w:color w:val="auto"/>
                <w:szCs w:val="21"/>
                <w:highlight w:val="none"/>
                <w:u w:val="single"/>
              </w:rPr>
            </w:pPr>
            <w:r>
              <w:rPr>
                <w:rFonts w:hint="eastAsia" w:ascii="宋体" w:hAnsi="宋体" w:eastAsia="宋体" w:cs="Times New Roman"/>
                <w:color w:val="auto"/>
                <w:szCs w:val="21"/>
                <w:highlight w:val="none"/>
              </w:rPr>
              <w:t>具体要求：按照交易平台关于全流程电子化项目的相关指南进行操作，详见：</w:t>
            </w:r>
            <w:r>
              <w:rPr>
                <w:rFonts w:hint="eastAsia" w:ascii="宋体" w:hAnsi="宋体" w:eastAsia="宋体" w:cs="宋体"/>
                <w:color w:val="auto"/>
                <w:szCs w:val="21"/>
                <w:highlight w:val="none"/>
                <w:u w:val="single"/>
              </w:rPr>
              <w:t xml:space="preserve">广州交易集团有限公司（广州公共资源交易中心）网站最新指引。提问一律不得署名。 </w:t>
            </w:r>
          </w:p>
        </w:tc>
      </w:tr>
      <w:tr w14:paraId="3B29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45150ECF">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501" w:type="pct"/>
            <w:vAlign w:val="center"/>
          </w:tcPr>
          <w:p w14:paraId="1D5F0549">
            <w:pPr>
              <w:spacing w:line="276" w:lineRule="auto"/>
              <w:rPr>
                <w:rFonts w:ascii="宋体" w:hAnsi="宋体" w:eastAsia="宋体" w:cs="宋体"/>
                <w:color w:val="auto"/>
                <w:szCs w:val="21"/>
                <w:highlight w:val="none"/>
              </w:rPr>
            </w:pPr>
            <w:r>
              <w:rPr>
                <w:rFonts w:ascii="宋体" w:hAnsi="宋体" w:eastAsia="宋体" w:cs="Times New Roman"/>
                <w:color w:val="auto"/>
                <w:szCs w:val="21"/>
                <w:highlight w:val="none"/>
              </w:rPr>
              <w:t>13.1</w:t>
            </w:r>
          </w:p>
        </w:tc>
        <w:tc>
          <w:tcPr>
            <w:tcW w:w="847" w:type="pct"/>
            <w:vAlign w:val="center"/>
          </w:tcPr>
          <w:p w14:paraId="7B416751">
            <w:pPr>
              <w:spacing w:line="276"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报价以及单价和总价计算方式</w:t>
            </w:r>
          </w:p>
        </w:tc>
        <w:tc>
          <w:tcPr>
            <w:tcW w:w="3301" w:type="pct"/>
            <w:vAlign w:val="center"/>
          </w:tcPr>
          <w:p w14:paraId="2265B099">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工程量清单计价</w:t>
            </w:r>
            <w:r>
              <w:rPr>
                <w:rFonts w:hint="eastAsia" w:ascii="宋体" w:hAnsi="宋体" w:eastAsia="宋体" w:cs="宋体"/>
                <w:color w:val="auto"/>
                <w:szCs w:val="21"/>
                <w:highlight w:val="none"/>
                <w:u w:val="single"/>
              </w:rPr>
              <w:t>，按国家、省有关计价规范执行。</w:t>
            </w:r>
          </w:p>
        </w:tc>
      </w:tr>
      <w:tr w14:paraId="58AB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011A9619">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501" w:type="pct"/>
            <w:vAlign w:val="center"/>
          </w:tcPr>
          <w:p w14:paraId="36E32E57">
            <w:pPr>
              <w:spacing w:line="276" w:lineRule="auto"/>
              <w:rPr>
                <w:rFonts w:ascii="宋体" w:hAnsi="宋体" w:eastAsia="宋体" w:cs="宋体"/>
                <w:color w:val="auto"/>
                <w:szCs w:val="21"/>
                <w:highlight w:val="none"/>
              </w:rPr>
            </w:pPr>
            <w:r>
              <w:rPr>
                <w:rFonts w:ascii="宋体" w:hAnsi="宋体" w:eastAsia="宋体" w:cs="Times New Roman"/>
                <w:color w:val="auto"/>
                <w:szCs w:val="21"/>
                <w:highlight w:val="none"/>
              </w:rPr>
              <w:t>15.1</w:t>
            </w:r>
          </w:p>
        </w:tc>
        <w:tc>
          <w:tcPr>
            <w:tcW w:w="847" w:type="pct"/>
            <w:vAlign w:val="center"/>
          </w:tcPr>
          <w:p w14:paraId="06503D8B">
            <w:pPr>
              <w:spacing w:line="276"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投标有效期</w:t>
            </w:r>
          </w:p>
        </w:tc>
        <w:tc>
          <w:tcPr>
            <w:tcW w:w="3301" w:type="pct"/>
            <w:vAlign w:val="center"/>
          </w:tcPr>
          <w:p w14:paraId="597E0FCB">
            <w:pPr>
              <w:spacing w:line="276" w:lineRule="auto"/>
              <w:rPr>
                <w:rFonts w:ascii="宋体" w:hAnsi="宋体" w:eastAsia="宋体" w:cs="宋体"/>
                <w:color w:val="auto"/>
                <w:szCs w:val="21"/>
                <w:highlight w:val="none"/>
              </w:rPr>
            </w:pPr>
            <w:r>
              <w:rPr>
                <w:rFonts w:ascii="宋体" w:hAnsi="宋体" w:eastAsia="宋体" w:cs="Times New Roman"/>
                <w:color w:val="auto"/>
                <w:szCs w:val="21"/>
                <w:highlight w:val="none"/>
                <w:u w:val="single"/>
              </w:rPr>
              <w:t xml:space="preserve"> </w:t>
            </w:r>
            <w:r>
              <w:rPr>
                <w:rFonts w:hint="eastAsia" w:ascii="宋体" w:hAnsi="宋体" w:eastAsia="宋体" w:cs="Times New Roman"/>
                <w:b/>
                <w:color w:val="auto"/>
                <w:szCs w:val="21"/>
                <w:highlight w:val="none"/>
                <w:u w:val="single"/>
              </w:rPr>
              <w:t>90</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日历天。（从投标截止之日计起）。</w:t>
            </w:r>
            <w:r>
              <w:rPr>
                <w:rFonts w:hint="eastAsia" w:ascii="宋体" w:hAnsi="宋体" w:eastAsia="宋体" w:cs="宋体"/>
                <w:color w:val="auto"/>
                <w:szCs w:val="21"/>
                <w:highlight w:val="none"/>
                <w:u w:val="single"/>
              </w:rPr>
              <w:t>如投标有效期内发生异议或投诉的，则投标有效期自动延长至异议或投诉处理结束后90日历天。中标人的投标有效期自动延期至合同履行完毕。</w:t>
            </w:r>
          </w:p>
        </w:tc>
      </w:tr>
      <w:tr w14:paraId="53BB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2ED06B1C">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501" w:type="pct"/>
            <w:vAlign w:val="center"/>
          </w:tcPr>
          <w:p w14:paraId="6B15E0DA">
            <w:pPr>
              <w:spacing w:line="276" w:lineRule="auto"/>
              <w:rPr>
                <w:rFonts w:ascii="宋体" w:hAnsi="宋体" w:eastAsia="宋体" w:cs="宋体"/>
                <w:color w:val="auto"/>
                <w:szCs w:val="21"/>
                <w:highlight w:val="none"/>
              </w:rPr>
            </w:pPr>
            <w:r>
              <w:rPr>
                <w:rFonts w:ascii="宋体" w:hAnsi="宋体" w:eastAsia="宋体" w:cs="Times New Roman"/>
                <w:color w:val="auto"/>
                <w:szCs w:val="21"/>
                <w:highlight w:val="none"/>
              </w:rPr>
              <w:t>16.1</w:t>
            </w:r>
          </w:p>
        </w:tc>
        <w:tc>
          <w:tcPr>
            <w:tcW w:w="847" w:type="pct"/>
            <w:vAlign w:val="center"/>
          </w:tcPr>
          <w:p w14:paraId="581FA8C0">
            <w:pPr>
              <w:spacing w:line="276"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投标保证金</w:t>
            </w:r>
          </w:p>
        </w:tc>
        <w:tc>
          <w:tcPr>
            <w:tcW w:w="3301" w:type="pct"/>
            <w:vAlign w:val="center"/>
          </w:tcPr>
          <w:p w14:paraId="223C3FEB">
            <w:pPr>
              <w:spacing w:line="276"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方式一：本项目不收投标保证金。</w:t>
            </w:r>
          </w:p>
        </w:tc>
      </w:tr>
      <w:tr w14:paraId="4F42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2F70C319">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501" w:type="pct"/>
            <w:vAlign w:val="center"/>
          </w:tcPr>
          <w:p w14:paraId="61940AF1">
            <w:pPr>
              <w:spacing w:line="276"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20</w:t>
            </w:r>
            <w:r>
              <w:rPr>
                <w:rFonts w:ascii="宋体" w:hAnsi="宋体" w:eastAsia="宋体" w:cs="Times New Roman"/>
                <w:color w:val="auto"/>
                <w:szCs w:val="21"/>
                <w:highlight w:val="none"/>
              </w:rPr>
              <w:t>.1</w:t>
            </w:r>
          </w:p>
        </w:tc>
        <w:tc>
          <w:tcPr>
            <w:tcW w:w="847" w:type="pct"/>
            <w:vAlign w:val="center"/>
          </w:tcPr>
          <w:p w14:paraId="479FBD9A">
            <w:pPr>
              <w:spacing w:line="276"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投标截止时间</w:t>
            </w:r>
          </w:p>
        </w:tc>
        <w:tc>
          <w:tcPr>
            <w:tcW w:w="3301" w:type="pct"/>
            <w:vAlign w:val="center"/>
          </w:tcPr>
          <w:p w14:paraId="0D31E0C9">
            <w:pPr>
              <w:spacing w:line="276" w:lineRule="auto"/>
              <w:rPr>
                <w:rFonts w:ascii="宋体" w:hAnsi="宋体" w:eastAsia="宋体" w:cs="宋体"/>
                <w:strike/>
                <w:color w:val="auto"/>
                <w:szCs w:val="21"/>
                <w:highlight w:val="none"/>
              </w:rPr>
            </w:pP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时（北京时间）。</w:t>
            </w:r>
          </w:p>
        </w:tc>
      </w:tr>
      <w:tr w14:paraId="3CCC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05AF5DEF">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501" w:type="pct"/>
            <w:vAlign w:val="center"/>
          </w:tcPr>
          <w:p w14:paraId="0C183A6E">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847" w:type="pct"/>
            <w:vAlign w:val="center"/>
          </w:tcPr>
          <w:p w14:paraId="7A9FD30B">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开标开始时间和地点</w:t>
            </w:r>
          </w:p>
        </w:tc>
        <w:tc>
          <w:tcPr>
            <w:tcW w:w="3301" w:type="pct"/>
            <w:vAlign w:val="center"/>
          </w:tcPr>
          <w:p w14:paraId="5D20FA30">
            <w:pPr>
              <w:widowControl/>
              <w:spacing w:line="276" w:lineRule="auto"/>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（技术标和经济标同时开标）</w:t>
            </w:r>
          </w:p>
          <w:p w14:paraId="76CB8003">
            <w:pPr>
              <w:spacing w:line="276" w:lineRule="auto"/>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1、开标开始时间：</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日</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时</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分（与投标截止时间为同一时间），地点：</w:t>
            </w:r>
            <w:r>
              <w:rPr>
                <w:rFonts w:hint="eastAsia" w:ascii="宋体" w:hAnsi="宋体" w:eastAsia="宋体" w:cs="宋体"/>
                <w:bCs/>
                <w:color w:val="auto"/>
                <w:kern w:val="0"/>
                <w:szCs w:val="21"/>
                <w:highlight w:val="none"/>
                <w:u w:val="single"/>
              </w:rPr>
              <w:t>广州交易集团有限公司（广州公共资源交易中心）指定开标室</w:t>
            </w:r>
            <w:r>
              <w:rPr>
                <w:rFonts w:hint="eastAsia" w:ascii="宋体" w:hAnsi="宋体" w:eastAsia="宋体" w:cs="宋体"/>
                <w:bCs/>
                <w:color w:val="auto"/>
                <w:kern w:val="0"/>
                <w:szCs w:val="21"/>
                <w:highlight w:val="none"/>
              </w:rPr>
              <w:t>。</w:t>
            </w:r>
            <w:r>
              <w:rPr>
                <w:rFonts w:hint="eastAsia" w:ascii="宋体" w:hAnsi="宋体" w:eastAsia="宋体" w:cs="宋体"/>
                <w:b/>
                <w:bCs/>
                <w:color w:val="auto"/>
                <w:kern w:val="0"/>
                <w:szCs w:val="21"/>
                <w:highlight w:val="none"/>
              </w:rPr>
              <w:t>投标人也可选择参加在线开标，具体按照交易平台相关指南进行操作。详见：</w:t>
            </w:r>
            <w:r>
              <w:rPr>
                <w:rFonts w:hint="eastAsia" w:ascii="宋体" w:hAnsi="宋体" w:eastAsia="宋体" w:cs="宋体"/>
                <w:b/>
                <w:bCs/>
                <w:color w:val="auto"/>
                <w:szCs w:val="21"/>
                <w:highlight w:val="none"/>
                <w:u w:val="single"/>
              </w:rPr>
              <w:t>广州交易集团有限公司（广州公共资源交易中心）网站最新指引</w:t>
            </w:r>
            <w:r>
              <w:rPr>
                <w:rFonts w:hint="eastAsia" w:ascii="宋体" w:hAnsi="宋体" w:eastAsia="宋体" w:cs="宋体"/>
                <w:b/>
                <w:bCs/>
                <w:color w:val="auto"/>
                <w:kern w:val="0"/>
                <w:szCs w:val="21"/>
                <w:highlight w:val="none"/>
              </w:rPr>
              <w:t>。</w:t>
            </w:r>
          </w:p>
          <w:p w14:paraId="6446E1D5">
            <w:pPr>
              <w:widowControl/>
              <w:spacing w:line="276" w:lineRule="auto"/>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注：投标文件解密问题。投标人只用执行一次解密，招标人执行解密次数根据招标文件开标次数确定。</w:t>
            </w:r>
          </w:p>
          <w:p w14:paraId="5A0368D1">
            <w:pPr>
              <w:spacing w:line="276" w:lineRule="auto"/>
              <w:rPr>
                <w:rFonts w:ascii="宋体" w:hAnsi="宋体" w:eastAsia="宋体" w:cs="宋体"/>
                <w:color w:val="auto"/>
                <w:szCs w:val="21"/>
                <w:highlight w:val="none"/>
              </w:rPr>
            </w:pPr>
            <w:r>
              <w:rPr>
                <w:rFonts w:hint="eastAsia" w:ascii="宋体" w:hAnsi="宋体" w:eastAsia="宋体" w:cs="宋体"/>
                <w:bCs/>
                <w:color w:val="auto"/>
                <w:kern w:val="0"/>
                <w:szCs w:val="21"/>
                <w:highlight w:val="none"/>
              </w:rPr>
              <w:t>2、递交投标文件备用光盘时间：</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日</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时</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分至</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日</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时</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分；递交地点：</w:t>
            </w:r>
            <w:r>
              <w:rPr>
                <w:rFonts w:hint="eastAsia" w:ascii="宋体" w:hAnsi="宋体" w:eastAsia="宋体" w:cs="宋体"/>
                <w:bCs/>
                <w:color w:val="auto"/>
                <w:kern w:val="0"/>
                <w:szCs w:val="21"/>
                <w:highlight w:val="none"/>
                <w:u w:val="single"/>
              </w:rPr>
              <w:t>广州交易集团有限公司（广州公共资源交易中心）指定开标室</w:t>
            </w:r>
            <w:r>
              <w:rPr>
                <w:rFonts w:hint="eastAsia" w:ascii="宋体" w:hAnsi="宋体" w:eastAsia="宋体" w:cs="宋体"/>
                <w:bCs/>
                <w:color w:val="auto"/>
                <w:kern w:val="0"/>
                <w:szCs w:val="21"/>
                <w:highlight w:val="none"/>
              </w:rPr>
              <w:t>。(建议安排在投标文件截止时间前15分钟至投标文件截止时间）</w:t>
            </w:r>
            <w:r>
              <w:rPr>
                <w:rFonts w:hint="eastAsia" w:ascii="宋体" w:hAnsi="宋体" w:eastAsia="宋体" w:cs="宋体"/>
                <w:color w:val="auto"/>
                <w:szCs w:val="21"/>
                <w:highlight w:val="none"/>
              </w:rPr>
              <w:t>投标人也可选择参加在线开标，具体按照交易平台相关指南进行操作。详见：</w:t>
            </w:r>
            <w:r>
              <w:rPr>
                <w:rFonts w:hint="eastAsia" w:ascii="宋体" w:hAnsi="宋体" w:eastAsia="宋体" w:cs="宋体"/>
                <w:color w:val="auto"/>
                <w:szCs w:val="21"/>
                <w:highlight w:val="none"/>
                <w:u w:val="single"/>
              </w:rPr>
              <w:t>广州交易集团有限公司（广州公共资源交易中心）网站最新指引</w:t>
            </w:r>
            <w:r>
              <w:rPr>
                <w:rFonts w:hint="eastAsia" w:ascii="宋体" w:hAnsi="宋体" w:eastAsia="宋体" w:cs="宋体"/>
                <w:color w:val="auto"/>
                <w:szCs w:val="21"/>
                <w:highlight w:val="none"/>
              </w:rPr>
              <w:t>。</w:t>
            </w:r>
          </w:p>
          <w:p w14:paraId="371B5D3B">
            <w:pPr>
              <w:spacing w:line="276" w:lineRule="auto"/>
              <w:rPr>
                <w:rFonts w:ascii="宋体" w:hAnsi="宋体" w:eastAsia="宋体" w:cs="宋体"/>
                <w:bCs/>
                <w:color w:val="auto"/>
                <w:kern w:val="0"/>
                <w:szCs w:val="21"/>
                <w:highlight w:val="none"/>
              </w:rPr>
            </w:pPr>
            <w:r>
              <w:rPr>
                <w:rFonts w:hint="eastAsia" w:ascii="宋体" w:hAnsi="宋体" w:eastAsia="宋体" w:cs="宋体"/>
                <w:color w:val="auto"/>
                <w:szCs w:val="21"/>
                <w:highlight w:val="none"/>
              </w:rPr>
              <w:t>3、投标人应在投标文件递交截止时间前通过广州交易集团有限公司（广州公共资源交易中心）电子招标投标交易平台递交电子投标文件。</w:t>
            </w:r>
          </w:p>
          <w:p w14:paraId="57D83FE1">
            <w:pPr>
              <w:widowControl/>
              <w:spacing w:line="276" w:lineRule="auto"/>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上述时间及地点是否有改变，请密切留意</w:t>
            </w:r>
            <w:r>
              <w:rPr>
                <w:rFonts w:hint="eastAsia" w:ascii="宋体" w:hAnsi="宋体" w:eastAsia="宋体" w:cs="宋体"/>
                <w:color w:val="auto"/>
                <w:kern w:val="0"/>
                <w:szCs w:val="21"/>
                <w:highlight w:val="none"/>
              </w:rPr>
              <w:t>补充公告和</w:t>
            </w:r>
            <w:r>
              <w:rPr>
                <w:rFonts w:hint="eastAsia" w:ascii="宋体" w:hAnsi="宋体" w:eastAsia="宋体" w:cs="宋体"/>
                <w:bCs/>
                <w:color w:val="auto"/>
                <w:kern w:val="0"/>
                <w:szCs w:val="21"/>
                <w:highlight w:val="none"/>
              </w:rPr>
              <w:t>招标澄清答疑纪要的相关信息。</w:t>
            </w:r>
          </w:p>
          <w:p w14:paraId="5B9CE25F">
            <w:pPr>
              <w:spacing w:line="276" w:lineRule="auto"/>
              <w:rPr>
                <w:rFonts w:ascii="宋体" w:hAnsi="宋体" w:eastAsia="宋体" w:cs="宋体"/>
                <w:color w:val="auto"/>
                <w:szCs w:val="21"/>
                <w:highlight w:val="none"/>
              </w:rPr>
            </w:pPr>
            <w:r>
              <w:rPr>
                <w:rFonts w:hint="eastAsia" w:ascii="宋体" w:hAnsi="宋体" w:eastAsia="宋体" w:cs="宋体"/>
                <w:b/>
                <w:bCs/>
                <w:color w:val="auto"/>
                <w:szCs w:val="21"/>
                <w:highlight w:val="none"/>
                <w:u w:val="single"/>
              </w:rPr>
              <w:t>请各投标人密切留意本项目的日程安排，投标人可登录广州交易集团有限公司（广州公共资源交易中心）网站首页，点击“</w:t>
            </w:r>
            <w:r>
              <w:rPr>
                <w:rFonts w:hint="eastAsia" w:ascii="宋体" w:hAnsi="宋体" w:eastAsia="宋体" w:cs="宋体"/>
                <w:b/>
                <w:bCs/>
                <w:color w:val="auto"/>
                <w:szCs w:val="21"/>
                <w:highlight w:val="none"/>
                <w:u w:val="single"/>
                <w:lang w:val="en-US" w:eastAsia="zh-CN"/>
              </w:rPr>
              <w:t>交易服务</w:t>
            </w:r>
            <w:r>
              <w:rPr>
                <w:rFonts w:hint="eastAsia" w:ascii="宋体" w:hAnsi="宋体" w:eastAsia="宋体" w:cs="宋体"/>
                <w:b/>
                <w:bCs/>
                <w:color w:val="auto"/>
                <w:szCs w:val="21"/>
                <w:highlight w:val="none"/>
                <w:u w:val="single"/>
              </w:rPr>
              <w:t>-建设工程”专栏中的“项目</w:t>
            </w:r>
            <w:r>
              <w:rPr>
                <w:rFonts w:hint="eastAsia" w:ascii="宋体" w:hAnsi="宋体" w:eastAsia="宋体" w:cs="宋体"/>
                <w:b/>
                <w:bCs/>
                <w:color w:val="auto"/>
                <w:szCs w:val="21"/>
                <w:highlight w:val="none"/>
                <w:u w:val="single"/>
                <w:lang w:val="en-US" w:eastAsia="zh-CN"/>
              </w:rPr>
              <w:t>信息</w:t>
            </w:r>
            <w:r>
              <w:rPr>
                <w:rFonts w:hint="eastAsia" w:ascii="宋体" w:hAnsi="宋体" w:eastAsia="宋体" w:cs="宋体"/>
                <w:b/>
                <w:bCs/>
                <w:color w:val="auto"/>
                <w:szCs w:val="21"/>
                <w:highlight w:val="none"/>
                <w:u w:val="single"/>
              </w:rPr>
              <w:t>”输入项目编号或项目名称查询最新信息安排。</w:t>
            </w:r>
          </w:p>
        </w:tc>
      </w:tr>
      <w:tr w14:paraId="4C38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63DC11A2">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501" w:type="pct"/>
            <w:vAlign w:val="center"/>
          </w:tcPr>
          <w:p w14:paraId="0FFCCBB9">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847" w:type="pct"/>
            <w:vAlign w:val="center"/>
          </w:tcPr>
          <w:p w14:paraId="72463127">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开标评标办法</w:t>
            </w:r>
          </w:p>
        </w:tc>
        <w:tc>
          <w:tcPr>
            <w:tcW w:w="3301" w:type="pct"/>
            <w:vAlign w:val="center"/>
          </w:tcPr>
          <w:p w14:paraId="2A7A93D6">
            <w:pPr>
              <w:pStyle w:val="48"/>
              <w:spacing w:after="0" w:line="276" w:lineRule="auto"/>
              <w:ind w:firstLine="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方式一：选取方法</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办法七（适合综合评分法四，技术标与经济标同时开启）；</w:t>
            </w:r>
          </w:p>
          <w:p w14:paraId="401A962E">
            <w:pPr>
              <w:pStyle w:val="48"/>
              <w:spacing w:after="0" w:line="276" w:lineRule="auto"/>
              <w:ind w:firstLine="0"/>
              <w:rPr>
                <w:rFonts w:hint="eastAsia" w:ascii="宋体" w:hAnsi="宋体" w:cs="宋体"/>
                <w:color w:val="auto"/>
                <w:sz w:val="21"/>
                <w:szCs w:val="21"/>
                <w:highlight w:val="none"/>
                <w:u w:val="single"/>
                <w:lang w:val="en-US" w:eastAsia="zh-CN"/>
              </w:rPr>
            </w:pPr>
            <w:r>
              <w:rPr>
                <w:rFonts w:hint="eastAsia" w:ascii="宋体" w:hAnsi="宋体" w:cs="宋体"/>
                <w:color w:val="auto"/>
                <w:sz w:val="21"/>
                <w:szCs w:val="21"/>
                <w:highlight w:val="none"/>
                <w:u w:val="single"/>
                <w:lang w:val="en-US" w:eastAsia="zh-CN"/>
              </w:rPr>
              <w:t>（1）确定投标报价低于成本警示价的投标人的排序：</w:t>
            </w:r>
          </w:p>
          <w:p w14:paraId="0120795B">
            <w:pPr>
              <w:pStyle w:val="48"/>
              <w:spacing w:after="0" w:line="276" w:lineRule="auto"/>
              <w:ind w:firstLine="0"/>
              <w:rPr>
                <w:rFonts w:hint="eastAsia" w:ascii="宋体" w:hAnsi="宋体" w:cs="宋体"/>
                <w:color w:val="auto"/>
                <w:sz w:val="21"/>
                <w:szCs w:val="21"/>
                <w:highlight w:val="none"/>
                <w:u w:val="single"/>
                <w:lang w:val="en-US" w:eastAsia="zh-CN"/>
              </w:rPr>
            </w:pPr>
            <w:r>
              <w:rPr>
                <w:rFonts w:hint="eastAsia" w:ascii="宋体" w:hAnsi="宋体" w:cs="宋体"/>
                <w:color w:val="auto"/>
                <w:sz w:val="21"/>
                <w:szCs w:val="21"/>
                <w:highlight w:val="none"/>
                <w:u w:val="single"/>
                <w:lang w:val="en-US" w:eastAsia="zh-CN"/>
              </w:rPr>
              <w:t>①对于投标报价低于成本警示价的投标人，不参加经济标的</w:t>
            </w:r>
            <w:r>
              <w:rPr>
                <w:rFonts w:hint="eastAsia" w:ascii="宋体" w:hAnsi="宋体" w:cs="宋体"/>
                <w:color w:val="auto"/>
                <w:sz w:val="21"/>
                <w:szCs w:val="21"/>
                <w:highlight w:val="none"/>
                <w:u w:val="single"/>
              </w:rPr>
              <w:t>详细评审</w:t>
            </w:r>
            <w:r>
              <w:rPr>
                <w:rFonts w:hint="eastAsia" w:ascii="宋体" w:hAnsi="宋体" w:cs="宋体"/>
                <w:color w:val="auto"/>
                <w:sz w:val="21"/>
                <w:szCs w:val="21"/>
                <w:highlight w:val="none"/>
                <w:u w:val="single"/>
                <w:lang w:val="en-US" w:eastAsia="zh-CN"/>
              </w:rPr>
              <w:t>，但需参加技术标的详细评审</w:t>
            </w:r>
            <w:r>
              <w:rPr>
                <w:rFonts w:hint="eastAsia" w:ascii="宋体" w:hAnsi="宋体" w:cs="宋体"/>
                <w:color w:val="auto"/>
                <w:sz w:val="21"/>
                <w:szCs w:val="21"/>
                <w:highlight w:val="none"/>
                <w:u w:val="single"/>
              </w:rPr>
              <w:t>并排序</w:t>
            </w:r>
            <w:r>
              <w:rPr>
                <w:rFonts w:hint="eastAsia" w:ascii="宋体" w:hAnsi="宋体" w:cs="宋体"/>
                <w:color w:val="auto"/>
                <w:sz w:val="21"/>
                <w:szCs w:val="21"/>
                <w:highlight w:val="none"/>
                <w:u w:val="single"/>
                <w:lang w:val="en-US" w:eastAsia="zh-CN"/>
              </w:rPr>
              <w:t>、经济标有效性审查。</w:t>
            </w:r>
          </w:p>
          <w:p w14:paraId="05A2415A">
            <w:pPr>
              <w:pStyle w:val="48"/>
              <w:spacing w:after="0" w:line="276" w:lineRule="auto"/>
              <w:ind w:firstLine="0"/>
              <w:rPr>
                <w:rFonts w:hint="eastAsia" w:ascii="宋体" w:hAnsi="宋体" w:cs="宋体"/>
                <w:color w:val="auto"/>
                <w:sz w:val="21"/>
                <w:szCs w:val="21"/>
                <w:highlight w:val="none"/>
                <w:u w:val="single"/>
                <w:lang w:val="en-US" w:eastAsia="zh-CN"/>
              </w:rPr>
            </w:pPr>
            <w:r>
              <w:rPr>
                <w:rFonts w:hint="eastAsia" w:ascii="宋体" w:hAnsi="宋体" w:cs="宋体"/>
                <w:color w:val="auto"/>
                <w:sz w:val="21"/>
                <w:szCs w:val="21"/>
                <w:highlight w:val="none"/>
                <w:u w:val="single"/>
                <w:lang w:val="en-US" w:eastAsia="zh-CN"/>
              </w:rPr>
              <w:t>②投标报价低于成本警示价的投标人，</w:t>
            </w:r>
            <w:r>
              <w:rPr>
                <w:rFonts w:hint="eastAsia" w:ascii="宋体" w:hAnsi="宋体" w:cs="宋体"/>
                <w:color w:val="auto"/>
                <w:sz w:val="21"/>
                <w:szCs w:val="21"/>
                <w:highlight w:val="none"/>
                <w:u w:val="single"/>
              </w:rPr>
              <w:t>按照“总得分=</w:t>
            </w:r>
            <w:r>
              <w:rPr>
                <w:rFonts w:hint="eastAsia" w:ascii="宋体" w:hAnsi="宋体" w:cs="宋体"/>
                <w:color w:val="auto"/>
                <w:sz w:val="21"/>
                <w:szCs w:val="21"/>
                <w:highlight w:val="none"/>
                <w:u w:val="single"/>
                <w:lang w:val="en-US" w:eastAsia="zh-CN"/>
              </w:rPr>
              <w:t>技术</w:t>
            </w:r>
            <w:r>
              <w:rPr>
                <w:rFonts w:hint="eastAsia" w:ascii="宋体" w:hAnsi="宋体" w:cs="宋体"/>
                <w:color w:val="auto"/>
                <w:sz w:val="21"/>
                <w:szCs w:val="21"/>
                <w:highlight w:val="none"/>
                <w:u w:val="single"/>
              </w:rPr>
              <w:t>分×</w:t>
            </w:r>
            <w:r>
              <w:rPr>
                <w:rFonts w:hint="eastAsia" w:ascii="宋体" w:hAnsi="宋体" w:cs="宋体"/>
                <w:color w:val="auto"/>
                <w:sz w:val="21"/>
                <w:szCs w:val="21"/>
                <w:highlight w:val="none"/>
                <w:u w:val="single"/>
                <w:lang w:val="en-US" w:eastAsia="zh-CN"/>
              </w:rPr>
              <w:t>80</w:t>
            </w:r>
            <w:r>
              <w:rPr>
                <w:rFonts w:hint="eastAsia" w:ascii="宋体" w:hAnsi="宋体" w:cs="宋体"/>
                <w:color w:val="auto"/>
                <w:sz w:val="21"/>
                <w:szCs w:val="21"/>
                <w:highlight w:val="none"/>
                <w:u w:val="single"/>
              </w:rPr>
              <w:t>%（技术得分权重）</w:t>
            </w:r>
            <w:r>
              <w:rPr>
                <w:rFonts w:hint="eastAsia" w:ascii="宋体" w:hAnsi="宋体" w:cs="宋体"/>
                <w:color w:val="auto"/>
                <w:sz w:val="21"/>
                <w:szCs w:val="21"/>
                <w:highlight w:val="none"/>
                <w:u w:val="single"/>
                <w:lang w:val="en-US" w:eastAsia="zh-CN"/>
              </w:rPr>
              <w:t>+</w:t>
            </w:r>
            <w:r>
              <w:rPr>
                <w:rFonts w:hint="eastAsia" w:ascii="宋体" w:hAnsi="宋体" w:cs="宋体"/>
                <w:color w:val="auto"/>
                <w:sz w:val="21"/>
                <w:szCs w:val="21"/>
                <w:highlight w:val="none"/>
                <w:u w:val="single"/>
              </w:rPr>
              <w:t>信用评价得分×</w:t>
            </w:r>
            <w:r>
              <w:rPr>
                <w:rFonts w:hint="eastAsia" w:ascii="宋体" w:hAnsi="宋体" w:cs="宋体"/>
                <w:color w:val="auto"/>
                <w:sz w:val="21"/>
                <w:szCs w:val="21"/>
                <w:highlight w:val="none"/>
                <w:u w:val="single"/>
                <w:lang w:val="en-US" w:eastAsia="zh-CN"/>
              </w:rPr>
              <w:t>20</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信用评价分数权重</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的公式，计算各有效投标文件的总得分，并按照总得分从高到低排序。总得分相同的投标文件，以投标总报价较低的排前；总得分与报价均相同的投标文件，以技术分较高的排前；如仍存在相同情况，则对具有相同情况的投标人，由评标委员会采用记名投票方式，确定</w:t>
            </w:r>
            <w:r>
              <w:rPr>
                <w:rFonts w:hint="eastAsia" w:ascii="宋体" w:hAnsi="宋体" w:cs="宋体"/>
                <w:color w:val="auto"/>
                <w:sz w:val="21"/>
                <w:szCs w:val="21"/>
                <w:highlight w:val="none"/>
                <w:u w:val="single"/>
                <w:lang w:val="en-US" w:eastAsia="zh-CN"/>
              </w:rPr>
              <w:t>投标报价</w:t>
            </w:r>
            <w:r>
              <w:rPr>
                <w:rFonts w:hint="eastAsia" w:ascii="宋体" w:hAnsi="宋体" w:cs="宋体"/>
                <w:color w:val="auto"/>
                <w:sz w:val="21"/>
                <w:szCs w:val="21"/>
                <w:highlight w:val="none"/>
                <w:u w:val="single"/>
              </w:rPr>
              <w:t>低</w:t>
            </w:r>
            <w:r>
              <w:rPr>
                <w:rFonts w:hint="eastAsia" w:ascii="宋体" w:hAnsi="宋体" w:cs="宋体"/>
                <w:color w:val="auto"/>
                <w:sz w:val="21"/>
                <w:szCs w:val="21"/>
                <w:highlight w:val="none"/>
                <w:u w:val="single"/>
                <w:lang w:val="en-US" w:eastAsia="zh-CN"/>
              </w:rPr>
              <w:t>于</w:t>
            </w:r>
            <w:r>
              <w:rPr>
                <w:rFonts w:hint="eastAsia" w:ascii="宋体" w:hAnsi="宋体" w:cs="宋体"/>
                <w:color w:val="auto"/>
                <w:sz w:val="21"/>
                <w:szCs w:val="21"/>
                <w:highlight w:val="none"/>
                <w:u w:val="single"/>
              </w:rPr>
              <w:t>成本警示价</w:t>
            </w:r>
            <w:r>
              <w:rPr>
                <w:rFonts w:hint="eastAsia" w:ascii="宋体" w:hAnsi="宋体" w:cs="宋体"/>
                <w:color w:val="auto"/>
                <w:sz w:val="21"/>
                <w:szCs w:val="21"/>
                <w:highlight w:val="none"/>
                <w:u w:val="single"/>
                <w:lang w:val="en-US" w:eastAsia="zh-CN"/>
              </w:rPr>
              <w:t>的</w:t>
            </w:r>
            <w:r>
              <w:rPr>
                <w:rFonts w:hint="eastAsia" w:ascii="宋体" w:hAnsi="宋体" w:cs="宋体"/>
                <w:color w:val="auto"/>
                <w:sz w:val="21"/>
                <w:szCs w:val="21"/>
                <w:highlight w:val="none"/>
                <w:u w:val="single"/>
              </w:rPr>
              <w:t>投标人排序。</w:t>
            </w:r>
          </w:p>
          <w:p w14:paraId="697B5E10">
            <w:pPr>
              <w:pStyle w:val="48"/>
              <w:spacing w:after="0" w:line="276" w:lineRule="auto"/>
              <w:ind w:firstLine="0"/>
              <w:rPr>
                <w:rFonts w:hint="eastAsia" w:ascii="宋体" w:hAnsi="宋体" w:cs="宋体"/>
                <w:color w:val="auto"/>
                <w:sz w:val="21"/>
                <w:szCs w:val="21"/>
                <w:highlight w:val="none"/>
                <w:u w:val="single"/>
                <w:lang w:val="en-US" w:eastAsia="zh-CN"/>
              </w:rPr>
            </w:pPr>
            <w:r>
              <w:rPr>
                <w:rFonts w:hint="eastAsia" w:ascii="宋体" w:hAnsi="宋体" w:cs="宋体"/>
                <w:color w:val="auto"/>
                <w:sz w:val="21"/>
                <w:szCs w:val="21"/>
                <w:highlight w:val="none"/>
                <w:u w:val="single"/>
                <w:lang w:val="en-US" w:eastAsia="zh-CN"/>
              </w:rPr>
              <w:t>（2）确定投标报价</w:t>
            </w:r>
            <w:r>
              <w:rPr>
                <w:rFonts w:hint="eastAsia" w:ascii="宋体" w:hAnsi="宋体" w:cs="宋体"/>
                <w:color w:val="auto"/>
                <w:sz w:val="21"/>
                <w:szCs w:val="21"/>
                <w:highlight w:val="none"/>
                <w:u w:val="single"/>
              </w:rPr>
              <w:t>不低于成本</w:t>
            </w:r>
            <w:r>
              <w:rPr>
                <w:rFonts w:hint="eastAsia" w:ascii="宋体" w:hAnsi="宋体" w:cs="宋体"/>
                <w:color w:val="auto"/>
                <w:sz w:val="21"/>
                <w:szCs w:val="21"/>
                <w:highlight w:val="none"/>
                <w:u w:val="single"/>
                <w:lang w:eastAsia="zh-CN"/>
              </w:rPr>
              <w:t>警示</w:t>
            </w:r>
            <w:r>
              <w:rPr>
                <w:rFonts w:hint="eastAsia" w:ascii="宋体" w:hAnsi="宋体" w:cs="宋体"/>
                <w:color w:val="auto"/>
                <w:sz w:val="21"/>
                <w:szCs w:val="21"/>
                <w:highlight w:val="none"/>
                <w:u w:val="single"/>
              </w:rPr>
              <w:t>价的投标人</w:t>
            </w:r>
            <w:r>
              <w:rPr>
                <w:rFonts w:hint="eastAsia" w:ascii="宋体" w:hAnsi="宋体" w:cs="宋体"/>
                <w:color w:val="auto"/>
                <w:sz w:val="21"/>
                <w:szCs w:val="21"/>
                <w:highlight w:val="none"/>
                <w:u w:val="single"/>
                <w:lang w:val="en-US" w:eastAsia="zh-CN"/>
              </w:rPr>
              <w:t>排序：</w:t>
            </w:r>
          </w:p>
          <w:p w14:paraId="50D427E6">
            <w:pPr>
              <w:pStyle w:val="48"/>
              <w:spacing w:after="0" w:line="276" w:lineRule="auto"/>
              <w:ind w:firstLine="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lang w:val="en-US" w:eastAsia="zh-CN"/>
              </w:rPr>
              <w:t>①</w:t>
            </w:r>
            <w:r>
              <w:rPr>
                <w:rFonts w:hint="eastAsia" w:ascii="宋体" w:hAnsi="宋体" w:cs="宋体"/>
                <w:color w:val="auto"/>
                <w:sz w:val="21"/>
                <w:szCs w:val="21"/>
                <w:highlight w:val="none"/>
                <w:u w:val="single"/>
              </w:rPr>
              <w:t>对于</w:t>
            </w:r>
            <w:r>
              <w:rPr>
                <w:rFonts w:hint="eastAsia" w:ascii="宋体" w:hAnsi="宋体" w:cs="宋体"/>
                <w:color w:val="auto"/>
                <w:sz w:val="21"/>
                <w:szCs w:val="21"/>
                <w:highlight w:val="none"/>
                <w:u w:val="single"/>
                <w:lang w:val="en-US" w:eastAsia="zh-CN"/>
              </w:rPr>
              <w:t>投标</w:t>
            </w:r>
            <w:r>
              <w:rPr>
                <w:rFonts w:hint="eastAsia" w:ascii="宋体" w:hAnsi="宋体" w:cs="宋体"/>
                <w:color w:val="auto"/>
                <w:sz w:val="21"/>
                <w:szCs w:val="21"/>
                <w:highlight w:val="none"/>
                <w:u w:val="single"/>
              </w:rPr>
              <w:t>报价不低于成本警示价的投标人，需要参加技术标、经济标的详细评审并排序。按照“总得分=</w:t>
            </w:r>
            <w:r>
              <w:rPr>
                <w:rFonts w:hint="eastAsia" w:ascii="宋体" w:hAnsi="宋体" w:cs="宋体"/>
                <w:color w:val="auto"/>
                <w:sz w:val="21"/>
                <w:szCs w:val="21"/>
                <w:highlight w:val="none"/>
                <w:u w:val="single"/>
                <w:lang w:val="en-US" w:eastAsia="zh-CN"/>
              </w:rPr>
              <w:t>[</w:t>
            </w:r>
            <w:r>
              <w:rPr>
                <w:rFonts w:hint="eastAsia" w:ascii="宋体" w:hAnsi="宋体" w:cs="宋体"/>
                <w:color w:val="auto"/>
                <w:sz w:val="21"/>
                <w:szCs w:val="21"/>
                <w:highlight w:val="none"/>
                <w:u w:val="single"/>
              </w:rPr>
              <w:t>技术分×技术分权重（20%）+经济分×经济分权重（80%）</w:t>
            </w:r>
            <w:r>
              <w:rPr>
                <w:rFonts w:hint="eastAsia" w:ascii="宋体" w:hAnsi="宋体" w:cs="宋体"/>
                <w:color w:val="auto"/>
                <w:sz w:val="21"/>
                <w:szCs w:val="21"/>
                <w:highlight w:val="none"/>
                <w:u w:val="single"/>
                <w:lang w:val="en-US" w:eastAsia="zh-CN"/>
              </w:rPr>
              <w:t>]</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80%+</w:t>
            </w:r>
            <w:r>
              <w:rPr>
                <w:rFonts w:hint="eastAsia" w:ascii="宋体" w:hAnsi="宋体" w:cs="宋体"/>
                <w:color w:val="auto"/>
                <w:sz w:val="21"/>
                <w:szCs w:val="21"/>
                <w:highlight w:val="none"/>
                <w:u w:val="single"/>
              </w:rPr>
              <w:t>企业信用评价</w:t>
            </w:r>
            <w:r>
              <w:rPr>
                <w:rFonts w:hint="eastAsia" w:ascii="宋体" w:hAnsi="宋体" w:cs="宋体"/>
                <w:color w:val="auto"/>
                <w:sz w:val="21"/>
                <w:szCs w:val="21"/>
                <w:highlight w:val="none"/>
                <w:u w:val="single"/>
                <w:lang w:val="en-US" w:eastAsia="zh-CN"/>
              </w:rPr>
              <w:t>得</w:t>
            </w:r>
            <w:r>
              <w:rPr>
                <w:rFonts w:hint="eastAsia" w:ascii="宋体" w:hAnsi="宋体" w:cs="宋体"/>
                <w:color w:val="auto"/>
                <w:sz w:val="21"/>
                <w:szCs w:val="21"/>
                <w:highlight w:val="none"/>
                <w:u w:val="single"/>
              </w:rPr>
              <w:t>分×</w:t>
            </w:r>
            <w:r>
              <w:rPr>
                <w:rFonts w:hint="eastAsia" w:ascii="宋体" w:hAnsi="宋体" w:cs="宋体"/>
                <w:color w:val="auto"/>
                <w:sz w:val="21"/>
                <w:szCs w:val="21"/>
                <w:highlight w:val="none"/>
                <w:u w:val="single"/>
                <w:lang w:val="en-US" w:eastAsia="zh-CN"/>
              </w:rPr>
              <w:t>20%</w:t>
            </w:r>
            <w:r>
              <w:rPr>
                <w:rFonts w:hint="eastAsia" w:ascii="宋体" w:hAnsi="宋体" w:cs="宋体"/>
                <w:color w:val="auto"/>
                <w:sz w:val="21"/>
                <w:szCs w:val="21"/>
                <w:highlight w:val="none"/>
                <w:u w:val="single"/>
              </w:rPr>
              <w:t>”的公式，计算各有效投标文件的总得分，并按照总得分从高到低排序。总得分相同的投标文件，以投标总报价较低的排前；总得分与投标总报价均相同的投标文件，以技术分较高的排前；总得分、投标总报价与技术分均相同，以企业信用评价</w:t>
            </w:r>
            <w:r>
              <w:rPr>
                <w:rFonts w:hint="eastAsia" w:ascii="宋体" w:hAnsi="宋体" w:cs="宋体"/>
                <w:color w:val="auto"/>
                <w:sz w:val="21"/>
                <w:szCs w:val="21"/>
                <w:highlight w:val="none"/>
                <w:u w:val="single"/>
                <w:lang w:val="en-US" w:eastAsia="zh-CN"/>
              </w:rPr>
              <w:t>得</w:t>
            </w:r>
            <w:r>
              <w:rPr>
                <w:rFonts w:hint="eastAsia" w:ascii="宋体" w:hAnsi="宋体" w:cs="宋体"/>
                <w:color w:val="auto"/>
                <w:sz w:val="21"/>
                <w:szCs w:val="21"/>
                <w:highlight w:val="none"/>
                <w:u w:val="single"/>
              </w:rPr>
              <w:t>分较高的排前；如仍存在相同情况，则对具有相同情况的投标人，由评标委员会采用记名投票方式，确定</w:t>
            </w:r>
            <w:r>
              <w:rPr>
                <w:rFonts w:hint="eastAsia" w:ascii="宋体" w:hAnsi="宋体" w:cs="宋体"/>
                <w:color w:val="auto"/>
                <w:sz w:val="21"/>
                <w:szCs w:val="21"/>
                <w:highlight w:val="none"/>
                <w:u w:val="single"/>
                <w:lang w:val="en-US" w:eastAsia="zh-CN"/>
              </w:rPr>
              <w:t>投标报价不</w:t>
            </w:r>
            <w:r>
              <w:rPr>
                <w:rFonts w:hint="eastAsia" w:ascii="宋体" w:hAnsi="宋体" w:cs="宋体"/>
                <w:color w:val="auto"/>
                <w:sz w:val="21"/>
                <w:szCs w:val="21"/>
                <w:highlight w:val="none"/>
                <w:u w:val="single"/>
              </w:rPr>
              <w:t>低</w:t>
            </w:r>
            <w:r>
              <w:rPr>
                <w:rFonts w:hint="eastAsia" w:ascii="宋体" w:hAnsi="宋体" w:cs="宋体"/>
                <w:color w:val="auto"/>
                <w:sz w:val="21"/>
                <w:szCs w:val="21"/>
                <w:highlight w:val="none"/>
                <w:u w:val="single"/>
                <w:lang w:val="en-US" w:eastAsia="zh-CN"/>
              </w:rPr>
              <w:t>于</w:t>
            </w:r>
            <w:r>
              <w:rPr>
                <w:rFonts w:hint="eastAsia" w:ascii="宋体" w:hAnsi="宋体" w:cs="宋体"/>
                <w:color w:val="auto"/>
                <w:sz w:val="21"/>
                <w:szCs w:val="21"/>
                <w:highlight w:val="none"/>
                <w:u w:val="single"/>
              </w:rPr>
              <w:t>成本警示价</w:t>
            </w:r>
            <w:r>
              <w:rPr>
                <w:rFonts w:hint="eastAsia" w:ascii="宋体" w:hAnsi="宋体" w:cs="宋体"/>
                <w:color w:val="auto"/>
                <w:sz w:val="21"/>
                <w:szCs w:val="21"/>
                <w:highlight w:val="none"/>
                <w:u w:val="single"/>
                <w:lang w:val="en-US" w:eastAsia="zh-CN"/>
              </w:rPr>
              <w:t>的</w:t>
            </w:r>
            <w:r>
              <w:rPr>
                <w:rFonts w:hint="eastAsia" w:ascii="宋体" w:hAnsi="宋体" w:cs="宋体"/>
                <w:color w:val="auto"/>
                <w:sz w:val="21"/>
                <w:szCs w:val="21"/>
                <w:highlight w:val="none"/>
                <w:u w:val="single"/>
              </w:rPr>
              <w:t>投标人排序。</w:t>
            </w:r>
          </w:p>
          <w:p w14:paraId="41A8E5B4">
            <w:pPr>
              <w:pStyle w:val="48"/>
              <w:spacing w:after="0" w:line="276" w:lineRule="auto"/>
              <w:ind w:firstLine="0"/>
              <w:rPr>
                <w:rFonts w:ascii="宋体" w:hAnsi="宋体" w:cs="宋体"/>
                <w:color w:val="auto"/>
                <w:sz w:val="21"/>
                <w:szCs w:val="21"/>
                <w:highlight w:val="none"/>
              </w:rPr>
            </w:pPr>
            <w:r>
              <w:rPr>
                <w:rFonts w:hint="eastAsia" w:ascii="宋体" w:hAnsi="宋体" w:cs="宋体"/>
                <w:color w:val="auto"/>
                <w:sz w:val="21"/>
                <w:szCs w:val="21"/>
                <w:highlight w:val="none"/>
                <w:u w:val="single"/>
              </w:rPr>
              <w:t>注：记名投票方式确定排序的具体操作步骤为：由评标委员会对出现该情况的投标人采取记名投票的方式确定，按得票数从高到低排列先后次序，以得票数高的排前，根据得票数高低确定合格中标候选人排序。</w:t>
            </w:r>
          </w:p>
        </w:tc>
      </w:tr>
      <w:tr w14:paraId="3B65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7EB7D54C">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501" w:type="pct"/>
            <w:vAlign w:val="center"/>
          </w:tcPr>
          <w:p w14:paraId="03ABC1F7">
            <w:pPr>
              <w:spacing w:line="276"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27</w:t>
            </w:r>
          </w:p>
        </w:tc>
        <w:tc>
          <w:tcPr>
            <w:tcW w:w="847" w:type="pct"/>
            <w:vAlign w:val="center"/>
          </w:tcPr>
          <w:p w14:paraId="11BDA894">
            <w:pPr>
              <w:spacing w:line="276"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定标</w:t>
            </w:r>
          </w:p>
        </w:tc>
        <w:tc>
          <w:tcPr>
            <w:tcW w:w="3301" w:type="pct"/>
            <w:vAlign w:val="center"/>
          </w:tcPr>
          <w:p w14:paraId="44B9E2FA">
            <w:pPr>
              <w:pStyle w:val="48"/>
              <w:spacing w:after="0" w:line="276" w:lineRule="auto"/>
              <w:ind w:firstLine="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采用评定分离定标办法</w:t>
            </w:r>
          </w:p>
          <w:p w14:paraId="2A456963">
            <w:pPr>
              <w:pStyle w:val="48"/>
              <w:spacing w:after="0" w:line="276" w:lineRule="auto"/>
              <w:ind w:firstLine="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1.评标采用“有限数量制”推荐合格中标候选人。推荐</w:t>
            </w:r>
            <w:r>
              <w:rPr>
                <w:rFonts w:hint="eastAsia" w:ascii="宋体" w:hAnsi="宋体" w:cs="宋体"/>
                <w:b/>
                <w:bCs/>
                <w:color w:val="auto"/>
                <w:sz w:val="21"/>
                <w:szCs w:val="21"/>
                <w:highlight w:val="none"/>
                <w:u w:val="single"/>
              </w:rPr>
              <w:t>3-7名</w:t>
            </w:r>
            <w:r>
              <w:rPr>
                <w:rFonts w:hint="eastAsia" w:ascii="宋体" w:hAnsi="宋体" w:cs="宋体"/>
                <w:color w:val="auto"/>
                <w:sz w:val="21"/>
                <w:szCs w:val="21"/>
                <w:highlight w:val="none"/>
                <w:u w:val="single"/>
              </w:rPr>
              <w:t>合格中标候选人，投标报价低于成本警示价的投标人及投标报价不低于成本警示价的投标人推荐方式如下：</w:t>
            </w:r>
          </w:p>
          <w:p w14:paraId="43E8C944">
            <w:pPr>
              <w:pStyle w:val="48"/>
              <w:spacing w:after="0" w:line="276" w:lineRule="auto"/>
              <w:ind w:firstLine="0"/>
              <w:rPr>
                <w:rFonts w:hint="eastAsia" w:ascii="宋体" w:hAnsi="宋体" w:cs="宋体"/>
                <w:color w:val="auto"/>
                <w:sz w:val="21"/>
                <w:szCs w:val="21"/>
                <w:highlight w:val="none"/>
                <w:u w:val="single"/>
              </w:rPr>
            </w:pPr>
            <w:r>
              <w:rPr>
                <w:rFonts w:hint="eastAsia" w:ascii="宋体" w:hAnsi="宋体" w:cs="宋体"/>
                <w:b/>
                <w:bCs/>
                <w:color w:val="auto"/>
                <w:sz w:val="21"/>
                <w:szCs w:val="21"/>
                <w:highlight w:val="none"/>
                <w:u w:val="single"/>
              </w:rPr>
              <w:t>（1）对于投标报价低于成本警示价的投标人推荐方式：</w:t>
            </w:r>
          </w:p>
          <w:p w14:paraId="547E086C">
            <w:pP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①投标报价低于成本警示价的有效投标人，均推荐为合格中标候选人进入定标阶段（适用于通过经济标有效性审查且投标报价低于成本警示价的有效投标人家数在[1,2]家的）。</w:t>
            </w:r>
          </w:p>
          <w:p w14:paraId="02160575">
            <w:pP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②投标报价低于成本警示价的有效投标人，推荐前2名为合格中标候选人进入定标阶段（适用于通过经济标有效性审查且投标报价低于成本警示价的有效投标人家数在大于2家的）。</w:t>
            </w:r>
          </w:p>
          <w:p w14:paraId="21DC1466">
            <w:pPr>
              <w:pStyle w:val="48"/>
              <w:spacing w:after="0" w:line="276" w:lineRule="auto"/>
              <w:ind w:firstLine="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（2）对于投标报价不低于成本警示价的投标人推荐方式：</w:t>
            </w:r>
          </w:p>
          <w:p w14:paraId="13075E0F">
            <w:pP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①投标报价不低于成本警示价的有效投标人，均推荐为合格中标候选人进入定标阶段（适用于通过经济标有效性审查且报价不低于成本警示价的有效投标人家数在小于等于5家的）。</w:t>
            </w:r>
          </w:p>
          <w:p w14:paraId="1CB01721">
            <w:pP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②投标报价不低于成本警示价的投标人，推荐前5名为合格中标候选人进入定标阶段（适用于通过经济标有效性审查且报价不低于成本警示价的有效投标人家数在大于5家的）。</w:t>
            </w:r>
          </w:p>
          <w:p w14:paraId="2A7410E0">
            <w:pPr>
              <w:pStyle w:val="48"/>
              <w:spacing w:after="0" w:line="276" w:lineRule="auto"/>
              <w:ind w:firstLine="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合格中标候选人不排序，按统一社会信用代码后4位（除校验码外）大小排位，如统一社会信用代码后4位出现字母情况的，字母以“0”进行代替大小排位；如出现后4位（除校验码外）大小一致的，则随机排位。</w:t>
            </w:r>
            <w:r>
              <w:rPr>
                <w:rFonts w:hint="eastAsia" w:ascii="宋体" w:hAnsi="宋体" w:cs="宋体"/>
                <w:b/>
                <w:bCs/>
                <w:color w:val="auto"/>
                <w:szCs w:val="21"/>
                <w:highlight w:val="none"/>
                <w:u w:val="single"/>
              </w:rPr>
              <w:t>如联合体投标的，以主办方为准。</w:t>
            </w:r>
            <w:r>
              <w:rPr>
                <w:rFonts w:hint="eastAsia" w:ascii="宋体" w:hAnsi="宋体" w:cs="宋体"/>
                <w:color w:val="auto"/>
                <w:sz w:val="21"/>
                <w:szCs w:val="21"/>
                <w:highlight w:val="none"/>
                <w:u w:val="single"/>
              </w:rPr>
              <w:t>】</w:t>
            </w:r>
          </w:p>
          <w:p w14:paraId="41B82A95">
            <w:pPr>
              <w:pStyle w:val="48"/>
              <w:spacing w:after="0" w:line="276" w:lineRule="auto"/>
              <w:ind w:firstLine="0"/>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2.当合格中标候选人小于3名时，招标人应重新招标。</w:t>
            </w:r>
          </w:p>
          <w:p w14:paraId="51465B5D">
            <w:pPr>
              <w:spacing w:line="276" w:lineRule="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u w:val="single"/>
              </w:rPr>
              <w:t>3.定标采用“评分法”，定标委员会从评标委员会推荐的合格中标候选人中，依据 《定标因素表》（附件八）的标准，对合格中标候选人提交的定标文件进行评审，评分选出得分最高的候选人，确定为中标人。</w:t>
            </w:r>
            <w:r>
              <w:rPr>
                <w:rFonts w:hint="eastAsia" w:ascii="宋体" w:hAnsi="宋体" w:eastAsia="宋体" w:cs="宋体"/>
                <w:bCs/>
                <w:color w:val="auto"/>
                <w:szCs w:val="21"/>
                <w:highlight w:val="none"/>
                <w:u w:val="single"/>
              </w:rPr>
              <w:t>定标因素包括“方案因素”和“价格因素”，</w:t>
            </w:r>
            <w:r>
              <w:rPr>
                <w:rFonts w:hint="eastAsia" w:ascii="宋体" w:hAnsi="宋体" w:eastAsia="宋体" w:cs="宋体"/>
                <w:b/>
                <w:color w:val="auto"/>
                <w:szCs w:val="21"/>
                <w:highlight w:val="none"/>
                <w:u w:val="single"/>
              </w:rPr>
              <w:t>总得分（100分）=方案因素得分（100分）×方案因素权重（70%）+价格因素得分（100分）×价格因素权重（30%）</w:t>
            </w:r>
            <w:r>
              <w:rPr>
                <w:rFonts w:hint="eastAsia" w:ascii="宋体" w:hAnsi="宋体" w:eastAsia="宋体" w:cs="宋体"/>
                <w:bCs/>
                <w:color w:val="auto"/>
                <w:szCs w:val="21"/>
                <w:highlight w:val="none"/>
                <w:u w:val="single"/>
              </w:rPr>
              <w:t>。</w:t>
            </w:r>
          </w:p>
          <w:p w14:paraId="132BD255">
            <w:pPr>
              <w:spacing w:line="276" w:lineRule="auto"/>
              <w:rPr>
                <w:rFonts w:hint="eastAsia" w:ascii="宋体" w:hAnsi="宋体" w:eastAsia="宋体" w:cs="宋体"/>
                <w:bCs/>
                <w:color w:val="auto"/>
                <w:szCs w:val="21"/>
                <w:highlight w:val="none"/>
                <w:u w:val="single"/>
              </w:rPr>
            </w:pPr>
            <w:r>
              <w:rPr>
                <w:rFonts w:hint="eastAsia" w:ascii="宋体" w:hAnsi="宋体" w:eastAsia="宋体" w:cs="宋体"/>
                <w:b/>
                <w:color w:val="auto"/>
                <w:szCs w:val="21"/>
                <w:highlight w:val="none"/>
                <w:u w:val="single"/>
              </w:rPr>
              <w:t>定标因素为：</w:t>
            </w:r>
            <w:r>
              <w:rPr>
                <w:rFonts w:hint="eastAsia" w:ascii="宋体" w:hAnsi="宋体" w:eastAsia="宋体" w:cs="宋体"/>
                <w:bCs/>
                <w:color w:val="auto"/>
                <w:szCs w:val="21"/>
                <w:highlight w:val="none"/>
                <w:u w:val="single"/>
              </w:rPr>
              <w:t>（1）方案因素：对合格中标候选人定标方案进行评审：①团队配置、②施工管理措施、③成本控制措施、④资金管理措施。（2）价格因素：定标委员会对合格中标候选人投标报价进行打分，以合格中标候选人中投标总报价高于成本警示价的最低投标报价为定标基准价（如合格中标候选人的投标报价均低于或等于成本警示价</w:t>
            </w:r>
            <w:r>
              <w:rPr>
                <w:rFonts w:ascii="宋体" w:hAnsi="宋体" w:eastAsia="宋体" w:cs="宋体"/>
                <w:bCs/>
                <w:color w:val="auto"/>
                <w:szCs w:val="21"/>
                <w:highlight w:val="none"/>
                <w:u w:val="single"/>
              </w:rPr>
              <w:t>,则成本警示价为定标基准价），投标总报价等于定标基准价时得100分。投标总报价比定标基准价每高1%扣1.5分；每低1%扣1.0分，扣至0分为止。得出价格因素得分，分数出现小数点时，保留小数点后二位，第三位小数四舍五入。</w:t>
            </w:r>
          </w:p>
          <w:p w14:paraId="1C9CFFC4">
            <w:pPr>
              <w:spacing w:line="276" w:lineRule="auto"/>
              <w:rPr>
                <w:rFonts w:ascii="宋体" w:hAnsi="宋体" w:eastAsia="宋体" w:cs="宋体"/>
                <w:color w:val="auto"/>
                <w:szCs w:val="21"/>
                <w:highlight w:val="none"/>
              </w:rPr>
            </w:pPr>
            <w:r>
              <w:rPr>
                <w:rFonts w:hint="eastAsia" w:ascii="宋体" w:hAnsi="宋体" w:eastAsia="宋体" w:cs="宋体"/>
                <w:bCs/>
                <w:color w:val="auto"/>
                <w:szCs w:val="21"/>
                <w:highlight w:val="none"/>
                <w:u w:val="single"/>
              </w:rPr>
              <w:t>注：若合格中标候选人总得分相同且影响定标排序的，以方案因素得分高的排前；若方案因素得分仍相同的，以投标报价低的排前，若投标报价仍相同的，由定标委员会投票确定排序。</w:t>
            </w:r>
          </w:p>
        </w:tc>
      </w:tr>
      <w:tr w14:paraId="4622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66877A8F">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501" w:type="pct"/>
            <w:vAlign w:val="center"/>
          </w:tcPr>
          <w:p w14:paraId="13027AAB">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847" w:type="pct"/>
            <w:vAlign w:val="center"/>
          </w:tcPr>
          <w:p w14:paraId="48D9CF71">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履约担保</w:t>
            </w:r>
          </w:p>
        </w:tc>
        <w:tc>
          <w:tcPr>
            <w:tcW w:w="3301" w:type="pct"/>
            <w:vAlign w:val="center"/>
          </w:tcPr>
          <w:p w14:paraId="56DA345D">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是否要求投标人提交履约担保：</w:t>
            </w:r>
          </w:p>
          <w:p w14:paraId="48F21FDF">
            <w:pPr>
              <w:spacing w:line="276" w:lineRule="auto"/>
              <w:rPr>
                <w:rFonts w:ascii="宋体" w:hAnsi="宋体" w:eastAsia="宋体" w:cs="Courier New"/>
                <w:color w:val="auto"/>
                <w:szCs w:val="21"/>
                <w:highlight w:val="none"/>
              </w:rPr>
            </w:pPr>
            <w:r>
              <w:rPr>
                <w:rFonts w:hint="eastAsia" w:ascii="宋体" w:hAnsi="宋体" w:eastAsia="宋体" w:cs="Courier New"/>
                <w:color w:val="auto"/>
                <w:szCs w:val="21"/>
                <w:highlight w:val="none"/>
              </w:rPr>
              <w:t>□不要求</w:t>
            </w:r>
          </w:p>
          <w:p w14:paraId="22F5B5EE">
            <w:pPr>
              <w:spacing w:line="276" w:lineRule="auto"/>
              <w:rPr>
                <w:rFonts w:ascii="宋体" w:hAnsi="宋体" w:eastAsia="宋体" w:cs="Courier New"/>
                <w:color w:val="auto"/>
                <w:szCs w:val="21"/>
                <w:highlight w:val="none"/>
              </w:rPr>
            </w:pPr>
            <w:r>
              <w:rPr>
                <w:rFonts w:ascii="Segoe UI Symbol" w:hAnsi="Segoe UI Symbol" w:eastAsia="宋体" w:cs="Segoe UI Symbol"/>
                <w:color w:val="auto"/>
                <w:szCs w:val="21"/>
                <w:highlight w:val="none"/>
              </w:rPr>
              <w:t>☑</w:t>
            </w:r>
            <w:r>
              <w:rPr>
                <w:rFonts w:hint="eastAsia" w:ascii="宋体" w:hAnsi="宋体" w:eastAsia="宋体" w:cs="等线"/>
                <w:color w:val="auto"/>
                <w:szCs w:val="21"/>
                <w:highlight w:val="none"/>
              </w:rPr>
              <w:t>要求：</w:t>
            </w:r>
          </w:p>
          <w:p w14:paraId="2F65C885">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履约保证金的金额：</w:t>
            </w:r>
          </w:p>
          <w:p w14:paraId="5582B532">
            <w:pPr>
              <w:shd w:val="clear" w:color="auto" w:fill="auto"/>
              <w:spacing w:line="276" w:lineRule="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方式一：中标人提供的履约担保金额为中标价款的10%。</w:t>
            </w:r>
          </w:p>
          <w:p w14:paraId="71FFA54E">
            <w:pPr>
              <w:pStyle w:val="48"/>
              <w:spacing w:after="0" w:line="240" w:lineRule="auto"/>
              <w:ind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方式二：中标人提供的履约保函的保证额为中标价款与最高投标限价之间的差额，且不</w:t>
            </w:r>
            <w:r>
              <w:rPr>
                <w:rFonts w:hint="eastAsia" w:ascii="宋体" w:hAnsi="宋体" w:eastAsia="宋体" w:cs="宋体"/>
                <w:color w:val="auto"/>
                <w:sz w:val="21"/>
                <w:szCs w:val="21"/>
                <w:highlight w:val="none"/>
                <w:lang w:eastAsia="zh-CN"/>
              </w:rPr>
              <w:t>超过</w:t>
            </w:r>
            <w:r>
              <w:rPr>
                <w:rFonts w:hint="eastAsia" w:ascii="宋体" w:hAnsi="宋体" w:eastAsia="宋体" w:cs="宋体"/>
                <w:color w:val="auto"/>
                <w:sz w:val="21"/>
                <w:szCs w:val="21"/>
                <w:highlight w:val="none"/>
              </w:rPr>
              <w:t>中标价款的10%。</w:t>
            </w:r>
          </w:p>
          <w:p w14:paraId="31069B3B">
            <w:pPr>
              <w:spacing w:line="276" w:lineRule="auto"/>
              <w:rPr>
                <w:rFonts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履约保证金的形式：</w:t>
            </w:r>
            <w:r>
              <w:rPr>
                <w:rFonts w:hint="eastAsia" w:ascii="宋体" w:hAnsi="宋体" w:eastAsia="宋体" w:cs="宋体"/>
                <w:color w:val="auto"/>
                <w:kern w:val="2"/>
                <w:sz w:val="21"/>
                <w:szCs w:val="21"/>
                <w:highlight w:val="none"/>
                <w:u w:val="single"/>
                <w:lang w:val="en-US" w:eastAsia="zh-CN" w:bidi="ar-SA"/>
              </w:rPr>
              <w:t>按《关于规范招投标领域工程建设保证金收取有关工作的通知》（粤发改法规函〔2022〕1178号）执行合同约定。</w:t>
            </w:r>
          </w:p>
        </w:tc>
      </w:tr>
      <w:tr w14:paraId="6958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6BA25733">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22</w:t>
            </w:r>
          </w:p>
        </w:tc>
        <w:tc>
          <w:tcPr>
            <w:tcW w:w="501" w:type="pct"/>
            <w:vAlign w:val="center"/>
          </w:tcPr>
          <w:p w14:paraId="0428E41C">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32.1</w:t>
            </w:r>
          </w:p>
        </w:tc>
        <w:tc>
          <w:tcPr>
            <w:tcW w:w="847" w:type="pct"/>
            <w:vAlign w:val="center"/>
          </w:tcPr>
          <w:p w14:paraId="1F782FF9">
            <w:pPr>
              <w:spacing w:line="276"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专业分包</w:t>
            </w:r>
          </w:p>
        </w:tc>
        <w:tc>
          <w:tcPr>
            <w:tcW w:w="3301" w:type="pct"/>
            <w:vAlign w:val="center"/>
          </w:tcPr>
          <w:p w14:paraId="68C61B5A">
            <w:pPr>
              <w:spacing w:line="276" w:lineRule="auto"/>
              <w:rPr>
                <w:rFonts w:ascii="宋体" w:hAnsi="宋体" w:eastAsia="宋体"/>
                <w:color w:val="auto"/>
                <w:kern w:val="0"/>
                <w:szCs w:val="21"/>
                <w:highlight w:val="none"/>
                <w:lang w:val="zh-CN"/>
              </w:rPr>
            </w:pPr>
            <w:r>
              <w:rPr>
                <w:rFonts w:hint="eastAsia" w:ascii="宋体" w:hAnsi="宋体" w:eastAsia="宋体"/>
                <w:color w:val="auto"/>
                <w:kern w:val="0"/>
                <w:szCs w:val="21"/>
                <w:highlight w:val="none"/>
                <w:lang w:val="zh-CN"/>
              </w:rPr>
              <w:t>□不允许；</w:t>
            </w:r>
          </w:p>
          <w:p w14:paraId="21D5E7D9">
            <w:pPr>
              <w:rPr>
                <w:rFonts w:ascii="宋体" w:hAnsi="宋体" w:eastAsia="宋体" w:cs="宋体"/>
                <w:color w:val="auto"/>
                <w:kern w:val="0"/>
                <w:szCs w:val="21"/>
                <w:highlight w:val="none"/>
                <w:u w:val="single"/>
                <w:lang w:val="zh-CN"/>
              </w:rPr>
            </w:pPr>
            <w:r>
              <w:rPr>
                <w:rFonts w:ascii="Segoe UI Symbol" w:hAnsi="Segoe UI Symbol" w:eastAsia="宋体" w:cs="Segoe UI Symbol"/>
                <w:color w:val="auto"/>
                <w:kern w:val="0"/>
                <w:szCs w:val="21"/>
                <w:highlight w:val="none"/>
                <w:lang w:val="zh-CN"/>
              </w:rPr>
              <w:t>☑</w:t>
            </w:r>
            <w:r>
              <w:rPr>
                <w:rFonts w:hint="eastAsia" w:ascii="宋体" w:hAnsi="宋体" w:eastAsia="宋体" w:cs="宋体"/>
                <w:color w:val="auto"/>
                <w:kern w:val="0"/>
                <w:szCs w:val="21"/>
                <w:highlight w:val="none"/>
                <w:lang w:val="zh-CN"/>
              </w:rPr>
              <w:t>允许：分包内容要求：</w:t>
            </w:r>
            <w:r>
              <w:rPr>
                <w:rFonts w:hint="eastAsia" w:ascii="宋体" w:hAnsi="宋体" w:eastAsia="宋体" w:cs="宋体"/>
                <w:color w:val="auto"/>
                <w:sz w:val="21"/>
                <w:szCs w:val="21"/>
                <w:highlight w:val="none"/>
                <w:u w:val="single"/>
                <w:lang w:val="zh-CN"/>
              </w:rPr>
              <w:t>依法分包，具体按照合同约定并经招标人同意</w:t>
            </w:r>
            <w:r>
              <w:rPr>
                <w:rFonts w:hint="eastAsia" w:ascii="宋体" w:hAnsi="宋体" w:eastAsia="宋体" w:cs="宋体"/>
                <w:color w:val="auto"/>
                <w:szCs w:val="21"/>
                <w:highlight w:val="none"/>
                <w:u w:val="single"/>
              </w:rPr>
              <w:t>。</w:t>
            </w:r>
          </w:p>
          <w:p w14:paraId="56FB5A18">
            <w:pP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        分包金额要求：</w:t>
            </w:r>
            <w:r>
              <w:rPr>
                <w:rFonts w:hint="eastAsia" w:ascii="宋体" w:hAnsi="宋体" w:eastAsia="宋体" w:cs="宋体"/>
                <w:color w:val="auto"/>
                <w:sz w:val="21"/>
                <w:szCs w:val="21"/>
                <w:highlight w:val="none"/>
                <w:u w:val="single"/>
              </w:rPr>
              <w:t>按照合同约定并经招标人同意。</w:t>
            </w:r>
          </w:p>
          <w:p w14:paraId="5A8A8CF4">
            <w:pPr>
              <w:shd w:val="clear" w:color="auto" w:fill="auto"/>
              <w:spacing w:line="276" w:lineRule="auto"/>
              <w:ind w:firstLine="840" w:firstLineChars="400"/>
              <w:rPr>
                <w:rFonts w:ascii="宋体" w:hAnsi="宋体"/>
                <w:color w:val="auto"/>
                <w:kern w:val="0"/>
                <w:szCs w:val="21"/>
                <w:highlight w:val="none"/>
                <w:lang w:val="zh-CN"/>
              </w:rPr>
            </w:pPr>
            <w:r>
              <w:rPr>
                <w:rFonts w:hint="eastAsia" w:ascii="宋体" w:hAnsi="宋体" w:eastAsia="宋体" w:cs="宋体"/>
                <w:color w:val="auto"/>
                <w:kern w:val="0"/>
                <w:szCs w:val="21"/>
                <w:highlight w:val="none"/>
                <w:lang w:val="zh-CN"/>
              </w:rPr>
              <w:t>对分包人的资质要求：</w:t>
            </w:r>
            <w:r>
              <w:rPr>
                <w:rFonts w:hint="eastAsia" w:ascii="宋体" w:hAnsi="宋体" w:eastAsia="宋体" w:cs="宋体"/>
                <w:color w:val="auto"/>
                <w:szCs w:val="21"/>
                <w:highlight w:val="none"/>
                <w:u w:val="single"/>
              </w:rPr>
              <w:t>符合有关法律法规和文件规定，并不得再次分包。</w:t>
            </w:r>
          </w:p>
          <w:p w14:paraId="3E88576E">
            <w:pPr>
              <w:pStyle w:val="48"/>
              <w:spacing w:after="0"/>
              <w:ind w:firstLine="0"/>
              <w:rPr>
                <w:rFonts w:ascii="宋体" w:hAnsi="宋体" w:cs="宋体"/>
                <w:color w:val="auto"/>
                <w:sz w:val="21"/>
                <w:szCs w:val="21"/>
                <w:highlight w:val="none"/>
                <w:u w:val="single"/>
                <w:lang w:val="zh-CN"/>
              </w:rPr>
            </w:pPr>
            <w:r>
              <w:rPr>
                <w:rFonts w:hint="eastAsia" w:ascii="宋体" w:hAnsi="宋体" w:cs="宋体"/>
                <w:color w:val="auto"/>
                <w:sz w:val="21"/>
                <w:szCs w:val="21"/>
                <w:highlight w:val="none"/>
                <w:lang w:val="zh-CN"/>
              </w:rPr>
              <w:t xml:space="preserve">        对分包人的其他要求：</w:t>
            </w:r>
            <w:r>
              <w:rPr>
                <w:rFonts w:hint="eastAsia" w:ascii="宋体" w:hAnsi="宋体" w:eastAsia="宋体" w:cs="宋体"/>
                <w:color w:val="auto"/>
                <w:sz w:val="21"/>
                <w:szCs w:val="21"/>
                <w:highlight w:val="none"/>
                <w:u w:val="single"/>
                <w:lang w:eastAsia="zh-CN"/>
              </w:rPr>
              <w:t>按合同约定。</w:t>
            </w:r>
          </w:p>
          <w:p w14:paraId="60DAF9DD">
            <w:pPr>
              <w:spacing w:line="276" w:lineRule="auto"/>
              <w:rPr>
                <w:rFonts w:ascii="宋体" w:hAnsi="宋体" w:eastAsia="宋体" w:cs="宋体"/>
                <w:b/>
                <w:bCs/>
                <w:color w:val="auto"/>
                <w:szCs w:val="21"/>
                <w:highlight w:val="none"/>
                <w:u w:val="single"/>
                <w:lang w:val="zh-CN"/>
              </w:rPr>
            </w:pPr>
            <w:r>
              <w:rPr>
                <w:rFonts w:hint="eastAsia" w:ascii="宋体" w:hAnsi="宋体" w:eastAsia="宋体" w:cs="宋体"/>
                <w:b/>
                <w:bCs/>
                <w:color w:val="auto"/>
                <w:szCs w:val="21"/>
                <w:highlight w:val="none"/>
                <w:u w:val="single"/>
                <w:lang w:val="zh-CN"/>
              </w:rPr>
              <w:t>注：</w:t>
            </w:r>
          </w:p>
          <w:p w14:paraId="068E7EF7">
            <w:pPr>
              <w:spacing w:line="276" w:lineRule="auto"/>
              <w:rPr>
                <w:rFonts w:ascii="宋体" w:hAnsi="宋体" w:eastAsia="宋体" w:cs="宋体"/>
                <w:b/>
                <w:bCs/>
                <w:color w:val="auto"/>
                <w:szCs w:val="21"/>
                <w:highlight w:val="none"/>
                <w:u w:val="single"/>
                <w:lang w:val="zh-CN"/>
              </w:rPr>
            </w:pPr>
            <w:r>
              <w:rPr>
                <w:rFonts w:hint="eastAsia" w:ascii="宋体" w:hAnsi="宋体" w:eastAsia="宋体" w:cs="宋体"/>
                <w:b/>
                <w:bCs/>
                <w:color w:val="auto"/>
                <w:szCs w:val="21"/>
                <w:highlight w:val="none"/>
                <w:u w:val="single"/>
                <w:lang w:val="zh-CN"/>
              </w:rPr>
              <w:t>（</w:t>
            </w:r>
            <w:r>
              <w:rPr>
                <w:rFonts w:hint="eastAsia" w:ascii="宋体" w:hAnsi="宋体" w:eastAsia="宋体" w:cs="宋体"/>
                <w:b/>
                <w:bCs/>
                <w:color w:val="auto"/>
                <w:szCs w:val="21"/>
                <w:highlight w:val="none"/>
                <w:u w:val="single"/>
              </w:rPr>
              <w:t>1</w:t>
            </w:r>
            <w:r>
              <w:rPr>
                <w:rFonts w:hint="eastAsia" w:ascii="宋体" w:hAnsi="宋体" w:eastAsia="宋体" w:cs="宋体"/>
                <w:b/>
                <w:bCs/>
                <w:color w:val="auto"/>
                <w:szCs w:val="21"/>
                <w:highlight w:val="none"/>
                <w:u w:val="single"/>
                <w:lang w:val="zh-CN"/>
              </w:rPr>
              <w:t>）大中型企业向一家或者多家小微企业分包的（分包承诺小微企业的合同份额占到合同总金额30%（含）以上），在采用其原报价进行评分的基础上增加其价格得分的2%作为其价格分（经济分），若原报价已满分，仍可突破满分上限继续享受加分优惠，以实际计算结果作为最终价格分（经济分）。</w:t>
            </w:r>
          </w:p>
          <w:p w14:paraId="4288F6D4">
            <w:pPr>
              <w:spacing w:line="276" w:lineRule="auto"/>
              <w:rPr>
                <w:rFonts w:ascii="宋体" w:hAnsi="宋体" w:eastAsia="宋体" w:cs="宋体"/>
                <w:color w:val="auto"/>
                <w:szCs w:val="21"/>
                <w:highlight w:val="none"/>
                <w:u w:val="single"/>
              </w:rPr>
            </w:pPr>
            <w:r>
              <w:rPr>
                <w:rFonts w:hint="eastAsia" w:ascii="宋体" w:hAnsi="宋体" w:eastAsia="宋体" w:cs="宋体"/>
                <w:b/>
                <w:bCs/>
                <w:color w:val="auto"/>
                <w:szCs w:val="21"/>
                <w:highlight w:val="none"/>
                <w:u w:val="single"/>
                <w:lang w:val="zh-CN"/>
              </w:rPr>
              <w:t>（</w:t>
            </w:r>
            <w:r>
              <w:rPr>
                <w:rFonts w:hint="eastAsia" w:ascii="宋体" w:hAnsi="宋体" w:eastAsia="宋体" w:cs="宋体"/>
                <w:b/>
                <w:bCs/>
                <w:color w:val="auto"/>
                <w:szCs w:val="21"/>
                <w:highlight w:val="none"/>
                <w:u w:val="single"/>
              </w:rPr>
              <w:t>2</w:t>
            </w:r>
            <w:r>
              <w:rPr>
                <w:rFonts w:hint="eastAsia" w:ascii="宋体" w:hAnsi="宋体" w:eastAsia="宋体" w:cs="宋体"/>
                <w:b/>
                <w:bCs/>
                <w:color w:val="auto"/>
                <w:szCs w:val="21"/>
                <w:highlight w:val="none"/>
                <w:u w:val="single"/>
                <w:lang w:val="zh-CN"/>
              </w:rPr>
              <w:t>）规定享受扶持政策获得</w:t>
            </w:r>
            <w:r>
              <w:rPr>
                <w:rFonts w:hint="eastAsia" w:ascii="宋体" w:hAnsi="宋体" w:eastAsia="宋体" w:cs="宋体"/>
                <w:b/>
                <w:bCs/>
                <w:color w:val="auto"/>
                <w:szCs w:val="21"/>
                <w:highlight w:val="none"/>
                <w:u w:val="single"/>
              </w:rPr>
              <w:t>承包</w:t>
            </w:r>
            <w:r>
              <w:rPr>
                <w:rFonts w:hint="eastAsia" w:ascii="宋体" w:hAnsi="宋体" w:eastAsia="宋体" w:cs="宋体"/>
                <w:b/>
                <w:bCs/>
                <w:color w:val="auto"/>
                <w:szCs w:val="21"/>
                <w:highlight w:val="none"/>
                <w:u w:val="single"/>
                <w:lang w:val="zh-CN"/>
              </w:rPr>
              <w:t>合同的，小微企业不得将合同分包给大中型企业，中型企业不得将合同分包给大型企业。</w:t>
            </w:r>
          </w:p>
        </w:tc>
      </w:tr>
      <w:tr w14:paraId="610F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6497139C">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501" w:type="pct"/>
            <w:vAlign w:val="center"/>
          </w:tcPr>
          <w:p w14:paraId="03F91097">
            <w:pPr>
              <w:spacing w:line="276" w:lineRule="auto"/>
              <w:rPr>
                <w:rFonts w:ascii="宋体" w:hAnsi="宋体" w:eastAsia="宋体" w:cs="宋体"/>
                <w:color w:val="auto"/>
                <w:szCs w:val="21"/>
                <w:highlight w:val="none"/>
              </w:rPr>
            </w:pPr>
          </w:p>
        </w:tc>
        <w:tc>
          <w:tcPr>
            <w:tcW w:w="847" w:type="pct"/>
            <w:vAlign w:val="center"/>
          </w:tcPr>
          <w:p w14:paraId="0F9389B4">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最高投标限价</w:t>
            </w:r>
          </w:p>
        </w:tc>
        <w:tc>
          <w:tcPr>
            <w:tcW w:w="3301" w:type="pct"/>
            <w:vAlign w:val="center"/>
          </w:tcPr>
          <w:p w14:paraId="718D6917">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本项目最高投标限价为人民币</w:t>
            </w:r>
            <w:r>
              <w:rPr>
                <w:rFonts w:hint="eastAsia" w:ascii="宋体" w:hAnsi="宋体" w:eastAsia="宋体" w:cs="宋体"/>
                <w:color w:val="auto"/>
                <w:kern w:val="2"/>
                <w:sz w:val="21"/>
                <w:szCs w:val="21"/>
                <w:highlight w:val="none"/>
                <w:u w:val="single"/>
                <w:lang w:val="en-US" w:eastAsia="zh-CN" w:bidi="ar"/>
              </w:rPr>
              <w:t>65,551,244.51</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详见招标人最终发出的《最高投标限价公布函》，投标总报价超过最高投标限价的投标文件将被拒绝。</w:t>
            </w:r>
          </w:p>
        </w:tc>
      </w:tr>
      <w:tr w14:paraId="35CE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7584EF44">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501" w:type="pct"/>
            <w:vAlign w:val="center"/>
          </w:tcPr>
          <w:p w14:paraId="774A2684">
            <w:pPr>
              <w:spacing w:line="276" w:lineRule="auto"/>
              <w:rPr>
                <w:rFonts w:ascii="宋体" w:hAnsi="宋体" w:eastAsia="宋体" w:cs="宋体"/>
                <w:color w:val="auto"/>
                <w:szCs w:val="21"/>
                <w:highlight w:val="none"/>
              </w:rPr>
            </w:pPr>
          </w:p>
        </w:tc>
        <w:tc>
          <w:tcPr>
            <w:tcW w:w="847" w:type="pct"/>
            <w:vAlign w:val="center"/>
          </w:tcPr>
          <w:p w14:paraId="7ADD446C">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非竞争费用</w:t>
            </w:r>
          </w:p>
        </w:tc>
        <w:tc>
          <w:tcPr>
            <w:tcW w:w="3301" w:type="pct"/>
            <w:vAlign w:val="center"/>
          </w:tcPr>
          <w:p w14:paraId="3B6DF203">
            <w:pPr>
              <w:wordWrap/>
              <w:spacing w:line="276" w:lineRule="auto"/>
              <w:ind w:left="0" w:firstLine="0" w:firstLineChars="0"/>
              <w:jc w:val="left"/>
              <w:rPr>
                <w:rFonts w:ascii="宋体" w:hAnsi="宋体" w:eastAsia="宋体" w:cs="宋体"/>
                <w:color w:val="auto"/>
                <w:szCs w:val="21"/>
                <w:highlight w:val="none"/>
              </w:rPr>
            </w:pPr>
            <w:r>
              <w:rPr>
                <w:rFonts w:hint="eastAsia" w:ascii="宋体" w:hAnsi="宋体" w:eastAsia="宋体" w:cs="Times New Roman"/>
                <w:color w:val="auto"/>
                <w:highlight w:val="none"/>
              </w:rPr>
              <w:t>本项目安全</w:t>
            </w:r>
            <w:r>
              <w:rPr>
                <w:rFonts w:hint="eastAsia" w:ascii="宋体" w:hAnsi="宋体" w:eastAsia="宋体" w:cs="Times New Roman"/>
                <w:color w:val="auto"/>
                <w:highlight w:val="none"/>
                <w:lang w:val="en-US" w:eastAsia="zh-CN"/>
              </w:rPr>
              <w:t>生产</w:t>
            </w:r>
            <w:r>
              <w:rPr>
                <w:rFonts w:hint="eastAsia" w:ascii="宋体" w:hAnsi="宋体" w:eastAsia="宋体" w:cs="Times New Roman"/>
                <w:color w:val="auto"/>
                <w:highlight w:val="none"/>
              </w:rPr>
              <w:t>措施费为</w:t>
            </w:r>
            <w:r>
              <w:rPr>
                <w:rFonts w:hint="eastAsia"/>
                <w:color w:val="auto"/>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lang w:val="en-US" w:eastAsia="zh-CN" w:bidi="ar"/>
              </w:rPr>
              <w:t>1,098,718.37</w:t>
            </w:r>
            <w:r>
              <w:rPr>
                <w:rFonts w:hint="eastAsia" w:ascii="宋体" w:hAnsi="宋体" w:eastAsia="宋体" w:cs="Times New Roman"/>
                <w:color w:val="auto"/>
                <w:highlight w:val="none"/>
              </w:rPr>
              <w:t>元，暂列金额</w:t>
            </w:r>
            <w:r>
              <w:rPr>
                <w:rFonts w:hint="eastAsia" w:ascii="宋体" w:hAnsi="宋体" w:eastAsia="宋体" w:cs="Times New Roman"/>
                <w:color w:val="auto"/>
                <w:highlight w:val="none"/>
                <w:lang w:val="en-US" w:eastAsia="zh-CN"/>
              </w:rPr>
              <w:t>为</w:t>
            </w:r>
            <w:r>
              <w:rPr>
                <w:rFonts w:hint="eastAsia" w:ascii="宋体" w:hAnsi="宋体" w:eastAsia="宋体" w:cs="宋体"/>
                <w:color w:val="auto"/>
                <w:kern w:val="2"/>
                <w:sz w:val="21"/>
                <w:szCs w:val="21"/>
                <w:highlight w:val="none"/>
                <w:u w:val="single"/>
                <w:lang w:val="en-US" w:eastAsia="zh-CN" w:bidi="ar"/>
              </w:rPr>
              <w:t>4,911,132.61</w:t>
            </w:r>
            <w:r>
              <w:rPr>
                <w:rFonts w:hint="eastAsia" w:ascii="宋体" w:hAnsi="宋体" w:eastAsia="宋体" w:cs="Times New Roman"/>
                <w:color w:val="auto"/>
                <w:highlight w:val="none"/>
              </w:rPr>
              <w:t>元，暂估价为</w:t>
            </w:r>
            <w:r>
              <w:rPr>
                <w:rFonts w:hint="eastAsia"/>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   </w:t>
            </w:r>
            <w:r>
              <w:rPr>
                <w:rFonts w:hint="eastAsia"/>
                <w:color w:val="auto"/>
                <w:sz w:val="21"/>
                <w:szCs w:val="21"/>
                <w:highlight w:val="none"/>
                <w:u w:val="single"/>
                <w:lang w:val="en-US" w:eastAsia="zh-CN"/>
              </w:rPr>
              <w:t xml:space="preserve"> </w:t>
            </w:r>
            <w:r>
              <w:rPr>
                <w:rFonts w:hint="eastAsia" w:ascii="宋体" w:hAnsi="宋体" w:eastAsia="宋体" w:cs="Times New Roman"/>
                <w:color w:val="auto"/>
                <w:highlight w:val="none"/>
              </w:rPr>
              <w:t>元。</w:t>
            </w:r>
            <w:r>
              <w:rPr>
                <w:rFonts w:hint="eastAsia" w:ascii="宋体" w:hAnsi="宋体" w:eastAsia="宋体" w:cs="宋体"/>
                <w:color w:val="auto"/>
                <w:szCs w:val="21"/>
                <w:highlight w:val="none"/>
              </w:rPr>
              <w:t>（未按招标文件规定的金额填写的，由评标委员会按照招标文件规定的金额进行修正）</w:t>
            </w:r>
          </w:p>
        </w:tc>
      </w:tr>
      <w:tr w14:paraId="6B5B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7C9EAB0E">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501" w:type="pct"/>
            <w:vAlign w:val="center"/>
          </w:tcPr>
          <w:p w14:paraId="3508AC77">
            <w:pPr>
              <w:spacing w:line="276" w:lineRule="auto"/>
              <w:rPr>
                <w:rFonts w:ascii="宋体" w:hAnsi="宋体" w:eastAsia="宋体" w:cs="宋体"/>
                <w:color w:val="auto"/>
                <w:szCs w:val="21"/>
                <w:highlight w:val="none"/>
              </w:rPr>
            </w:pPr>
          </w:p>
        </w:tc>
        <w:tc>
          <w:tcPr>
            <w:tcW w:w="847" w:type="pct"/>
            <w:vAlign w:val="center"/>
          </w:tcPr>
          <w:p w14:paraId="0E317197">
            <w:pPr>
              <w:spacing w:after="120"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保修期</w:t>
            </w:r>
          </w:p>
        </w:tc>
        <w:tc>
          <w:tcPr>
            <w:tcW w:w="3301" w:type="pct"/>
            <w:vAlign w:val="center"/>
          </w:tcPr>
          <w:p w14:paraId="1F98B67A">
            <w:pPr>
              <w:spacing w:line="276"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按照《建设工程质量管理条例》和《工程质量保修书》规定。</w:t>
            </w:r>
          </w:p>
        </w:tc>
      </w:tr>
      <w:tr w14:paraId="7800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525DAB0D">
            <w:pPr>
              <w:spacing w:line="276" w:lineRule="auto"/>
              <w:jc w:val="center"/>
              <w:rPr>
                <w:rFonts w:ascii="宋体" w:hAnsi="宋体" w:eastAsia="宋体" w:cs="宋体"/>
                <w:strike/>
                <w:color w:val="auto"/>
                <w:szCs w:val="21"/>
                <w:highlight w:val="none"/>
              </w:rPr>
            </w:pPr>
            <w:r>
              <w:rPr>
                <w:rFonts w:hint="eastAsia" w:ascii="宋体" w:hAnsi="宋体" w:eastAsia="宋体" w:cs="宋体"/>
                <w:strike/>
                <w:color w:val="auto"/>
                <w:szCs w:val="21"/>
                <w:highlight w:val="none"/>
              </w:rPr>
              <w:t>26</w:t>
            </w:r>
          </w:p>
        </w:tc>
        <w:tc>
          <w:tcPr>
            <w:tcW w:w="501" w:type="pct"/>
            <w:vAlign w:val="center"/>
          </w:tcPr>
          <w:p w14:paraId="188704D5">
            <w:pPr>
              <w:spacing w:line="276" w:lineRule="auto"/>
              <w:rPr>
                <w:rFonts w:ascii="宋体" w:hAnsi="宋体" w:eastAsia="宋体" w:cs="宋体"/>
                <w:strike/>
                <w:color w:val="auto"/>
                <w:szCs w:val="21"/>
                <w:highlight w:val="none"/>
              </w:rPr>
            </w:pPr>
          </w:p>
        </w:tc>
        <w:tc>
          <w:tcPr>
            <w:tcW w:w="847" w:type="pct"/>
            <w:vAlign w:val="center"/>
          </w:tcPr>
          <w:p w14:paraId="2510B46C">
            <w:pPr>
              <w:spacing w:line="276" w:lineRule="auto"/>
              <w:rPr>
                <w:rFonts w:ascii="宋体" w:hAnsi="宋体" w:eastAsia="宋体" w:cs="宋体"/>
                <w:strike/>
                <w:color w:val="auto"/>
                <w:szCs w:val="21"/>
                <w:highlight w:val="none"/>
              </w:rPr>
            </w:pPr>
            <w:r>
              <w:rPr>
                <w:rFonts w:hint="eastAsia" w:ascii="宋体" w:hAnsi="宋体" w:eastAsia="宋体" w:cs="宋体"/>
                <w:strike/>
                <w:color w:val="auto"/>
                <w:szCs w:val="21"/>
                <w:highlight w:val="none"/>
              </w:rPr>
              <w:t>计算评标参考价的等分点值</w:t>
            </w:r>
          </w:p>
        </w:tc>
        <w:tc>
          <w:tcPr>
            <w:tcW w:w="3301" w:type="pct"/>
            <w:vAlign w:val="center"/>
          </w:tcPr>
          <w:p w14:paraId="7F83AA8A">
            <w:pPr>
              <w:spacing w:line="276" w:lineRule="auto"/>
              <w:rPr>
                <w:rFonts w:ascii="宋体" w:hAnsi="宋体" w:eastAsia="宋体" w:cs="宋体"/>
                <w:color w:val="auto"/>
                <w:szCs w:val="21"/>
                <w:highlight w:val="none"/>
              </w:rPr>
            </w:pPr>
            <w:r>
              <w:rPr>
                <w:rFonts w:hint="eastAsia" w:ascii="宋体" w:hAnsi="宋体" w:eastAsia="宋体" w:cs="Times New Roman"/>
                <w:strike/>
                <w:color w:val="auto"/>
                <w:szCs w:val="21"/>
                <w:highlight w:val="none"/>
              </w:rPr>
              <w:t>计算评标参考价的等分点值</w:t>
            </w:r>
            <w:r>
              <w:rPr>
                <w:rFonts w:ascii="宋体" w:hAnsi="宋体" w:eastAsia="宋体" w:cs="Times New Roman"/>
                <w:strike/>
                <w:color w:val="auto"/>
                <w:szCs w:val="21"/>
                <w:highlight w:val="none"/>
              </w:rPr>
              <w:t>X</w:t>
            </w:r>
            <w:r>
              <w:rPr>
                <w:rFonts w:hint="eastAsia" w:ascii="宋体" w:hAnsi="宋体" w:eastAsia="宋体" w:cs="宋体"/>
                <w:strike/>
                <w:color w:val="auto"/>
                <w:szCs w:val="21"/>
                <w:highlight w:val="none"/>
                <w:u w:val="single"/>
              </w:rPr>
              <w:t>采用广州交易集团有限公司（广州公共资源交易中心）交易平台在线系统</w:t>
            </w:r>
            <w:r>
              <w:rPr>
                <w:rFonts w:hint="eastAsia" w:ascii="宋体" w:hAnsi="宋体" w:eastAsia="宋体" w:cs="Times New Roman"/>
                <w:strike/>
                <w:color w:val="auto"/>
                <w:szCs w:val="21"/>
                <w:highlight w:val="none"/>
              </w:rPr>
              <w:t>在开标时从[0,100] 的整数中随机抽取。</w:t>
            </w:r>
          </w:p>
        </w:tc>
      </w:tr>
      <w:tr w14:paraId="4C8D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322A979D">
            <w:pPr>
              <w:spacing w:line="276" w:lineRule="auto"/>
              <w:jc w:val="center"/>
              <w:rPr>
                <w:rFonts w:ascii="宋体" w:hAnsi="宋体" w:eastAsia="宋体" w:cs="宋体"/>
                <w:color w:val="auto"/>
                <w:szCs w:val="21"/>
                <w:highlight w:val="none"/>
              </w:rPr>
            </w:pPr>
            <w:r>
              <w:rPr>
                <w:rFonts w:hint="eastAsia" w:ascii="宋体" w:hAnsi="宋体" w:eastAsia="宋体" w:cs="宋体"/>
                <w:strike/>
                <w:color w:val="auto"/>
                <w:szCs w:val="21"/>
                <w:highlight w:val="none"/>
              </w:rPr>
              <w:t>27</w:t>
            </w:r>
          </w:p>
        </w:tc>
        <w:tc>
          <w:tcPr>
            <w:tcW w:w="997" w:type="dxa"/>
            <w:vAlign w:val="center"/>
          </w:tcPr>
          <w:p w14:paraId="1C0EF03D">
            <w:pPr>
              <w:spacing w:line="276" w:lineRule="auto"/>
              <w:rPr>
                <w:rFonts w:ascii="宋体" w:hAnsi="宋体" w:eastAsia="宋体" w:cs="宋体"/>
                <w:color w:val="auto"/>
                <w:szCs w:val="21"/>
                <w:highlight w:val="none"/>
              </w:rPr>
            </w:pPr>
          </w:p>
        </w:tc>
        <w:tc>
          <w:tcPr>
            <w:tcW w:w="1686" w:type="dxa"/>
            <w:vAlign w:val="center"/>
          </w:tcPr>
          <w:p w14:paraId="1C90A521">
            <w:pPr>
              <w:spacing w:line="276" w:lineRule="auto"/>
              <w:rPr>
                <w:rFonts w:ascii="宋体" w:hAnsi="宋体" w:eastAsia="宋体" w:cs="宋体"/>
                <w:color w:val="auto"/>
                <w:szCs w:val="21"/>
                <w:highlight w:val="none"/>
              </w:rPr>
            </w:pPr>
            <w:r>
              <w:rPr>
                <w:rFonts w:hint="eastAsia" w:ascii="宋体" w:hAnsi="宋体" w:eastAsia="宋体" w:cs="宋体"/>
                <w:strike/>
                <w:color w:val="auto"/>
                <w:szCs w:val="21"/>
                <w:highlight w:val="none"/>
              </w:rPr>
              <w:t>进入第二阶段评审的家数</w:t>
            </w:r>
          </w:p>
        </w:tc>
        <w:tc>
          <w:tcPr>
            <w:tcW w:w="6569" w:type="dxa"/>
            <w:vAlign w:val="center"/>
          </w:tcPr>
          <w:p w14:paraId="7BC12D78">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fldChar w:fldCharType="begin"/>
            </w:r>
            <w:r>
              <w:rPr>
                <w:rFonts w:hint="eastAsia" w:ascii="宋体" w:hAnsi="宋体" w:eastAsia="宋体" w:cs="宋体"/>
                <w:strike/>
                <w:color w:val="auto"/>
                <w:szCs w:val="21"/>
                <w:highlight w:val="none"/>
              </w:rPr>
              <w:instrText xml:space="preserve"> = 1 \* GB3 </w:instrText>
            </w:r>
            <w:r>
              <w:rPr>
                <w:rFonts w:hint="eastAsia" w:ascii="宋体" w:hAnsi="宋体" w:eastAsia="宋体" w:cs="宋体"/>
                <w:strike/>
                <w:color w:val="auto"/>
                <w:szCs w:val="21"/>
                <w:highlight w:val="none"/>
              </w:rPr>
              <w:fldChar w:fldCharType="separate"/>
            </w:r>
            <w:r>
              <w:rPr>
                <w:rFonts w:hint="eastAsia" w:ascii="宋体" w:hAnsi="宋体" w:eastAsia="宋体" w:cs="宋体"/>
                <w:strike/>
                <w:color w:val="auto"/>
                <w:szCs w:val="21"/>
                <w:highlight w:val="none"/>
              </w:rPr>
              <w:t>①</w:t>
            </w:r>
            <w:r>
              <w:rPr>
                <w:rFonts w:hint="eastAsia" w:ascii="宋体" w:hAnsi="宋体" w:eastAsia="宋体" w:cs="宋体"/>
                <w:strike/>
                <w:color w:val="auto"/>
                <w:szCs w:val="21"/>
                <w:highlight w:val="none"/>
              </w:rPr>
              <w:fldChar w:fldCharType="end"/>
            </w:r>
            <w:r>
              <w:rPr>
                <w:rFonts w:hint="eastAsia" w:ascii="宋体" w:hAnsi="宋体" w:eastAsia="宋体" w:cs="宋体"/>
                <w:strike/>
                <w:color w:val="auto"/>
                <w:szCs w:val="21"/>
                <w:highlight w:val="none"/>
              </w:rPr>
              <w:t>通过技术有效性审查的投标人均进入第二阶段（适用于通过技术有效性审查家数在[3,</w:t>
            </w:r>
            <w:r>
              <w:rPr>
                <w:rFonts w:hint="eastAsia" w:ascii="宋体" w:hAnsi="宋体" w:eastAsia="宋体" w:cs="宋体"/>
                <w:strike/>
                <w:color w:val="auto"/>
                <w:szCs w:val="21"/>
                <w:highlight w:val="none"/>
                <w:u w:val="single"/>
              </w:rPr>
              <w:t xml:space="preserve">  </w:t>
            </w:r>
            <w:r>
              <w:rPr>
                <w:rFonts w:hint="eastAsia" w:ascii="宋体" w:hAnsi="宋体" w:eastAsia="宋体" w:cs="宋体"/>
                <w:strike/>
                <w:color w:val="auto"/>
                <w:szCs w:val="21"/>
                <w:highlight w:val="none"/>
              </w:rPr>
              <w:t>]中的）。</w:t>
            </w:r>
          </w:p>
          <w:p w14:paraId="7AE341E9">
            <w:pPr>
              <w:spacing w:line="276" w:lineRule="auto"/>
              <w:rPr>
                <w:rFonts w:ascii="宋体" w:hAnsi="宋体" w:eastAsia="宋体" w:cs="宋体"/>
                <w:color w:val="auto"/>
                <w:szCs w:val="21"/>
                <w:highlight w:val="none"/>
              </w:rPr>
            </w:pPr>
            <w:r>
              <w:rPr>
                <w:rFonts w:hint="eastAsia" w:ascii="宋体" w:hAnsi="宋体" w:eastAsia="宋体" w:cs="宋体"/>
                <w:strike/>
                <w:color w:val="auto"/>
                <w:szCs w:val="21"/>
                <w:highlight w:val="none"/>
              </w:rPr>
              <w:fldChar w:fldCharType="begin"/>
            </w:r>
            <w:r>
              <w:rPr>
                <w:rFonts w:hint="eastAsia" w:ascii="宋体" w:hAnsi="宋体" w:eastAsia="宋体" w:cs="宋体"/>
                <w:strike/>
                <w:color w:val="auto"/>
                <w:szCs w:val="21"/>
                <w:highlight w:val="none"/>
              </w:rPr>
              <w:instrText xml:space="preserve"> = 2 \* GB3 </w:instrText>
            </w:r>
            <w:r>
              <w:rPr>
                <w:rFonts w:hint="eastAsia" w:ascii="宋体" w:hAnsi="宋体" w:eastAsia="宋体" w:cs="宋体"/>
                <w:strike/>
                <w:color w:val="auto"/>
                <w:szCs w:val="21"/>
                <w:highlight w:val="none"/>
              </w:rPr>
              <w:fldChar w:fldCharType="separate"/>
            </w:r>
            <w:r>
              <w:rPr>
                <w:rFonts w:hint="eastAsia" w:ascii="宋体" w:hAnsi="宋体" w:eastAsia="宋体" w:cs="宋体"/>
                <w:strike/>
                <w:color w:val="auto"/>
                <w:szCs w:val="21"/>
                <w:highlight w:val="none"/>
              </w:rPr>
              <w:t>②</w:t>
            </w:r>
            <w:r>
              <w:rPr>
                <w:rFonts w:hint="eastAsia" w:ascii="宋体" w:hAnsi="宋体" w:eastAsia="宋体" w:cs="宋体"/>
                <w:strike/>
                <w:color w:val="auto"/>
                <w:szCs w:val="21"/>
                <w:highlight w:val="none"/>
              </w:rPr>
              <w:fldChar w:fldCharType="end"/>
            </w:r>
            <w:r>
              <w:rPr>
                <w:rFonts w:hint="eastAsia" w:ascii="宋体" w:hAnsi="宋体" w:eastAsia="宋体" w:cs="宋体"/>
                <w:strike/>
                <w:color w:val="auto"/>
                <w:szCs w:val="21"/>
                <w:highlight w:val="none"/>
              </w:rPr>
              <w:t>将第一阶段得分由高至低排序，前</w:t>
            </w:r>
            <w:r>
              <w:rPr>
                <w:rFonts w:hint="eastAsia" w:ascii="宋体" w:hAnsi="宋体" w:eastAsia="宋体" w:cs="宋体"/>
                <w:strike/>
                <w:color w:val="auto"/>
                <w:szCs w:val="21"/>
                <w:highlight w:val="none"/>
                <w:u w:val="single"/>
              </w:rPr>
              <w:t xml:space="preserve">   </w:t>
            </w:r>
            <w:r>
              <w:rPr>
                <w:rFonts w:hint="eastAsia" w:ascii="宋体" w:hAnsi="宋体" w:eastAsia="宋体" w:cs="宋体"/>
                <w:strike/>
                <w:color w:val="auto"/>
                <w:szCs w:val="21"/>
                <w:highlight w:val="none"/>
              </w:rPr>
              <w:t>名投标人进入第二阶段评审（适用于通过技术有效性审查家数大于</w:t>
            </w:r>
            <w:r>
              <w:rPr>
                <w:rFonts w:hint="eastAsia" w:ascii="宋体" w:hAnsi="宋体" w:eastAsia="宋体" w:cs="宋体"/>
                <w:strike/>
                <w:color w:val="auto"/>
                <w:szCs w:val="21"/>
                <w:highlight w:val="none"/>
                <w:u w:val="single"/>
              </w:rPr>
              <w:t xml:space="preserve">  </w:t>
            </w:r>
            <w:r>
              <w:rPr>
                <w:rFonts w:hint="eastAsia" w:ascii="宋体" w:hAnsi="宋体" w:eastAsia="宋体" w:cs="宋体"/>
                <w:strike/>
                <w:color w:val="auto"/>
                <w:szCs w:val="21"/>
                <w:highlight w:val="none"/>
              </w:rPr>
              <w:t>家的，招标人可根据工程具体情况，确定不少于</w:t>
            </w:r>
            <w:r>
              <w:rPr>
                <w:rFonts w:hint="eastAsia" w:ascii="宋体" w:hAnsi="宋体" w:eastAsia="宋体" w:cs="宋体"/>
                <w:strike/>
                <w:color w:val="auto"/>
                <w:szCs w:val="21"/>
                <w:highlight w:val="none"/>
                <w:u w:val="single"/>
              </w:rPr>
              <w:t xml:space="preserve">   </w:t>
            </w:r>
            <w:r>
              <w:rPr>
                <w:rFonts w:hint="eastAsia" w:ascii="宋体" w:hAnsi="宋体" w:eastAsia="宋体" w:cs="宋体"/>
                <w:strike/>
                <w:color w:val="auto"/>
                <w:szCs w:val="21"/>
                <w:highlight w:val="none"/>
              </w:rPr>
              <w:t>家进入第二阶段）。</w:t>
            </w:r>
          </w:p>
        </w:tc>
      </w:tr>
      <w:tr w14:paraId="4E3B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1535ECC6">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501" w:type="pct"/>
            <w:vAlign w:val="center"/>
          </w:tcPr>
          <w:p w14:paraId="1A9E5A5F">
            <w:pPr>
              <w:spacing w:line="276" w:lineRule="auto"/>
              <w:rPr>
                <w:rFonts w:ascii="宋体" w:hAnsi="宋体" w:eastAsia="宋体" w:cs="宋体"/>
                <w:color w:val="auto"/>
                <w:szCs w:val="21"/>
                <w:highlight w:val="none"/>
              </w:rPr>
            </w:pPr>
          </w:p>
        </w:tc>
        <w:tc>
          <w:tcPr>
            <w:tcW w:w="847" w:type="pct"/>
            <w:vAlign w:val="center"/>
          </w:tcPr>
          <w:p w14:paraId="46778EAC">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工程成本警示价</w:t>
            </w:r>
          </w:p>
        </w:tc>
        <w:tc>
          <w:tcPr>
            <w:tcW w:w="3301" w:type="pct"/>
            <w:vAlign w:val="center"/>
          </w:tcPr>
          <w:p w14:paraId="26EA8243">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工程成本警示价为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b w:val="0"/>
                <w:bCs w:val="0"/>
                <w:color w:val="auto"/>
                <w:kern w:val="2"/>
                <w:sz w:val="21"/>
                <w:szCs w:val="21"/>
                <w:highlight w:val="none"/>
                <w:u w:val="single"/>
                <w:lang w:val="en-US" w:eastAsia="zh-CN" w:bidi="ar"/>
              </w:rPr>
              <w:t>55,718,557.83</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Cs w:val="21"/>
                <w:highlight w:val="none"/>
              </w:rPr>
              <w:t>元。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24CC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363BB4FB">
            <w:pPr>
              <w:spacing w:line="276" w:lineRule="auto"/>
              <w:jc w:val="center"/>
              <w:rPr>
                <w:rFonts w:ascii="宋体" w:hAnsi="宋体" w:eastAsia="宋体" w:cs="宋体"/>
                <w:color w:val="auto"/>
                <w:szCs w:val="21"/>
                <w:highlight w:val="none"/>
              </w:rPr>
            </w:pPr>
            <w:r>
              <w:rPr>
                <w:rFonts w:hint="eastAsia" w:ascii="宋体" w:hAnsi="宋体" w:eastAsia="宋体" w:cs="宋体"/>
                <w:strike/>
                <w:color w:val="auto"/>
                <w:szCs w:val="21"/>
                <w:highlight w:val="none"/>
              </w:rPr>
              <w:t>29</w:t>
            </w:r>
          </w:p>
        </w:tc>
        <w:tc>
          <w:tcPr>
            <w:tcW w:w="997" w:type="dxa"/>
            <w:vAlign w:val="center"/>
          </w:tcPr>
          <w:p w14:paraId="71819234">
            <w:pPr>
              <w:spacing w:line="276" w:lineRule="auto"/>
              <w:rPr>
                <w:rFonts w:ascii="宋体" w:hAnsi="宋体" w:eastAsia="宋体" w:cs="宋体"/>
                <w:color w:val="auto"/>
                <w:szCs w:val="21"/>
                <w:highlight w:val="none"/>
              </w:rPr>
            </w:pPr>
          </w:p>
        </w:tc>
        <w:tc>
          <w:tcPr>
            <w:tcW w:w="1686" w:type="dxa"/>
            <w:vAlign w:val="center"/>
          </w:tcPr>
          <w:p w14:paraId="7C2B15FF">
            <w:pPr>
              <w:spacing w:line="276" w:lineRule="auto"/>
              <w:rPr>
                <w:rFonts w:ascii="宋体" w:hAnsi="宋体" w:eastAsia="宋体" w:cs="宋体"/>
                <w:color w:val="auto"/>
                <w:szCs w:val="21"/>
                <w:highlight w:val="none"/>
              </w:rPr>
            </w:pPr>
            <w:r>
              <w:rPr>
                <w:rFonts w:hint="eastAsia" w:ascii="宋体" w:hAnsi="宋体" w:eastAsia="宋体" w:cs="宋体"/>
                <w:strike/>
                <w:color w:val="auto"/>
                <w:szCs w:val="21"/>
                <w:highlight w:val="none"/>
              </w:rPr>
              <w:t>第一阶段各分值的权重</w:t>
            </w:r>
          </w:p>
        </w:tc>
        <w:tc>
          <w:tcPr>
            <w:tcW w:w="6569" w:type="dxa"/>
            <w:vAlign w:val="center"/>
          </w:tcPr>
          <w:p w14:paraId="1F5EBD3E">
            <w:pPr>
              <w:spacing w:line="276" w:lineRule="auto"/>
              <w:rPr>
                <w:rFonts w:ascii="宋体" w:hAnsi="宋体" w:eastAsia="宋体" w:cs="宋体"/>
                <w:color w:val="auto"/>
                <w:szCs w:val="21"/>
                <w:highlight w:val="none"/>
              </w:rPr>
            </w:pPr>
            <w:r>
              <w:rPr>
                <w:rFonts w:hint="eastAsia" w:ascii="宋体" w:hAnsi="宋体" w:eastAsia="宋体" w:cs="宋体"/>
                <w:strike/>
                <w:color w:val="auto"/>
                <w:szCs w:val="21"/>
                <w:highlight w:val="none"/>
              </w:rPr>
              <w:t>技术分权重为    %，信用评价分数权重为    %。</w:t>
            </w:r>
          </w:p>
        </w:tc>
      </w:tr>
      <w:tr w14:paraId="41B6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130CEFA0">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501" w:type="pct"/>
            <w:vAlign w:val="center"/>
          </w:tcPr>
          <w:p w14:paraId="1F4192B1">
            <w:pPr>
              <w:spacing w:line="276" w:lineRule="auto"/>
              <w:rPr>
                <w:rFonts w:ascii="宋体" w:hAnsi="宋体" w:eastAsia="宋体" w:cs="宋体"/>
                <w:color w:val="auto"/>
                <w:szCs w:val="21"/>
                <w:highlight w:val="none"/>
              </w:rPr>
            </w:pPr>
          </w:p>
        </w:tc>
        <w:tc>
          <w:tcPr>
            <w:tcW w:w="847" w:type="pct"/>
            <w:vAlign w:val="center"/>
          </w:tcPr>
          <w:p w14:paraId="2F0283F5">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评标委员会人数</w:t>
            </w:r>
          </w:p>
        </w:tc>
        <w:tc>
          <w:tcPr>
            <w:tcW w:w="3301" w:type="pct"/>
            <w:vAlign w:val="center"/>
          </w:tcPr>
          <w:p w14:paraId="63F7796F">
            <w:pP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评标委员会由招标人依法组建。</w:t>
            </w:r>
            <w:r>
              <w:rPr>
                <w:rFonts w:hint="eastAsia" w:ascii="宋体" w:hAnsi="宋体" w:eastAsia="宋体" w:cs="宋体"/>
                <w:color w:val="auto"/>
                <w:szCs w:val="21"/>
                <w:highlight w:val="none"/>
                <w:u w:val="single"/>
              </w:rPr>
              <w:t>招标代理机构应严格按照《广东省政务服务和数据管理局关于印发广东省综合评标评审专家库评标专家劳务报酬管理办法的通知》（粤政数〔2025〕11号）的规定向评标专家支付酬金，不得额外支付费用。评标专家对符合《广东省政务服务和数据管理局关于印发广东省综合评标评审专家库评标专家劳务报酬管理办法的通知》（粤政数〔2025〕11号）的规定计取的专家报酬不得有异议。若评标时已发布新规定的，按新规执行。</w:t>
            </w:r>
          </w:p>
          <w:p w14:paraId="5BAEEBD2">
            <w:pPr>
              <w:pStyle w:val="2"/>
              <w:spacing w:line="240" w:lineRule="auto"/>
              <w:jc w:val="left"/>
              <w:rPr>
                <w:color w:val="auto"/>
                <w:highlight w:val="none"/>
              </w:rPr>
            </w:pPr>
            <w:r>
              <w:rPr>
                <w:rFonts w:hint="eastAsia" w:ascii="宋体" w:hAnsi="宋体" w:eastAsia="宋体" w:cs="宋体"/>
                <w:b/>
                <w:bCs/>
                <w:color w:val="auto"/>
                <w:kern w:val="0"/>
                <w:sz w:val="21"/>
                <w:szCs w:val="21"/>
                <w:highlight w:val="none"/>
              </w:rPr>
              <w:t>备注：招标人可以根据项目需要，先随机抽取所需数量两倍或以上的评标专家至评标场所后，再随机抽取参评专家。未被抽中的专家应服从招标人和交易服务机构的安排，不得干扰评标工作。</w:t>
            </w:r>
          </w:p>
        </w:tc>
      </w:tr>
      <w:tr w14:paraId="7E41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1048324A">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501" w:type="pct"/>
            <w:vAlign w:val="center"/>
          </w:tcPr>
          <w:p w14:paraId="56EE6157">
            <w:pPr>
              <w:spacing w:line="276" w:lineRule="auto"/>
              <w:rPr>
                <w:rFonts w:ascii="宋体" w:hAnsi="宋体" w:eastAsia="宋体" w:cs="宋体"/>
                <w:color w:val="auto"/>
                <w:szCs w:val="21"/>
                <w:highlight w:val="none"/>
              </w:rPr>
            </w:pPr>
          </w:p>
        </w:tc>
        <w:tc>
          <w:tcPr>
            <w:tcW w:w="847" w:type="pct"/>
            <w:vAlign w:val="center"/>
          </w:tcPr>
          <w:p w14:paraId="0A3A53AC">
            <w:pPr>
              <w:spacing w:line="276"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企业信用评价分数</w:t>
            </w:r>
          </w:p>
        </w:tc>
        <w:tc>
          <w:tcPr>
            <w:tcW w:w="3301" w:type="pct"/>
            <w:vAlign w:val="center"/>
          </w:tcPr>
          <w:p w14:paraId="2CD3D8A0">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本项目企业信用评价分数，以投标截止当日广州交易集团有限公司（广州公共资源交易中心）网站公布的分值为准</w:t>
            </w:r>
            <w:r>
              <w:rPr>
                <w:rFonts w:hint="eastAsia" w:ascii="宋体" w:hAnsi="宋体" w:eastAsia="宋体" w:cs="宋体"/>
                <w:b/>
                <w:bCs/>
                <w:color w:val="auto"/>
                <w:szCs w:val="21"/>
                <w:highlight w:val="none"/>
                <w:u w:val="single"/>
              </w:rPr>
              <w:t>，如为联合体投标，以主办方为准</w:t>
            </w:r>
            <w:r>
              <w:rPr>
                <w:rFonts w:hint="eastAsia" w:ascii="宋体" w:hAnsi="宋体" w:eastAsia="宋体" w:cs="宋体"/>
                <w:color w:val="auto"/>
                <w:szCs w:val="21"/>
                <w:highlight w:val="none"/>
              </w:rPr>
              <w:t>【通过“广州交易集团有限公司（广州公共资源交易中心）</w:t>
            </w:r>
            <w:r>
              <w:rPr>
                <w:rFonts w:hint="eastAsia" w:ascii="宋体" w:hAnsi="宋体" w:eastAsia="宋体" w:cs="宋体"/>
                <w:color w:val="auto"/>
                <w:szCs w:val="21"/>
                <w:highlight w:val="none"/>
                <w:lang w:val="en-US" w:eastAsia="zh-CN"/>
              </w:rPr>
              <w:t>门户</w:t>
            </w:r>
            <w:r>
              <w:rPr>
                <w:rFonts w:hint="eastAsia" w:ascii="宋体" w:hAnsi="宋体" w:eastAsia="宋体" w:cs="宋体"/>
                <w:color w:val="auto"/>
                <w:szCs w:val="21"/>
                <w:highlight w:val="none"/>
              </w:rPr>
              <w:t>网站-</w:t>
            </w:r>
            <w:r>
              <w:rPr>
                <w:rFonts w:hint="eastAsia" w:ascii="宋体" w:hAnsi="宋体" w:eastAsia="宋体" w:cs="宋体"/>
                <w:color w:val="auto"/>
                <w:szCs w:val="21"/>
                <w:highlight w:val="none"/>
                <w:lang w:val="en-US" w:eastAsia="zh-CN"/>
              </w:rPr>
              <w:t>企业</w:t>
            </w:r>
            <w:r>
              <w:rPr>
                <w:rFonts w:hint="eastAsia" w:ascii="宋体" w:hAnsi="宋体" w:eastAsia="宋体" w:cs="宋体"/>
                <w:color w:val="auto"/>
                <w:szCs w:val="21"/>
                <w:highlight w:val="none"/>
              </w:rPr>
              <w:t>信息-信用信息-广州公共资源交易信用平台3.0-</w:t>
            </w:r>
            <w:r>
              <w:rPr>
                <w:rFonts w:hint="eastAsia" w:ascii="宋体" w:hAnsi="宋体" w:eastAsia="宋体" w:cs="宋体"/>
                <w:color w:val="auto"/>
                <w:szCs w:val="21"/>
                <w:highlight w:val="none"/>
                <w:lang w:val="en-US" w:eastAsia="zh-CN"/>
              </w:rPr>
              <w:t>建设工程</w:t>
            </w:r>
            <w:r>
              <w:rPr>
                <w:rFonts w:hint="eastAsia" w:ascii="宋体" w:hAnsi="宋体" w:eastAsia="宋体" w:cs="宋体"/>
                <w:color w:val="auto"/>
                <w:szCs w:val="21"/>
                <w:highlight w:val="none"/>
              </w:rPr>
              <w:t>-城市道路-施工” 进行核实，未能在网站查询到投标人信用评价分的，以投标截止当日城市道路-施工信用评价基准分计算】。</w:t>
            </w:r>
          </w:p>
        </w:tc>
      </w:tr>
      <w:tr w14:paraId="73D4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069804B8">
            <w:pPr>
              <w:spacing w:line="276" w:lineRule="auto"/>
              <w:jc w:val="center"/>
              <w:rPr>
                <w:rFonts w:ascii="宋体" w:hAnsi="宋体" w:eastAsia="宋体" w:cs="宋体"/>
                <w:color w:val="auto"/>
                <w:szCs w:val="21"/>
                <w:highlight w:val="none"/>
              </w:rPr>
            </w:pPr>
            <w:r>
              <w:rPr>
                <w:rFonts w:hint="eastAsia" w:ascii="宋体" w:hAnsi="宋体" w:eastAsia="宋体" w:cs="Times New Roman"/>
                <w:color w:val="auto"/>
                <w:szCs w:val="21"/>
                <w:highlight w:val="none"/>
              </w:rPr>
              <w:t>32</w:t>
            </w:r>
          </w:p>
        </w:tc>
        <w:tc>
          <w:tcPr>
            <w:tcW w:w="501" w:type="pct"/>
            <w:vAlign w:val="center"/>
          </w:tcPr>
          <w:p w14:paraId="331DFC6B">
            <w:pPr>
              <w:spacing w:line="276" w:lineRule="auto"/>
              <w:ind w:firstLine="458"/>
              <w:rPr>
                <w:rFonts w:ascii="宋体" w:hAnsi="宋体" w:eastAsia="宋体" w:cs="宋体"/>
                <w:color w:val="auto"/>
                <w:szCs w:val="21"/>
                <w:highlight w:val="none"/>
              </w:rPr>
            </w:pPr>
          </w:p>
        </w:tc>
        <w:tc>
          <w:tcPr>
            <w:tcW w:w="847" w:type="pct"/>
            <w:vAlign w:val="center"/>
          </w:tcPr>
          <w:p w14:paraId="537DB396">
            <w:pPr>
              <w:spacing w:line="276" w:lineRule="auto"/>
              <w:rPr>
                <w:rFonts w:ascii="宋体" w:hAnsi="宋体" w:eastAsia="宋体" w:cs="宋体"/>
                <w:strike/>
                <w:color w:val="auto"/>
                <w:szCs w:val="21"/>
                <w:highlight w:val="none"/>
              </w:rPr>
            </w:pPr>
            <w:r>
              <w:rPr>
                <w:rFonts w:hint="eastAsia" w:ascii="宋体" w:hAnsi="宋体" w:eastAsia="宋体" w:cs="Times New Roman"/>
                <w:strike/>
                <w:color w:val="auto"/>
                <w:szCs w:val="21"/>
                <w:highlight w:val="none"/>
              </w:rPr>
              <w:t>第二阶段投标人名次的排序方法（适用于办法一、办法二）</w:t>
            </w:r>
          </w:p>
        </w:tc>
        <w:tc>
          <w:tcPr>
            <w:tcW w:w="3301" w:type="pct"/>
            <w:vAlign w:val="center"/>
          </w:tcPr>
          <w:p w14:paraId="3898612E">
            <w:pPr>
              <w:rPr>
                <w:rFonts w:ascii="宋体" w:hAnsi="宋体" w:eastAsia="宋体" w:cs="宋体"/>
                <w:strike/>
                <w:color w:val="auto"/>
                <w:szCs w:val="21"/>
                <w:highlight w:val="none"/>
              </w:rPr>
            </w:pPr>
            <w:r>
              <w:rPr>
                <w:rFonts w:hint="eastAsia" w:ascii="宋体" w:hAnsi="宋体" w:eastAsia="宋体" w:cs="宋体"/>
                <w:strike/>
                <w:color w:val="auto"/>
                <w:szCs w:val="21"/>
                <w:highlight w:val="none"/>
              </w:rPr>
              <w:t>选取方法</w:t>
            </w:r>
            <w:r>
              <w:rPr>
                <w:rFonts w:hint="eastAsia" w:ascii="宋体" w:hAnsi="宋体" w:eastAsia="宋体" w:cs="宋体"/>
                <w:strike/>
                <w:color w:val="auto"/>
                <w:szCs w:val="21"/>
                <w:highlight w:val="none"/>
                <w:u w:val="single"/>
              </w:rPr>
              <w:t xml:space="preserve">     </w:t>
            </w:r>
          </w:p>
          <w:p w14:paraId="5331E2DD">
            <w:pPr>
              <w:rPr>
                <w:rFonts w:ascii="宋体" w:hAnsi="宋体" w:eastAsia="宋体" w:cs="宋体"/>
                <w:strike/>
                <w:color w:val="auto"/>
                <w:szCs w:val="21"/>
                <w:highlight w:val="none"/>
              </w:rPr>
            </w:pPr>
            <w:r>
              <w:rPr>
                <w:rFonts w:hint="eastAsia" w:ascii="宋体" w:hAnsi="宋体" w:eastAsia="宋体" w:cs="宋体"/>
                <w:strike/>
                <w:color w:val="auto"/>
                <w:szCs w:val="21"/>
                <w:highlight w:val="none"/>
              </w:rPr>
              <w:t xml:space="preserve">方法一：将进入第二阶段投标人的投标报价由低至高进行排序。报价相同的投标文件，以技术分较高的排前；报价与技术得分均相同的投标文件，以信用评价分数高的排前；如仍存在相同情况，则对具有相同情况的投标人，由评标委员会采用记名投票方式，确定投标人的排序。 </w:t>
            </w:r>
          </w:p>
          <w:p w14:paraId="33A48445">
            <w:pPr>
              <w:rPr>
                <w:rFonts w:ascii="宋体" w:hAnsi="宋体" w:eastAsia="宋体" w:cs="宋体"/>
                <w:strike/>
                <w:color w:val="auto"/>
                <w:szCs w:val="21"/>
                <w:highlight w:val="none"/>
              </w:rPr>
            </w:pPr>
            <w:r>
              <w:rPr>
                <w:rFonts w:hint="eastAsia" w:ascii="宋体" w:hAnsi="宋体" w:eastAsia="宋体" w:cs="宋体"/>
                <w:strike/>
                <w:color w:val="auto"/>
                <w:szCs w:val="21"/>
                <w:highlight w:val="none"/>
              </w:rPr>
              <w:t>方法二：将进入第二阶段投标人的投标报价按大于或小于等于工程成本警示价的标准分为2组。首先，对于小于或等于工程成本警示价的，评标委员会从序号1开始随机确定投标人的排序，若仅有1名投标报价小于等于工程成本警示价的，该投标人为第1名；其次，对于大于工程成本警示价的投标报价由低至高进行排序，序号接上一组。</w:t>
            </w:r>
          </w:p>
          <w:p w14:paraId="6FDD2546">
            <w:pPr>
              <w:spacing w:line="276" w:lineRule="auto"/>
              <w:rPr>
                <w:rFonts w:ascii="宋体" w:hAnsi="宋体" w:eastAsia="宋体" w:cs="宋体"/>
                <w:color w:val="auto"/>
                <w:szCs w:val="21"/>
                <w:highlight w:val="none"/>
                <w:u w:val="single"/>
              </w:rPr>
            </w:pPr>
            <w:r>
              <w:rPr>
                <w:rFonts w:hint="eastAsia" w:ascii="宋体" w:hAnsi="宋体" w:eastAsia="宋体" w:cs="宋体"/>
                <w:strike/>
                <w:color w:val="auto"/>
                <w:szCs w:val="21"/>
                <w:highlight w:val="none"/>
              </w:rPr>
              <w:t xml:space="preserve">方法三： （由招标人自行确定） </w:t>
            </w:r>
          </w:p>
        </w:tc>
      </w:tr>
      <w:tr w14:paraId="34E6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3A807901">
            <w:pPr>
              <w:spacing w:line="276" w:lineRule="auto"/>
              <w:jc w:val="center"/>
              <w:rPr>
                <w:rFonts w:ascii="宋体" w:hAnsi="宋体" w:eastAsia="宋体" w:cs="宋体"/>
                <w:strike/>
                <w:color w:val="auto"/>
                <w:szCs w:val="21"/>
                <w:highlight w:val="none"/>
              </w:rPr>
            </w:pPr>
            <w:r>
              <w:rPr>
                <w:rFonts w:hint="eastAsia" w:ascii="宋体" w:hAnsi="宋体" w:eastAsia="宋体" w:cs="Times New Roman"/>
                <w:strike w:val="0"/>
                <w:color w:val="auto"/>
                <w:szCs w:val="21"/>
                <w:highlight w:val="none"/>
              </w:rPr>
              <w:t>33</w:t>
            </w:r>
          </w:p>
        </w:tc>
        <w:tc>
          <w:tcPr>
            <w:tcW w:w="501" w:type="pct"/>
            <w:vAlign w:val="center"/>
          </w:tcPr>
          <w:p w14:paraId="12B0CE77">
            <w:pPr>
              <w:spacing w:line="276" w:lineRule="auto"/>
              <w:ind w:firstLine="458"/>
              <w:rPr>
                <w:rFonts w:ascii="宋体" w:hAnsi="宋体" w:eastAsia="宋体" w:cs="宋体"/>
                <w:color w:val="auto"/>
                <w:szCs w:val="21"/>
                <w:highlight w:val="none"/>
              </w:rPr>
            </w:pPr>
          </w:p>
        </w:tc>
        <w:tc>
          <w:tcPr>
            <w:tcW w:w="847" w:type="pct"/>
            <w:vAlign w:val="center"/>
          </w:tcPr>
          <w:p w14:paraId="45CC7D46">
            <w:pPr>
              <w:spacing w:line="276" w:lineRule="auto"/>
              <w:rPr>
                <w:rFonts w:ascii="宋体" w:hAnsi="宋体" w:eastAsia="宋体" w:cs="宋体"/>
                <w:strike/>
                <w:color w:val="auto"/>
                <w:szCs w:val="21"/>
                <w:highlight w:val="none"/>
              </w:rPr>
            </w:pPr>
            <w:r>
              <w:rPr>
                <w:rFonts w:hint="eastAsia" w:ascii="宋体" w:hAnsi="宋体" w:eastAsia="宋体" w:cs="Times New Roman"/>
                <w:strike/>
                <w:color w:val="auto"/>
                <w:szCs w:val="21"/>
                <w:highlight w:val="none"/>
              </w:rPr>
              <w:t>经济分相同情况下的排序方法（适用于办法三、办法四）</w:t>
            </w:r>
          </w:p>
        </w:tc>
        <w:tc>
          <w:tcPr>
            <w:tcW w:w="3301" w:type="pct"/>
            <w:vAlign w:val="center"/>
          </w:tcPr>
          <w:p w14:paraId="363773BA">
            <w:pPr>
              <w:rPr>
                <w:rFonts w:ascii="宋体" w:hAnsi="宋体" w:eastAsia="宋体" w:cs="宋体"/>
                <w:strike/>
                <w:color w:val="auto"/>
                <w:szCs w:val="21"/>
                <w:highlight w:val="none"/>
              </w:rPr>
            </w:pPr>
            <w:r>
              <w:rPr>
                <w:rFonts w:hint="eastAsia" w:ascii="宋体" w:hAnsi="宋体" w:eastAsia="宋体" w:cs="宋体"/>
                <w:strike/>
                <w:color w:val="auto"/>
                <w:szCs w:val="21"/>
                <w:highlight w:val="none"/>
              </w:rPr>
              <w:t>选取方法</w:t>
            </w:r>
            <w:r>
              <w:rPr>
                <w:rFonts w:hint="eastAsia" w:ascii="宋体" w:hAnsi="宋体" w:eastAsia="宋体" w:cs="宋体"/>
                <w:strike/>
                <w:color w:val="auto"/>
                <w:szCs w:val="21"/>
                <w:highlight w:val="none"/>
                <w:u w:val="single"/>
              </w:rPr>
              <w:t xml:space="preserve">     </w:t>
            </w:r>
          </w:p>
          <w:p w14:paraId="4E281DC7">
            <w:pPr>
              <w:rPr>
                <w:rFonts w:ascii="宋体" w:hAnsi="宋体" w:eastAsia="宋体" w:cs="宋体"/>
                <w:strike/>
                <w:color w:val="auto"/>
                <w:szCs w:val="21"/>
                <w:highlight w:val="none"/>
              </w:rPr>
            </w:pPr>
            <w:r>
              <w:rPr>
                <w:rFonts w:hint="eastAsia" w:ascii="宋体" w:hAnsi="宋体" w:eastAsia="宋体" w:cs="宋体"/>
                <w:strike/>
                <w:color w:val="auto"/>
                <w:szCs w:val="21"/>
                <w:highlight w:val="none"/>
              </w:rPr>
              <w:t>方法一：经济分相同的投标文件，以报价较低的排前；经济分与报价均相同的投标文件，以技术分较高的排前；经济分、报价与技术得分均相同或经济分、报价均相同但未评技术分的投标文件，以企业信用评价得分高的排前（如设置了企业信用评价得分项）；如仍存在相同情况，则对具有相同情况的投标人，由评标委员会采用记名投票方式，确定投标人的排序。</w:t>
            </w:r>
          </w:p>
          <w:p w14:paraId="062EBF15">
            <w:pPr>
              <w:rPr>
                <w:rFonts w:ascii="宋体" w:hAnsi="宋体" w:eastAsia="宋体" w:cs="宋体"/>
                <w:strike/>
                <w:color w:val="auto"/>
                <w:szCs w:val="21"/>
                <w:highlight w:val="none"/>
              </w:rPr>
            </w:pPr>
            <w:r>
              <w:rPr>
                <w:rFonts w:hint="eastAsia" w:ascii="宋体" w:hAnsi="宋体" w:eastAsia="宋体" w:cs="宋体"/>
                <w:strike/>
                <w:color w:val="auto"/>
                <w:szCs w:val="21"/>
                <w:highlight w:val="none"/>
              </w:rPr>
              <w:t>方法二：经济分相同的投标文件，由评标委员会采用投票方式，确定投标人的排序。</w:t>
            </w:r>
          </w:p>
          <w:p w14:paraId="2B1610D1">
            <w:pPr>
              <w:spacing w:line="276" w:lineRule="auto"/>
              <w:rPr>
                <w:rFonts w:ascii="宋体" w:hAnsi="宋体" w:eastAsia="宋体" w:cs="宋体"/>
                <w:color w:val="auto"/>
                <w:szCs w:val="21"/>
                <w:highlight w:val="none"/>
              </w:rPr>
            </w:pPr>
            <w:r>
              <w:rPr>
                <w:rFonts w:hint="eastAsia" w:ascii="宋体" w:hAnsi="宋体" w:eastAsia="宋体" w:cs="宋体"/>
                <w:strike/>
                <w:color w:val="auto"/>
                <w:szCs w:val="21"/>
                <w:highlight w:val="none"/>
              </w:rPr>
              <w:t>方法三：  （由招标人自行确定）</w:t>
            </w:r>
          </w:p>
        </w:tc>
      </w:tr>
      <w:tr w14:paraId="4D60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1563F78E">
            <w:pPr>
              <w:spacing w:line="276" w:lineRule="auto"/>
              <w:jc w:val="center"/>
              <w:rPr>
                <w:rFonts w:ascii="宋体" w:hAnsi="宋体" w:eastAsia="宋体" w:cs="宋体"/>
                <w:color w:val="auto"/>
                <w:szCs w:val="21"/>
                <w:highlight w:val="none"/>
              </w:rPr>
            </w:pPr>
            <w:r>
              <w:rPr>
                <w:rFonts w:hint="eastAsia" w:ascii="宋体" w:hAnsi="宋体" w:eastAsia="宋体" w:cs="宋体"/>
                <w:strike/>
                <w:color w:val="auto"/>
                <w:szCs w:val="21"/>
                <w:highlight w:val="none"/>
              </w:rPr>
              <w:t>34</w:t>
            </w:r>
          </w:p>
        </w:tc>
        <w:tc>
          <w:tcPr>
            <w:tcW w:w="997" w:type="dxa"/>
            <w:vAlign w:val="center"/>
          </w:tcPr>
          <w:p w14:paraId="56477DD3">
            <w:pPr>
              <w:spacing w:line="276" w:lineRule="auto"/>
              <w:ind w:firstLine="458" w:firstLineChars="0"/>
              <w:rPr>
                <w:rFonts w:ascii="宋体" w:hAnsi="宋体" w:eastAsia="宋体" w:cs="宋体"/>
                <w:color w:val="auto"/>
                <w:szCs w:val="21"/>
                <w:highlight w:val="none"/>
              </w:rPr>
            </w:pPr>
          </w:p>
        </w:tc>
        <w:tc>
          <w:tcPr>
            <w:tcW w:w="1686" w:type="dxa"/>
            <w:vAlign w:val="center"/>
          </w:tcPr>
          <w:p w14:paraId="06B261EE">
            <w:pPr>
              <w:spacing w:line="276" w:lineRule="auto"/>
              <w:rPr>
                <w:rFonts w:ascii="宋体" w:hAnsi="宋体" w:eastAsia="宋体" w:cs="宋体"/>
                <w:color w:val="auto"/>
                <w:szCs w:val="21"/>
                <w:highlight w:val="none"/>
              </w:rPr>
            </w:pPr>
            <w:r>
              <w:rPr>
                <w:rFonts w:hint="eastAsia" w:ascii="宋体" w:hAnsi="宋体" w:eastAsia="宋体" w:cs="宋体"/>
                <w:strike/>
                <w:color w:val="auto"/>
                <w:szCs w:val="21"/>
                <w:highlight w:val="none"/>
              </w:rPr>
              <w:t>第二阶段投标人名次的排序方法（适用于办法五、办法六）</w:t>
            </w:r>
          </w:p>
        </w:tc>
        <w:tc>
          <w:tcPr>
            <w:tcW w:w="6569" w:type="dxa"/>
            <w:vAlign w:val="center"/>
          </w:tcPr>
          <w:p w14:paraId="78FAF633">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选取方法</w:t>
            </w:r>
            <w:r>
              <w:rPr>
                <w:rFonts w:hint="eastAsia" w:ascii="宋体" w:hAnsi="宋体" w:eastAsia="宋体" w:cs="宋体"/>
                <w:strike/>
                <w:color w:val="auto"/>
                <w:szCs w:val="21"/>
                <w:highlight w:val="none"/>
                <w:u w:val="single"/>
              </w:rPr>
              <w:t xml:space="preserve">     </w:t>
            </w:r>
          </w:p>
          <w:p w14:paraId="364E673F">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方法一：评标委员会按照“总分=</w:t>
            </w:r>
            <w:r>
              <w:rPr>
                <w:rFonts w:hint="eastAsia" w:ascii="宋体" w:hAnsi="宋体" w:eastAsia="宋体" w:cs="宋体"/>
                <w:strike/>
                <w:color w:val="auto"/>
                <w:szCs w:val="21"/>
                <w:highlight w:val="none"/>
                <w:u w:val="single"/>
              </w:rPr>
              <w:t xml:space="preserve">           </w:t>
            </w:r>
            <w:r>
              <w:rPr>
                <w:rFonts w:hint="eastAsia" w:ascii="宋体" w:hAnsi="宋体" w:eastAsia="宋体" w:cs="宋体"/>
                <w:strike/>
                <w:color w:val="auto"/>
                <w:szCs w:val="21"/>
                <w:highlight w:val="none"/>
              </w:rPr>
              <w:t>的公式，计算各有效投标文件的总分，并按照总分从高到低排序。总得分相同的投标文件，以报价较低的排前；总得分与报价均相同的投标文件，以</w:t>
            </w:r>
            <w:r>
              <w:rPr>
                <w:rFonts w:hint="eastAsia" w:ascii="宋体" w:hAnsi="宋体" w:eastAsia="宋体" w:cs="宋体"/>
                <w:strike/>
                <w:color w:val="auto"/>
                <w:szCs w:val="21"/>
                <w:highlight w:val="none"/>
                <w:u w:val="single"/>
              </w:rPr>
              <w:t xml:space="preserve">     </w:t>
            </w:r>
            <w:r>
              <w:rPr>
                <w:rFonts w:hint="eastAsia" w:ascii="宋体" w:hAnsi="宋体" w:eastAsia="宋体" w:cs="宋体"/>
                <w:strike/>
                <w:color w:val="auto"/>
                <w:szCs w:val="21"/>
                <w:highlight w:val="none"/>
              </w:rPr>
              <w:t>较高的排前；总得分、报价与</w:t>
            </w:r>
            <w:r>
              <w:rPr>
                <w:rFonts w:hint="eastAsia" w:ascii="宋体" w:hAnsi="宋体" w:eastAsia="宋体" w:cs="宋体"/>
                <w:strike/>
                <w:color w:val="auto"/>
                <w:szCs w:val="21"/>
                <w:highlight w:val="none"/>
                <w:u w:val="single"/>
              </w:rPr>
              <w:t xml:space="preserve">     </w:t>
            </w:r>
            <w:r>
              <w:rPr>
                <w:rFonts w:hint="eastAsia" w:ascii="宋体" w:hAnsi="宋体" w:eastAsia="宋体" w:cs="宋体"/>
                <w:strike/>
                <w:color w:val="auto"/>
                <w:szCs w:val="21"/>
                <w:highlight w:val="none"/>
              </w:rPr>
              <w:t>均相同的投标文件，以企业信用评价得分高的排前（如设置了企业信用评价得分项）；如仍存在相同情况，则对具有相同情况的投标人，由评标委员会采用投票方式，确定投标人的排序。</w:t>
            </w:r>
          </w:p>
          <w:p w14:paraId="44369FD3">
            <w:pPr>
              <w:spacing w:line="276" w:lineRule="auto"/>
              <w:rPr>
                <w:rFonts w:ascii="宋体" w:hAnsi="宋体" w:eastAsia="宋体" w:cs="宋体"/>
                <w:color w:val="auto"/>
                <w:szCs w:val="21"/>
                <w:highlight w:val="none"/>
              </w:rPr>
            </w:pPr>
            <w:r>
              <w:rPr>
                <w:rFonts w:hint="eastAsia" w:ascii="宋体" w:hAnsi="宋体" w:eastAsia="宋体" w:cs="宋体"/>
                <w:strike/>
                <w:color w:val="auto"/>
                <w:szCs w:val="21"/>
                <w:highlight w:val="none"/>
              </w:rPr>
              <w:t xml:space="preserve">方法二：  （由招标人自行确定） </w:t>
            </w:r>
          </w:p>
        </w:tc>
      </w:tr>
      <w:tr w14:paraId="7FDB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4947E5CE">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501" w:type="pct"/>
            <w:vAlign w:val="center"/>
          </w:tcPr>
          <w:p w14:paraId="380FA52F">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13.4、13.5.2</w:t>
            </w:r>
          </w:p>
        </w:tc>
        <w:tc>
          <w:tcPr>
            <w:tcW w:w="847" w:type="pct"/>
            <w:vAlign w:val="center"/>
          </w:tcPr>
          <w:p w14:paraId="600F9F87">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合同价款的调整办法</w:t>
            </w:r>
          </w:p>
        </w:tc>
        <w:tc>
          <w:tcPr>
            <w:tcW w:w="3301" w:type="pct"/>
            <w:vAlign w:val="center"/>
          </w:tcPr>
          <w:p w14:paraId="27C249F4">
            <w:pPr>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详见招标文件及相关合同条款。</w:t>
            </w:r>
          </w:p>
        </w:tc>
      </w:tr>
      <w:tr w14:paraId="3E0F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1938D713">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36</w:t>
            </w:r>
          </w:p>
        </w:tc>
        <w:tc>
          <w:tcPr>
            <w:tcW w:w="501" w:type="pct"/>
            <w:vAlign w:val="center"/>
          </w:tcPr>
          <w:p w14:paraId="4781ADBD">
            <w:pPr>
              <w:spacing w:line="276" w:lineRule="auto"/>
              <w:jc w:val="center"/>
              <w:rPr>
                <w:rFonts w:ascii="宋体" w:hAnsi="宋体" w:eastAsia="宋体" w:cs="宋体"/>
                <w:color w:val="auto"/>
                <w:szCs w:val="21"/>
                <w:highlight w:val="none"/>
              </w:rPr>
            </w:pPr>
          </w:p>
        </w:tc>
        <w:tc>
          <w:tcPr>
            <w:tcW w:w="847" w:type="pct"/>
            <w:vAlign w:val="center"/>
          </w:tcPr>
          <w:p w14:paraId="7CC6AED8">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建设工程质量检测单位</w:t>
            </w:r>
          </w:p>
        </w:tc>
        <w:tc>
          <w:tcPr>
            <w:tcW w:w="3301" w:type="pct"/>
            <w:vAlign w:val="center"/>
          </w:tcPr>
          <w:p w14:paraId="1393D540">
            <w:pPr>
              <w:spacing w:line="276" w:lineRule="auto"/>
              <w:rPr>
                <w:rFonts w:ascii="宋体" w:hAnsi="宋体" w:eastAsia="宋体" w:cs="宋体"/>
                <w:color w:val="auto"/>
                <w:szCs w:val="21"/>
                <w:highlight w:val="none"/>
                <w:u w:val="single"/>
              </w:rPr>
            </w:pPr>
            <w:r>
              <w:rPr>
                <w:rFonts w:hint="eastAsia" w:ascii="宋体" w:hAnsi="宋体" w:eastAsia="宋体" w:cs="Times New Roman"/>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4D4B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2624E705">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37</w:t>
            </w:r>
          </w:p>
        </w:tc>
        <w:tc>
          <w:tcPr>
            <w:tcW w:w="501" w:type="pct"/>
            <w:vAlign w:val="center"/>
          </w:tcPr>
          <w:p w14:paraId="4740838B">
            <w:pPr>
              <w:spacing w:line="276" w:lineRule="auto"/>
              <w:jc w:val="center"/>
              <w:rPr>
                <w:rFonts w:ascii="宋体" w:hAnsi="宋体" w:eastAsia="宋体" w:cs="宋体"/>
                <w:color w:val="auto"/>
                <w:szCs w:val="21"/>
                <w:highlight w:val="none"/>
              </w:rPr>
            </w:pPr>
          </w:p>
        </w:tc>
        <w:tc>
          <w:tcPr>
            <w:tcW w:w="847" w:type="pct"/>
            <w:vAlign w:val="center"/>
          </w:tcPr>
          <w:p w14:paraId="766441A5">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电子招标投标解密失败及突发情况的补救</w:t>
            </w:r>
          </w:p>
        </w:tc>
        <w:tc>
          <w:tcPr>
            <w:tcW w:w="3301" w:type="pct"/>
            <w:vAlign w:val="center"/>
          </w:tcPr>
          <w:p w14:paraId="0838B490">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1、按照</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交易平台关于全流程电子化项目的相关指南进行操作。详见：</w:t>
            </w:r>
            <w:r>
              <w:rPr>
                <w:rFonts w:hint="eastAsia" w:ascii="宋体" w:hAnsi="宋体" w:eastAsia="宋体" w:cs="宋体"/>
                <w:color w:val="auto"/>
                <w:szCs w:val="21"/>
                <w:highlight w:val="none"/>
                <w:u w:val="single"/>
              </w:rPr>
              <w:t>广州交易集团有限公司（广州公共资源交易中心）网站最新指引。</w:t>
            </w:r>
          </w:p>
          <w:p w14:paraId="2E264E8A">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2、提交投标文件光盘（或U盘）备用</w:t>
            </w:r>
          </w:p>
          <w:p w14:paraId="40520834">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可制作非加密的电子投标文件（PDF格式）刻入光盘（或U盘）（1份），在投标须知前附表第18项规定的时间、地点提交备用。刻录好的投标文件光盘（或U盘）密封在密封袋中，并在封口处加盖投标人单位公章。密封袋上应写明招标项目名称和招标人名称。递交的光盘（或U盘）不得加密。光盘（或U盘）无法读取或导入的，则视为未提交备用投标文件光盘（或U盘）。如果投标人没有按规定通过交易平台网上递交电子投标文件的，不再读取提交的光盘（或U盘）。投标人也可不提交备用光盘（或U盘）。</w:t>
            </w:r>
          </w:p>
          <w:p w14:paraId="3BAE1BA1">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3、补救方案</w:t>
            </w:r>
          </w:p>
          <w:p w14:paraId="561790BF">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（1）投标文件解密失败的补救方案：</w:t>
            </w:r>
          </w:p>
          <w:p w14:paraId="45C05BA4">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电子光盘（或U盘）的，视为撤回投标文件。</w:t>
            </w:r>
          </w:p>
          <w:p w14:paraId="19F675FC">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（2）评标时突发情况的补救方案</w:t>
            </w:r>
          </w:p>
          <w:p w14:paraId="043CBB74">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若遇不可抗力发生（指网络瘫痪、服务器损坏、交易系统故障短期无法恢复等因素），由评标委员会开启投标人递交的全部投标文件光盘（或U盘），并按光盘（或U盘）内容进行评审。</w:t>
            </w:r>
          </w:p>
          <w:p w14:paraId="71125A60">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（3）除发生上述情况外，开标评标均以投标人通过广州交易集团有限公司（广州公共资源交易中心）交易平台网上递交的电子投标文件为准。</w:t>
            </w:r>
          </w:p>
        </w:tc>
      </w:tr>
      <w:tr w14:paraId="29B8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315744DB">
            <w:pPr>
              <w:spacing w:line="276"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38</w:t>
            </w:r>
          </w:p>
        </w:tc>
        <w:tc>
          <w:tcPr>
            <w:tcW w:w="501" w:type="pct"/>
            <w:vAlign w:val="center"/>
          </w:tcPr>
          <w:p w14:paraId="41C4187D">
            <w:pPr>
              <w:spacing w:line="276" w:lineRule="auto"/>
              <w:jc w:val="center"/>
              <w:rPr>
                <w:rFonts w:ascii="宋体" w:hAnsi="宋体" w:eastAsia="宋体" w:cs="Times New Roman"/>
                <w:color w:val="auto"/>
                <w:szCs w:val="21"/>
                <w:highlight w:val="none"/>
              </w:rPr>
            </w:pPr>
          </w:p>
        </w:tc>
        <w:tc>
          <w:tcPr>
            <w:tcW w:w="847" w:type="pct"/>
            <w:vAlign w:val="center"/>
          </w:tcPr>
          <w:p w14:paraId="59DAC178">
            <w:pPr>
              <w:spacing w:line="276" w:lineRule="auto"/>
              <w:jc w:val="center"/>
              <w:rPr>
                <w:rFonts w:ascii="宋体" w:hAnsi="宋体" w:eastAsia="宋体" w:cs="Times New Roman"/>
                <w:color w:val="auto"/>
                <w:szCs w:val="21"/>
                <w:highlight w:val="none"/>
              </w:rPr>
            </w:pPr>
            <w:r>
              <w:rPr>
                <w:rFonts w:hint="eastAsia" w:ascii="宋体" w:hAnsi="宋体" w:eastAsia="宋体" w:cs="Courier New"/>
                <w:color w:val="auto"/>
                <w:szCs w:val="21"/>
                <w:highlight w:val="none"/>
              </w:rPr>
              <w:t>招标人对中标人参与“百千万工程”的具体要求</w:t>
            </w:r>
          </w:p>
        </w:tc>
        <w:tc>
          <w:tcPr>
            <w:tcW w:w="3301" w:type="pct"/>
            <w:vAlign w:val="center"/>
          </w:tcPr>
          <w:p w14:paraId="13BB0B88">
            <w:pPr>
              <w:spacing w:line="276" w:lineRule="auto"/>
              <w:rPr>
                <w:rFonts w:ascii="宋体" w:hAnsi="宋体" w:eastAsia="宋体" w:cs="Courier New"/>
                <w:color w:val="auto"/>
                <w:szCs w:val="21"/>
                <w:highlight w:val="none"/>
              </w:rPr>
            </w:pPr>
            <w:r>
              <w:rPr>
                <w:rFonts w:hint="eastAsia" w:ascii="宋体" w:hAnsi="宋体" w:eastAsia="宋体" w:cs="Courier New"/>
                <w:color w:val="auto"/>
                <w:szCs w:val="21"/>
                <w:highlight w:val="none"/>
              </w:rPr>
              <w:t>具体要求：如政府部门有“百千万工程”相关要求，中标人须无条件配合。</w:t>
            </w:r>
          </w:p>
        </w:tc>
      </w:tr>
      <w:tr w14:paraId="48E0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74D5E5FE">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39</w:t>
            </w:r>
          </w:p>
        </w:tc>
        <w:tc>
          <w:tcPr>
            <w:tcW w:w="501" w:type="pct"/>
            <w:vAlign w:val="center"/>
          </w:tcPr>
          <w:p w14:paraId="323F19C8">
            <w:pPr>
              <w:spacing w:line="276" w:lineRule="auto"/>
              <w:jc w:val="center"/>
              <w:rPr>
                <w:rFonts w:ascii="宋体" w:hAnsi="宋体" w:eastAsia="宋体" w:cs="宋体"/>
                <w:color w:val="auto"/>
                <w:szCs w:val="21"/>
                <w:highlight w:val="none"/>
              </w:rPr>
            </w:pPr>
          </w:p>
        </w:tc>
        <w:tc>
          <w:tcPr>
            <w:tcW w:w="847" w:type="pct"/>
            <w:vAlign w:val="center"/>
          </w:tcPr>
          <w:p w14:paraId="7FEE7A5B">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rPr>
              <w:t>招标人拒绝接收投标文件备用光盘</w:t>
            </w:r>
            <w:r>
              <w:rPr>
                <w:rFonts w:hint="eastAsia" w:ascii="宋体" w:hAnsi="宋体" w:eastAsia="宋体" w:cs="宋体"/>
                <w:color w:val="auto"/>
                <w:szCs w:val="21"/>
                <w:highlight w:val="none"/>
              </w:rPr>
              <w:t>（或U盘）</w:t>
            </w:r>
            <w:r>
              <w:rPr>
                <w:rFonts w:hint="eastAsia" w:ascii="宋体" w:hAnsi="宋体" w:eastAsia="宋体" w:cs="宋体"/>
                <w:color w:val="auto"/>
                <w:szCs w:val="21"/>
                <w:highlight w:val="none"/>
                <w:u w:val="single"/>
              </w:rPr>
              <w:t>的情况</w:t>
            </w:r>
          </w:p>
        </w:tc>
        <w:tc>
          <w:tcPr>
            <w:tcW w:w="3301" w:type="pct"/>
            <w:vAlign w:val="center"/>
          </w:tcPr>
          <w:p w14:paraId="60525E3C">
            <w:pPr>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1、在投标截止期后逾期或未在指定地点递交投标文件备用光盘</w:t>
            </w:r>
            <w:r>
              <w:rPr>
                <w:rFonts w:hint="eastAsia" w:ascii="宋体" w:hAnsi="宋体" w:eastAsia="宋体" w:cs="宋体"/>
                <w:color w:val="auto"/>
                <w:szCs w:val="21"/>
                <w:highlight w:val="none"/>
              </w:rPr>
              <w:t>（或U盘）</w:t>
            </w:r>
            <w:r>
              <w:rPr>
                <w:rFonts w:hint="eastAsia" w:ascii="宋体" w:hAnsi="宋体" w:eastAsia="宋体" w:cs="宋体"/>
                <w:color w:val="auto"/>
                <w:szCs w:val="21"/>
                <w:highlight w:val="none"/>
                <w:u w:val="single"/>
              </w:rPr>
              <w:t>的；</w:t>
            </w:r>
          </w:p>
          <w:p w14:paraId="238B8999">
            <w:pPr>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2、投标文件备用光盘</w:t>
            </w:r>
            <w:r>
              <w:rPr>
                <w:rFonts w:hint="eastAsia" w:ascii="宋体" w:hAnsi="宋体" w:eastAsia="宋体" w:cs="宋体"/>
                <w:color w:val="auto"/>
                <w:szCs w:val="21"/>
                <w:highlight w:val="none"/>
              </w:rPr>
              <w:t>（或U盘）</w:t>
            </w:r>
            <w:r>
              <w:rPr>
                <w:rFonts w:hint="eastAsia" w:ascii="宋体" w:hAnsi="宋体" w:eastAsia="宋体" w:cs="宋体"/>
                <w:color w:val="auto"/>
                <w:szCs w:val="21"/>
                <w:highlight w:val="none"/>
                <w:u w:val="single"/>
              </w:rPr>
              <w:t>未按招标文件要求密封或未在密封处盖章的；</w:t>
            </w:r>
          </w:p>
          <w:p w14:paraId="105D03CD">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3、投标人代表未凭法定代表人证明书（原件）、授权委托书原件（仅限于非法定代表人）、本人身份证原件及被授权人</w:t>
            </w:r>
            <w:r>
              <w:rPr>
                <w:rFonts w:hint="eastAsia" w:ascii="宋体" w:hAnsi="宋体" w:eastAsia="宋体" w:cs="宋体"/>
                <w:color w:val="auto"/>
                <w:szCs w:val="21"/>
                <w:highlight w:val="none"/>
                <w:u w:val="single"/>
                <w:lang w:eastAsia="zh-CN"/>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年</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lang w:eastAsia="zh-CN"/>
              </w:rPr>
              <w:t>月或2026年</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lang w:eastAsia="zh-CN"/>
              </w:rPr>
              <w:t>月</w:t>
            </w:r>
            <w:r>
              <w:rPr>
                <w:rFonts w:hint="eastAsia" w:ascii="宋体" w:hAnsi="宋体" w:eastAsia="宋体" w:cs="宋体"/>
                <w:color w:val="auto"/>
                <w:szCs w:val="21"/>
                <w:highlight w:val="none"/>
                <w:u w:val="single"/>
              </w:rPr>
              <w:t>在本单位缴纳的有效社保证明材料（复印件加盖公章）递交投标文件备用光盘（或U盘）的。</w:t>
            </w:r>
          </w:p>
        </w:tc>
      </w:tr>
      <w:tr w14:paraId="5382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6943B9C2">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40</w:t>
            </w:r>
          </w:p>
        </w:tc>
        <w:tc>
          <w:tcPr>
            <w:tcW w:w="501" w:type="pct"/>
            <w:vAlign w:val="center"/>
          </w:tcPr>
          <w:p w14:paraId="1751D932">
            <w:pPr>
              <w:spacing w:line="276" w:lineRule="auto"/>
              <w:jc w:val="center"/>
              <w:rPr>
                <w:rFonts w:ascii="宋体" w:hAnsi="宋体" w:eastAsia="宋体" w:cs="宋体"/>
                <w:color w:val="auto"/>
                <w:szCs w:val="21"/>
                <w:highlight w:val="none"/>
              </w:rPr>
            </w:pPr>
          </w:p>
        </w:tc>
        <w:tc>
          <w:tcPr>
            <w:tcW w:w="847" w:type="pct"/>
            <w:vAlign w:val="center"/>
          </w:tcPr>
          <w:p w14:paraId="68DC7B9F">
            <w:pPr>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中标单位提交投标文件要求</w:t>
            </w:r>
          </w:p>
        </w:tc>
        <w:tc>
          <w:tcPr>
            <w:tcW w:w="3301" w:type="pct"/>
            <w:vAlign w:val="center"/>
          </w:tcPr>
          <w:p w14:paraId="083104E0">
            <w:pPr>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中标人在签订合同前需向招标人另行提供与投标递交的电子标书一致且加盖单位公章的纸质投标文件（含投标人须知11.3列表明细包含的所有工程量清单报价表）</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软件或广州交易集团有限公司（广州公共资源交易中心）提供的投标书制作软件制作的经济投标文件其他部分。电子文件介质使用CD-R光盘，所有电子文件不能采用压缩处理、无密码、无病毒）。</w:t>
            </w:r>
          </w:p>
        </w:tc>
      </w:tr>
      <w:tr w14:paraId="3ECE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3646D4C8">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41</w:t>
            </w:r>
          </w:p>
        </w:tc>
        <w:tc>
          <w:tcPr>
            <w:tcW w:w="501" w:type="pct"/>
            <w:vAlign w:val="center"/>
          </w:tcPr>
          <w:p w14:paraId="490BCB94">
            <w:pPr>
              <w:spacing w:line="276" w:lineRule="auto"/>
              <w:jc w:val="center"/>
              <w:rPr>
                <w:rFonts w:ascii="宋体" w:hAnsi="宋体" w:eastAsia="宋体" w:cs="宋体"/>
                <w:color w:val="auto"/>
                <w:szCs w:val="21"/>
                <w:highlight w:val="none"/>
              </w:rPr>
            </w:pPr>
          </w:p>
        </w:tc>
        <w:tc>
          <w:tcPr>
            <w:tcW w:w="847" w:type="pct"/>
            <w:vAlign w:val="center"/>
          </w:tcPr>
          <w:p w14:paraId="31779CA6">
            <w:pPr>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安全生产责任保险</w:t>
            </w:r>
          </w:p>
        </w:tc>
        <w:tc>
          <w:tcPr>
            <w:tcW w:w="3301" w:type="pct"/>
            <w:vAlign w:val="center"/>
          </w:tcPr>
          <w:p w14:paraId="1AB819E8">
            <w:pPr>
              <w:spacing w:line="276" w:lineRule="auto"/>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u w:val="single"/>
              </w:rPr>
              <w:t>开工前中标人应当投保安全生产责任保险，且该保险保障场所应包含中标项目。投标人的投标报价视为包含该项费用。中标人未按规定购买安全生产责任保险，招标人可视严重程度拒绝该单位一定时期内参与后续工程投标，在招标公告和合同专用条款中予以明确，并在后续工程招标时随招标公告发布拒绝投标名单（注明拒绝理由）。</w:t>
            </w:r>
          </w:p>
        </w:tc>
      </w:tr>
      <w:tr w14:paraId="667F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10C612F6">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42</w:t>
            </w:r>
          </w:p>
        </w:tc>
        <w:tc>
          <w:tcPr>
            <w:tcW w:w="501" w:type="pct"/>
            <w:vAlign w:val="center"/>
          </w:tcPr>
          <w:p w14:paraId="66E256A3">
            <w:pPr>
              <w:spacing w:line="276" w:lineRule="auto"/>
              <w:rPr>
                <w:rFonts w:ascii="宋体" w:hAnsi="宋体" w:eastAsia="宋体" w:cs="宋体"/>
                <w:color w:val="auto"/>
                <w:szCs w:val="21"/>
                <w:highlight w:val="none"/>
                <w:u w:val="single"/>
              </w:rPr>
            </w:pPr>
          </w:p>
        </w:tc>
        <w:tc>
          <w:tcPr>
            <w:tcW w:w="847" w:type="pct"/>
            <w:vAlign w:val="center"/>
          </w:tcPr>
          <w:p w14:paraId="66A95BA1">
            <w:pPr>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绿色发展理念</w:t>
            </w:r>
          </w:p>
        </w:tc>
        <w:tc>
          <w:tcPr>
            <w:tcW w:w="3301" w:type="pct"/>
            <w:vAlign w:val="center"/>
          </w:tcPr>
          <w:p w14:paraId="6CBAFB94">
            <w:pPr>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为贯彻绿色发展理念，本项目应积极使用氢燃料电池泥头车等新能源工程车，要求投入的新能源工程车占投入的建筑垃圾自卸车（渣土车）总数比例不低于40%。一旦中标，必须全部到位，否则按合同违约处理。</w:t>
            </w:r>
          </w:p>
        </w:tc>
      </w:tr>
      <w:tr w14:paraId="39B3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25ACA558">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43</w:t>
            </w:r>
          </w:p>
        </w:tc>
        <w:tc>
          <w:tcPr>
            <w:tcW w:w="501" w:type="pct"/>
            <w:vAlign w:val="center"/>
          </w:tcPr>
          <w:p w14:paraId="76E760B8">
            <w:pPr>
              <w:spacing w:line="276" w:lineRule="auto"/>
              <w:rPr>
                <w:rFonts w:ascii="宋体" w:hAnsi="宋体" w:eastAsia="宋体" w:cs="宋体"/>
                <w:color w:val="auto"/>
                <w:szCs w:val="21"/>
                <w:highlight w:val="none"/>
                <w:u w:val="single"/>
              </w:rPr>
            </w:pPr>
          </w:p>
        </w:tc>
        <w:tc>
          <w:tcPr>
            <w:tcW w:w="847" w:type="pct"/>
            <w:vAlign w:val="center"/>
          </w:tcPr>
          <w:p w14:paraId="0FFDE4B9">
            <w:pPr>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是否授权评标委员会确定中标人</w:t>
            </w:r>
          </w:p>
        </w:tc>
        <w:tc>
          <w:tcPr>
            <w:tcW w:w="3301" w:type="pct"/>
            <w:vAlign w:val="center"/>
          </w:tcPr>
          <w:p w14:paraId="13A94657">
            <w:pPr>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否</w:t>
            </w:r>
          </w:p>
        </w:tc>
      </w:tr>
      <w:tr w14:paraId="1DF2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02980A01">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ascii="宋体" w:hAnsi="宋体" w:eastAsia="宋体" w:cs="宋体"/>
                <w:color w:val="auto"/>
                <w:szCs w:val="21"/>
                <w:highlight w:val="none"/>
              </w:rPr>
              <w:t>4</w:t>
            </w:r>
          </w:p>
        </w:tc>
        <w:tc>
          <w:tcPr>
            <w:tcW w:w="501" w:type="pct"/>
            <w:vAlign w:val="center"/>
          </w:tcPr>
          <w:p w14:paraId="2B3A259C">
            <w:pPr>
              <w:spacing w:line="276" w:lineRule="auto"/>
              <w:rPr>
                <w:rFonts w:ascii="宋体" w:hAnsi="宋体" w:eastAsia="宋体" w:cs="宋体"/>
                <w:color w:val="auto"/>
                <w:szCs w:val="21"/>
                <w:highlight w:val="none"/>
                <w:u w:val="single"/>
              </w:rPr>
            </w:pPr>
          </w:p>
        </w:tc>
        <w:tc>
          <w:tcPr>
            <w:tcW w:w="847" w:type="pct"/>
            <w:vAlign w:val="center"/>
          </w:tcPr>
          <w:p w14:paraId="7DA9505D">
            <w:pPr>
              <w:spacing w:line="276" w:lineRule="auto"/>
              <w:rPr>
                <w:rFonts w:ascii="宋体" w:hAnsi="宋体" w:eastAsia="宋体" w:cs="宋体"/>
                <w:color w:val="auto"/>
                <w:szCs w:val="21"/>
                <w:highlight w:val="none"/>
                <w:u w:val="single"/>
              </w:rPr>
            </w:pPr>
            <w:r>
              <w:rPr>
                <w:rFonts w:hint="eastAsia" w:ascii="宋体" w:hAnsi="宋体" w:eastAsia="宋体"/>
                <w:color w:val="auto"/>
                <w:szCs w:val="21"/>
                <w:highlight w:val="none"/>
                <w:u w:val="single"/>
              </w:rPr>
              <w:t>经济标评审优惠政策</w:t>
            </w:r>
          </w:p>
        </w:tc>
        <w:tc>
          <w:tcPr>
            <w:tcW w:w="3301" w:type="pct"/>
            <w:vAlign w:val="center"/>
          </w:tcPr>
          <w:p w14:paraId="1D8E7A36">
            <w:pPr>
              <w:spacing w:line="360" w:lineRule="exact"/>
              <w:rPr>
                <w:rFonts w:ascii="宋体" w:hAnsi="宋体" w:eastAsia="宋体"/>
                <w:color w:val="auto"/>
                <w:szCs w:val="21"/>
                <w:highlight w:val="none"/>
                <w:u w:val="single"/>
              </w:rPr>
            </w:pPr>
            <w:r>
              <w:rPr>
                <w:rFonts w:hint="eastAsia" w:ascii="宋体" w:hAnsi="宋体" w:eastAsia="宋体"/>
                <w:color w:val="auto"/>
                <w:szCs w:val="21"/>
                <w:highlight w:val="none"/>
                <w:u w:val="single"/>
              </w:rPr>
              <w:t>1.根据《广东省政府采购促进中小企业发展实施细则(试行)》要求，对符合《政府采购促进中小企业发展管理办法》的投标人，给予相应的价格评审优惠。</w:t>
            </w:r>
          </w:p>
          <w:p w14:paraId="5789BA51">
            <w:pPr>
              <w:spacing w:line="360" w:lineRule="exact"/>
              <w:rPr>
                <w:rFonts w:ascii="宋体" w:hAnsi="宋体" w:eastAsia="宋体"/>
                <w:color w:val="auto"/>
                <w:szCs w:val="21"/>
                <w:highlight w:val="none"/>
                <w:u w:val="single"/>
              </w:rPr>
            </w:pPr>
            <w:r>
              <w:rPr>
                <w:rFonts w:hint="eastAsia" w:ascii="宋体" w:hAnsi="宋体" w:eastAsia="宋体"/>
                <w:color w:val="auto"/>
                <w:szCs w:val="21"/>
                <w:highlight w:val="none"/>
                <w:u w:val="single"/>
              </w:rPr>
              <w:t>2.本招标项目评标计算价格分时</w:t>
            </w:r>
            <w:r>
              <w:rPr>
                <w:rFonts w:hint="eastAsia" w:ascii="宋体" w:hAnsi="宋体" w:eastAsia="宋体" w:cs="宋体"/>
                <w:b/>
                <w:bCs/>
                <w:color w:val="auto"/>
                <w:szCs w:val="21"/>
                <w:highlight w:val="none"/>
                <w:u w:val="single"/>
              </w:rPr>
              <w:t>（投标报价低于成本警示价的投标单位除外）</w:t>
            </w:r>
            <w:r>
              <w:rPr>
                <w:rFonts w:hint="eastAsia" w:ascii="宋体" w:hAnsi="宋体" w:eastAsia="宋体"/>
                <w:color w:val="auto"/>
                <w:szCs w:val="21"/>
                <w:highlight w:val="none"/>
                <w:u w:val="single"/>
              </w:rPr>
              <w:t>，对小微企业投标的，在采用原报价进行评分的基础上增加其价格得分的5%作为其价格分；对大中型企业与小微企业组成联合体或者允许大中型企业向一家或者多家小微企业分包(联合协议或者分包意向协议书约定小微企业的合同份额占到合同总金额30%（含）以上)的，在采用原报价进行评分的基础上增加其价格得分的2%作为其价格分。若原报价己满分，仍可突破满分上限继续享受加分优惠，以实际计算结果作为最终价格分。</w:t>
            </w:r>
          </w:p>
          <w:p w14:paraId="46788728">
            <w:pPr>
              <w:spacing w:line="360" w:lineRule="exact"/>
              <w:rPr>
                <w:rFonts w:ascii="宋体" w:hAnsi="宋体" w:eastAsia="宋体"/>
                <w:color w:val="auto"/>
                <w:szCs w:val="21"/>
                <w:highlight w:val="none"/>
                <w:u w:val="single"/>
              </w:rPr>
            </w:pPr>
            <w:r>
              <w:rPr>
                <w:rFonts w:hint="eastAsia" w:ascii="宋体" w:hAnsi="宋体" w:eastAsia="宋体"/>
                <w:color w:val="auto"/>
                <w:szCs w:val="21"/>
                <w:highlight w:val="none"/>
                <w:u w:val="single"/>
              </w:rPr>
              <w:t>3.投标人应按《政府采购促进中小企业发展管理办法》规定出具《中小企业声明函》(格式详见第四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438B75CE">
            <w:pPr>
              <w:spacing w:line="360" w:lineRule="exact"/>
              <w:rPr>
                <w:rFonts w:ascii="宋体" w:hAnsi="宋体" w:eastAsia="宋体"/>
                <w:color w:val="auto"/>
                <w:szCs w:val="21"/>
                <w:highlight w:val="none"/>
                <w:u w:val="single"/>
              </w:rPr>
            </w:pPr>
            <w:r>
              <w:rPr>
                <w:rFonts w:hint="eastAsia" w:ascii="宋体" w:hAnsi="宋体" w:eastAsia="宋体"/>
                <w:color w:val="auto"/>
                <w:szCs w:val="21"/>
                <w:highlight w:val="none"/>
                <w:u w:val="single"/>
              </w:rPr>
              <w:t>4,小微企业划分标准按照《工业和信息化部 国家统计局 国家发展和改革委员会 财政部关于印发中小企业划型标准规定的通知》(工信部联企业(2011)300号)执行。本招标项目属于</w:t>
            </w:r>
            <w:r>
              <w:rPr>
                <w:rFonts w:hint="eastAsia" w:ascii="宋体" w:hAnsi="宋体" w:eastAsia="宋体"/>
                <w:b/>
                <w:color w:val="auto"/>
                <w:szCs w:val="21"/>
                <w:highlight w:val="none"/>
                <w:u w:val="single"/>
              </w:rPr>
              <w:t>建筑业</w:t>
            </w:r>
            <w:r>
              <w:rPr>
                <w:rFonts w:hint="eastAsia" w:ascii="宋体" w:hAnsi="宋体" w:eastAsia="宋体"/>
                <w:color w:val="auto"/>
                <w:szCs w:val="21"/>
                <w:highlight w:val="none"/>
                <w:u w:val="single"/>
              </w:rPr>
              <w:t>，营业收入 80000 万元以下或资产总额 80000 万元以下的为中小微型企业。其中，营业收入 6000 万元及以上，且资产总额5000 万元及以上的为中型企业;营业收入300万元及以上，且资产总额 300 万元及以上的为小型企业:营业收入 300 万元以下或资产总额 300 万元以下的为微型企业。</w:t>
            </w:r>
          </w:p>
          <w:p w14:paraId="1E4441DE">
            <w:pPr>
              <w:spacing w:line="360" w:lineRule="exact"/>
              <w:rPr>
                <w:rFonts w:ascii="宋体" w:hAnsi="宋体" w:eastAsia="宋体"/>
                <w:color w:val="auto"/>
                <w:szCs w:val="21"/>
                <w:highlight w:val="none"/>
                <w:u w:val="single"/>
              </w:rPr>
            </w:pPr>
            <w:r>
              <w:rPr>
                <w:rFonts w:hint="eastAsia" w:ascii="宋体" w:hAnsi="宋体" w:eastAsia="宋体"/>
                <w:color w:val="auto"/>
                <w:szCs w:val="21"/>
                <w:highlight w:val="none"/>
                <w:u w:val="single"/>
              </w:rPr>
              <w:t>注:(1)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14:paraId="12E7D665">
            <w:pPr>
              <w:spacing w:line="360" w:lineRule="exact"/>
              <w:rPr>
                <w:rFonts w:ascii="宋体" w:hAnsi="宋体" w:eastAsia="宋体"/>
                <w:color w:val="auto"/>
                <w:szCs w:val="21"/>
                <w:highlight w:val="none"/>
                <w:u w:val="single"/>
              </w:rPr>
            </w:pPr>
            <w:r>
              <w:rPr>
                <w:rFonts w:hint="eastAsia" w:ascii="宋体" w:hAnsi="宋体" w:eastAsia="宋体"/>
                <w:color w:val="auto"/>
                <w:szCs w:val="21"/>
                <w:highlight w:val="none"/>
                <w:u w:val="single"/>
              </w:rPr>
              <w:t>(2)组成联合体或者接受分包合同的小微企业与联合体内其他企业、分包企业之间存在直接控股、管理关系的，不享受价格评分优惠。</w:t>
            </w:r>
          </w:p>
          <w:p w14:paraId="505A4340">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u w:val="single"/>
              </w:rPr>
              <w:t>(3)公示期间如有异议、投诉的，被异议、投诉单位需提供注册登记所在地的县级以上人民政府中小企业主管部门认定材料或联系方式。</w:t>
            </w:r>
          </w:p>
          <w:p w14:paraId="617FD1E3">
            <w:pPr>
              <w:pStyle w:val="7"/>
              <w:ind w:firstLine="0"/>
              <w:rPr>
                <w:rFonts w:ascii="宋体" w:hAnsi="宋体"/>
                <w:color w:val="auto"/>
                <w:highlight w:val="none"/>
              </w:rPr>
            </w:pPr>
            <w:r>
              <w:rPr>
                <w:rFonts w:hint="eastAsia" w:ascii="宋体" w:hAnsi="宋体" w:cstheme="minorBidi"/>
                <w:color w:val="auto"/>
                <w:szCs w:val="21"/>
                <w:highlight w:val="none"/>
                <w:u w:val="single"/>
              </w:rPr>
              <w:t>（4）根据《财政部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四章投标文件格式），经评审满足要求后，可享受上述加分优惠，否则不得享受上述加分优惠。监狱</w:t>
            </w:r>
            <w:r>
              <w:rPr>
                <w:rFonts w:hint="eastAsia" w:ascii="宋体" w:hAnsi="宋体"/>
                <w:color w:val="auto"/>
                <w:szCs w:val="21"/>
                <w:highlight w:val="none"/>
                <w:u w:val="single"/>
              </w:rPr>
              <w:t>企业、残疾人福利性单位属于小型、微型企业的，不重复享受政策。）</w:t>
            </w:r>
          </w:p>
        </w:tc>
      </w:tr>
      <w:tr w14:paraId="3A7F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vAlign w:val="center"/>
          </w:tcPr>
          <w:p w14:paraId="3068C497">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ascii="宋体" w:hAnsi="宋体" w:eastAsia="宋体" w:cs="宋体"/>
                <w:color w:val="auto"/>
                <w:szCs w:val="21"/>
                <w:highlight w:val="none"/>
              </w:rPr>
              <w:t>5</w:t>
            </w:r>
          </w:p>
        </w:tc>
        <w:tc>
          <w:tcPr>
            <w:tcW w:w="501" w:type="pct"/>
            <w:vAlign w:val="center"/>
          </w:tcPr>
          <w:p w14:paraId="70255572">
            <w:pPr>
              <w:spacing w:line="276" w:lineRule="auto"/>
              <w:rPr>
                <w:rFonts w:ascii="宋体" w:hAnsi="宋体" w:eastAsia="宋体" w:cs="宋体"/>
                <w:color w:val="auto"/>
                <w:szCs w:val="21"/>
                <w:highlight w:val="none"/>
                <w:u w:val="single"/>
              </w:rPr>
            </w:pPr>
          </w:p>
        </w:tc>
        <w:tc>
          <w:tcPr>
            <w:tcW w:w="847" w:type="pct"/>
            <w:vAlign w:val="center"/>
          </w:tcPr>
          <w:p w14:paraId="04912AB6">
            <w:pPr>
              <w:spacing w:line="276" w:lineRule="auto"/>
              <w:jc w:val="center"/>
              <w:rPr>
                <w:rFonts w:ascii="宋体" w:hAnsi="宋体" w:eastAsia="宋体"/>
                <w:color w:val="auto"/>
                <w:szCs w:val="21"/>
                <w:highlight w:val="none"/>
                <w:u w:val="single"/>
              </w:rPr>
            </w:pPr>
            <w:r>
              <w:rPr>
                <w:rFonts w:hint="eastAsia" w:ascii="宋体" w:hAnsi="宋体" w:eastAsia="宋体"/>
                <w:color w:val="auto"/>
                <w:szCs w:val="21"/>
                <w:highlight w:val="none"/>
                <w:u w:val="single"/>
              </w:rPr>
              <w:t>项目负责人管理</w:t>
            </w:r>
          </w:p>
        </w:tc>
        <w:tc>
          <w:tcPr>
            <w:tcW w:w="3301" w:type="pct"/>
            <w:vAlign w:val="center"/>
          </w:tcPr>
          <w:p w14:paraId="5E17909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u w:val="single"/>
              </w:rPr>
              <w:t>本工程的项</w:t>
            </w:r>
            <w:r>
              <w:rPr>
                <w:rFonts w:hint="eastAsia" w:ascii="宋体" w:hAnsi="宋体" w:eastAsia="宋体" w:cs="Times New Roman"/>
                <w:color w:val="auto"/>
                <w:szCs w:val="21"/>
                <w:highlight w:val="none"/>
                <w:u w:val="single"/>
              </w:rPr>
              <w:t>目负责人管理执行《广州市住房和城乡建设局关于加强建筑工程项目负责人管理的通知》（穗建规字〔2025〕9 号</w:t>
            </w:r>
            <w:r>
              <w:rPr>
                <w:rFonts w:hint="eastAsia" w:ascii="宋体" w:hAnsi="宋体" w:eastAsia="宋体"/>
                <w:color w:val="auto"/>
                <w:szCs w:val="21"/>
                <w:highlight w:val="none"/>
                <w:u w:val="single"/>
              </w:rPr>
              <w:t>）相关规定。</w:t>
            </w:r>
          </w:p>
        </w:tc>
      </w:tr>
      <w:tr w14:paraId="5CB5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0" w:type="pct"/>
            <w:shd w:val="clear" w:color="auto" w:fill="auto"/>
            <w:vAlign w:val="center"/>
          </w:tcPr>
          <w:p w14:paraId="5A2630E9">
            <w:pPr>
              <w:shd w:val="clear" w:color="auto" w:fill="auto"/>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46</w:t>
            </w:r>
          </w:p>
        </w:tc>
        <w:tc>
          <w:tcPr>
            <w:tcW w:w="501" w:type="pct"/>
            <w:shd w:val="clear" w:color="auto" w:fill="auto"/>
            <w:vAlign w:val="center"/>
          </w:tcPr>
          <w:p w14:paraId="33656987">
            <w:pPr>
              <w:shd w:val="clear" w:color="auto" w:fill="auto"/>
              <w:spacing w:line="276" w:lineRule="auto"/>
              <w:rPr>
                <w:rFonts w:hint="eastAsia" w:ascii="宋体" w:hAnsi="宋体" w:eastAsia="宋体" w:cs="宋体"/>
                <w:color w:val="auto"/>
                <w:kern w:val="2"/>
                <w:sz w:val="21"/>
                <w:szCs w:val="21"/>
                <w:highlight w:val="none"/>
                <w:u w:val="single"/>
                <w:lang w:val="en-US" w:eastAsia="zh-CN" w:bidi="ar-SA"/>
              </w:rPr>
            </w:pPr>
          </w:p>
        </w:tc>
        <w:tc>
          <w:tcPr>
            <w:tcW w:w="847" w:type="pct"/>
            <w:shd w:val="clear" w:color="auto" w:fill="auto"/>
            <w:vAlign w:val="center"/>
          </w:tcPr>
          <w:p w14:paraId="2CB97269">
            <w:pPr>
              <w:shd w:val="clear" w:color="auto" w:fill="auto"/>
              <w:spacing w:line="276" w:lineRule="auto"/>
              <w:jc w:val="left"/>
              <w:rPr>
                <w:rFonts w:hint="eastAsia" w:ascii="宋体" w:hAnsi="宋体" w:eastAsia="宋体" w:cstheme="minorBidi"/>
                <w:color w:val="auto"/>
                <w:kern w:val="2"/>
                <w:sz w:val="21"/>
                <w:szCs w:val="21"/>
                <w:highlight w:val="none"/>
                <w:u w:val="single"/>
                <w:lang w:val="en-US" w:eastAsia="zh-CN" w:bidi="ar-SA"/>
              </w:rPr>
            </w:pPr>
            <w:r>
              <w:rPr>
                <w:rFonts w:hint="eastAsia" w:ascii="宋体" w:hAnsi="宋体" w:eastAsia="宋体"/>
                <w:color w:val="auto"/>
                <w:szCs w:val="21"/>
                <w:highlight w:val="none"/>
                <w:u w:val="single"/>
                <w:lang w:eastAsia="zh-CN"/>
              </w:rPr>
              <w:t>投标特别说明</w:t>
            </w:r>
          </w:p>
        </w:tc>
        <w:tc>
          <w:tcPr>
            <w:tcW w:w="3301" w:type="pct"/>
            <w:shd w:val="clear" w:color="auto" w:fill="auto"/>
            <w:vAlign w:val="center"/>
          </w:tcPr>
          <w:p w14:paraId="5535EAE3">
            <w:pPr>
              <w:shd w:val="clear" w:color="auto" w:fill="auto"/>
              <w:spacing w:line="276" w:lineRule="auto"/>
              <w:jc w:val="left"/>
              <w:rPr>
                <w:rFonts w:hint="eastAsia" w:ascii="宋体" w:hAnsi="宋体" w:eastAsia="宋体" w:cstheme="minorBidi"/>
                <w:color w:val="auto"/>
                <w:kern w:val="2"/>
                <w:sz w:val="21"/>
                <w:szCs w:val="21"/>
                <w:highlight w:val="none"/>
                <w:u w:val="single"/>
                <w:lang w:val="en-US" w:eastAsia="zh-CN" w:bidi="ar-SA"/>
              </w:rPr>
            </w:pPr>
            <w:r>
              <w:rPr>
                <w:rFonts w:hint="eastAsia" w:ascii="宋体" w:hAnsi="宋体" w:eastAsia="宋体"/>
                <w:color w:val="auto"/>
                <w:szCs w:val="21"/>
                <w:highlight w:val="none"/>
                <w:u w:val="single"/>
                <w:lang w:eastAsia="zh-CN"/>
              </w:rPr>
              <w:t>投标人需确保本项目投标总</w:t>
            </w:r>
            <w:r>
              <w:rPr>
                <w:rFonts w:hint="eastAsia" w:ascii="宋体" w:hAnsi="宋体" w:eastAsia="宋体"/>
                <w:color w:val="auto"/>
                <w:szCs w:val="21"/>
                <w:highlight w:val="none"/>
                <w:u w:val="single"/>
                <w:lang w:val="en-US" w:eastAsia="zh-CN"/>
              </w:rPr>
              <w:t>报</w:t>
            </w:r>
            <w:r>
              <w:rPr>
                <w:rFonts w:hint="eastAsia" w:ascii="宋体" w:hAnsi="宋体" w:eastAsia="宋体"/>
                <w:color w:val="auto"/>
                <w:szCs w:val="21"/>
                <w:highlight w:val="none"/>
                <w:u w:val="single"/>
                <w:lang w:eastAsia="zh-CN"/>
              </w:rPr>
              <w:t>价、分部分项合价、措施费合价、其他项目费合价、税金总价等与各单位工程相应项目价格之和保持一致，如因软件原因导致的金额偏差，投标人可以手工修正。</w:t>
            </w:r>
          </w:p>
        </w:tc>
      </w:tr>
    </w:tbl>
    <w:p w14:paraId="04596869">
      <w:pPr>
        <w:keepNext/>
        <w:keepLines/>
        <w:numPr>
          <w:ilvl w:val="1"/>
          <w:numId w:val="0"/>
        </w:numPr>
        <w:spacing w:line="360" w:lineRule="auto"/>
        <w:jc w:val="center"/>
        <w:outlineLvl w:val="1"/>
        <w:rPr>
          <w:rFonts w:ascii="宋体" w:hAnsi="宋体" w:eastAsia="宋体" w:cs="宋体"/>
          <w:b/>
          <w:color w:val="auto"/>
          <w:kern w:val="0"/>
          <w:sz w:val="24"/>
          <w:szCs w:val="24"/>
          <w:highlight w:val="none"/>
        </w:rPr>
      </w:pPr>
      <w:r>
        <w:rPr>
          <w:rFonts w:hint="eastAsia" w:ascii="宋体" w:hAnsi="宋体" w:eastAsia="宋体" w:cs="宋体"/>
          <w:b/>
          <w:strike/>
          <w:color w:val="auto"/>
          <w:kern w:val="0"/>
          <w:sz w:val="24"/>
          <w:szCs w:val="24"/>
          <w:highlight w:val="none"/>
        </w:rPr>
        <w:br w:type="page"/>
      </w:r>
      <w:bookmarkStart w:id="3" w:name="_Toc202907278"/>
      <w:r>
        <w:rPr>
          <w:rFonts w:hint="eastAsia" w:ascii="宋体" w:hAnsi="宋体" w:eastAsia="宋体" w:cs="宋体"/>
          <w:b/>
          <w:color w:val="auto"/>
          <w:kern w:val="0"/>
          <w:sz w:val="24"/>
          <w:szCs w:val="24"/>
          <w:highlight w:val="none"/>
        </w:rPr>
        <w:t>二、投标须知修改表</w:t>
      </w:r>
      <w:bookmarkEnd w:id="3"/>
    </w:p>
    <w:p w14:paraId="1273BD98">
      <w:pPr>
        <w:pBdr>
          <w:bottom w:val="single" w:color="auto" w:sz="6" w:space="1"/>
        </w:pBd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声明：本投标须知使用招标文件范本的投标须知通用条款，与该通用条款不同之处，均在本表中列明，并以现文为准，原文不再有效。</w:t>
      </w:r>
    </w:p>
    <w:p w14:paraId="606A8F60">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条款号：2.5                          修改类型：增加</w:t>
      </w:r>
    </w:p>
    <w:p w14:paraId="62498B4F">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
          <w:bCs/>
          <w:color w:val="auto"/>
          <w:szCs w:val="21"/>
          <w:highlight w:val="none"/>
        </w:rPr>
        <w:t>2.5</w:t>
      </w:r>
      <w:r>
        <w:rPr>
          <w:rFonts w:hint="eastAsia" w:ascii="宋体" w:hAnsi="宋体" w:eastAsia="宋体" w:cs="宋体"/>
          <w:b/>
          <w:bCs/>
          <w:color w:val="auto"/>
          <w:sz w:val="21"/>
          <w:szCs w:val="21"/>
          <w:highlight w:val="none"/>
          <w:u w:val="single"/>
        </w:rPr>
        <w:t>根据《建设工程质量检测管理办法》（建设部令第141号）第十二条规定，建设工程质量、安全检测业务应由建设单位依法委托，不列入本次招标范围。招标文件中与此条不一致的，以此条为准。</w:t>
      </w:r>
      <w:r>
        <w:rPr>
          <w:rFonts w:hint="eastAsia" w:ascii="宋体" w:hAnsi="宋体" w:eastAsia="宋体" w:cs="宋体"/>
          <w:b/>
          <w:bCs/>
          <w:color w:val="auto"/>
          <w:kern w:val="0"/>
          <w:sz w:val="21"/>
          <w:szCs w:val="21"/>
          <w:highlight w:val="none"/>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1B36DC50">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条款号：5.1                          修改类型：修改</w:t>
      </w:r>
    </w:p>
    <w:p w14:paraId="6579F260">
      <w:pPr>
        <w:pBdr>
          <w:bottom w:val="single" w:color="auto" w:sz="6" w:space="1"/>
        </w:pBdr>
        <w:tabs>
          <w:tab w:val="left" w:pos="4410"/>
          <w:tab w:val="left" w:pos="6930"/>
          <w:tab w:val="left" w:pos="8610"/>
        </w:tabs>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5.1投标人应按本投标须知前附表第12项所述时间和要求自行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p>
    <w:p w14:paraId="42DAB766">
      <w:pPr>
        <w:pBdr>
          <w:bottom w:val="single" w:color="auto" w:sz="6" w:space="1"/>
        </w:pBd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5.1投标人应按本投标须知前附表第12项所述时间和要求自行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eastAsia="宋体" w:cs="宋体"/>
          <w:b/>
          <w:bCs/>
          <w:color w:val="auto"/>
          <w:szCs w:val="21"/>
          <w:highlight w:val="none"/>
          <w:u w:val="single"/>
        </w:rPr>
        <w:t>，投标人不进行踏勘的，视为已熟知现场条件，自行承担相关风险</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一旦中标，这种考察即被认为其结果已在中标文件中得到充分反映。</w:t>
      </w:r>
      <w:r>
        <w:rPr>
          <w:rFonts w:hint="eastAsia" w:ascii="宋体" w:hAnsi="宋体" w:eastAsia="宋体" w:cs="宋体"/>
          <w:b/>
          <w:bCs/>
          <w:color w:val="auto"/>
          <w:szCs w:val="21"/>
          <w:highlight w:val="none"/>
          <w:u w:val="single"/>
        </w:rPr>
        <w:t>招标人不受理因投标人缺乏对现场条件的了解或掌握而提出的任何索赔。考察现场的费用由投标人自己承担。</w:t>
      </w:r>
    </w:p>
    <w:p w14:paraId="01FE0526">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条款号：8.1                           修改类型：修改</w:t>
      </w:r>
    </w:p>
    <w:p w14:paraId="0CDFE2EB">
      <w:pPr>
        <w:pBdr>
          <w:bottom w:val="single" w:color="auto" w:sz="6" w:space="1"/>
        </w:pBdr>
        <w:spacing w:line="360" w:lineRule="auto"/>
        <w:ind w:firstLine="422" w:firstLineChars="200"/>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rPr>
        <w:t>原文：</w:t>
      </w:r>
      <w:r>
        <w:rPr>
          <w:rFonts w:hint="eastAsia" w:ascii="宋体" w:hAnsi="宋体" w:eastAsia="宋体" w:cs="宋体"/>
          <w:color w:val="auto"/>
          <w:kern w:val="0"/>
          <w:szCs w:val="21"/>
          <w:highlight w:val="none"/>
        </w:rPr>
        <w:t>8.1投标人若对招标文件（包括招标图纸）中有疑问，可以书面形式通过</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交易平台提交给招标人或招标代理人，提交形式见本须知前附表第13项。</w:t>
      </w:r>
    </w:p>
    <w:p w14:paraId="064D634B">
      <w:pPr>
        <w:pBdr>
          <w:bottom w:val="single" w:color="auto" w:sz="6" w:space="1"/>
        </w:pBdr>
        <w:spacing w:after="120" w:line="360" w:lineRule="auto"/>
        <w:ind w:firstLine="422" w:firstLineChars="200"/>
        <w:rPr>
          <w:rFonts w:ascii="宋体" w:hAnsi="宋体" w:eastAsia="宋体" w:cs="Times New Roman"/>
          <w:color w:val="auto"/>
          <w:kern w:val="0"/>
          <w:szCs w:val="21"/>
          <w:highlight w:val="none"/>
        </w:rPr>
      </w:pPr>
      <w:r>
        <w:rPr>
          <w:rFonts w:hint="eastAsia" w:ascii="宋体" w:hAnsi="宋体" w:eastAsia="宋体" w:cs="宋体"/>
          <w:b/>
          <w:color w:val="auto"/>
          <w:kern w:val="0"/>
          <w:szCs w:val="21"/>
          <w:highlight w:val="none"/>
        </w:rPr>
        <w:t>现文：</w:t>
      </w:r>
      <w:r>
        <w:rPr>
          <w:rFonts w:hint="eastAsia" w:ascii="宋体" w:hAnsi="宋体" w:eastAsia="宋体" w:cs="宋体"/>
          <w:color w:val="auto"/>
          <w:kern w:val="0"/>
          <w:szCs w:val="21"/>
          <w:highlight w:val="none"/>
        </w:rPr>
        <w:t>8.1</w:t>
      </w:r>
      <w:r>
        <w:rPr>
          <w:rFonts w:hint="eastAsia" w:ascii="宋体" w:hAnsi="宋体" w:eastAsia="宋体" w:cs="宋体"/>
          <w:bCs/>
          <w:color w:val="auto"/>
          <w:kern w:val="0"/>
          <w:szCs w:val="21"/>
          <w:highlight w:val="none"/>
        </w:rPr>
        <w:t>投标人若对招标文件（包括招标图纸</w:t>
      </w:r>
      <w:r>
        <w:rPr>
          <w:rFonts w:hint="eastAsia" w:ascii="宋体" w:hAnsi="宋体" w:eastAsia="宋体" w:cs="宋体"/>
          <w:b/>
          <w:color w:val="auto"/>
          <w:kern w:val="0"/>
          <w:szCs w:val="21"/>
          <w:highlight w:val="none"/>
          <w:u w:val="single"/>
        </w:rPr>
        <w:t>、清单、最高投标限价</w:t>
      </w:r>
      <w:r>
        <w:rPr>
          <w:rFonts w:hint="eastAsia" w:ascii="宋体" w:hAnsi="宋体" w:eastAsia="宋体" w:cs="Times New Roman"/>
          <w:b/>
          <w:color w:val="auto"/>
          <w:kern w:val="0"/>
          <w:szCs w:val="21"/>
          <w:highlight w:val="none"/>
          <w:u w:val="single"/>
        </w:rPr>
        <w:t>、合同条款</w:t>
      </w:r>
      <w:r>
        <w:rPr>
          <w:rFonts w:hint="eastAsia" w:ascii="宋体" w:hAnsi="宋体" w:eastAsia="宋体" w:cs="宋体"/>
          <w:bCs/>
          <w:color w:val="auto"/>
          <w:kern w:val="0"/>
          <w:szCs w:val="21"/>
          <w:highlight w:val="none"/>
        </w:rPr>
        <w:t>）中有疑问，可以</w:t>
      </w:r>
      <w:r>
        <w:rPr>
          <w:rFonts w:hint="eastAsia" w:ascii="宋体" w:hAnsi="宋体" w:eastAsia="宋体" w:cs="宋体"/>
          <w:b/>
          <w:color w:val="auto"/>
          <w:kern w:val="0"/>
          <w:szCs w:val="21"/>
          <w:highlight w:val="none"/>
          <w:u w:val="single"/>
        </w:rPr>
        <w:t>网上答疑方式</w:t>
      </w:r>
      <w:r>
        <w:rPr>
          <w:rFonts w:hint="eastAsia" w:ascii="宋体" w:hAnsi="宋体" w:eastAsia="宋体" w:cs="宋体"/>
          <w:bCs/>
          <w:color w:val="auto"/>
          <w:kern w:val="0"/>
          <w:szCs w:val="21"/>
          <w:highlight w:val="none"/>
        </w:rPr>
        <w:t>通过</w:t>
      </w:r>
      <w:r>
        <w:rPr>
          <w:rFonts w:hint="eastAsia" w:ascii="宋体" w:hAnsi="宋体" w:eastAsia="宋体" w:cs="宋体"/>
          <w:b/>
          <w:color w:val="auto"/>
          <w:kern w:val="0"/>
          <w:szCs w:val="21"/>
          <w:highlight w:val="none"/>
          <w:u w:val="single"/>
        </w:rPr>
        <w:t>广州交易集团有限公司（广州公共资源交易中心）</w:t>
      </w:r>
      <w:r>
        <w:rPr>
          <w:rFonts w:hint="eastAsia" w:ascii="宋体" w:hAnsi="宋体" w:eastAsia="宋体" w:cs="Times New Roman"/>
          <w:color w:val="auto"/>
          <w:kern w:val="0"/>
          <w:szCs w:val="21"/>
          <w:highlight w:val="none"/>
        </w:rPr>
        <w:t>交易平台提交给招标人或招标代理人，</w:t>
      </w:r>
      <w:r>
        <w:rPr>
          <w:rFonts w:hint="eastAsia" w:ascii="宋体" w:hAnsi="宋体" w:eastAsia="宋体" w:cs="宋体"/>
          <w:bCs/>
          <w:color w:val="auto"/>
          <w:kern w:val="0"/>
          <w:szCs w:val="21"/>
          <w:highlight w:val="none"/>
        </w:rPr>
        <w:t>详见本须知前附表第13项。</w:t>
      </w:r>
      <w:r>
        <w:rPr>
          <w:rFonts w:hint="eastAsia" w:ascii="宋体" w:hAnsi="宋体" w:eastAsia="宋体" w:cs="宋体"/>
          <w:b/>
          <w:color w:val="auto"/>
          <w:kern w:val="0"/>
          <w:szCs w:val="21"/>
          <w:highlight w:val="none"/>
          <w:u w:val="single"/>
        </w:rPr>
        <w:t>招标人或招标代理人将于本须知前附表第13项指定的地点（交易平台）和时间对疑问进行答复。</w:t>
      </w:r>
    </w:p>
    <w:p w14:paraId="161E4ECA">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条款号：8.2                          修改类型：修改</w:t>
      </w:r>
    </w:p>
    <w:p w14:paraId="5C406472">
      <w:pPr>
        <w:spacing w:line="360" w:lineRule="auto"/>
        <w:ind w:firstLine="422" w:firstLineChars="200"/>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rPr>
        <w:t>原文：</w:t>
      </w:r>
      <w:r>
        <w:rPr>
          <w:rFonts w:hint="eastAsia" w:ascii="宋体" w:hAnsi="宋体" w:eastAsia="宋体" w:cs="宋体"/>
          <w:bCs/>
          <w:color w:val="auto"/>
          <w:kern w:val="0"/>
          <w:szCs w:val="21"/>
          <w:highlight w:val="none"/>
        </w:rPr>
        <w:t>8.2</w:t>
      </w:r>
      <w:r>
        <w:rPr>
          <w:rFonts w:hint="eastAsia" w:ascii="宋体" w:hAnsi="宋体" w:eastAsia="宋体" w:cs="宋体"/>
          <w:color w:val="auto"/>
          <w:kern w:val="0"/>
          <w:szCs w:val="21"/>
          <w:highlight w:val="none"/>
        </w:rPr>
        <w:t>招标答疑会会议纪要将在提交投标文件截止时间15日前在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交易平台 “项目答疑纪要”专区公开发布。答疑纪要一经在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交易平台发布，视作已发放给所有投标人。</w:t>
      </w:r>
    </w:p>
    <w:p w14:paraId="19C65ADB">
      <w:pPr>
        <w:pBdr>
          <w:bottom w:val="single" w:color="auto" w:sz="6" w:space="1"/>
        </w:pBdr>
        <w:spacing w:line="360" w:lineRule="auto"/>
        <w:ind w:firstLine="422" w:firstLineChars="200"/>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rPr>
        <w:t>现文：</w:t>
      </w:r>
      <w:r>
        <w:rPr>
          <w:rFonts w:hint="eastAsia" w:ascii="宋体" w:hAnsi="宋体" w:eastAsia="宋体" w:cs="宋体"/>
          <w:color w:val="auto"/>
          <w:kern w:val="0"/>
          <w:szCs w:val="21"/>
          <w:highlight w:val="none"/>
        </w:rPr>
        <w:t>8.2招标答疑会会议纪要将在提交投标文件截止时间15日前</w:t>
      </w:r>
      <w:r>
        <w:rPr>
          <w:rFonts w:hint="eastAsia" w:ascii="宋体" w:hAnsi="宋体" w:eastAsia="宋体" w:cs="宋体"/>
          <w:color w:val="auto"/>
          <w:kern w:val="0"/>
          <w:szCs w:val="21"/>
          <w:highlight w:val="none"/>
          <w:u w:val="single"/>
        </w:rPr>
        <w:t>在</w:t>
      </w:r>
      <w:r>
        <w:rPr>
          <w:rFonts w:hint="eastAsia" w:ascii="宋体" w:hAnsi="宋体" w:eastAsia="宋体" w:cs="宋体"/>
          <w:b/>
          <w:bCs/>
          <w:color w:val="auto"/>
          <w:kern w:val="0"/>
          <w:szCs w:val="21"/>
          <w:highlight w:val="none"/>
          <w:u w:val="single"/>
        </w:rPr>
        <w:t>广州交易集团有限公司（广州公共资源交易中心）</w:t>
      </w:r>
      <w:r>
        <w:rPr>
          <w:rFonts w:hint="eastAsia" w:ascii="宋体" w:hAnsi="宋体" w:eastAsia="宋体" w:cs="宋体"/>
          <w:color w:val="auto"/>
          <w:kern w:val="0"/>
          <w:szCs w:val="21"/>
          <w:highlight w:val="none"/>
        </w:rPr>
        <w:t>交易平台</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u w:val="single"/>
        </w:rPr>
        <w:t>项目查询</w:t>
      </w:r>
      <w:r>
        <w:rPr>
          <w:rFonts w:ascii="宋体" w:hAnsi="宋体" w:eastAsia="宋体" w:cs="宋体"/>
          <w:b/>
          <w:bCs/>
          <w:color w:val="auto"/>
          <w:kern w:val="0"/>
          <w:szCs w:val="21"/>
          <w:highlight w:val="none"/>
          <w:u w:val="single"/>
        </w:rPr>
        <w:t>(日程安排、答疑纪要)</w:t>
      </w:r>
      <w:r>
        <w:rPr>
          <w:rFonts w:hint="eastAsia" w:ascii="宋体" w:hAnsi="宋体" w:eastAsia="宋体" w:cs="宋体"/>
          <w:b/>
          <w:bCs/>
          <w:color w:val="auto"/>
          <w:kern w:val="0"/>
          <w:szCs w:val="21"/>
          <w:highlight w:val="none"/>
          <w:u w:val="single"/>
        </w:rPr>
        <w:t>”</w:t>
      </w:r>
      <w:r>
        <w:rPr>
          <w:rFonts w:hint="eastAsia" w:ascii="宋体" w:hAnsi="宋体" w:eastAsia="宋体" w:cs="宋体"/>
          <w:color w:val="auto"/>
          <w:kern w:val="0"/>
          <w:szCs w:val="21"/>
          <w:highlight w:val="none"/>
        </w:rPr>
        <w:t>专区公开发布。答疑纪要一经</w:t>
      </w:r>
      <w:r>
        <w:rPr>
          <w:rFonts w:hint="eastAsia" w:ascii="宋体" w:hAnsi="宋体" w:eastAsia="宋体" w:cs="宋体"/>
          <w:b/>
          <w:bCs/>
          <w:color w:val="auto"/>
          <w:kern w:val="0"/>
          <w:szCs w:val="21"/>
          <w:highlight w:val="none"/>
          <w:u w:val="single"/>
        </w:rPr>
        <w:t>在广州交易集团有限公司（广州公共资源交易中心）</w:t>
      </w:r>
      <w:r>
        <w:rPr>
          <w:rFonts w:hint="eastAsia" w:ascii="宋体" w:hAnsi="宋体" w:eastAsia="宋体" w:cs="宋体"/>
          <w:color w:val="auto"/>
          <w:kern w:val="0"/>
          <w:szCs w:val="21"/>
          <w:highlight w:val="none"/>
        </w:rPr>
        <w:t>交易平台发布，视作已发放给所有投标人。</w:t>
      </w:r>
    </w:p>
    <w:p w14:paraId="37F669C2">
      <w:pPr>
        <w:spacing w:line="360" w:lineRule="auto"/>
        <w:ind w:firstLine="422" w:firstLineChars="2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条款号：8.4             修改类型：修改</w:t>
      </w:r>
    </w:p>
    <w:p w14:paraId="460971B5">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8.4若招标答疑会会议纪要与招标文件有矛盾，以答疑会议纪要最后发出的书面形式的文件为准。</w:t>
      </w:r>
    </w:p>
    <w:p w14:paraId="7E875630">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8.4若</w:t>
      </w:r>
      <w:r>
        <w:rPr>
          <w:rFonts w:hint="eastAsia" w:ascii="宋体" w:hAnsi="宋体" w:eastAsia="宋体" w:cs="宋体"/>
          <w:b/>
          <w:bCs/>
          <w:color w:val="auto"/>
          <w:szCs w:val="21"/>
          <w:highlight w:val="none"/>
          <w:u w:val="single"/>
        </w:rPr>
        <w:t>招标答疑纪要</w:t>
      </w:r>
      <w:r>
        <w:rPr>
          <w:rFonts w:hint="eastAsia" w:ascii="宋体" w:hAnsi="宋体" w:eastAsia="宋体" w:cs="宋体"/>
          <w:color w:val="auto"/>
          <w:szCs w:val="21"/>
          <w:highlight w:val="none"/>
        </w:rPr>
        <w:t>与招标文件有矛盾时，以</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网站最后发布的</w:t>
      </w:r>
      <w:r>
        <w:rPr>
          <w:rFonts w:hint="eastAsia" w:ascii="宋体" w:hAnsi="宋体" w:eastAsia="宋体" w:cs="宋体"/>
          <w:b/>
          <w:bCs/>
          <w:color w:val="auto"/>
          <w:szCs w:val="21"/>
          <w:highlight w:val="none"/>
          <w:u w:val="single"/>
        </w:rPr>
        <w:t>招标答疑纪要</w:t>
      </w:r>
      <w:r>
        <w:rPr>
          <w:rFonts w:hint="eastAsia" w:ascii="宋体" w:hAnsi="宋体" w:eastAsia="宋体" w:cs="宋体"/>
          <w:color w:val="auto"/>
          <w:szCs w:val="21"/>
          <w:highlight w:val="none"/>
        </w:rPr>
        <w:t>为准。</w:t>
      </w:r>
    </w:p>
    <w:p w14:paraId="07A76625">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条款号：9.2                          修改类型：修改</w:t>
      </w:r>
    </w:p>
    <w:p w14:paraId="1126A46A">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9.2招标文件的澄清或修改将在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交易平台“项目答疑纪要”专区公开发布。答疑纪要一经在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交易平台发布，视作已发放给所有投标人，以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交易平台上网发布时间作为送达时间。</w:t>
      </w:r>
    </w:p>
    <w:p w14:paraId="7C681CA3">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9.2招标文件的澄清或修改将在</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w:t>
      </w:r>
      <w:r>
        <w:rPr>
          <w:rFonts w:hint="eastAsia" w:ascii="宋体" w:hAnsi="宋体" w:eastAsia="宋体" w:cs="宋体"/>
          <w:color w:val="auto"/>
          <w:szCs w:val="21"/>
          <w:highlight w:val="none"/>
          <w:u w:val="single"/>
        </w:rPr>
        <w:t>“</w:t>
      </w:r>
      <w:r>
        <w:rPr>
          <w:rFonts w:hint="eastAsia" w:ascii="宋体" w:hAnsi="宋体" w:eastAsia="宋体" w:cs="宋体"/>
          <w:b/>
          <w:bCs/>
          <w:color w:val="auto"/>
          <w:szCs w:val="21"/>
          <w:highlight w:val="none"/>
          <w:u w:val="single"/>
        </w:rPr>
        <w:t>项目查询(日程安排、答疑纪要)</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专区公开发布。答疑纪要一经在</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交易平台发布，视作已发放给所有投标人，以</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交易平台上网发布时间作为送达时间。</w:t>
      </w:r>
    </w:p>
    <w:p w14:paraId="01D52469">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条款号：9.4                         修改类型：修改</w:t>
      </w:r>
    </w:p>
    <w:p w14:paraId="3ECFD179">
      <w:pPr>
        <w:spacing w:line="360" w:lineRule="auto"/>
        <w:ind w:firstLine="422" w:firstLineChars="200"/>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rPr>
        <w:t>原文：</w:t>
      </w:r>
      <w:r>
        <w:rPr>
          <w:rFonts w:hint="eastAsia" w:ascii="宋体" w:hAnsi="宋体" w:eastAsia="宋体" w:cs="宋体"/>
          <w:color w:val="auto"/>
          <w:kern w:val="0"/>
          <w:szCs w:val="21"/>
          <w:highlight w:val="none"/>
        </w:rPr>
        <w:t>9.4招标文件的澄清或修改均以</w:t>
      </w:r>
      <w:r>
        <w:rPr>
          <w:rFonts w:hint="eastAsia" w:ascii="宋体" w:hAnsi="宋体" w:eastAsia="宋体" w:cs="宋体"/>
          <w:color w:val="auto"/>
          <w:kern w:val="0"/>
          <w:szCs w:val="21"/>
          <w:highlight w:val="none"/>
          <w:u w:val="single"/>
        </w:rPr>
        <w:t xml:space="preserve">          网站</w:t>
      </w:r>
      <w:r>
        <w:rPr>
          <w:rFonts w:hint="eastAsia" w:ascii="宋体" w:hAnsi="宋体" w:eastAsia="宋体" w:cs="宋体"/>
          <w:color w:val="auto"/>
          <w:kern w:val="0"/>
          <w:szCs w:val="21"/>
          <w:highlight w:val="none"/>
        </w:rPr>
        <w:t>发布的内容为准。当招标文件的澄清、修改、补充等在同一内容的表述不一致时，以最后发出的书面形式的文件为准。</w:t>
      </w:r>
    </w:p>
    <w:p w14:paraId="75E18397">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9.4招标文件的澄清或修改均以</w:t>
      </w:r>
      <w:r>
        <w:rPr>
          <w:rFonts w:hint="eastAsia" w:ascii="宋体" w:hAnsi="宋体" w:eastAsia="宋体" w:cs="宋体"/>
          <w:b/>
          <w:color w:val="auto"/>
          <w:szCs w:val="21"/>
          <w:highlight w:val="none"/>
          <w:u w:val="single"/>
        </w:rPr>
        <w:t>广州交易集团有限公司（广州公共资源交易中心）网站“网上答疑”专区公开发布答疑内容为准</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当招标文件的澄清、修改、补充等在同一内容的表述不一致时，以</w:t>
      </w:r>
      <w:r>
        <w:rPr>
          <w:rFonts w:hint="eastAsia" w:ascii="宋体" w:hAnsi="宋体" w:eastAsia="宋体" w:cs="宋体"/>
          <w:b/>
          <w:bCs/>
          <w:color w:val="auto"/>
          <w:szCs w:val="21"/>
          <w:highlight w:val="none"/>
          <w:u w:val="single"/>
        </w:rPr>
        <w:t>广州交易集团有限公司（广州公共资源交易中心）网站</w:t>
      </w:r>
      <w:r>
        <w:rPr>
          <w:rFonts w:hint="eastAsia" w:ascii="宋体" w:hAnsi="宋体" w:eastAsia="宋体" w:cs="宋体"/>
          <w:color w:val="auto"/>
          <w:szCs w:val="21"/>
          <w:highlight w:val="none"/>
        </w:rPr>
        <w:t>最后发出的文件为准。</w:t>
      </w:r>
    </w:p>
    <w:p w14:paraId="188A2A1E">
      <w:pPr>
        <w:spacing w:line="360" w:lineRule="auto"/>
        <w:ind w:firstLine="470" w:firstLineChars="223"/>
        <w:rPr>
          <w:rFonts w:ascii="宋体" w:hAnsi="宋体" w:eastAsia="宋体" w:cs="宋体"/>
          <w:b/>
          <w:color w:val="auto"/>
          <w:szCs w:val="21"/>
          <w:highlight w:val="none"/>
        </w:rPr>
      </w:pPr>
      <w:bookmarkStart w:id="4" w:name="_Hlk208832697"/>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11.1</w:t>
      </w:r>
      <w:r>
        <w:rPr>
          <w:rFonts w:hint="eastAsia" w:ascii="宋体" w:hAnsi="宋体" w:eastAsia="宋体" w:cs="宋体"/>
          <w:b/>
          <w:color w:val="auto"/>
          <w:szCs w:val="21"/>
          <w:highlight w:val="none"/>
        </w:rPr>
        <w:t xml:space="preserve">             修改类型：修改</w:t>
      </w:r>
    </w:p>
    <w:p w14:paraId="5B871F19">
      <w:pPr>
        <w:pStyle w:val="48"/>
        <w:spacing w:line="360" w:lineRule="auto"/>
        <w:ind w:firstLine="470" w:firstLineChars="223"/>
        <w:rPr>
          <w:rFonts w:ascii="宋体" w:hAnsi="宋体" w:cs="宋体"/>
          <w:b/>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11.1 投标文件由技术部分（含资格审查文件）和经济部分二部分投标文件组成。</w:t>
      </w:r>
    </w:p>
    <w:p w14:paraId="3F56CBB2">
      <w:pPr>
        <w:pStyle w:val="48"/>
        <w:pBdr>
          <w:bottom w:val="single" w:color="auto" w:sz="4" w:space="0"/>
        </w:pBdr>
        <w:spacing w:after="0" w:line="360" w:lineRule="auto"/>
        <w:ind w:firstLine="470" w:firstLineChars="223"/>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11.1 投标文件由技术部分（含资格审查文件）</w:t>
      </w:r>
      <w:r>
        <w:rPr>
          <w:rFonts w:hint="eastAsia" w:ascii="宋体" w:hAnsi="宋体" w:cs="宋体"/>
          <w:b/>
          <w:bCs/>
          <w:color w:val="auto"/>
          <w:sz w:val="21"/>
          <w:szCs w:val="21"/>
          <w:highlight w:val="none"/>
          <w:u w:val="single"/>
        </w:rPr>
        <w:t>、经济部分和定标文件三部分</w:t>
      </w:r>
      <w:r>
        <w:rPr>
          <w:rFonts w:hint="eastAsia" w:ascii="宋体" w:hAnsi="宋体" w:cs="宋体"/>
          <w:color w:val="auto"/>
          <w:sz w:val="21"/>
          <w:szCs w:val="21"/>
          <w:highlight w:val="none"/>
        </w:rPr>
        <w:t>投标文件组成。</w:t>
      </w:r>
      <w:bookmarkEnd w:id="4"/>
    </w:p>
    <w:p w14:paraId="1DC801A2">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条款号：11.2                        修改类型：修改</w:t>
      </w:r>
    </w:p>
    <w:p w14:paraId="3215040C">
      <w:pPr>
        <w:spacing w:line="360" w:lineRule="auto"/>
        <w:ind w:firstLine="422" w:firstLineChars="200"/>
        <w:rPr>
          <w:rFonts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11.2投标文件技术标部分主要包括下列内容:</w:t>
      </w:r>
    </w:p>
    <w:p w14:paraId="125BC9D9">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11.2.1资格审查文件</w:t>
      </w:r>
    </w:p>
    <w:p w14:paraId="1BEF743A">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（1）投标人声明；</w:t>
      </w:r>
    </w:p>
    <w:p w14:paraId="460758BA">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（2）法定代表人证明书、法定代表人签字或盖章的本投标文件授权委托证明书；</w:t>
      </w:r>
    </w:p>
    <w:p w14:paraId="5AF01D1D">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（3）企业营业执照；</w:t>
      </w:r>
    </w:p>
    <w:p w14:paraId="22849437">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（4）企业资质证书；</w:t>
      </w:r>
    </w:p>
    <w:p w14:paraId="52013A87">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（5）建筑施工企业安全生产许可证；</w:t>
      </w:r>
    </w:p>
    <w:p w14:paraId="1D9C5A78">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（6）项目负责人（按网上投标登记时选择拟投标的项目负责人。投标人须在广州市交通建设项目企业信息库建立企业信用信息档案，拟担任本工程项目负责人须是本企业信息档案中的在册人员）；</w:t>
      </w:r>
    </w:p>
    <w:p w14:paraId="46ECFF0C">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（7）专职安全员（按网上投标登记时选择拟投标的专职安全员，投标人须在广州市交通建设项目企业信息库建立企业信用信息档案，拟担任本工程专职安全员须是本企业信息档案中的在册人员）；</w:t>
      </w:r>
    </w:p>
    <w:p w14:paraId="422C5321">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 xml:space="preserve">（8）拟委派项目负责人的建造师注册证书（取自广州市交通建设项目企业信息库内上传件） ； </w:t>
      </w:r>
    </w:p>
    <w:p w14:paraId="00CA0B89">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（9）项目负责人安全生产考核合格证明或在有效期内的安全考核合格证书（B类）或建筑施工企业项目负责人安全生产考核合格证书；</w:t>
      </w:r>
    </w:p>
    <w:p w14:paraId="76BF2707">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（10）专职安全员须具有在有效期内的安全考核合格证书（C类）或建筑施工企业专职安全生产管理人员安全生产考核合格证书（C3）；</w:t>
      </w:r>
    </w:p>
    <w:p w14:paraId="32E7BDD9">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（11）用于资格审查的业绩（设置业绩要求时选择此项，具体格式由招标人自定）</w:t>
      </w:r>
    </w:p>
    <w:p w14:paraId="73771752">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（12）列明主办单位的联合体工作协议（采用联合体投标时需递交，联合体工作协议应明确约定各方拟承担的工作和责任）；</w:t>
      </w:r>
    </w:p>
    <w:p w14:paraId="035E304D">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（13）投标人认为应提交的其他资料 。</w:t>
      </w:r>
    </w:p>
    <w:p w14:paraId="4AAE569F">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11.2.2技术投标文件主要包括下列内容：</w:t>
      </w:r>
    </w:p>
    <w:p w14:paraId="12CE8711">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（1）《广州建设工程施工招标投标书》；</w:t>
      </w:r>
    </w:p>
    <w:p w14:paraId="0C790434">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（2）项目管理机构配备：</w:t>
      </w:r>
    </w:p>
    <w:p w14:paraId="7C6ED76A">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①投标人应列出该项目工程的施工组织机构构成和画出机构框架图及其负责人；</w:t>
      </w:r>
    </w:p>
    <w:p w14:paraId="07E3F876">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②投标人应详细列出该施工组织机构中主要成员的名单、简历资料、职务职称和在本项目中拟担任的职务等资料，并附上有关证明材料扫描件；</w:t>
      </w:r>
    </w:p>
    <w:p w14:paraId="33890B43">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③其他辅助说明资料。</w:t>
      </w:r>
    </w:p>
    <w:p w14:paraId="69C9AB7D">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（3）施工组织设计或施工方案；</w:t>
      </w:r>
    </w:p>
    <w:p w14:paraId="4C1EAECE">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注：建议招标人在招标文件中提出篇幅上限，国家及地方现有工法规范已有的内容无需重复提交。</w:t>
      </w:r>
    </w:p>
    <w:p w14:paraId="3D40C9AF">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（4）（选择性条款）有余泥渣土产生的项目可要求提供余泥渣土运输与排放方案；</w:t>
      </w:r>
    </w:p>
    <w:p w14:paraId="1A9F7613">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（5）（选择性条款）投标人可使用适合本工程的机械设备；</w:t>
      </w:r>
    </w:p>
    <w:p w14:paraId="0FE300F7">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（6）（选择性条款）类似工程业绩材料；</w:t>
      </w:r>
    </w:p>
    <w:p w14:paraId="2C79E8EB">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（7）按本招标文件规定提交的其它所有技术资料；</w:t>
      </w:r>
    </w:p>
    <w:p w14:paraId="595DE746">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（8）按照招标文件要求填写的《参与编制技术标投标文件人员名单》。</w:t>
      </w:r>
    </w:p>
    <w:p w14:paraId="1683B7C3">
      <w:pPr>
        <w:spacing w:line="360" w:lineRule="auto"/>
        <w:ind w:firstLine="422" w:firstLineChars="200"/>
        <w:rPr>
          <w:rFonts w:ascii="宋体" w:hAnsi="宋体" w:eastAsia="宋体" w:cs="宋体"/>
          <w:bCs/>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rPr>
        <w:t>11.2投标文件技术标部分</w:t>
      </w:r>
      <w:r>
        <w:rPr>
          <w:rFonts w:hint="eastAsia" w:ascii="宋体" w:hAnsi="宋体" w:eastAsia="宋体" w:cs="宋体"/>
          <w:b/>
          <w:color w:val="auto"/>
          <w:szCs w:val="21"/>
          <w:highlight w:val="none"/>
          <w:u w:val="single"/>
        </w:rPr>
        <w:t>（含资格审查文件）</w:t>
      </w:r>
      <w:r>
        <w:rPr>
          <w:rFonts w:hint="eastAsia" w:ascii="宋体" w:hAnsi="宋体" w:eastAsia="宋体" w:cs="宋体"/>
          <w:bCs/>
          <w:color w:val="auto"/>
          <w:szCs w:val="21"/>
          <w:highlight w:val="none"/>
        </w:rPr>
        <w:t>主要包括下列内容</w:t>
      </w:r>
      <w:r>
        <w:rPr>
          <w:rFonts w:hint="eastAsia" w:ascii="宋体" w:hAnsi="宋体" w:eastAsia="宋体" w:cs="宋体"/>
          <w:b/>
          <w:bCs/>
          <w:color w:val="auto"/>
          <w:szCs w:val="21"/>
          <w:highlight w:val="none"/>
          <w:u w:val="single"/>
        </w:rPr>
        <w:t>（除注明原件外，均为清晰扫描件（或网页截图）即可）</w:t>
      </w:r>
      <w:r>
        <w:rPr>
          <w:rFonts w:hint="eastAsia" w:ascii="宋体" w:hAnsi="宋体" w:eastAsia="宋体" w:cs="宋体"/>
          <w:bCs/>
          <w:color w:val="auto"/>
          <w:szCs w:val="21"/>
          <w:highlight w:val="none"/>
        </w:rPr>
        <w:t>:</w:t>
      </w:r>
    </w:p>
    <w:p w14:paraId="169C6C7C">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11.2.1资格审查文件</w:t>
      </w:r>
    </w:p>
    <w:p w14:paraId="4B4337DE">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u w:val="single"/>
        </w:rPr>
        <w:t>《投标人声明</w:t>
      </w:r>
      <w:r>
        <w:rPr>
          <w:rFonts w:hint="eastAsia" w:ascii="宋体" w:hAnsi="宋体" w:eastAsia="宋体" w:cs="宋体"/>
          <w:b/>
          <w:color w:val="auto"/>
          <w:szCs w:val="21"/>
          <w:highlight w:val="none"/>
          <w:u w:val="single"/>
        </w:rPr>
        <w:t>（适用于独立投标或联合体主办方）</w:t>
      </w:r>
      <w:r>
        <w:rPr>
          <w:rFonts w:hint="eastAsia" w:ascii="宋体" w:hAnsi="宋体" w:eastAsia="宋体" w:cs="宋体"/>
          <w:bCs/>
          <w:color w:val="auto"/>
          <w:szCs w:val="21"/>
          <w:highlight w:val="none"/>
          <w:u w:val="single"/>
        </w:rPr>
        <w:t>》及《投标人声明</w:t>
      </w:r>
      <w:r>
        <w:rPr>
          <w:rFonts w:hint="eastAsia" w:ascii="宋体" w:hAnsi="宋体" w:eastAsia="宋体" w:cs="宋体"/>
          <w:b/>
          <w:color w:val="auto"/>
          <w:szCs w:val="21"/>
          <w:highlight w:val="none"/>
          <w:u w:val="single"/>
        </w:rPr>
        <w:t>（适用于联合体成员方）</w:t>
      </w:r>
      <w:r>
        <w:rPr>
          <w:rFonts w:hint="eastAsia" w:ascii="宋体" w:hAnsi="宋体" w:eastAsia="宋体" w:cs="宋体"/>
          <w:bCs/>
          <w:color w:val="auto"/>
          <w:szCs w:val="21"/>
          <w:highlight w:val="none"/>
          <w:u w:val="single"/>
        </w:rPr>
        <w:t>》（若为联合体投标，成员方需提供《投标人声明</w:t>
      </w:r>
      <w:r>
        <w:rPr>
          <w:rFonts w:hint="eastAsia" w:ascii="宋体" w:hAnsi="宋体" w:eastAsia="宋体" w:cs="宋体"/>
          <w:b/>
          <w:color w:val="auto"/>
          <w:szCs w:val="21"/>
          <w:highlight w:val="none"/>
          <w:u w:val="single"/>
        </w:rPr>
        <w:t>（适用于联合体成员方）</w:t>
      </w:r>
      <w:r>
        <w:rPr>
          <w:rFonts w:hint="eastAsia" w:ascii="宋体" w:hAnsi="宋体" w:eastAsia="宋体" w:cs="宋体"/>
          <w:bCs/>
          <w:color w:val="auto"/>
          <w:szCs w:val="21"/>
          <w:highlight w:val="none"/>
          <w:u w:val="single"/>
        </w:rPr>
        <w:t>》；若为独立投标人，无需提供《投标人声明</w:t>
      </w:r>
      <w:r>
        <w:rPr>
          <w:rFonts w:hint="eastAsia" w:ascii="宋体" w:hAnsi="宋体" w:eastAsia="宋体" w:cs="宋体"/>
          <w:b/>
          <w:color w:val="auto"/>
          <w:szCs w:val="21"/>
          <w:highlight w:val="none"/>
          <w:u w:val="single"/>
        </w:rPr>
        <w:t>（适用于联合体成员方）</w:t>
      </w:r>
      <w:r>
        <w:rPr>
          <w:rFonts w:hint="eastAsia" w:ascii="宋体" w:hAnsi="宋体" w:eastAsia="宋体" w:cs="宋体"/>
          <w:bCs/>
          <w:color w:val="auto"/>
          <w:szCs w:val="21"/>
          <w:highlight w:val="none"/>
          <w:u w:val="single"/>
        </w:rPr>
        <w:t>》）扫描件（须按招标公告附件内容及格式要求编制）</w:t>
      </w:r>
      <w:r>
        <w:rPr>
          <w:rFonts w:hint="eastAsia" w:ascii="宋体" w:hAnsi="宋体" w:eastAsia="宋体" w:cs="宋体"/>
          <w:bCs/>
          <w:color w:val="auto"/>
          <w:szCs w:val="21"/>
          <w:highlight w:val="none"/>
        </w:rPr>
        <w:t>；</w:t>
      </w:r>
    </w:p>
    <w:p w14:paraId="7429E9A4">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u w:val="single"/>
        </w:rPr>
        <w:t>法定代表人证明书、有效的法定代表人身份证</w:t>
      </w:r>
      <w:r>
        <w:rPr>
          <w:rFonts w:hint="eastAsia" w:ascii="宋体" w:hAnsi="宋体" w:eastAsia="宋体" w:cs="宋体"/>
          <w:b/>
          <w:color w:val="auto"/>
          <w:szCs w:val="21"/>
          <w:highlight w:val="none"/>
          <w:u w:val="single"/>
        </w:rPr>
        <w:t>正反面</w:t>
      </w:r>
      <w:r>
        <w:rPr>
          <w:rFonts w:hint="eastAsia" w:ascii="宋体" w:hAnsi="宋体" w:eastAsia="宋体" w:cs="宋体"/>
          <w:bCs/>
          <w:color w:val="auto"/>
          <w:szCs w:val="21"/>
          <w:highlight w:val="none"/>
          <w:u w:val="single"/>
        </w:rPr>
        <w:t>扫描件、法定代表人签字或盖章的本投标文件授权委托证明书扫描件</w:t>
      </w:r>
      <w:r>
        <w:rPr>
          <w:rFonts w:hint="eastAsia" w:ascii="宋体" w:hAnsi="宋体" w:eastAsia="宋体" w:cs="宋体"/>
          <w:b/>
          <w:color w:val="auto"/>
          <w:szCs w:val="21"/>
          <w:highlight w:val="none"/>
          <w:u w:val="single"/>
        </w:rPr>
        <w:t>（若为联合体投标，由联合体主办方提供）；</w:t>
      </w:r>
      <w:r>
        <w:rPr>
          <w:rFonts w:hint="eastAsia" w:ascii="宋体" w:hAnsi="宋体" w:eastAsia="宋体" w:cs="宋体"/>
          <w:color w:val="auto"/>
          <w:szCs w:val="21"/>
          <w:highlight w:val="none"/>
          <w:u w:val="single"/>
        </w:rPr>
        <w:t>委托投标的还应提供法定代表人授权委托证明书扫描件及有效的被授权人身份证</w:t>
      </w:r>
      <w:r>
        <w:rPr>
          <w:rFonts w:hint="eastAsia" w:ascii="宋体" w:hAnsi="宋体" w:eastAsia="宋体" w:cs="宋体"/>
          <w:b/>
          <w:color w:val="auto"/>
          <w:szCs w:val="21"/>
          <w:highlight w:val="none"/>
          <w:u w:val="single"/>
        </w:rPr>
        <w:t>正反面</w:t>
      </w:r>
      <w:r>
        <w:rPr>
          <w:rFonts w:hint="eastAsia" w:ascii="宋体" w:hAnsi="宋体" w:eastAsia="宋体" w:cs="宋体"/>
          <w:color w:val="auto"/>
          <w:szCs w:val="21"/>
          <w:highlight w:val="none"/>
          <w:u w:val="single"/>
        </w:rPr>
        <w:t>扫描件</w:t>
      </w:r>
      <w:r>
        <w:rPr>
          <w:rFonts w:hint="eastAsia" w:ascii="宋体" w:hAnsi="宋体" w:eastAsia="宋体" w:cs="宋体"/>
          <w:b/>
          <w:bCs/>
          <w:color w:val="auto"/>
          <w:szCs w:val="21"/>
          <w:highlight w:val="none"/>
          <w:u w:val="single"/>
        </w:rPr>
        <w:t>（若为联合体投标，由联合体主办方提供）</w:t>
      </w:r>
      <w:r>
        <w:rPr>
          <w:rFonts w:hint="eastAsia" w:ascii="宋体" w:hAnsi="宋体" w:eastAsia="宋体" w:cs="宋体"/>
          <w:color w:val="auto"/>
          <w:szCs w:val="21"/>
          <w:highlight w:val="none"/>
          <w:u w:val="single"/>
        </w:rPr>
        <w:t>及被授权人离投标截止时间最近的至少1个月（</w:t>
      </w:r>
      <w:r>
        <w:rPr>
          <w:rFonts w:hint="eastAsia" w:ascii="宋体" w:hAnsi="宋体" w:eastAsia="宋体" w:cs="宋体"/>
          <w:color w:val="auto"/>
          <w:szCs w:val="21"/>
          <w:highlight w:val="none"/>
          <w:u w:val="single"/>
          <w:lang w:eastAsia="zh-CN"/>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年</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lang w:eastAsia="zh-CN"/>
        </w:rPr>
        <w:t>月或2026年</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lang w:eastAsia="zh-CN"/>
        </w:rPr>
        <w:t>月</w:t>
      </w:r>
      <w:r>
        <w:rPr>
          <w:rFonts w:hint="eastAsia" w:ascii="宋体" w:hAnsi="宋体" w:eastAsia="宋体" w:cs="宋体"/>
          <w:color w:val="auto"/>
          <w:szCs w:val="21"/>
          <w:highlight w:val="none"/>
          <w:u w:val="single"/>
        </w:rPr>
        <w:t>）在本单位缴纳的社保证明文件</w:t>
      </w:r>
      <w:r>
        <w:rPr>
          <w:rFonts w:hint="eastAsia" w:ascii="宋体" w:hAnsi="宋体" w:eastAsia="宋体" w:cs="宋体"/>
          <w:b/>
          <w:color w:val="auto"/>
          <w:szCs w:val="21"/>
          <w:highlight w:val="none"/>
        </w:rPr>
        <w:t>；</w:t>
      </w:r>
    </w:p>
    <w:p w14:paraId="01DE4BC5">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（3）企业营业执照</w:t>
      </w:r>
      <w:r>
        <w:rPr>
          <w:rFonts w:hint="eastAsia" w:ascii="宋体" w:hAnsi="宋体" w:eastAsia="宋体" w:cs="宋体"/>
          <w:bCs/>
          <w:color w:val="auto"/>
          <w:szCs w:val="21"/>
          <w:highlight w:val="none"/>
          <w:u w:val="single"/>
        </w:rPr>
        <w:t>扫描件或电子证照</w:t>
      </w:r>
      <w:r>
        <w:rPr>
          <w:rFonts w:hint="eastAsia" w:ascii="宋体" w:hAnsi="宋体" w:eastAsia="宋体" w:cs="宋体"/>
          <w:b/>
          <w:color w:val="auto"/>
          <w:szCs w:val="21"/>
          <w:highlight w:val="none"/>
          <w:u w:val="single"/>
        </w:rPr>
        <w:t>（若为联合体投标，由联合体各方提供）</w:t>
      </w:r>
      <w:r>
        <w:rPr>
          <w:rFonts w:hint="eastAsia" w:ascii="宋体" w:hAnsi="宋体" w:eastAsia="宋体" w:cs="宋体"/>
          <w:bCs/>
          <w:color w:val="auto"/>
          <w:szCs w:val="21"/>
          <w:highlight w:val="none"/>
          <w:u w:val="single"/>
        </w:rPr>
        <w:t>；</w:t>
      </w:r>
    </w:p>
    <w:p w14:paraId="6B6269AD">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（4）企业资质证书</w:t>
      </w:r>
      <w:r>
        <w:rPr>
          <w:rFonts w:hint="eastAsia" w:ascii="宋体" w:hAnsi="宋体" w:eastAsia="宋体" w:cs="宋体"/>
          <w:bCs/>
          <w:color w:val="auto"/>
          <w:szCs w:val="21"/>
          <w:highlight w:val="none"/>
          <w:u w:val="single"/>
        </w:rPr>
        <w:t>扫描件或电子证照</w:t>
      </w:r>
      <w:r>
        <w:rPr>
          <w:rFonts w:hint="eastAsia" w:ascii="宋体" w:hAnsi="宋体" w:eastAsia="宋体" w:cs="宋体"/>
          <w:b/>
          <w:bCs/>
          <w:color w:val="auto"/>
          <w:szCs w:val="21"/>
          <w:highlight w:val="none"/>
          <w:u w:val="single"/>
        </w:rPr>
        <w:t>或符合招标公告规定的相关证明材料</w:t>
      </w:r>
      <w:r>
        <w:rPr>
          <w:rFonts w:hint="eastAsia" w:ascii="宋体" w:hAnsi="宋体" w:eastAsia="宋体" w:cs="宋体"/>
          <w:b/>
          <w:color w:val="auto"/>
          <w:szCs w:val="21"/>
          <w:highlight w:val="none"/>
          <w:u w:val="single"/>
        </w:rPr>
        <w:t>（若为联合体投标，由联合体各方提供）</w:t>
      </w:r>
      <w:r>
        <w:rPr>
          <w:rFonts w:hint="eastAsia" w:ascii="宋体" w:hAnsi="宋体" w:eastAsia="宋体" w:cs="宋体"/>
          <w:bCs/>
          <w:color w:val="auto"/>
          <w:szCs w:val="21"/>
          <w:highlight w:val="none"/>
          <w:u w:val="single"/>
        </w:rPr>
        <w:t>；</w:t>
      </w:r>
    </w:p>
    <w:p w14:paraId="170DE461">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（5）建筑施工企业安全生产许可证扫描件或电子证照</w:t>
      </w:r>
      <w:r>
        <w:rPr>
          <w:rFonts w:hint="eastAsia" w:ascii="宋体" w:hAnsi="宋体" w:eastAsia="宋体" w:cs="宋体"/>
          <w:b/>
          <w:color w:val="auto"/>
          <w:szCs w:val="21"/>
          <w:highlight w:val="none"/>
          <w:u w:val="single"/>
        </w:rPr>
        <w:t>（若为联合体投标，由联合体各方提供）</w:t>
      </w:r>
      <w:r>
        <w:rPr>
          <w:rFonts w:hint="eastAsia" w:ascii="宋体" w:hAnsi="宋体" w:eastAsia="宋体" w:cs="宋体"/>
          <w:bCs/>
          <w:color w:val="auto"/>
          <w:szCs w:val="21"/>
          <w:highlight w:val="none"/>
          <w:u w:val="single"/>
        </w:rPr>
        <w:t>；</w:t>
      </w:r>
    </w:p>
    <w:p w14:paraId="046D5662">
      <w:pPr>
        <w:spacing w:line="360" w:lineRule="auto"/>
        <w:ind w:firstLine="420" w:firstLineChars="200"/>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u w:val="single"/>
        </w:rPr>
        <w:t>项目负责人</w:t>
      </w:r>
      <w:r>
        <w:rPr>
          <w:rFonts w:hint="eastAsia" w:ascii="宋体" w:hAnsi="宋体" w:eastAsia="宋体" w:cs="宋体"/>
          <w:b/>
          <w:color w:val="auto"/>
          <w:szCs w:val="21"/>
          <w:highlight w:val="none"/>
          <w:u w:val="single"/>
        </w:rPr>
        <w:t>（若为联合体投标，由联合体主办方提供）</w:t>
      </w:r>
      <w:r>
        <w:rPr>
          <w:rFonts w:hint="eastAsia" w:ascii="宋体" w:hAnsi="宋体" w:eastAsia="宋体" w:cs="宋体"/>
          <w:bCs/>
          <w:color w:val="auto"/>
          <w:szCs w:val="21"/>
          <w:highlight w:val="none"/>
          <w:u w:val="single"/>
        </w:rPr>
        <w:t>（按网上投标登记时选择拟投入本项目的项目负责人）。</w:t>
      </w:r>
      <w:r>
        <w:rPr>
          <w:rFonts w:hint="eastAsia" w:ascii="宋体" w:hAnsi="宋体" w:eastAsia="宋体" w:cs="宋体"/>
          <w:color w:val="auto"/>
          <w:szCs w:val="21"/>
          <w:highlight w:val="none"/>
          <w:u w:val="single"/>
        </w:rPr>
        <w:t>投标人须在广州交易集团有限公司（广州公共资源交易中心）办理企业信息登记，拟担任本工程项目负责人须是本企业信息登记信息中的在册人员</w:t>
      </w:r>
      <w:r>
        <w:rPr>
          <w:rFonts w:hint="eastAsia" w:ascii="宋体" w:hAnsi="宋体" w:eastAsia="宋体" w:cs="宋体"/>
          <w:bCs/>
          <w:color w:val="auto"/>
          <w:szCs w:val="21"/>
          <w:highlight w:val="none"/>
          <w:u w:val="single"/>
        </w:rPr>
        <w:t>）；</w:t>
      </w:r>
    </w:p>
    <w:p w14:paraId="1EA2BF4B">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（7）</w:t>
      </w:r>
      <w:r>
        <w:rPr>
          <w:rFonts w:hint="eastAsia" w:ascii="宋体" w:hAnsi="宋体" w:eastAsia="宋体" w:cs="宋体"/>
          <w:bCs/>
          <w:color w:val="auto"/>
          <w:szCs w:val="21"/>
          <w:highlight w:val="none"/>
          <w:u w:val="single"/>
        </w:rPr>
        <w:t>专职安全员</w:t>
      </w:r>
      <w:r>
        <w:rPr>
          <w:rFonts w:hint="eastAsia" w:ascii="宋体" w:hAnsi="宋体" w:eastAsia="宋体" w:cs="宋体"/>
          <w:b/>
          <w:color w:val="auto"/>
          <w:szCs w:val="21"/>
          <w:highlight w:val="none"/>
          <w:u w:val="single"/>
        </w:rPr>
        <w:t>（若为联合体投标，由联合体主办方提供）</w:t>
      </w:r>
      <w:r>
        <w:rPr>
          <w:rFonts w:hint="eastAsia" w:ascii="宋体" w:hAnsi="宋体" w:eastAsia="宋体" w:cs="宋体"/>
          <w:bCs/>
          <w:color w:val="auto"/>
          <w:szCs w:val="21"/>
          <w:highlight w:val="none"/>
          <w:u w:val="single"/>
        </w:rPr>
        <w:t>（按网上投标登记时选择拟投标的专职安全员，</w:t>
      </w:r>
      <w:r>
        <w:rPr>
          <w:rFonts w:hint="eastAsia" w:ascii="宋体" w:hAnsi="宋体" w:eastAsia="宋体" w:cs="宋体"/>
          <w:color w:val="auto"/>
          <w:szCs w:val="21"/>
          <w:highlight w:val="none"/>
          <w:u w:val="single"/>
        </w:rPr>
        <w:t>投标人须在广州交易集团有限公司（广州公共资源交易中心）办理企业信息登记，拟担任本工程专职安全员须是本企业信息登记信息中的在册人员</w:t>
      </w:r>
      <w:r>
        <w:rPr>
          <w:rFonts w:hint="eastAsia" w:ascii="宋体" w:hAnsi="宋体" w:eastAsia="宋体" w:cs="宋体"/>
          <w:bCs/>
          <w:color w:val="auto"/>
          <w:szCs w:val="21"/>
          <w:highlight w:val="none"/>
          <w:u w:val="single"/>
        </w:rPr>
        <w:t>）；</w:t>
      </w:r>
    </w:p>
    <w:p w14:paraId="11039639">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（8）拟委派项目负责人在效期内的建造师注册证书扫描件或电子证书</w:t>
      </w:r>
      <w:r>
        <w:rPr>
          <w:rFonts w:hint="eastAsia" w:ascii="宋体" w:hAnsi="宋体" w:eastAsia="宋体" w:cs="宋体"/>
          <w:b/>
          <w:color w:val="auto"/>
          <w:szCs w:val="21"/>
          <w:highlight w:val="none"/>
          <w:u w:val="single"/>
        </w:rPr>
        <w:t>（若为联合体投标，由联合体主办方提供）</w:t>
      </w:r>
      <w:r>
        <w:rPr>
          <w:rFonts w:hint="eastAsia" w:ascii="宋体" w:hAnsi="宋体" w:eastAsia="宋体" w:cs="宋体"/>
          <w:bCs/>
          <w:color w:val="auto"/>
          <w:szCs w:val="21"/>
          <w:highlight w:val="none"/>
        </w:rPr>
        <w:t>；</w:t>
      </w:r>
    </w:p>
    <w:p w14:paraId="4D3A3D54">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（9）项目负责人安全生产考核合格证明或在有效期内的安全考核合格证书（B类）或在有效期内建筑施工企业项目负责人安全生产考核合格证书扫描件或电子证书</w:t>
      </w:r>
      <w:r>
        <w:rPr>
          <w:rFonts w:hint="eastAsia" w:ascii="宋体" w:hAnsi="宋体" w:eastAsia="宋体" w:cs="宋体"/>
          <w:b/>
          <w:color w:val="auto"/>
          <w:szCs w:val="21"/>
          <w:highlight w:val="none"/>
          <w:u w:val="single"/>
        </w:rPr>
        <w:t>（若为联合体投标，由联合体主办方提供）</w:t>
      </w:r>
      <w:r>
        <w:rPr>
          <w:rFonts w:hint="eastAsia" w:ascii="宋体" w:hAnsi="宋体" w:eastAsia="宋体" w:cs="宋体"/>
          <w:bCs/>
          <w:color w:val="auto"/>
          <w:szCs w:val="21"/>
          <w:highlight w:val="none"/>
        </w:rPr>
        <w:t>；</w:t>
      </w:r>
    </w:p>
    <w:p w14:paraId="43B94B1D">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（10）专职安全员须具有在有效期内的安全考核合格证书（C类）或在有效期内建筑施工企业专职安全生产管理人员安全生产考核合格证书（C3）扫描件或电子证书</w:t>
      </w:r>
      <w:r>
        <w:rPr>
          <w:rFonts w:hint="eastAsia" w:ascii="宋体" w:hAnsi="宋体" w:eastAsia="宋体" w:cs="宋体"/>
          <w:b/>
          <w:color w:val="auto"/>
          <w:szCs w:val="21"/>
          <w:highlight w:val="none"/>
          <w:u w:val="single"/>
        </w:rPr>
        <w:t>（若为联合体投标，由联合体主办方提供）</w:t>
      </w:r>
      <w:r>
        <w:rPr>
          <w:rFonts w:hint="eastAsia" w:ascii="宋体" w:hAnsi="宋体" w:eastAsia="宋体" w:cs="宋体"/>
          <w:bCs/>
          <w:color w:val="auto"/>
          <w:szCs w:val="21"/>
          <w:highlight w:val="none"/>
        </w:rPr>
        <w:t>；</w:t>
      </w:r>
    </w:p>
    <w:p w14:paraId="296E3550">
      <w:pPr>
        <w:spacing w:line="360" w:lineRule="auto"/>
        <w:ind w:firstLine="420" w:firstLineChars="200"/>
        <w:rPr>
          <w:rFonts w:ascii="宋体" w:hAnsi="宋体" w:eastAsia="宋体" w:cs="宋体"/>
          <w:bCs/>
          <w:strike/>
          <w:color w:val="auto"/>
          <w:szCs w:val="21"/>
          <w:highlight w:val="none"/>
        </w:rPr>
      </w:pPr>
      <w:r>
        <w:rPr>
          <w:rFonts w:hint="eastAsia" w:ascii="宋体" w:hAnsi="宋体" w:eastAsia="宋体" w:cs="宋体"/>
          <w:bCs/>
          <w:strike/>
          <w:color w:val="auto"/>
          <w:szCs w:val="21"/>
          <w:highlight w:val="none"/>
        </w:rPr>
        <w:t>（11）用于资格审查的业绩（设置业绩要求时选择此项，具体格式由招标人自定）</w:t>
      </w:r>
    </w:p>
    <w:p w14:paraId="567EA3FC">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（12）列明主办单位的联合体工作协议（采用联合体投标时需递交，</w:t>
      </w:r>
      <w:r>
        <w:rPr>
          <w:rFonts w:hint="eastAsia" w:ascii="宋体" w:hAnsi="宋体" w:eastAsia="宋体" w:cs="宋体"/>
          <w:b/>
          <w:color w:val="auto"/>
          <w:szCs w:val="21"/>
          <w:highlight w:val="none"/>
          <w:u w:val="single"/>
        </w:rPr>
        <w:t>须明确联合体主办方，并按招标公告附件二签订联合体工作协议。投标人拟任本工程项目负责人、专职安全员应为联合体主办方信息登记中的在册人员，</w:t>
      </w:r>
      <w:r>
        <w:rPr>
          <w:rFonts w:hint="eastAsia" w:ascii="宋体" w:hAnsi="宋体" w:eastAsia="宋体" w:cs="宋体"/>
          <w:bCs/>
          <w:color w:val="auto"/>
          <w:szCs w:val="21"/>
          <w:highlight w:val="none"/>
        </w:rPr>
        <w:t>联合体工作协议应明确约定各方拟承担的工作和责任）；</w:t>
      </w:r>
    </w:p>
    <w:p w14:paraId="13D20141">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（13）</w:t>
      </w:r>
      <w:r>
        <w:rPr>
          <w:rFonts w:hint="eastAsia" w:ascii="宋体" w:hAnsi="宋体" w:eastAsia="宋体" w:cs="宋体"/>
          <w:b/>
          <w:color w:val="auto"/>
          <w:szCs w:val="21"/>
          <w:highlight w:val="none"/>
          <w:u w:val="single"/>
          <w:lang w:eastAsia="zh-CN"/>
        </w:rPr>
        <w:t>资格审查前</w:t>
      </w:r>
      <w:r>
        <w:rPr>
          <w:rFonts w:hint="eastAsia" w:ascii="宋体" w:hAnsi="宋体" w:eastAsia="宋体" w:cs="宋体"/>
          <w:b/>
          <w:color w:val="auto"/>
          <w:szCs w:val="21"/>
          <w:highlight w:val="none"/>
          <w:u w:val="single"/>
        </w:rPr>
        <w:t>，投标人（若为联合体投标，指联合体各方）须在广州交易集团有限公司（广州公共资源交易中心）办理企业信息登记及拟担任本工程项目负责人、专职安全员须是本企业（若为联合体投标，指联合体主办方）信息登记信息中的在册人员（提供网页信息完整截图）</w:t>
      </w:r>
      <w:r>
        <w:rPr>
          <w:rFonts w:hint="eastAsia" w:ascii="宋体" w:hAnsi="宋体" w:eastAsia="宋体" w:cs="宋体"/>
          <w:b/>
          <w:color w:val="auto"/>
          <w:szCs w:val="21"/>
          <w:highlight w:val="none"/>
        </w:rPr>
        <w:t>。</w:t>
      </w:r>
    </w:p>
    <w:p w14:paraId="600F5F02">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14）投标人（若为联合体投标，指联合体各方）未出现以下情形：与其它投标人的单位负责人为同一人或者存在控股、管理关系的【按投标人提供的《投标人声明（适用于独立投标或联合体主办方）》第九条内容和《投标人声明（适用于联合体成员方）》第七条内容（若为联合体投标，成员方需提供；若为独立投标人，无需提供）进行评审】。如不同投标申请人出现单位负责人为同一人或者存在控股、管理关系的情形，则均按不符合投标人资格要求处理。若投标人未列全符合相关条件的单位，但同时未列全的相关单位未参与本项目投标的，不视为该投标人违反了本条规定，不作为对其投标文件进行无效标处理的依据。</w:t>
      </w:r>
    </w:p>
    <w:p w14:paraId="485D59FE">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（15）在投标截止时间前，投标人（若为联合体投标，指联合体各方）未被列入拖欠农民工工资失信联合惩戒对象名单；</w:t>
      </w:r>
    </w:p>
    <w:p w14:paraId="745C3BDE">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（16）政府投资项目，在投标截止时间前，投标人（若为联合体投标，指联合体各方）未被列入“失信被执行人”名单；</w:t>
      </w:r>
    </w:p>
    <w:p w14:paraId="04A65E29">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（17）投标人（若为联合体投标，指联合体各方）未在以往工程中因不充分履约行为被本项目招标人书面拒绝投标的（在拒绝投标的期限内）。</w:t>
      </w:r>
    </w:p>
    <w:p w14:paraId="0B9E02A8">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（18）</w:t>
      </w:r>
      <w:r>
        <w:rPr>
          <w:rFonts w:hint="eastAsia" w:ascii="宋体" w:hAnsi="宋体" w:eastAsia="宋体" w:cs="宋体"/>
          <w:bCs/>
          <w:color w:val="auto"/>
          <w:szCs w:val="21"/>
          <w:highlight w:val="none"/>
        </w:rPr>
        <w:t>投标人认为应提供的其他资料。</w:t>
      </w:r>
    </w:p>
    <w:p w14:paraId="56787248">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注：</w:t>
      </w:r>
    </w:p>
    <w:p w14:paraId="3E9354D9">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1、上述第11.2.1（1）—（14）条没有要求提交的资料，不作为资格审查不合格的依据。</w:t>
      </w:r>
    </w:p>
    <w:p w14:paraId="60B41B33">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2、上述第11.2.2（15）、（16）条，投标人无需提供资料，按投标截止时间广州交易集团有限公司（广州公共资源交易中心）交易系统比对的结果进行评审。</w:t>
      </w:r>
    </w:p>
    <w:p w14:paraId="7BF4C37C">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3、上述第11.2.2（17）条，投标人无需提供资料，按招标公告附件三《被招标人拒绝投标的企业名单》进行评审。</w:t>
      </w:r>
    </w:p>
    <w:p w14:paraId="3EDB1B24">
      <w:pPr>
        <w:spacing w:line="360" w:lineRule="auto"/>
        <w:ind w:firstLine="422" w:firstLineChars="200"/>
        <w:rPr>
          <w:rFonts w:ascii="宋体" w:hAnsi="宋体" w:eastAsia="宋体" w:cs="宋体"/>
          <w:bCs/>
          <w:color w:val="auto"/>
          <w:szCs w:val="21"/>
          <w:highlight w:val="none"/>
          <w:u w:val="single"/>
        </w:rPr>
      </w:pPr>
      <w:r>
        <w:rPr>
          <w:rFonts w:hint="eastAsia" w:ascii="宋体" w:hAnsi="宋体" w:eastAsia="宋体" w:cs="宋体"/>
          <w:b/>
          <w:color w:val="auto"/>
          <w:szCs w:val="21"/>
          <w:highlight w:val="none"/>
          <w:u w:val="single"/>
        </w:rPr>
        <w:t>4、相关电子证书按规定需打印后手写本人签名的，应按照规定手写本人签名后再扫描提交。</w:t>
      </w:r>
    </w:p>
    <w:p w14:paraId="7A532B63">
      <w:pPr>
        <w:spacing w:line="360" w:lineRule="auto"/>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11.2.2技术投标文件主要包括下列内容：</w:t>
      </w:r>
    </w:p>
    <w:p w14:paraId="53577620">
      <w:pPr>
        <w:spacing w:line="360" w:lineRule="auto"/>
        <w:ind w:firstLine="420" w:firstLineChars="200"/>
        <w:rPr>
          <w:rFonts w:ascii="宋体" w:hAnsi="宋体" w:eastAsia="宋体" w:cs="宋体"/>
          <w:b/>
          <w:color w:val="auto"/>
          <w:szCs w:val="21"/>
          <w:highlight w:val="none"/>
          <w:u w:val="single"/>
        </w:rPr>
      </w:pPr>
      <w:r>
        <w:rPr>
          <w:rFonts w:hint="eastAsia" w:ascii="宋体" w:hAnsi="宋体" w:eastAsia="宋体" w:cs="宋体"/>
          <w:bCs/>
          <w:color w:val="auto"/>
          <w:szCs w:val="21"/>
          <w:highlight w:val="none"/>
        </w:rPr>
        <w:t>（1）广州建设工程施工招标投标书</w:t>
      </w:r>
      <w:r>
        <w:rPr>
          <w:rFonts w:hint="eastAsia" w:ascii="宋体" w:hAnsi="宋体" w:eastAsia="宋体" w:cs="宋体"/>
          <w:b/>
          <w:color w:val="auto"/>
          <w:szCs w:val="21"/>
          <w:highlight w:val="none"/>
          <w:u w:val="single"/>
        </w:rPr>
        <w:t>（格式见招标文件第四章，具体格式以《广州建设工程施工招标投标书》为准。</w:t>
      </w:r>
    </w:p>
    <w:p w14:paraId="4BCAC7D7">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2）《投标函》《中小企业声明函》（如有）《监狱企业证明文件（如有）》《残疾人福利性单位声明函（如有）》《分包意向协议书》（如有）《投标人廉洁承诺书》《标函承诺书》《项目负责人驻场承诺书》（格式见招标文件第四章）。</w:t>
      </w:r>
    </w:p>
    <w:p w14:paraId="3C81DDAC">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（3）《投入主要人员汇总表》《拟派项目负责人业绩表》《主要人员简历表》（格式见招标文件第四章、投标人需按相应表格备注和招标文件第二章附表《技术标详细审查评分表》要求提供相关资料）。</w:t>
      </w:r>
    </w:p>
    <w:p w14:paraId="67F86984">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（4）企业资信证明材料（按招标文件第二章附表《技术标详细审查评分表》要求提交，包括《已竣工验收的类似工程业绩表》（如有）</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 w:val="21"/>
          <w:szCs w:val="21"/>
          <w:highlight w:val="none"/>
          <w:u w:val="single"/>
        </w:rPr>
        <w:t>企业工程获奖情况表</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lang w:val="en-US" w:eastAsia="zh-CN"/>
        </w:rPr>
        <w:t>如有</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lang w:val="en-US" w:eastAsia="zh-CN"/>
        </w:rPr>
        <w:t>和</w:t>
      </w:r>
      <w:r>
        <w:rPr>
          <w:rFonts w:hint="eastAsia" w:ascii="宋体" w:hAnsi="宋体" w:eastAsia="宋体" w:cs="宋体"/>
          <w:b/>
          <w:color w:val="auto"/>
          <w:sz w:val="21"/>
          <w:szCs w:val="21"/>
          <w:highlight w:val="none"/>
          <w:u w:val="single"/>
          <w:lang w:eastAsia="zh-CN"/>
        </w:rPr>
        <w:t>《第三方评价汇总表》</w:t>
      </w:r>
      <w:r>
        <w:rPr>
          <w:rFonts w:hint="eastAsia" w:ascii="宋体" w:hAnsi="宋体" w:eastAsia="宋体" w:cs="宋体"/>
          <w:b/>
          <w:bCs w:val="0"/>
          <w:color w:val="auto"/>
          <w:szCs w:val="21"/>
          <w:highlight w:val="none"/>
          <w:u w:val="single"/>
        </w:rPr>
        <w:t>（如有）</w:t>
      </w:r>
      <w:r>
        <w:rPr>
          <w:rFonts w:hint="eastAsia" w:ascii="宋体" w:hAnsi="宋体" w:eastAsia="宋体" w:cs="宋体"/>
          <w:b/>
          <w:color w:val="auto"/>
          <w:szCs w:val="21"/>
          <w:highlight w:val="none"/>
          <w:u w:val="single"/>
        </w:rPr>
        <w:t>等资料。招标文件有规定格式的，需按招标文件格式提供，无格式要求的，格式自拟）。</w:t>
      </w:r>
    </w:p>
    <w:p w14:paraId="3347D042">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（5</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《响应招标文件所附施工组织设计要点承诺书》</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《危险性较大的分部分项工程安全管理措施》（格式见招标文件第四章）。</w:t>
      </w:r>
    </w:p>
    <w:p w14:paraId="5FC55A92">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w:t>
      </w:r>
      <w:r>
        <w:rPr>
          <w:rFonts w:hint="eastAsia" w:ascii="宋体" w:hAnsi="宋体" w:eastAsia="宋体" w:cs="宋体"/>
          <w:b/>
          <w:color w:val="auto"/>
          <w:szCs w:val="21"/>
          <w:highlight w:val="none"/>
          <w:u w:val="single"/>
          <w:lang w:val="en-US" w:eastAsia="zh-CN"/>
        </w:rPr>
        <w:t>6</w:t>
      </w:r>
      <w:r>
        <w:rPr>
          <w:rFonts w:hint="eastAsia" w:ascii="宋体" w:hAnsi="宋体" w:eastAsia="宋体" w:cs="宋体"/>
          <w:b/>
          <w:color w:val="auto"/>
          <w:szCs w:val="21"/>
          <w:highlight w:val="none"/>
          <w:u w:val="single"/>
        </w:rPr>
        <w:t>）《拟投入本工程施工的主要机械设备配备表》（格式见招标文件第四章）。</w:t>
      </w:r>
    </w:p>
    <w:p w14:paraId="31AA9107">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w:t>
      </w:r>
      <w:r>
        <w:rPr>
          <w:rFonts w:hint="eastAsia" w:ascii="宋体" w:hAnsi="宋体" w:eastAsia="宋体" w:cs="宋体"/>
          <w:b/>
          <w:color w:val="auto"/>
          <w:szCs w:val="21"/>
          <w:highlight w:val="none"/>
          <w:u w:val="single"/>
          <w:lang w:val="en-US" w:eastAsia="zh-CN"/>
        </w:rPr>
        <w:t>7</w:t>
      </w:r>
      <w:r>
        <w:rPr>
          <w:rFonts w:hint="eastAsia" w:ascii="宋体" w:hAnsi="宋体" w:eastAsia="宋体" w:cs="宋体"/>
          <w:b/>
          <w:color w:val="auto"/>
          <w:szCs w:val="21"/>
          <w:highlight w:val="none"/>
          <w:u w:val="single"/>
        </w:rPr>
        <w:t>）《参与编制技术标投标文件人员名单》（格式见招标文件第四章）。</w:t>
      </w:r>
    </w:p>
    <w:p w14:paraId="7134295B">
      <w:pPr>
        <w:pBdr>
          <w:bottom w:val="single" w:color="auto" w:sz="4" w:space="0"/>
        </w:pBd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u w:val="single"/>
        </w:rPr>
        <w:t>（</w:t>
      </w:r>
      <w:r>
        <w:rPr>
          <w:rFonts w:hint="eastAsia" w:ascii="宋体" w:hAnsi="宋体" w:eastAsia="宋体" w:cs="宋体"/>
          <w:b/>
          <w:color w:val="auto"/>
          <w:szCs w:val="21"/>
          <w:highlight w:val="none"/>
          <w:u w:val="single"/>
          <w:lang w:val="en-US" w:eastAsia="zh-CN"/>
        </w:rPr>
        <w:t>8</w:t>
      </w:r>
      <w:r>
        <w:rPr>
          <w:rFonts w:hint="eastAsia" w:ascii="宋体" w:hAnsi="宋体" w:eastAsia="宋体" w:cs="宋体"/>
          <w:b/>
          <w:color w:val="auto"/>
          <w:szCs w:val="21"/>
          <w:highlight w:val="none"/>
          <w:u w:val="single"/>
        </w:rPr>
        <w:t>）投标人认为应提供的其他资料。</w:t>
      </w:r>
    </w:p>
    <w:p w14:paraId="3780AB57">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条款号：11.3.1                     修改类型：修改</w:t>
      </w:r>
    </w:p>
    <w:p w14:paraId="37248001">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11.3.1 经济投标文件</w:t>
      </w:r>
    </w:p>
    <w:p w14:paraId="70F0C946">
      <w:pPr>
        <w:keepNext w:val="0"/>
        <w:keepLines w:val="0"/>
        <w:pageBreakBefore w:val="0"/>
        <w:pBdr>
          <w:bottom w:val="single" w:color="auto" w:sz="6" w:space="1"/>
        </w:pBdr>
        <w:wordWrap/>
        <w:topLinePunct w:val="0"/>
        <w:autoSpaceDE/>
        <w:autoSpaceDN/>
        <w:bidi w:val="0"/>
        <w:spacing w:line="360" w:lineRule="auto"/>
        <w:ind w:firstLine="422" w:firstLineChars="200"/>
        <w:rPr>
          <w:rFonts w:ascii="宋体" w:hAnsi="宋体" w:eastAsia="宋体" w:cs="宋体"/>
          <w:bCs/>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rPr>
        <w:t xml:space="preserve">11.3.1 </w:t>
      </w:r>
      <w:r>
        <w:rPr>
          <w:rFonts w:hint="eastAsia" w:ascii="宋体" w:hAnsi="宋体" w:eastAsia="宋体" w:cs="宋体"/>
          <w:b/>
          <w:color w:val="auto"/>
          <w:szCs w:val="21"/>
          <w:highlight w:val="none"/>
          <w:u w:val="single"/>
        </w:rPr>
        <w:t>广州建设工程施工经济标招标投标书（格式见招标文件第四章，具体格式以《广州建设工程施工经济标招标投标书》为准。</w:t>
      </w:r>
      <w:r>
        <w:rPr>
          <w:rFonts w:hint="eastAsia" w:ascii="宋体" w:hAnsi="宋体" w:eastAsia="宋体" w:cs="宋体"/>
          <w:b/>
          <w:bCs w:val="0"/>
          <w:color w:val="auto"/>
          <w:sz w:val="21"/>
          <w:szCs w:val="21"/>
          <w:highlight w:val="none"/>
          <w:u w:val="single"/>
        </w:rPr>
        <w:t>电子投标管理软件编制的“广州建设工程施工招标投标书”不作为否决投标的条件)。</w:t>
      </w:r>
    </w:p>
    <w:p w14:paraId="611B4B25">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条款号：11.3.2                      修改类型：修改</w:t>
      </w:r>
    </w:p>
    <w:p w14:paraId="722F80A3">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0C101EC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（1）投标总价封面、扉页；</w:t>
      </w:r>
    </w:p>
    <w:p w14:paraId="483109B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（2）总说明；</w:t>
      </w:r>
    </w:p>
    <w:p w14:paraId="4D5DEE5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（3）工程项目投标报价汇总表；</w:t>
      </w:r>
    </w:p>
    <w:p w14:paraId="5852614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（4）单项工程投标报价汇总表；</w:t>
      </w:r>
    </w:p>
    <w:p w14:paraId="56AB2A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（5）单位工程投标报价汇总表；</w:t>
      </w:r>
    </w:p>
    <w:p w14:paraId="2E24AD6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（6）分部分项工程清单与计价表；</w:t>
      </w:r>
    </w:p>
    <w:p w14:paraId="1419D29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（7）单价措施项目清单与计价表；</w:t>
      </w:r>
    </w:p>
    <w:p w14:paraId="5164AC2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（8）总价措施项目清单与计价表；</w:t>
      </w:r>
    </w:p>
    <w:p w14:paraId="5383B9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（9）综合单价分析表；</w:t>
      </w:r>
    </w:p>
    <w:p w14:paraId="7D62D56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（10）其他项目清单与计价汇总表；</w:t>
      </w:r>
    </w:p>
    <w:p w14:paraId="2654F13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（11）暂列金额明细表；</w:t>
      </w:r>
    </w:p>
    <w:p w14:paraId="1F55B0C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（12）材料（工程设备）暂估价明细表；</w:t>
      </w:r>
    </w:p>
    <w:p w14:paraId="5000DB6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（13）专业工程暂估价明细表；</w:t>
      </w:r>
    </w:p>
    <w:p w14:paraId="6CFCC42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（14）计日工表；</w:t>
      </w:r>
    </w:p>
    <w:p w14:paraId="7BA5141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（15）总承包服务计价表；</w:t>
      </w:r>
    </w:p>
    <w:p w14:paraId="6442426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（16）规费和税金项目计价表；</w:t>
      </w:r>
    </w:p>
    <w:p w14:paraId="51242B2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（17）人工、主要材料和设备一览表</w:t>
      </w:r>
    </w:p>
    <w:p w14:paraId="63D765F5">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4EB7A5ED">
      <w:pPr>
        <w:numPr>
          <w:ilvl w:val="0"/>
          <w:numId w:val="3"/>
        </w:numPr>
        <w:pBdr>
          <w:bottom w:val="single" w:color="auto" w:sz="6" w:space="1"/>
        </w:pBd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投标总价封面、扉页</w:t>
      </w:r>
    </w:p>
    <w:p w14:paraId="2DCAF74A">
      <w:pPr>
        <w:numPr>
          <w:ilvl w:val="0"/>
          <w:numId w:val="3"/>
        </w:numPr>
        <w:pBdr>
          <w:bottom w:val="single" w:color="auto" w:sz="6" w:space="1"/>
        </w:pBd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总说明；</w:t>
      </w:r>
    </w:p>
    <w:p w14:paraId="1A6D7D45">
      <w:pPr>
        <w:pBdr>
          <w:bottom w:val="single" w:color="auto" w:sz="6" w:space="1"/>
        </w:pBd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u w:val="single"/>
        </w:rPr>
        <w:t>工程量清单报价表及综合单价分析表的相关内容及格式要求（相关表格的内容及格式要求以招标人发出的最新版电子招标文件中的相应内容及格式为准）；</w:t>
      </w:r>
    </w:p>
    <w:p w14:paraId="6B6CF0FA">
      <w:pPr>
        <w:pBdr>
          <w:bottom w:val="single" w:color="auto" w:sz="6" w:space="1"/>
        </w:pBdr>
        <w:spacing w:line="360" w:lineRule="auto"/>
        <w:ind w:firstLine="422" w:firstLineChars="200"/>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rPr>
        <w:t>（4）</w:t>
      </w:r>
      <w:r>
        <w:rPr>
          <w:rFonts w:hint="eastAsia" w:ascii="宋体" w:hAnsi="宋体" w:eastAsia="宋体" w:cs="宋体"/>
          <w:b/>
          <w:bCs/>
          <w:color w:val="auto"/>
          <w:szCs w:val="21"/>
          <w:highlight w:val="none"/>
          <w:u w:val="single"/>
        </w:rPr>
        <w:t>其它辅助说明资料（包括但不限于招标文件要求填写的《对投标文件编制的承诺》，格式见招标文件第四章）</w:t>
      </w:r>
      <w:r>
        <w:rPr>
          <w:rFonts w:hint="eastAsia" w:ascii="宋体" w:hAnsi="宋体" w:eastAsia="宋体" w:cs="宋体"/>
          <w:b/>
          <w:bCs/>
          <w:color w:val="auto"/>
          <w:szCs w:val="21"/>
          <w:highlight w:val="none"/>
        </w:rPr>
        <w:t>。</w:t>
      </w:r>
    </w:p>
    <w:p w14:paraId="6D0CEC97">
      <w:pPr>
        <w:spacing w:line="360" w:lineRule="auto"/>
        <w:ind w:firstLine="422" w:firstLineChars="200"/>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条款号：11.3.3                      修改类型：修改</w:t>
      </w:r>
    </w:p>
    <w:p w14:paraId="516103D7">
      <w:pPr>
        <w:spacing w:line="360" w:lineRule="auto"/>
        <w:ind w:firstLine="422" w:firstLineChars="200"/>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11.3.3按照招标文件要求填写的《参与编制经济标投标文件人员名单》。</w:t>
      </w:r>
    </w:p>
    <w:p w14:paraId="1EF58FA1">
      <w:pPr>
        <w:pBdr>
          <w:bottom w:val="single" w:color="auto" w:sz="6" w:space="1"/>
        </w:pBdr>
        <w:spacing w:line="360" w:lineRule="auto"/>
        <w:ind w:firstLine="422" w:firstLineChars="200"/>
        <w:textAlignment w:val="baseline"/>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11.3.3按照招标文件要求填写的《参与编制经济标投标文件人员名单》</w:t>
      </w:r>
      <w:r>
        <w:rPr>
          <w:rFonts w:hint="eastAsia" w:ascii="宋体" w:hAnsi="宋体" w:eastAsia="宋体" w:cs="宋体"/>
          <w:b/>
          <w:bCs/>
          <w:color w:val="auto"/>
          <w:szCs w:val="21"/>
          <w:highlight w:val="none"/>
          <w:u w:val="single"/>
        </w:rPr>
        <w:t>（格式见招标文件第四章）</w:t>
      </w:r>
      <w:r>
        <w:rPr>
          <w:rFonts w:hint="eastAsia" w:ascii="宋体" w:hAnsi="宋体" w:eastAsia="宋体" w:cs="宋体"/>
          <w:color w:val="auto"/>
          <w:szCs w:val="21"/>
          <w:highlight w:val="none"/>
        </w:rPr>
        <w:t>。</w:t>
      </w:r>
    </w:p>
    <w:p w14:paraId="4ABFFD6D">
      <w:pPr>
        <w:spacing w:line="360" w:lineRule="auto"/>
        <w:ind w:firstLine="422" w:firstLineChars="200"/>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条款号：11.3.5                      修改类型：增加</w:t>
      </w:r>
    </w:p>
    <w:p w14:paraId="3993D923">
      <w:pPr>
        <w:pBdr>
          <w:bottom w:val="single" w:color="auto" w:sz="6" w:space="1"/>
        </w:pBdr>
        <w:spacing w:line="360" w:lineRule="auto"/>
        <w:ind w:firstLine="422" w:firstLineChars="200"/>
        <w:textAlignment w:val="baseline"/>
        <w:rPr>
          <w:rFonts w:ascii="宋体" w:hAnsi="宋体" w:eastAsia="宋体" w:cs="宋体"/>
          <w:bCs/>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b/>
          <w:bCs/>
          <w:color w:val="auto"/>
          <w:szCs w:val="21"/>
          <w:highlight w:val="none"/>
          <w:u w:val="single"/>
        </w:rPr>
        <w:t>11.3.5投标人认为应提供的其他经济标资料（如有）。</w:t>
      </w:r>
    </w:p>
    <w:p w14:paraId="77ADDE26">
      <w:pPr>
        <w:spacing w:line="360" w:lineRule="auto"/>
        <w:ind w:firstLine="422" w:firstLineChars="200"/>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条款号：11.4                        修改类型：增加</w:t>
      </w:r>
    </w:p>
    <w:p w14:paraId="448569CD">
      <w:pPr>
        <w:pBdr>
          <w:bottom w:val="single" w:color="auto" w:sz="6" w:space="1"/>
        </w:pBdr>
        <w:spacing w:line="360" w:lineRule="auto"/>
        <w:ind w:firstLine="422" w:firstLineChars="200"/>
        <w:textAlignment w:val="baseline"/>
        <w:rPr>
          <w:rFonts w:ascii="宋体" w:hAnsi="宋体" w:eastAsia="宋体" w:cs="宋体"/>
          <w:b/>
          <w:bCs/>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b/>
          <w:bCs/>
          <w:color w:val="auto"/>
          <w:szCs w:val="21"/>
          <w:highlight w:val="none"/>
          <w:u w:val="single"/>
        </w:rPr>
        <w:t>11.4定标文件主要包括下列内容：①团队配置、②施工管理措施、③成本控制措施、④资金管理措施。（定标评审的方案因素按投标人提交的定标文件进行评审；定标评审的价格因素按投标总报价进行评审，不需要重复提交投标报价资料。）</w:t>
      </w:r>
    </w:p>
    <w:p w14:paraId="67D88522">
      <w:pPr>
        <w:pBdr>
          <w:bottom w:val="single" w:color="auto" w:sz="6" w:space="1"/>
        </w:pBdr>
        <w:spacing w:line="360" w:lineRule="auto"/>
        <w:ind w:firstLine="422" w:firstLineChars="200"/>
        <w:textAlignment w:val="baseline"/>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注意事项：</w:t>
      </w:r>
    </w:p>
    <w:p w14:paraId="18838096">
      <w:pPr>
        <w:numPr>
          <w:ilvl w:val="255"/>
          <w:numId w:val="0"/>
        </w:numPr>
        <w:pBdr>
          <w:bottom w:val="single" w:color="auto" w:sz="6" w:space="1"/>
        </w:pBdr>
        <w:spacing w:line="360" w:lineRule="auto"/>
        <w:ind w:firstLine="422" w:firstLineChars="200"/>
        <w:textAlignment w:val="baseline"/>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1）投标人编制定标方案要根据项目实际情况编制，突出重点，注意文件的逻辑性和可读性，避免冗长和无关紧要的叙述。需有目录和页码，篇幅不宜超过300页，超出部分不予评审。如要附证书、合同等材料的，相关材料单独做附件。</w:t>
      </w:r>
    </w:p>
    <w:p w14:paraId="23E44F69">
      <w:pPr>
        <w:numPr>
          <w:ilvl w:val="255"/>
          <w:numId w:val="0"/>
        </w:numPr>
        <w:pBdr>
          <w:bottom w:val="single" w:color="auto" w:sz="6" w:space="1"/>
        </w:pBdr>
        <w:spacing w:line="360" w:lineRule="auto"/>
        <w:ind w:firstLine="422" w:firstLineChars="200"/>
        <w:textAlignment w:val="baseline"/>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2）各投标单位在投标系统上传投标文件时，要把资审文件、技术文件、经济文件等内容，分别上传至投标系统内对应的文件夹中，不须上传到定标文件夹中，定标文件夹中只上传定标文件。评标委员会不对定标文件进行评审，因投标人未按招标文件要求提供规定的资料，而未能通过资格审查（或技术标有效性审查或经济标有效性审查）或影响评分的后果由投标人自行承担。</w:t>
      </w:r>
    </w:p>
    <w:p w14:paraId="4E652C2D">
      <w:pPr>
        <w:spacing w:line="360" w:lineRule="auto"/>
        <w:ind w:firstLine="422" w:firstLineChars="200"/>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条款号：12.2                       修改类型：修改</w:t>
      </w:r>
    </w:p>
    <w:p w14:paraId="23BCB844">
      <w:pPr>
        <w:spacing w:line="360" w:lineRule="auto"/>
        <w:ind w:firstLine="422" w:firstLineChars="200"/>
        <w:textAlignment w:val="baseline"/>
        <w:rPr>
          <w:rFonts w:ascii="宋体" w:hAnsi="宋体" w:eastAsia="宋体" w:cs="宋体"/>
          <w:bCs/>
          <w:color w:val="auto"/>
          <w:kern w:val="0"/>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12.2</w:t>
      </w:r>
      <w:r>
        <w:rPr>
          <w:rFonts w:hint="eastAsia" w:ascii="宋体" w:hAnsi="宋体" w:eastAsia="宋体" w:cs="宋体"/>
          <w:bCs/>
          <w:color w:val="auto"/>
          <w:kern w:val="0"/>
          <w:szCs w:val="21"/>
          <w:highlight w:val="none"/>
        </w:rPr>
        <w:t>投标文件全部采用电子文档，投标文件所附证书证件均为原件扫描件，并采用单位数字证书，按招标文件要求在相应位置加盖电子印章。投标文件中需个人签字或盖章的，</w:t>
      </w:r>
      <w:r>
        <w:rPr>
          <w:rFonts w:hint="eastAsia" w:ascii="宋体" w:hAnsi="宋体" w:eastAsia="宋体" w:cs="宋体"/>
          <w:color w:val="auto"/>
          <w:kern w:val="0"/>
          <w:szCs w:val="21"/>
          <w:highlight w:val="none"/>
        </w:rPr>
        <w:t>应加盖个人电子印章或在线下完成后扫描上传。</w:t>
      </w:r>
      <w:r>
        <w:rPr>
          <w:rFonts w:hint="eastAsia" w:ascii="宋体" w:hAnsi="宋体" w:eastAsia="宋体" w:cs="宋体"/>
          <w:bCs/>
          <w:color w:val="auto"/>
          <w:kern w:val="0"/>
          <w:szCs w:val="21"/>
          <w:highlight w:val="none"/>
        </w:rPr>
        <w:t>按照交易平台关于全流程电子化项目的相关指南进行操作。详见：</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w:t>
      </w:r>
    </w:p>
    <w:p w14:paraId="53141F50">
      <w:pPr>
        <w:pBdr>
          <w:bottom w:val="single" w:color="auto" w:sz="6" w:space="1"/>
        </w:pBdr>
        <w:spacing w:line="360" w:lineRule="auto"/>
        <w:ind w:firstLine="422" w:firstLineChars="200"/>
        <w:textAlignment w:val="baseline"/>
        <w:rPr>
          <w:rFonts w:ascii="宋体" w:hAnsi="宋体" w:eastAsia="宋体" w:cs="宋体"/>
          <w:b/>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12.2</w:t>
      </w:r>
      <w:r>
        <w:rPr>
          <w:rFonts w:hint="eastAsia" w:ascii="宋体" w:hAnsi="宋体" w:eastAsia="宋体" w:cs="宋体"/>
          <w:bCs/>
          <w:color w:val="auto"/>
          <w:kern w:val="0"/>
          <w:szCs w:val="21"/>
          <w:highlight w:val="none"/>
        </w:rPr>
        <w:t>投标文件</w:t>
      </w:r>
      <w:r>
        <w:rPr>
          <w:rFonts w:hint="eastAsia" w:ascii="宋体" w:hAnsi="宋体" w:eastAsia="宋体" w:cs="宋体"/>
          <w:b/>
          <w:bCs/>
          <w:color w:val="auto"/>
          <w:szCs w:val="21"/>
          <w:highlight w:val="none"/>
          <w:u w:val="single"/>
        </w:rPr>
        <w:t>（含资格审查文件）</w:t>
      </w:r>
      <w:r>
        <w:rPr>
          <w:rFonts w:hint="eastAsia" w:ascii="宋体" w:hAnsi="宋体" w:eastAsia="宋体" w:cs="宋体"/>
          <w:bCs/>
          <w:color w:val="auto"/>
          <w:kern w:val="0"/>
          <w:szCs w:val="21"/>
          <w:highlight w:val="none"/>
        </w:rPr>
        <w:t>全部采用电子文档，投标文件</w:t>
      </w:r>
      <w:r>
        <w:rPr>
          <w:rFonts w:hint="eastAsia" w:ascii="宋体" w:hAnsi="宋体" w:eastAsia="宋体" w:cs="宋体"/>
          <w:b/>
          <w:bCs/>
          <w:color w:val="auto"/>
          <w:szCs w:val="21"/>
          <w:highlight w:val="none"/>
          <w:u w:val="single"/>
        </w:rPr>
        <w:t>（含资格审查文件）</w:t>
      </w:r>
      <w:r>
        <w:rPr>
          <w:rFonts w:hint="eastAsia" w:ascii="宋体" w:hAnsi="宋体" w:eastAsia="宋体" w:cs="宋体"/>
          <w:bCs/>
          <w:color w:val="auto"/>
          <w:kern w:val="0"/>
          <w:szCs w:val="21"/>
          <w:highlight w:val="none"/>
        </w:rPr>
        <w:t>所附证书证件均为扫描件</w:t>
      </w:r>
      <w:r>
        <w:rPr>
          <w:rFonts w:hint="eastAsia" w:ascii="宋体" w:hAnsi="宋体" w:eastAsia="宋体" w:cs="宋体"/>
          <w:b/>
          <w:color w:val="auto"/>
          <w:kern w:val="0"/>
          <w:szCs w:val="21"/>
          <w:highlight w:val="none"/>
          <w:u w:val="single"/>
        </w:rPr>
        <w:t>或电子证照证书</w:t>
      </w:r>
      <w:r>
        <w:rPr>
          <w:rFonts w:hint="eastAsia" w:ascii="宋体" w:hAnsi="宋体" w:eastAsia="宋体" w:cs="宋体"/>
          <w:bCs/>
          <w:color w:val="auto"/>
          <w:kern w:val="0"/>
          <w:szCs w:val="21"/>
          <w:highlight w:val="none"/>
        </w:rPr>
        <w:t>，并采用单位数字证书，</w:t>
      </w:r>
      <w:r>
        <w:rPr>
          <w:rFonts w:hint="eastAsia" w:ascii="宋体" w:hAnsi="宋体" w:eastAsia="宋体" w:cs="宋体"/>
          <w:b/>
          <w:color w:val="auto"/>
          <w:kern w:val="0"/>
          <w:szCs w:val="21"/>
          <w:highlight w:val="none"/>
          <w:u w:val="single"/>
        </w:rPr>
        <w:t>对投标文件</w:t>
      </w:r>
      <w:r>
        <w:rPr>
          <w:rFonts w:hint="eastAsia" w:ascii="宋体" w:hAnsi="宋体" w:eastAsia="宋体" w:cs="宋体"/>
          <w:bCs/>
          <w:color w:val="auto"/>
          <w:kern w:val="0"/>
          <w:szCs w:val="21"/>
          <w:highlight w:val="none"/>
        </w:rPr>
        <w:t>加盖电子印章。投标文件</w:t>
      </w:r>
      <w:r>
        <w:rPr>
          <w:rFonts w:hint="eastAsia" w:ascii="宋体" w:hAnsi="宋体" w:eastAsia="宋体" w:cs="宋体"/>
          <w:b/>
          <w:bCs/>
          <w:color w:val="auto"/>
          <w:szCs w:val="21"/>
          <w:highlight w:val="none"/>
          <w:u w:val="single"/>
        </w:rPr>
        <w:t>（含资格审查文件）</w:t>
      </w:r>
      <w:r>
        <w:rPr>
          <w:rFonts w:hint="eastAsia" w:ascii="宋体" w:hAnsi="宋体" w:eastAsia="宋体" w:cs="宋体"/>
          <w:bCs/>
          <w:color w:val="auto"/>
          <w:kern w:val="0"/>
          <w:szCs w:val="21"/>
          <w:highlight w:val="none"/>
        </w:rPr>
        <w:t>中需个人签字或盖章的，</w:t>
      </w:r>
      <w:r>
        <w:rPr>
          <w:rFonts w:hint="eastAsia" w:ascii="宋体" w:hAnsi="宋体" w:eastAsia="宋体" w:cs="宋体"/>
          <w:color w:val="auto"/>
          <w:kern w:val="0"/>
          <w:szCs w:val="21"/>
          <w:highlight w:val="none"/>
        </w:rPr>
        <w:t>应加盖个人电子印章或在线下完成后</w:t>
      </w:r>
      <w:r>
        <w:rPr>
          <w:rFonts w:hint="eastAsia" w:ascii="宋体" w:hAnsi="宋体" w:eastAsia="宋体" w:cs="宋体"/>
          <w:color w:val="auto"/>
          <w:kern w:val="0"/>
          <w:szCs w:val="21"/>
          <w:highlight w:val="none"/>
          <w:u w:val="single"/>
        </w:rPr>
        <w:t>原件</w:t>
      </w:r>
      <w:r>
        <w:rPr>
          <w:rFonts w:hint="eastAsia" w:ascii="宋体" w:hAnsi="宋体" w:eastAsia="宋体" w:cs="宋体"/>
          <w:color w:val="auto"/>
          <w:kern w:val="0"/>
          <w:szCs w:val="21"/>
          <w:highlight w:val="none"/>
        </w:rPr>
        <w:t>扫描上传。</w:t>
      </w:r>
      <w:r>
        <w:rPr>
          <w:rFonts w:hint="eastAsia" w:ascii="宋体" w:hAnsi="宋体" w:eastAsia="宋体" w:cs="宋体"/>
          <w:color w:val="auto"/>
          <w:szCs w:val="21"/>
          <w:highlight w:val="none"/>
        </w:rPr>
        <w:t>按照</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交易平台关于全流程电子化项目的相关指南进行操作。详见：</w:t>
      </w:r>
      <w:r>
        <w:rPr>
          <w:rFonts w:hint="eastAsia" w:ascii="宋体" w:hAnsi="宋体" w:eastAsia="宋体" w:cs="宋体"/>
          <w:b/>
          <w:bCs/>
          <w:color w:val="auto"/>
          <w:szCs w:val="21"/>
          <w:highlight w:val="none"/>
          <w:u w:val="single"/>
        </w:rPr>
        <w:t>广州交易集团有限公司（广州公共资源交易中心）网站最新指引</w:t>
      </w:r>
      <w:r>
        <w:rPr>
          <w:rFonts w:hint="eastAsia" w:ascii="宋体" w:hAnsi="宋体" w:eastAsia="宋体" w:cs="宋体"/>
          <w:b/>
          <w:bCs/>
          <w:color w:val="auto"/>
          <w:szCs w:val="21"/>
          <w:highlight w:val="none"/>
        </w:rPr>
        <w:t>。</w:t>
      </w:r>
      <w:r>
        <w:rPr>
          <w:rFonts w:hint="eastAsia" w:ascii="宋体" w:hAnsi="宋体" w:eastAsia="宋体" w:cs="宋体"/>
          <w:b/>
          <w:color w:val="auto"/>
          <w:szCs w:val="21"/>
          <w:highlight w:val="none"/>
          <w:u w:val="single"/>
        </w:rPr>
        <w:t>如联合体投标，投标文件中的“投标人”、“投标单位”、“承诺企业”应填写联合体各成员的单位全称“（主）***公司（成）***公司”。除投标文件中的联合体工作协议、投标人声明需联合体各方按格式要求盖章或签字外，其他资料均由主办方盖章或签字即可。</w:t>
      </w:r>
    </w:p>
    <w:p w14:paraId="1EB4C0D6">
      <w:pPr>
        <w:pBdr>
          <w:bottom w:val="single" w:color="auto" w:sz="6" w:space="1"/>
        </w:pBdr>
        <w:spacing w:line="360" w:lineRule="auto"/>
        <w:ind w:firstLine="422" w:firstLineChars="200"/>
        <w:textAlignment w:val="baseline"/>
        <w:rPr>
          <w:rFonts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注释：投标文件电子文档需要投标人单位盖章的材料，投标人加盖电子印章即可，不得将投标人未对电子文档加盖实物印章作为否决投标的情形。</w:t>
      </w:r>
    </w:p>
    <w:p w14:paraId="74B898C5">
      <w:pPr>
        <w:spacing w:line="360" w:lineRule="auto"/>
        <w:ind w:firstLine="422" w:firstLineChars="200"/>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条款号：12.3                       修改类型：修改</w:t>
      </w:r>
    </w:p>
    <w:p w14:paraId="421F3EFE">
      <w:pPr>
        <w:spacing w:line="360" w:lineRule="auto"/>
        <w:ind w:firstLine="422" w:firstLineChars="200"/>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 xml:space="preserve">12.3 </w:t>
      </w:r>
      <w:r>
        <w:rPr>
          <w:rFonts w:hint="eastAsia" w:ascii="宋体" w:hAnsi="宋体" w:eastAsia="宋体" w:cs="宋体"/>
          <w:bCs/>
          <w:color w:val="auto"/>
          <w:szCs w:val="21"/>
          <w:highlight w:val="none"/>
        </w:rPr>
        <w:t>投标文件应按</w:t>
      </w:r>
      <w:r>
        <w:rPr>
          <w:rFonts w:hint="eastAsia" w:ascii="宋体" w:hAnsi="宋体" w:eastAsia="宋体" w:cs="宋体"/>
          <w:color w:val="auto"/>
          <w:szCs w:val="21"/>
          <w:highlight w:val="none"/>
        </w:rPr>
        <w:t>照交易平台关于全流程电子化项目的相关指南进行编制，详见：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如不按上述要求编制引起系统无法检索、读取相关信息的，其后果由投标人承担。</w:t>
      </w:r>
    </w:p>
    <w:p w14:paraId="69B433AE">
      <w:pPr>
        <w:pBdr>
          <w:bottom w:val="single" w:color="auto" w:sz="6" w:space="1"/>
        </w:pBdr>
        <w:spacing w:line="360" w:lineRule="auto"/>
        <w:ind w:firstLine="422" w:firstLineChars="200"/>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12.3</w:t>
      </w:r>
      <w:r>
        <w:rPr>
          <w:rFonts w:hint="eastAsia" w:ascii="宋体" w:hAnsi="宋体" w:eastAsia="宋体" w:cs="宋体"/>
          <w:bCs/>
          <w:color w:val="auto"/>
          <w:szCs w:val="21"/>
          <w:highlight w:val="none"/>
        </w:rPr>
        <w:t>投标文件应按</w:t>
      </w:r>
      <w:r>
        <w:rPr>
          <w:rFonts w:hint="eastAsia" w:ascii="宋体" w:hAnsi="宋体" w:eastAsia="宋体" w:cs="宋体"/>
          <w:color w:val="auto"/>
          <w:szCs w:val="21"/>
          <w:highlight w:val="none"/>
        </w:rPr>
        <w:t>照</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交易平台关于全流程电子化项目的相关指南进行编制，详见：</w:t>
      </w:r>
      <w:r>
        <w:rPr>
          <w:rFonts w:hint="eastAsia" w:ascii="宋体" w:hAnsi="宋体" w:eastAsia="宋体" w:cs="宋体"/>
          <w:b/>
          <w:bCs/>
          <w:color w:val="auto"/>
          <w:szCs w:val="21"/>
          <w:highlight w:val="none"/>
          <w:u w:val="single"/>
        </w:rPr>
        <w:t>广州交易集团有限公司（广州公共资源交易中心）最新指引</w:t>
      </w:r>
      <w:r>
        <w:rPr>
          <w:rFonts w:hint="eastAsia" w:ascii="宋体" w:hAnsi="宋体" w:eastAsia="宋体" w:cs="宋体"/>
          <w:color w:val="auto"/>
          <w:szCs w:val="21"/>
          <w:highlight w:val="none"/>
        </w:rPr>
        <w:t>。如不按上述要求编制引起系统无法检索、读取相关信息的，其后果由投标人承担。</w:t>
      </w:r>
    </w:p>
    <w:p w14:paraId="2BA82159">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条款号：13.1                        修改类型：修改</w:t>
      </w:r>
    </w:p>
    <w:p w14:paraId="24E03980">
      <w:pPr>
        <w:pBdr>
          <w:bottom w:val="single" w:color="auto" w:sz="6" w:space="1"/>
        </w:pBdr>
        <w:spacing w:line="360" w:lineRule="auto"/>
        <w:ind w:firstLine="422" w:firstLineChars="200"/>
        <w:rPr>
          <w:rFonts w:ascii="宋体" w:hAnsi="宋体" w:eastAsia="宋体" w:cs="宋体"/>
          <w:color w:val="auto"/>
          <w:szCs w:val="21"/>
          <w:highlight w:val="none"/>
          <w:u w:val="singl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13.1本工程的投标报价采用投标须知前附表第14项所规定的方式。投标报价（含单价及总价）精确到“分”。</w:t>
      </w:r>
    </w:p>
    <w:p w14:paraId="4F80134D">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13.1 本工程的投标报价采用投标须知前附表第14项所规定的方式。</w:t>
      </w:r>
      <w:r>
        <w:rPr>
          <w:rFonts w:hint="eastAsia" w:ascii="宋体" w:hAnsi="宋体" w:eastAsia="宋体" w:cs="宋体"/>
          <w:b/>
          <w:bCs/>
          <w:color w:val="auto"/>
          <w:szCs w:val="21"/>
          <w:highlight w:val="none"/>
          <w:u w:val="single"/>
        </w:rPr>
        <w:t>投标文件中的大写金额和小写金额不一致的，以大写金额为准</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投标报价（含单价及总价）精确到“分”。</w:t>
      </w:r>
    </w:p>
    <w:p w14:paraId="4040B660">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条款号：13.3                        修改类型：修改</w:t>
      </w:r>
    </w:p>
    <w:p w14:paraId="64834D78">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36C6BCC3">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13.3投标人的投标报价，应是按照投标须知前附表第8项的工期要求，在投标须知前附表第3项的建设地点，完成投标须知前附表第7项的招标范围内已由招标人</w:t>
      </w:r>
      <w:r>
        <w:rPr>
          <w:rFonts w:hint="eastAsia" w:ascii="宋体" w:hAnsi="宋体" w:eastAsia="宋体" w:cs="宋体"/>
          <w:b/>
          <w:bCs/>
          <w:color w:val="auto"/>
          <w:szCs w:val="21"/>
          <w:highlight w:val="none"/>
          <w:u w:val="single"/>
        </w:rPr>
        <w:t>提供的招标图纸（包括有关于本项目招标的相关资料）</w:t>
      </w:r>
      <w:r>
        <w:rPr>
          <w:rFonts w:hint="eastAsia" w:ascii="宋体" w:hAnsi="宋体" w:eastAsia="宋体" w:cs="宋体"/>
          <w:color w:val="auto"/>
          <w:szCs w:val="21"/>
          <w:highlight w:val="none"/>
          <w:u w:val="single"/>
        </w:rPr>
        <w:t>及</w:t>
      </w:r>
      <w:r>
        <w:rPr>
          <w:rFonts w:hint="eastAsia" w:ascii="宋体" w:hAnsi="宋体" w:eastAsia="宋体" w:cs="宋体"/>
          <w:color w:val="auto"/>
          <w:szCs w:val="21"/>
          <w:highlight w:val="none"/>
        </w:rPr>
        <w:t>制定的工程量清单列明工作的全部费用，包括但不限于完成工作的成本、利润、税金、技术措施费、大型机械进出场费、风险费以及政策性文件规定费用等，不得以任何理由予以重复计算。</w:t>
      </w:r>
      <w:r>
        <w:rPr>
          <w:rFonts w:hint="eastAsia" w:ascii="宋体" w:hAnsi="宋体" w:eastAsia="宋体" w:cs="宋体"/>
          <w:color w:val="auto"/>
          <w:szCs w:val="21"/>
          <w:highlight w:val="none"/>
          <w:u w:val="single"/>
        </w:rPr>
        <w:t>招标人提供的工程量清单或招标文件其他部分中有关规费、暂列金额、暂估价、安全</w:t>
      </w:r>
      <w:r>
        <w:rPr>
          <w:rFonts w:hint="eastAsia" w:ascii="宋体" w:hAnsi="宋体" w:eastAsia="宋体" w:cs="宋体"/>
          <w:color w:val="auto"/>
          <w:szCs w:val="21"/>
          <w:highlight w:val="none"/>
          <w:u w:val="single"/>
          <w:lang w:val="en-US" w:eastAsia="zh-CN"/>
        </w:rPr>
        <w:t>生产</w:t>
      </w:r>
      <w:r>
        <w:rPr>
          <w:rFonts w:hint="eastAsia" w:ascii="宋体" w:hAnsi="宋体" w:eastAsia="宋体" w:cs="宋体"/>
          <w:color w:val="auto"/>
          <w:szCs w:val="21"/>
          <w:highlight w:val="none"/>
          <w:u w:val="single"/>
        </w:rPr>
        <w:t>措施费等非竞争性项目明列了单价或合价的金额的，投标人应按照明列的单价或合价的金额报价，未按照规定金额报价的，由评标委员会按照招标文件规定的金额进行修正。</w:t>
      </w:r>
    </w:p>
    <w:p w14:paraId="087CAA38">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条款号：13.4                         修改类型：修改</w:t>
      </w:r>
    </w:p>
    <w:p w14:paraId="45046A9E">
      <w:pPr>
        <w:spacing w:line="360" w:lineRule="auto"/>
        <w:ind w:firstLine="422" w:firstLineChars="200"/>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rPr>
        <w:t>原文：</w:t>
      </w:r>
      <w:r>
        <w:rPr>
          <w:rFonts w:hint="eastAsia" w:ascii="宋体" w:hAnsi="宋体" w:eastAsia="宋体" w:cs="宋体"/>
          <w:color w:val="auto"/>
          <w:kern w:val="0"/>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0D1D4068">
      <w:pPr>
        <w:pBdr>
          <w:bottom w:val="single" w:color="auto" w:sz="6" w:space="1"/>
        </w:pBdr>
        <w:spacing w:line="360" w:lineRule="auto"/>
        <w:ind w:firstLine="422" w:firstLineChars="200"/>
        <w:rPr>
          <w:rFonts w:ascii="宋体" w:hAnsi="宋体" w:eastAsia="宋体" w:cs="宋体"/>
          <w:b/>
          <w:bCs/>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13.4投标人一旦中标，投标人对招标人提供的招标工程量清单中列出的工程项目所报出的综合单价</w:t>
      </w:r>
      <w:r>
        <w:rPr>
          <w:rFonts w:hint="eastAsia" w:ascii="宋体" w:hAnsi="宋体" w:eastAsia="宋体" w:cs="宋体"/>
          <w:b/>
          <w:bCs/>
          <w:color w:val="auto"/>
          <w:szCs w:val="21"/>
          <w:highlight w:val="none"/>
          <w:u w:val="single"/>
        </w:rPr>
        <w:t>和措施项目费（措施项目费必须单列，没有单独列出的，视为已经包含在投标报价中），在工程结算时，按招标文件第三章合同条款相关约定调整。</w:t>
      </w:r>
    </w:p>
    <w:p w14:paraId="723AC1A3">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条款号：13.5                         修改类型：修改</w:t>
      </w:r>
    </w:p>
    <w:p w14:paraId="1778C7D6">
      <w:pPr>
        <w:spacing w:line="360" w:lineRule="auto"/>
        <w:ind w:firstLine="422" w:firstLineChars="200"/>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rPr>
        <w:t>原文：</w:t>
      </w:r>
      <w:r>
        <w:rPr>
          <w:rFonts w:hint="eastAsia" w:ascii="宋体" w:hAnsi="宋体" w:eastAsia="宋体" w:cs="宋体"/>
          <w:color w:val="auto"/>
          <w:kern w:val="0"/>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7A1B1729">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13.5.1中标的投标文件工程量清单中已有相同项目的适用综合单价，则沿用；</w:t>
      </w:r>
    </w:p>
    <w:p w14:paraId="5546F983">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C712FE1">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781F8E7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13.5.4 如相关定额没有相应子目的，其计价方式由招标人在本招标文件第三章中另行规定。未规定的，中标后双方协商约定。</w:t>
      </w:r>
    </w:p>
    <w:p w14:paraId="70AB1D79">
      <w:pPr>
        <w:spacing w:line="360" w:lineRule="auto"/>
        <w:ind w:firstLine="422" w:firstLineChars="200"/>
        <w:rPr>
          <w:rFonts w:ascii="宋体" w:hAnsi="宋体" w:eastAsia="宋体" w:cs="宋体"/>
          <w:b/>
          <w:bCs/>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13.5</w:t>
      </w:r>
      <w:r>
        <w:rPr>
          <w:rFonts w:hint="eastAsia" w:ascii="宋体" w:hAnsi="宋体" w:eastAsia="宋体" w:cs="宋体"/>
          <w:color w:val="auto"/>
          <w:szCs w:val="21"/>
          <w:highlight w:val="none"/>
          <w:u w:val="single"/>
        </w:rPr>
        <w:t>工程项目实施期间和结算时，根据招标图纸及工程量清单计价规范在招标文件工程量清单中漏列而由监理单位和招标人现场签证确认的实体工程项目、原设计没有而由招标人批准设计变更产生的实体工程项目</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或在本工程实施过程中，承包人按发包人要求完成合同约定工程范围外的内容（含现场签证）</w:t>
      </w:r>
      <w:r>
        <w:rPr>
          <w:rFonts w:hint="eastAsia" w:ascii="宋体" w:hAnsi="宋体" w:eastAsia="宋体" w:cs="宋体"/>
          <w:color w:val="auto"/>
          <w:szCs w:val="21"/>
          <w:highlight w:val="none"/>
          <w:u w:val="single"/>
        </w:rPr>
        <w:t>，按合同专用条款相关约定确定价格。</w:t>
      </w:r>
    </w:p>
    <w:p w14:paraId="587493CC">
      <w:pPr>
        <w:pBdr>
          <w:top w:val="single" w:color="auto" w:sz="4" w:space="1"/>
        </w:pBd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条款号：13.6.2                      修改类型：修改</w:t>
      </w:r>
    </w:p>
    <w:p w14:paraId="614F30E9">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3A0B6569">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13.6.2在工程实施中，暂列金额、暂估价所包含的工作范围和图纸、标准深化固定后，按照工程专业、设备、材料类别等分类汇总的金额，达到法定招标范围标准的</w:t>
      </w:r>
      <w:r>
        <w:rPr>
          <w:rFonts w:hint="eastAsia" w:ascii="宋体" w:hAnsi="宋体" w:eastAsia="宋体" w:cs="宋体"/>
          <w:b/>
          <w:bCs/>
          <w:color w:val="auto"/>
          <w:szCs w:val="21"/>
          <w:highlight w:val="none"/>
          <w:u w:val="single"/>
        </w:rPr>
        <w:t>应由招标人招标确定承包人和承包价格。</w:t>
      </w:r>
    </w:p>
    <w:p w14:paraId="3B09EB37">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条款号：13.6.4                      修改类型：修改</w:t>
      </w:r>
    </w:p>
    <w:p w14:paraId="173CCD8A">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228EB346">
      <w:pPr>
        <w:pBdr>
          <w:bottom w:val="single" w:color="auto" w:sz="6" w:space="1"/>
        </w:pBdr>
        <w:spacing w:line="360" w:lineRule="auto"/>
        <w:ind w:firstLine="422" w:firstLineChars="200"/>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rPr>
        <w:t>现文：</w:t>
      </w:r>
      <w:r>
        <w:rPr>
          <w:rFonts w:hint="eastAsia" w:ascii="宋体" w:hAnsi="宋体" w:eastAsia="宋体" w:cs="宋体"/>
          <w:color w:val="auto"/>
          <w:kern w:val="0"/>
          <w:szCs w:val="21"/>
          <w:highlight w:val="none"/>
        </w:rPr>
        <w:t>13.6.4在工程实施中，暂列金额、暂估价所包含的工作范围和图纸、标准深化固定后，按照工程专业、设备、材料类别等分类汇总的金额，未达到法定招标范围标准也不适用政府采购规定，</w:t>
      </w:r>
      <w:r>
        <w:rPr>
          <w:rFonts w:hint="eastAsia" w:ascii="宋体" w:hAnsi="宋体" w:eastAsia="宋体" w:cs="宋体"/>
          <w:b/>
          <w:bCs/>
          <w:color w:val="auto"/>
          <w:kern w:val="0"/>
          <w:szCs w:val="21"/>
          <w:highlight w:val="none"/>
          <w:u w:val="single"/>
        </w:rPr>
        <w:t>经发包人同意，</w:t>
      </w:r>
      <w:r>
        <w:rPr>
          <w:rFonts w:hint="eastAsia" w:ascii="宋体" w:hAnsi="宋体" w:eastAsia="宋体" w:cs="宋体"/>
          <w:color w:val="auto"/>
          <w:kern w:val="0"/>
          <w:szCs w:val="21"/>
          <w:highlight w:val="none"/>
        </w:rPr>
        <w:t>承包人有法定的承包资格的，由承包人承包，承包人无法定的承包资格但有法定的分包权的，由承包人分包，招标人同承包人结算的价格按本投标须知13.5款规定确定。</w:t>
      </w:r>
    </w:p>
    <w:p w14:paraId="5144B10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条款号：13.8                         修改类型：修改</w:t>
      </w:r>
    </w:p>
    <w:p w14:paraId="47508F19">
      <w:pPr>
        <w:spacing w:line="360" w:lineRule="auto"/>
        <w:ind w:firstLine="422" w:firstLineChars="200"/>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rPr>
        <w:t>原文：</w:t>
      </w:r>
      <w:r>
        <w:rPr>
          <w:rFonts w:hint="eastAsia" w:ascii="宋体" w:hAnsi="宋体" w:eastAsia="宋体" w:cs="宋体"/>
          <w:color w:val="auto"/>
          <w:kern w:val="0"/>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0213C380">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13.8</w:t>
      </w:r>
      <w:r>
        <w:rPr>
          <w:rFonts w:hint="eastAsia" w:ascii="宋体" w:hAnsi="宋体" w:eastAsia="宋体" w:cs="宋体"/>
          <w:b/>
          <w:bCs/>
          <w:color w:val="auto"/>
          <w:szCs w:val="21"/>
          <w:highlight w:val="none"/>
          <w:u w:val="single"/>
        </w:rPr>
        <w:t>投标期间，投标人不需在投标文件中明确所选用主要材料、设备的品牌、厂家以及质量等级。实施期间，所有材料品牌选择均须报发包人、监理工程师确认，所有材料及成品质量必须满足设计与规范要求，且经检验合格后方可使用。</w:t>
      </w:r>
    </w:p>
    <w:p w14:paraId="1988ACA1">
      <w:pPr>
        <w:pBdr>
          <w:top w:val="single" w:color="auto" w:sz="4" w:space="1"/>
        </w:pBd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条款号：13.10                         修改类型：增加</w:t>
      </w:r>
    </w:p>
    <w:p w14:paraId="658DA0B6">
      <w:pPr>
        <w:pBdr>
          <w:top w:val="none" w:color="auto" w:sz="0" w:space="0"/>
          <w:left w:val="none" w:color="auto" w:sz="0" w:space="0"/>
          <w:bottom w:val="single" w:color="auto" w:sz="6" w:space="1"/>
          <w:right w:val="none" w:color="auto" w:sz="0" w:space="0"/>
          <w:between w:val="none" w:color="auto" w:sz="0" w:space="0"/>
        </w:pBdr>
        <w:shd w:val="clear" w:color="auto" w:fill="auto"/>
        <w:spacing w:line="360" w:lineRule="auto"/>
        <w:ind w:firstLine="422" w:firstLineChars="200"/>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现文：13.10工程量清单报价中有关问题的说明：</w:t>
      </w:r>
    </w:p>
    <w:p w14:paraId="7CBCECAF">
      <w:pPr>
        <w:numPr>
          <w:ilvl w:val="0"/>
          <w:numId w:val="4"/>
        </w:numPr>
        <w:pBdr>
          <w:top w:val="none" w:color="auto" w:sz="0" w:space="0"/>
          <w:left w:val="none" w:color="auto" w:sz="0" w:space="0"/>
          <w:bottom w:val="single" w:color="auto" w:sz="6" w:space="1"/>
          <w:right w:val="none" w:color="auto" w:sz="0" w:space="0"/>
          <w:between w:val="none" w:color="auto" w:sz="0" w:space="0"/>
        </w:pBdr>
        <w:shd w:val="clear" w:color="auto" w:fill="auto"/>
        <w:spacing w:line="360" w:lineRule="auto"/>
        <w:ind w:firstLine="422" w:firstLineChars="200"/>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投标时, 土石方单位工程中的土方单价，参照《广州开发区、萝岗区财政投资土地平整工程实施细则》（穗开环建〔2012〕197 号）及广州开发区管委会办公室《关于调整我区土地平整项 目土方单价的复函》（穗开内收〔2016〕58 号）设置最高限价：①土地平整综合单价按 3 公里内 13.2 元/立方米进行控制，运距超出 3 公里后每增加 1 公里运距的运土综合单价为 2.14 元/立方米，运距最高计算至 15 公里，若选定的弃土点超岀该地块 15 公里范围之外的，仍按 15 公里计算的综合单价 38.88 元/立方米包干。此综合单价包含挖填、运输、推平、压实、地块内清表、临时排水、临时道路、修坡工程费用及措施费、规费、税金。在项目实施过程中，如果上级部门重新出具新的土方限价文件，则在相应实施期按照相应文件对土方单价进行计取。②石方工程，距离厂房、民 房、桥梁及高速公路等建、构筑物 50 米范围内的控制爆破炸石综合单价按 70 元/立方米进行控制，50 米至 300米范围内的控制爆破炸石综合单价按60元/立方米进行控制；在高压线（1 万伏以上供电线路）周围300米范围内控制爆破炸石综合单价按70元/ 立方米进行控制，在高压线（1 万伏以上供电线路）周围 300 至 500 米范围内控制爆破 炸石综合单价按 60 元/立方米进行控制，其他范围内的炸石综合单价按 40 元/立方米进行控制，此综合单价包含挖土露石、炸石及土石方清运等综合费用，石方工程量按爆破前的天然密实体积计算。（因清表、树木砍伐和地上附着物的清理及土方工程中不能利用产生的余泥渣土排放由承包人按照有关规定进行外运，费用不另行计算）；石方工程单位工程内的石方静力爆破综合单价,单位工程量在 5 万立方以内按 192.93 元／立方米或单位工程量在 5 万立方以外按 176.58 元／立方米进行控制，此综合单价包含挖土露石、炸石及土石方清运及措施费、预算包干费、税金等综合费用。③其他单位工程中：余方弃置清单（含土方弃置、石方弃置、淤泥、泥浆弃置、废弃物弃置等），投标人依据招标文件提供的地勘报告、并自行完成现场踏勘及了解工程所在地政策，充分评估消纳场分布、运距、道路状况、交通管制等因素进行投标报价。④在项目实施过程中，如果区政府、管委会重新修订了新的土方平整工程土石方限价文件，则按新的文件执行。</w:t>
      </w:r>
    </w:p>
    <w:p w14:paraId="37B71CC3">
      <w:pPr>
        <w:pBdr>
          <w:top w:val="none" w:color="auto" w:sz="0" w:space="0"/>
          <w:left w:val="none" w:color="auto" w:sz="0" w:space="0"/>
          <w:bottom w:val="single" w:color="auto" w:sz="6" w:space="1"/>
          <w:right w:val="none" w:color="auto" w:sz="0" w:space="0"/>
          <w:between w:val="none" w:color="auto" w:sz="0" w:space="0"/>
        </w:pBdr>
        <w:shd w:val="clear" w:color="auto" w:fill="auto"/>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bCs/>
          <w:color w:val="auto"/>
          <w:sz w:val="21"/>
          <w:szCs w:val="21"/>
          <w:highlight w:val="none"/>
          <w:u w:val="single"/>
          <w:lang w:val="en-US" w:eastAsia="zh-CN"/>
        </w:rPr>
        <w:t>（2）工程量清单中措施项目清单费计价表中的安全生产措施费执行《关于调整&lt;广东省建设工程计价依据2018&gt; 计价规则的通知》（粤标定函〔2025〕22号)文，安全生产措施费按发包人公布的本工程招标控制价中的安全生产措施费计取，作为非竞争费用，在投标报价中单列，不参与投标竞价，该费用从工程施工中标价中提取，专款专用。</w:t>
      </w:r>
    </w:p>
    <w:p w14:paraId="228FDE4F">
      <w:pPr>
        <w:pBdr>
          <w:top w:val="single" w:color="auto" w:sz="4" w:space="1"/>
        </w:pBd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条款号：13.11                          修改类型：增加</w:t>
      </w:r>
    </w:p>
    <w:p w14:paraId="4A2272E4">
      <w:pPr>
        <w:pBdr>
          <w:bottom w:val="single" w:color="auto" w:sz="6" w:space="1"/>
        </w:pBd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
          <w:bCs/>
          <w:color w:val="auto"/>
          <w:szCs w:val="21"/>
          <w:highlight w:val="none"/>
          <w:u w:val="single"/>
        </w:rPr>
        <w:t>13.11中标人应对当地现有的交通道路状况进行充分调查，充分考虑该路段的交通疏导问题和文明施工，制定可行的交通疏导（包括场内和场外）方案，确保原有道路的交通畅通和施工临时排水的通畅，并符合施工环保要求。中标人应与交警及公路管理部门协商，取得同意和协助，并负责承担道路改线或改善和其他费用。相关费用</w:t>
      </w:r>
      <w:r>
        <w:rPr>
          <w:rFonts w:hint="eastAsia" w:ascii="宋体" w:hAnsi="宋体" w:eastAsia="宋体" w:cs="宋体"/>
          <w:b/>
          <w:bCs/>
          <w:color w:val="auto"/>
          <w:szCs w:val="21"/>
          <w:highlight w:val="none"/>
          <w:u w:val="single"/>
          <w:lang w:val="en-US" w:eastAsia="zh-CN"/>
        </w:rPr>
        <w:t>计入投标总价</w:t>
      </w:r>
      <w:r>
        <w:rPr>
          <w:rFonts w:hint="eastAsia" w:ascii="宋体" w:hAnsi="宋体" w:eastAsia="宋体" w:cs="宋体"/>
          <w:b/>
          <w:bCs/>
          <w:color w:val="auto"/>
          <w:szCs w:val="21"/>
          <w:highlight w:val="none"/>
          <w:u w:val="single"/>
        </w:rPr>
        <w:t>中，结算时按招标人（发包人）批准的实施方案，再按合同约定结算。如果中标人不及时按要求设置，招标人（发包人）可以另行委托实施，招标人（发包人）按实际发生的费用在工程款中扣除，中标人不得有任何异议。</w:t>
      </w:r>
    </w:p>
    <w:p w14:paraId="4B87725B">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条款号：13.12                          修改类型：增加</w:t>
      </w:r>
    </w:p>
    <w:p w14:paraId="08ECA1DA">
      <w:pPr>
        <w:pBdr>
          <w:top w:val="single" w:color="auto" w:sz="4" w:space="1"/>
          <w:bottom w:val="single" w:color="auto" w:sz="6" w:space="1"/>
        </w:pBdr>
        <w:spacing w:line="360" w:lineRule="auto"/>
        <w:ind w:firstLine="422" w:firstLineChars="200"/>
        <w:rPr>
          <w:rFonts w:ascii="宋体" w:hAnsi="宋体" w:eastAsia="宋体" w:cs="宋体"/>
          <w:b/>
          <w:bCs/>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b/>
          <w:bCs/>
          <w:color w:val="auto"/>
          <w:szCs w:val="21"/>
          <w:highlight w:val="none"/>
          <w:u w:val="single"/>
        </w:rPr>
        <w:t>13.12中标人应加强周边学校、居民住宅的环境保护，制定绿色施工安全防护措施（包括防尘、防噪音、施工围蔽等），施工现场严格按照《广州市建设工程文明施工管理规定》（</w:t>
      </w:r>
      <w:r>
        <w:rPr>
          <w:rFonts w:hint="eastAsia" w:ascii="宋体" w:hAnsi="宋体" w:eastAsia="宋体" w:cs="宋体"/>
          <w:b/>
          <w:bCs/>
          <w:color w:val="auto"/>
          <w:sz w:val="21"/>
          <w:szCs w:val="21"/>
          <w:highlight w:val="none"/>
          <w:u w:val="single"/>
          <w:vertAlign w:val="baseline"/>
          <w:lang w:val="en-US" w:eastAsia="zh-CN" w:bidi="ar-SA"/>
        </w:rPr>
        <w:t>广州市人民政府令第158号</w:t>
      </w:r>
      <w:r>
        <w:rPr>
          <w:rFonts w:hint="eastAsia" w:ascii="宋体" w:hAnsi="宋体" w:eastAsia="宋体" w:cs="宋体"/>
          <w:b/>
          <w:bCs/>
          <w:color w:val="auto"/>
          <w:szCs w:val="21"/>
          <w:highlight w:val="none"/>
          <w:u w:val="single"/>
        </w:rPr>
        <w:t>）</w:t>
      </w:r>
      <w:r>
        <w:rPr>
          <w:rFonts w:ascii="宋体" w:hAnsi="宋体" w:eastAsia="宋体" w:cs="宋体"/>
          <w:b/>
          <w:bCs/>
          <w:color w:val="auto"/>
          <w:szCs w:val="21"/>
          <w:highlight w:val="none"/>
          <w:u w:val="single"/>
        </w:rPr>
        <w:t>、《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w:t>
      </w:r>
      <w:r>
        <w:rPr>
          <w:rFonts w:hint="eastAsia" w:ascii="宋体" w:hAnsi="宋体" w:eastAsia="宋体" w:cs="宋体"/>
          <w:b/>
          <w:bCs/>
          <w:color w:val="auto"/>
          <w:szCs w:val="21"/>
          <w:highlight w:val="none"/>
          <w:u w:val="single"/>
        </w:rPr>
        <w:t>范建设施工现场围蔽的通知》（穗建质〔</w:t>
      </w:r>
      <w:r>
        <w:rPr>
          <w:rFonts w:ascii="宋体" w:hAnsi="宋体" w:eastAsia="宋体" w:cs="宋体"/>
          <w:b/>
          <w:bCs/>
          <w:color w:val="auto"/>
          <w:szCs w:val="21"/>
          <w:highlight w:val="none"/>
          <w:u w:val="single"/>
        </w:rPr>
        <w:t>2018〕1008号）、《广州市建设工程绿色施工围蔽指导图集（V2.0版）》(穗建质〔2020〕1号）、《危险性较大的分部分项工程安全管理规定》(中华人民共和国住房和城乡建设部令第47号)、《关于进一步落实我区市政建设项目施工围蔽提升工作的通知》（穗埔建[2019]123号）及《黄埔区住房和城乡建设局 广州开发区建设和交通局关于进一步规范全区建设工程施工围蔽标准的通知》（穗埔建﹝2020﹞183号）实施。以上文件要求不一致的，以后发布文件为准，若相关部门发布有关施工围蔽新</w:t>
      </w:r>
      <w:r>
        <w:rPr>
          <w:rFonts w:hint="eastAsia" w:ascii="宋体" w:hAnsi="宋体" w:eastAsia="宋体" w:cs="宋体"/>
          <w:b/>
          <w:bCs/>
          <w:color w:val="auto"/>
          <w:szCs w:val="21"/>
          <w:highlight w:val="none"/>
          <w:u w:val="single"/>
        </w:rPr>
        <w:t>文件规定的，按新规定执行。</w:t>
      </w:r>
      <w:r>
        <w:rPr>
          <w:rFonts w:hint="default" w:ascii="宋体" w:hAnsi="宋体" w:eastAsia="宋体" w:cs="宋体"/>
          <w:b/>
          <w:bCs/>
          <w:color w:val="auto"/>
          <w:sz w:val="21"/>
          <w:szCs w:val="21"/>
          <w:highlight w:val="none"/>
          <w:u w:val="single"/>
          <w:vertAlign w:val="baseline"/>
          <w:lang w:val="en-US" w:eastAsia="zh-CN" w:bidi="ar-SA"/>
        </w:rPr>
        <w:t>如中标人未及时按要求做好围蔽、落实工地扬尘防治等绿色施工安全防护措施，业主可另行委托单位实施，业主在工程款中扣减相应措施费用。中标人应当在项目施工前编制扬尘污染防治专项方案和扬尘污染防治费用使用计划，明确扬尘控制目标、防治部位、控制措施，并将扬尘污染防治费用专项使用</w:t>
      </w:r>
      <w:r>
        <w:rPr>
          <w:rFonts w:hint="eastAsia" w:ascii="宋体" w:hAnsi="宋体" w:eastAsia="宋体" w:cs="宋体"/>
          <w:b/>
          <w:bCs/>
          <w:color w:val="auto"/>
          <w:szCs w:val="21"/>
          <w:highlight w:val="none"/>
          <w:u w:val="single"/>
        </w:rPr>
        <w:t>。</w:t>
      </w:r>
    </w:p>
    <w:p w14:paraId="3B7840C0">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color w:val="auto"/>
          <w:szCs w:val="21"/>
          <w:highlight w:val="none"/>
        </w:rPr>
        <w:t>条</w:t>
      </w:r>
      <w:r>
        <w:rPr>
          <w:rFonts w:hint="eastAsia" w:ascii="宋体" w:hAnsi="宋体" w:eastAsia="宋体" w:cs="宋体"/>
          <w:b/>
          <w:bCs/>
          <w:color w:val="auto"/>
          <w:szCs w:val="21"/>
          <w:highlight w:val="none"/>
        </w:rPr>
        <w:t>款号：13.13                            修改类型：增加</w:t>
      </w:r>
    </w:p>
    <w:p w14:paraId="5369DF0B">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现文：</w:t>
      </w:r>
      <w:r>
        <w:rPr>
          <w:rFonts w:hint="eastAsia" w:ascii="宋体" w:hAnsi="宋体" w:eastAsia="宋体" w:cs="宋体"/>
          <w:b/>
          <w:bCs/>
          <w:color w:val="auto"/>
          <w:szCs w:val="21"/>
          <w:highlight w:val="none"/>
          <w:u w:val="single"/>
        </w:rPr>
        <w:t>13.13本工程中标人通过现场考察，提出具体施工方案，无论在工程施工期间或是在质量保修期内，若因施工而引起的一切索赔、赔偿、诉讼费用和其他开支，由中标人承担全部责任。该项费用包含在总投标报价中，</w:t>
      </w:r>
      <w:r>
        <w:rPr>
          <w:rFonts w:hint="eastAsia" w:ascii="宋体" w:hAnsi="宋体" w:eastAsia="宋体" w:cs="宋体"/>
          <w:b/>
          <w:bCs/>
          <w:color w:val="auto"/>
          <w:highlight w:val="none"/>
          <w:u w:val="single"/>
        </w:rPr>
        <w:t>该费用包干使用，且</w:t>
      </w:r>
      <w:r>
        <w:rPr>
          <w:rFonts w:hint="eastAsia" w:ascii="宋体" w:hAnsi="宋体" w:eastAsia="宋体" w:cs="宋体"/>
          <w:b/>
          <w:bCs/>
          <w:color w:val="auto"/>
          <w:szCs w:val="21"/>
          <w:highlight w:val="none"/>
          <w:u w:val="single"/>
        </w:rPr>
        <w:t>中标人不得以任何理由要求业主（发包人）另行增加该部分费用（中标人要充分考虑最不利因素影响而采用的施工方案所需的费用）。</w:t>
      </w:r>
    </w:p>
    <w:p w14:paraId="43B0333C">
      <w:pPr>
        <w:pBdr>
          <w:top w:val="single" w:color="auto" w:sz="4" w:space="1"/>
          <w:bottom w:val="single" w:color="auto" w:sz="6" w:space="1"/>
        </w:pBd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条款号：13.14                             修改类型：增加</w:t>
      </w:r>
    </w:p>
    <w:p w14:paraId="15C696F9">
      <w:pPr>
        <w:pBdr>
          <w:top w:val="single" w:color="auto" w:sz="4" w:space="1"/>
          <w:bottom w:val="single" w:color="auto" w:sz="6" w:space="1"/>
        </w:pBdr>
        <w:spacing w:line="360" w:lineRule="auto"/>
        <w:ind w:firstLine="422" w:firstLineChars="200"/>
        <w:rPr>
          <w:rFonts w:ascii="宋体" w:hAnsi="宋体" w:eastAsia="宋体" w:cs="宋体"/>
          <w:b/>
          <w:bCs/>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b/>
          <w:bCs/>
          <w:color w:val="auto"/>
          <w:szCs w:val="21"/>
          <w:highlight w:val="none"/>
          <w:u w:val="single"/>
        </w:rPr>
        <w:t>13.14投标单位应结合本工程招标内容对现场进行充分的调查，充分考虑工程招标内容及施工组织方案，中标人应与相关管理部门（如铁路管理部门）协商，取得同意协调，按要求完成工程招标内容，工程及相关费用包含在投标总价中，不另行计费。如果中标人不及时按要求完成，招标人可以另行委托实施，招标人（发包人）按实际发生的费用在工程款中扣除，中标人不得有任何异议。</w:t>
      </w:r>
    </w:p>
    <w:p w14:paraId="4AA7A857">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条款号：13.15                            修改类型：增加</w:t>
      </w:r>
    </w:p>
    <w:p w14:paraId="1CB44265">
      <w:pPr>
        <w:pBdr>
          <w:bottom w:val="single" w:color="auto" w:sz="6" w:space="1"/>
        </w:pBdr>
        <w:spacing w:line="360" w:lineRule="auto"/>
        <w:ind w:firstLine="422" w:firstLineChars="200"/>
        <w:rPr>
          <w:rFonts w:ascii="宋体" w:hAnsi="宋体" w:eastAsia="宋体" w:cs="宋体"/>
          <w:b/>
          <w:bCs/>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b/>
          <w:bCs/>
          <w:color w:val="auto"/>
          <w:szCs w:val="21"/>
          <w:highlight w:val="none"/>
          <w:u w:val="single"/>
        </w:rPr>
        <w:t>13.15中标人应根据区相关主管部门批复的水土保持实施方案及相关规定完成本工程的水土保持工作，承担防止水土流失职责，相关费用包含在投标总价中，不另行计费。如果中标人不及时按要求完成上述工作，招标人（发包人）可以另行委托实施，招标人（发包人）按实际发生的费用在工程款中扣除，中标人不得有任何异议。</w:t>
      </w:r>
    </w:p>
    <w:p w14:paraId="7F6B7057">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条款号：13.16                            修改类型：增加</w:t>
      </w:r>
    </w:p>
    <w:p w14:paraId="07CC9D4E">
      <w:pPr>
        <w:pBdr>
          <w:bottom w:val="single" w:color="auto" w:sz="6" w:space="1"/>
        </w:pBdr>
        <w:spacing w:line="360" w:lineRule="auto"/>
        <w:ind w:firstLine="422" w:firstLineChars="200"/>
        <w:rPr>
          <w:rFonts w:ascii="宋体" w:hAnsi="宋体" w:eastAsia="宋体" w:cs="宋体"/>
          <w:b/>
          <w:bCs/>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b/>
          <w:bCs/>
          <w:color w:val="auto"/>
          <w:szCs w:val="21"/>
          <w:highlight w:val="none"/>
          <w:u w:val="single"/>
        </w:rPr>
        <w:t>13.16中标人应使用绿色生产达标企业生产的混凝土，若不遵守承诺，自愿按不履行合同约定处理。</w:t>
      </w:r>
    </w:p>
    <w:p w14:paraId="2C328B1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条款号：13.17                            修改类型：增加</w:t>
      </w:r>
    </w:p>
    <w:p w14:paraId="0F6B133D">
      <w:pPr>
        <w:pBdr>
          <w:bottom w:val="single" w:color="auto" w:sz="6" w:space="1"/>
        </w:pBd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
          <w:bCs/>
          <w:color w:val="auto"/>
          <w:szCs w:val="21"/>
          <w:highlight w:val="none"/>
          <w:u w:val="single"/>
        </w:rPr>
        <w:t>13.17中标人应按有关规定协助建设业主（发包人）完成公共排水设施竣工图纸备案工作。</w:t>
      </w:r>
    </w:p>
    <w:p w14:paraId="15547E01">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条款号：15.2</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修改类型：修改</w:t>
      </w:r>
    </w:p>
    <w:p w14:paraId="6CCE7B9D">
      <w:pPr>
        <w:spacing w:line="360" w:lineRule="auto"/>
        <w:ind w:firstLine="422" w:firstLineChars="200"/>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原文：</w:t>
      </w:r>
      <w:r>
        <w:rPr>
          <w:rFonts w:hint="eastAsia" w:ascii="宋体" w:hAnsi="宋体" w:eastAsia="宋体" w:cs="宋体"/>
          <w:color w:val="auto"/>
          <w:kern w:val="0"/>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503D30F6">
      <w:pPr>
        <w:pBdr>
          <w:bottom w:val="single" w:color="auto" w:sz="6" w:space="1"/>
        </w:pBd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15.2在特殊情况下，招标人在原定投标有效期内，可以根据需要以书面形式向投标人提出延长投标有效期的要求，对此要求投标人须以书面形式予以答复。</w:t>
      </w:r>
      <w:r>
        <w:rPr>
          <w:rFonts w:hint="eastAsia" w:ascii="宋体" w:hAnsi="宋体" w:eastAsia="宋体" w:cs="宋体"/>
          <w:b/>
          <w:bCs/>
          <w:color w:val="auto"/>
          <w:szCs w:val="21"/>
          <w:highlight w:val="none"/>
          <w:u w:val="single"/>
        </w:rPr>
        <w:t>投标人可以拒绝招标人这种要求。同意延长投标有效期的投标人既不能要求也不允许修改其投标文件。</w:t>
      </w:r>
    </w:p>
    <w:p w14:paraId="62E968BF">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条款号：16                         修改类型：修改</w:t>
      </w:r>
    </w:p>
    <w:p w14:paraId="7979A6E6">
      <w:pPr>
        <w:pBdr>
          <w:bottom w:val="none" w:color="auto" w:sz="0" w:space="1"/>
        </w:pBd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原文：16. 投标保证金</w:t>
      </w:r>
    </w:p>
    <w:p w14:paraId="2928CE20">
      <w:pPr>
        <w:pBdr>
          <w:bottom w:val="single" w:color="auto" w:sz="6" w:space="1"/>
        </w:pBd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16.1投标人应按国家、省、市有关规定和投标须知前附表第16项所述金额和时间递交投标保证金。招标人应当允许投标人自主选择现金、银行保函、保证保险、专业工程担保公司担保等方式缴纳投标保证金。</w:t>
      </w:r>
    </w:p>
    <w:p w14:paraId="28743349">
      <w:pPr>
        <w:pBdr>
          <w:bottom w:val="single" w:color="auto" w:sz="6" w:space="1"/>
        </w:pBd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16.1.1 采用现金或者支票形式提交的，投标保证金须从投标人的银行基本账户转出。</w:t>
      </w:r>
    </w:p>
    <w:p w14:paraId="220D377A">
      <w:pPr>
        <w:pBdr>
          <w:bottom w:val="single" w:color="auto" w:sz="6" w:space="1"/>
        </w:pBd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63103F8F">
      <w:pPr>
        <w:pBdr>
          <w:bottom w:val="single" w:color="auto" w:sz="6" w:space="1"/>
        </w:pBd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16.1.3 采用电子形式的保函、担保或保证保险提交投标保证金的，应在招标文件中明确电子递交途径。</w:t>
      </w:r>
    </w:p>
    <w:p w14:paraId="1A733363">
      <w:pPr>
        <w:pBdr>
          <w:bottom w:val="single" w:color="auto" w:sz="6" w:space="1"/>
        </w:pBd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04F716FC">
      <w:pPr>
        <w:pBdr>
          <w:bottom w:val="single" w:color="auto" w:sz="6" w:space="1"/>
        </w:pBd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16.3投标保证金应依据法律法规的相关规定退还。</w:t>
      </w:r>
    </w:p>
    <w:p w14:paraId="09B734CA">
      <w:pPr>
        <w:pBdr>
          <w:bottom w:val="single" w:color="auto" w:sz="6" w:space="1"/>
        </w:pBd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16.4如有下列情况之一的，招标人可以不予退还投标保证金（是否退还投标保证金由招标人依法依规在招标文件中规定）：</w:t>
      </w:r>
    </w:p>
    <w:p w14:paraId="0F13A44F">
      <w:pPr>
        <w:pBdr>
          <w:bottom w:val="single" w:color="auto" w:sz="6" w:space="1"/>
        </w:pBd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16.5投标人如存在下列情况之一的，将被拒绝在一定时期内参与招标人后续工程投标（由招标人依法依规在招标文件中明确）：</w:t>
      </w:r>
    </w:p>
    <w:p w14:paraId="1241EA48">
      <w:pPr>
        <w:pBdr>
          <w:bottom w:val="single" w:color="auto" w:sz="6" w:space="1"/>
        </w:pBd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现文：16. 投标保证金</w:t>
      </w:r>
    </w:p>
    <w:p w14:paraId="624A64D4">
      <w:pPr>
        <w:pBdr>
          <w:bottom w:val="single" w:color="auto" w:sz="6" w:space="1"/>
        </w:pBdr>
        <w:spacing w:line="360" w:lineRule="auto"/>
        <w:ind w:firstLine="420" w:firstLineChars="200"/>
        <w:rPr>
          <w:rFonts w:ascii="宋体" w:hAnsi="宋体" w:eastAsia="宋体" w:cs="宋体"/>
          <w:b/>
          <w:bCs/>
          <w:color w:val="auto"/>
          <w:szCs w:val="21"/>
          <w:highlight w:val="none"/>
        </w:rPr>
      </w:pPr>
      <w:r>
        <w:rPr>
          <w:rFonts w:hint="eastAsia" w:ascii="宋体" w:hAnsi="宋体" w:eastAsia="宋体" w:cs="宋体"/>
          <w:color w:val="auto"/>
          <w:szCs w:val="21"/>
          <w:highlight w:val="none"/>
        </w:rPr>
        <w:t>16.1</w:t>
      </w:r>
      <w:r>
        <w:rPr>
          <w:rFonts w:hint="eastAsia" w:ascii="宋体" w:hAnsi="宋体" w:eastAsia="宋体" w:cs="宋体"/>
          <w:b/>
          <w:bCs/>
          <w:color w:val="auto"/>
          <w:szCs w:val="21"/>
          <w:highlight w:val="none"/>
          <w:u w:val="single"/>
        </w:rPr>
        <w:t>本项目不收投标保证金</w:t>
      </w:r>
      <w:r>
        <w:rPr>
          <w:rFonts w:hint="eastAsia" w:ascii="宋体" w:hAnsi="宋体" w:eastAsia="宋体" w:cs="宋体"/>
          <w:b/>
          <w:bCs/>
          <w:color w:val="auto"/>
          <w:szCs w:val="21"/>
          <w:highlight w:val="none"/>
        </w:rPr>
        <w:t>。</w:t>
      </w:r>
    </w:p>
    <w:p w14:paraId="45C2A588">
      <w:pPr>
        <w:spacing w:line="360" w:lineRule="auto"/>
        <w:ind w:firstLine="422" w:firstLineChars="2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条款号：</w:t>
      </w:r>
      <w:r>
        <w:rPr>
          <w:rFonts w:hint="eastAsia" w:ascii="宋体" w:hAnsi="宋体" w:eastAsia="宋体" w:cs="宋体"/>
          <w:b/>
          <w:bCs/>
          <w:color w:val="auto"/>
          <w:kern w:val="0"/>
          <w:szCs w:val="21"/>
          <w:highlight w:val="none"/>
        </w:rPr>
        <w:t xml:space="preserve">17       </w:t>
      </w:r>
      <w:r>
        <w:rPr>
          <w:rFonts w:hint="eastAsia" w:ascii="宋体" w:hAnsi="宋体" w:eastAsia="宋体" w:cs="宋体"/>
          <w:b/>
          <w:color w:val="auto"/>
          <w:kern w:val="0"/>
          <w:szCs w:val="21"/>
          <w:highlight w:val="none"/>
        </w:rPr>
        <w:t xml:space="preserve">                        修改类型：修改</w:t>
      </w:r>
    </w:p>
    <w:p w14:paraId="7A6D59A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17．投标文件的签署</w:t>
      </w:r>
    </w:p>
    <w:p w14:paraId="7B50A312">
      <w:pPr>
        <w:spacing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color w:val="auto"/>
          <w:szCs w:val="21"/>
          <w:highlight w:val="none"/>
        </w:rPr>
        <w:t>17.1</w:t>
      </w:r>
      <w:r>
        <w:rPr>
          <w:rFonts w:hint="eastAsia" w:ascii="宋体" w:hAnsi="宋体" w:eastAsia="宋体" w:cs="宋体"/>
          <w:bCs/>
          <w:color w:val="auto"/>
          <w:kern w:val="0"/>
          <w:szCs w:val="21"/>
          <w:highlight w:val="none"/>
        </w:rPr>
        <w:t>投标人应采用单位数字证书，按招标文件要求在相应位置加盖电子印章。投标文件中需个人签字或盖章的，</w:t>
      </w:r>
      <w:r>
        <w:rPr>
          <w:rFonts w:hint="eastAsia" w:ascii="宋体" w:hAnsi="宋体" w:eastAsia="宋体" w:cs="宋体"/>
          <w:color w:val="auto"/>
          <w:kern w:val="0"/>
          <w:szCs w:val="21"/>
          <w:highlight w:val="none"/>
        </w:rPr>
        <w:t>应加盖个人电子印章或在线下完成后扫描上传。</w:t>
      </w:r>
      <w:r>
        <w:rPr>
          <w:rFonts w:hint="eastAsia" w:ascii="宋体" w:hAnsi="宋体" w:eastAsia="宋体" w:cs="宋体"/>
          <w:bCs/>
          <w:color w:val="auto"/>
          <w:kern w:val="0"/>
          <w:szCs w:val="21"/>
          <w:highlight w:val="none"/>
        </w:rPr>
        <w:t>按照交易平台关于全流程电子化项目的相关指南进行操作。详见：</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w:t>
      </w:r>
    </w:p>
    <w:p w14:paraId="19FE6542">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bCs/>
          <w:color w:val="auto"/>
          <w:szCs w:val="21"/>
          <w:highlight w:val="none"/>
        </w:rPr>
        <w:t>现文：</w:t>
      </w:r>
      <w:r>
        <w:rPr>
          <w:rFonts w:hint="eastAsia" w:ascii="宋体" w:hAnsi="宋体" w:eastAsia="宋体" w:cs="宋体"/>
          <w:color w:val="auto"/>
          <w:szCs w:val="21"/>
          <w:highlight w:val="none"/>
        </w:rPr>
        <w:t>17．投标文件的签署</w:t>
      </w:r>
      <w:r>
        <w:rPr>
          <w:rFonts w:hint="eastAsia" w:ascii="宋体" w:hAnsi="宋体" w:eastAsia="宋体" w:cs="宋体"/>
          <w:b/>
          <w:bCs/>
          <w:color w:val="auto"/>
          <w:szCs w:val="21"/>
          <w:highlight w:val="none"/>
          <w:u w:val="single"/>
        </w:rPr>
        <w:t>及份数</w:t>
      </w:r>
    </w:p>
    <w:p w14:paraId="16FC94E9">
      <w:pPr>
        <w:pBdr>
          <w:bottom w:val="single" w:color="auto" w:sz="6" w:space="1"/>
        </w:pBdr>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bCs/>
          <w:color w:val="auto"/>
          <w:szCs w:val="21"/>
          <w:highlight w:val="none"/>
        </w:rPr>
        <w:t>17.1</w:t>
      </w:r>
      <w:r>
        <w:rPr>
          <w:rFonts w:hint="eastAsia" w:ascii="宋体" w:hAnsi="宋体" w:eastAsia="宋体" w:cs="宋体"/>
          <w:color w:val="auto"/>
          <w:szCs w:val="21"/>
          <w:highlight w:val="none"/>
        </w:rPr>
        <w:t>投标人应采用单位数字证书，</w:t>
      </w:r>
      <w:r>
        <w:rPr>
          <w:rFonts w:hint="eastAsia" w:ascii="宋体" w:hAnsi="宋体" w:eastAsia="宋体" w:cs="宋体"/>
          <w:b/>
          <w:bCs/>
          <w:color w:val="auto"/>
          <w:szCs w:val="21"/>
          <w:highlight w:val="none"/>
          <w:u w:val="single"/>
        </w:rPr>
        <w:t>对投标文件</w:t>
      </w:r>
      <w:r>
        <w:rPr>
          <w:rFonts w:hint="eastAsia" w:ascii="宋体" w:hAnsi="宋体" w:eastAsia="宋体" w:cs="宋体"/>
          <w:color w:val="auto"/>
          <w:szCs w:val="21"/>
          <w:highlight w:val="none"/>
        </w:rPr>
        <w:t>加盖电子印章。投标文件</w:t>
      </w:r>
      <w:r>
        <w:rPr>
          <w:rFonts w:hint="eastAsia" w:ascii="宋体" w:hAnsi="宋体" w:eastAsia="宋体" w:cs="宋体"/>
          <w:b/>
          <w:bCs/>
          <w:color w:val="auto"/>
          <w:szCs w:val="21"/>
          <w:highlight w:val="none"/>
          <w:u w:val="single"/>
        </w:rPr>
        <w:t>（含资格审查文件）</w:t>
      </w:r>
      <w:r>
        <w:rPr>
          <w:rFonts w:hint="eastAsia" w:ascii="宋体" w:hAnsi="宋体" w:eastAsia="宋体" w:cs="宋体"/>
          <w:color w:val="auto"/>
          <w:szCs w:val="21"/>
          <w:highlight w:val="none"/>
        </w:rPr>
        <w:t>中需个人签字或盖章的，应加盖个人电子印章或在线下完成后</w:t>
      </w:r>
      <w:r>
        <w:rPr>
          <w:rFonts w:hint="eastAsia" w:ascii="宋体" w:hAnsi="宋体" w:eastAsia="宋体" w:cs="宋体"/>
          <w:b/>
          <w:bCs/>
          <w:color w:val="auto"/>
          <w:szCs w:val="21"/>
          <w:highlight w:val="none"/>
          <w:u w:val="single"/>
        </w:rPr>
        <w:t>原件</w:t>
      </w:r>
      <w:r>
        <w:rPr>
          <w:rFonts w:hint="eastAsia" w:ascii="宋体" w:hAnsi="宋体" w:eastAsia="宋体" w:cs="宋体"/>
          <w:color w:val="auto"/>
          <w:szCs w:val="21"/>
          <w:highlight w:val="none"/>
        </w:rPr>
        <w:t>扫描上传。按照广州交易集团有限公司（广州公共资源交易中心）交易平台关于全流程电子化项目的相关指南进行操作。详见：</w:t>
      </w:r>
      <w:r>
        <w:rPr>
          <w:rFonts w:hint="eastAsia" w:ascii="宋体" w:hAnsi="宋体" w:eastAsia="宋体" w:cs="宋体"/>
          <w:b/>
          <w:bCs/>
          <w:color w:val="auto"/>
          <w:szCs w:val="21"/>
          <w:highlight w:val="none"/>
          <w:u w:val="single"/>
        </w:rPr>
        <w:t>广州交易集团有限公司（广州公共资源交易中心）网站最新指引。</w:t>
      </w:r>
    </w:p>
    <w:p w14:paraId="79C74391">
      <w:pPr>
        <w:pBdr>
          <w:bottom w:val="single" w:color="auto" w:sz="6" w:space="1"/>
        </w:pBd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u w:val="single"/>
        </w:rPr>
        <w:t>17.2投标文件份数为含电子印章的加密电子投标文件1套。中标人在签订合同前需向招标人另行提供与投标递交的电子标书一致且加盖单位公章的纸质投标文件（含投标人须知11.3列表明细包含的所有工程量清单报价表）</w:t>
      </w:r>
      <w:r>
        <w:rPr>
          <w:rFonts w:hint="eastAsia" w:ascii="宋体" w:hAnsi="宋体" w:eastAsia="宋体" w:cs="宋体"/>
          <w:b/>
          <w:bCs/>
          <w:color w:val="auto"/>
          <w:szCs w:val="21"/>
          <w:highlight w:val="none"/>
          <w:u w:val="single"/>
          <w:lang w:val="en-US" w:eastAsia="zh-CN"/>
        </w:rPr>
        <w:t>3</w:t>
      </w:r>
      <w:r>
        <w:rPr>
          <w:rFonts w:hint="eastAsia" w:ascii="宋体" w:hAnsi="宋体" w:eastAsia="宋体" w:cs="宋体"/>
          <w:b/>
          <w:bCs/>
          <w:color w:val="auto"/>
          <w:szCs w:val="21"/>
          <w:highlight w:val="none"/>
          <w:u w:val="single"/>
        </w:rPr>
        <w:t>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软件或广州交易集团有限公司（广州公共资源交易中心）提供的投标书制作软件制作的经济投标文件其他部分。电子文件介质使用CD-R光盘，所有电子文件不能采用压缩处理）。</w:t>
      </w:r>
    </w:p>
    <w:p w14:paraId="08309C16">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bCs/>
          <w:color w:val="auto"/>
          <w:szCs w:val="21"/>
          <w:highlight w:val="none"/>
        </w:rPr>
        <w:t>18.</w:t>
      </w:r>
      <w:r>
        <w:rPr>
          <w:rFonts w:hint="eastAsia" w:ascii="宋体" w:hAnsi="宋体" w:eastAsia="宋体" w:cs="宋体"/>
          <w:b/>
          <w:color w:val="auto"/>
          <w:szCs w:val="21"/>
          <w:highlight w:val="none"/>
        </w:rPr>
        <w:t xml:space="preserve">                               修改类型：修改</w:t>
      </w:r>
    </w:p>
    <w:p w14:paraId="6F1D1303">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18．</w:t>
      </w:r>
      <w:r>
        <w:rPr>
          <w:rFonts w:hint="eastAsia" w:ascii="宋体" w:hAnsi="宋体" w:eastAsia="宋体" w:cs="宋体"/>
          <w:color w:val="auto"/>
          <w:szCs w:val="21"/>
          <w:highlight w:val="none"/>
        </w:rPr>
        <w:t>投标文件的密封和标记</w:t>
      </w:r>
    </w:p>
    <w:p w14:paraId="292D6ACC">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18.1递交的电子投标文件（不含备用光盘）必须进行加密。按照交易平台关于</w:t>
      </w:r>
      <w:r>
        <w:rPr>
          <w:rFonts w:hint="eastAsia" w:ascii="宋体" w:hAnsi="宋体" w:eastAsia="宋体" w:cs="宋体"/>
          <w:color w:val="auto"/>
          <w:szCs w:val="21"/>
          <w:highlight w:val="none"/>
        </w:rPr>
        <w:t>全流程电子化项目的相关指南进行操作。详见：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F76B57D">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18.2 未按要求加密的投标文件，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w:t>
      </w:r>
      <w:r>
        <w:rPr>
          <w:rFonts w:hint="eastAsia" w:ascii="宋体" w:hAnsi="宋体" w:eastAsia="宋体" w:cs="宋体"/>
          <w:bCs/>
          <w:color w:val="auto"/>
          <w:szCs w:val="21"/>
          <w:highlight w:val="none"/>
        </w:rPr>
        <w:t>将予以拒收。</w:t>
      </w:r>
    </w:p>
    <w:p w14:paraId="3E923F68">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 xml:space="preserve">18. </w:t>
      </w:r>
      <w:r>
        <w:rPr>
          <w:rFonts w:hint="eastAsia" w:ascii="宋体" w:hAnsi="宋体" w:eastAsia="宋体" w:cs="宋体"/>
          <w:b/>
          <w:bCs/>
          <w:color w:val="auto"/>
          <w:szCs w:val="21"/>
          <w:highlight w:val="none"/>
          <w:u w:val="single"/>
        </w:rPr>
        <w:t>电子</w:t>
      </w:r>
      <w:r>
        <w:rPr>
          <w:rFonts w:hint="eastAsia" w:ascii="宋体" w:hAnsi="宋体" w:eastAsia="宋体" w:cs="宋体"/>
          <w:color w:val="auto"/>
          <w:szCs w:val="21"/>
          <w:highlight w:val="none"/>
        </w:rPr>
        <w:t>投标文件的密封和标记</w:t>
      </w:r>
    </w:p>
    <w:p w14:paraId="4BA0A28C">
      <w:pPr>
        <w:spacing w:line="360" w:lineRule="auto"/>
        <w:ind w:firstLine="420" w:firstLineChars="200"/>
        <w:rPr>
          <w:rFonts w:ascii="宋体" w:hAnsi="宋体" w:eastAsia="宋体" w:cs="宋体"/>
          <w:b/>
          <w:bCs/>
          <w:color w:val="auto"/>
          <w:szCs w:val="21"/>
          <w:highlight w:val="none"/>
          <w:u w:val="single"/>
        </w:rPr>
      </w:pPr>
      <w:r>
        <w:rPr>
          <w:rFonts w:hint="eastAsia" w:ascii="宋体" w:hAnsi="宋体" w:eastAsia="宋体" w:cs="宋体"/>
          <w:color w:val="auto"/>
          <w:szCs w:val="21"/>
          <w:highlight w:val="none"/>
        </w:rPr>
        <w:t>18.1递交的电子投标文件（不含备用光盘）必须进行加密。按照</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交易平台关于全流程电子化项目的相关指南进行操作。详见：</w:t>
      </w:r>
      <w:r>
        <w:rPr>
          <w:rFonts w:hint="eastAsia" w:ascii="宋体" w:hAnsi="宋体" w:eastAsia="宋体" w:cs="宋体"/>
          <w:b/>
          <w:bCs/>
          <w:color w:val="auto"/>
          <w:szCs w:val="21"/>
          <w:highlight w:val="none"/>
          <w:u w:val="single"/>
        </w:rPr>
        <w:t>广州交易集团有限公司（广州公共资源交易中心）网站最新指引。</w:t>
      </w:r>
    </w:p>
    <w:p w14:paraId="18EBD79C">
      <w:pPr>
        <w:pBdr>
          <w:bottom w:val="single" w:color="auto" w:sz="6" w:space="1"/>
        </w:pBd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18.2</w:t>
      </w:r>
      <w:r>
        <w:rPr>
          <w:rFonts w:hint="eastAsia" w:ascii="宋体" w:hAnsi="宋体" w:eastAsia="宋体" w:cs="宋体"/>
          <w:bCs/>
          <w:color w:val="auto"/>
          <w:szCs w:val="21"/>
          <w:highlight w:val="none"/>
        </w:rPr>
        <w:t>未按要求加密的投标文件，</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w:t>
      </w:r>
      <w:r>
        <w:rPr>
          <w:rFonts w:hint="eastAsia" w:ascii="宋体" w:hAnsi="宋体" w:eastAsia="宋体" w:cs="宋体"/>
          <w:bCs/>
          <w:color w:val="auto"/>
          <w:szCs w:val="21"/>
          <w:highlight w:val="none"/>
        </w:rPr>
        <w:t>将予以拒收。</w:t>
      </w:r>
    </w:p>
    <w:p w14:paraId="3FE7704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条款号： </w:t>
      </w:r>
      <w:r>
        <w:rPr>
          <w:rFonts w:hint="eastAsia" w:ascii="宋体" w:hAnsi="宋体" w:eastAsia="宋体" w:cs="宋体"/>
          <w:b/>
          <w:bCs/>
          <w:color w:val="auto"/>
          <w:szCs w:val="21"/>
          <w:highlight w:val="none"/>
        </w:rPr>
        <w:t>19．</w:t>
      </w:r>
      <w:r>
        <w:rPr>
          <w:rFonts w:hint="eastAsia" w:ascii="宋体" w:hAnsi="宋体" w:eastAsia="宋体" w:cs="宋体"/>
          <w:b/>
          <w:color w:val="auto"/>
          <w:szCs w:val="21"/>
          <w:highlight w:val="none"/>
        </w:rPr>
        <w:t xml:space="preserve">                              修改类型：修改</w:t>
      </w:r>
    </w:p>
    <w:p w14:paraId="13818DCE">
      <w:pPr>
        <w:spacing w:line="360" w:lineRule="auto"/>
        <w:ind w:firstLine="422" w:firstLineChars="200"/>
        <w:rPr>
          <w:rFonts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19.投标文件的递交和接收</w:t>
      </w:r>
    </w:p>
    <w:p w14:paraId="293FA133">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19.1投标人通过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交易平台递交电子投标文件。</w:t>
      </w:r>
    </w:p>
    <w:p w14:paraId="18D14A2D">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19.2投标人完成电子</w:t>
      </w:r>
      <w:r>
        <w:rPr>
          <w:rFonts w:hint="eastAsia" w:ascii="宋体" w:hAnsi="宋体" w:eastAsia="宋体" w:cs="宋体"/>
          <w:color w:val="auto"/>
          <w:szCs w:val="21"/>
          <w:highlight w:val="none"/>
        </w:rPr>
        <w:t>投标文件</w:t>
      </w:r>
      <w:r>
        <w:rPr>
          <w:rFonts w:hint="eastAsia" w:ascii="宋体" w:hAnsi="宋体" w:eastAsia="宋体" w:cs="宋体"/>
          <w:bCs/>
          <w:color w:val="auto"/>
          <w:szCs w:val="21"/>
          <w:highlight w:val="none"/>
        </w:rPr>
        <w:t>上传后，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交易平台即时向投标人发出递交回执通知。递交时间以递交回执通知载明的传输完成时间为准。</w:t>
      </w:r>
    </w:p>
    <w:p w14:paraId="1615FD6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bCs/>
          <w:color w:val="auto"/>
          <w:szCs w:val="21"/>
          <w:highlight w:val="none"/>
        </w:rPr>
        <w:t>19.3逾期送达的电子投标文件，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交易平台将予以拒收。</w:t>
      </w:r>
    </w:p>
    <w:p w14:paraId="7C4B060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19.4 投标截止前，招标人拒绝接收符合条件的投标文件，投标人可向招标投标监督机构投诉。</w:t>
      </w:r>
    </w:p>
    <w:p w14:paraId="0587346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19.5如技术标和经济标先后分别开启，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交易平台将按招标文件规定的时间分别开启技术标和经济标。</w:t>
      </w:r>
    </w:p>
    <w:p w14:paraId="224C0B3A">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rPr>
        <w:t>19.投标文件的递交和接收</w:t>
      </w:r>
    </w:p>
    <w:p w14:paraId="42A57A3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19.1投标人通过</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交易平台递交电子投标文件。</w:t>
      </w:r>
    </w:p>
    <w:p w14:paraId="721DE98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19.2投标人完成电子投标文件上传后，</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交易平台即时向投标人发出递交回执通知。递交时间以递交回执通知载明的传输完成时间为准。</w:t>
      </w:r>
    </w:p>
    <w:p w14:paraId="3778F30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19.3逾期送达的电子投标文件，</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交易平台将予以拒收。</w:t>
      </w:r>
    </w:p>
    <w:p w14:paraId="4363F74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19.4 投标截止前，招标人拒绝接收符合条件的投标文件，投标人可向招标投标监督机构投诉。</w:t>
      </w:r>
    </w:p>
    <w:p w14:paraId="1E159622">
      <w:pPr>
        <w:pBdr>
          <w:bottom w:val="single" w:color="auto" w:sz="4" w:space="0"/>
        </w:pBdr>
        <w:spacing w:line="360" w:lineRule="auto"/>
        <w:ind w:firstLine="420" w:firstLineChars="200"/>
        <w:rPr>
          <w:rFonts w:ascii="宋体" w:hAnsi="宋体" w:eastAsia="宋体" w:cs="宋体"/>
          <w:b/>
          <w:bCs/>
          <w:color w:val="auto"/>
          <w:szCs w:val="21"/>
          <w:highlight w:val="none"/>
          <w:u w:val="single"/>
        </w:rPr>
      </w:pPr>
      <w:r>
        <w:rPr>
          <w:rFonts w:hint="eastAsia" w:ascii="宋体" w:hAnsi="宋体" w:eastAsia="宋体" w:cs="宋体"/>
          <w:color w:val="auto"/>
          <w:szCs w:val="21"/>
          <w:highlight w:val="none"/>
        </w:rPr>
        <w:t>19.5</w:t>
      </w:r>
      <w:r>
        <w:rPr>
          <w:rFonts w:hint="eastAsia" w:ascii="宋体" w:hAnsi="宋体" w:eastAsia="宋体" w:cs="宋体"/>
          <w:b/>
          <w:bCs/>
          <w:color w:val="auto"/>
          <w:szCs w:val="21"/>
          <w:highlight w:val="none"/>
          <w:u w:val="single"/>
        </w:rPr>
        <w:t>广州交易集团有限公司（广州公共资源交易中心）交易平台将按招标文件规定的时间同时开启技术标（含资格审查文件）、经济标及定标文件。</w:t>
      </w:r>
    </w:p>
    <w:p w14:paraId="15FD915F">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条款号：20.3                                   修改类型：修改</w:t>
      </w:r>
    </w:p>
    <w:p w14:paraId="3C031C72">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20.3 到投标截止时间止，招标人收到的投标文件少于3家的，招标人将重新组织招标（当N个标段同时招标且不允许兼中时，若有效投标人不足N+2家，则重新组织招标）。</w:t>
      </w:r>
    </w:p>
    <w:p w14:paraId="0ED7BB3E">
      <w:pPr>
        <w:pBdr>
          <w:bottom w:val="single" w:color="auto" w:sz="6" w:space="1"/>
        </w:pBdr>
        <w:spacing w:line="360" w:lineRule="auto"/>
        <w:ind w:firstLine="422" w:firstLineChars="200"/>
        <w:rPr>
          <w:rFonts w:ascii="宋体" w:hAnsi="宋体" w:eastAsia="宋体" w:cs="宋体"/>
          <w:b/>
          <w:bCs/>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20.3 到投标截止时间止，招标人收到的投标文件少于3家的，招标人将重新组织招标</w:t>
      </w:r>
      <w:r>
        <w:rPr>
          <w:rFonts w:hint="eastAsia" w:ascii="宋体" w:hAnsi="宋体" w:eastAsia="宋体" w:cs="宋体"/>
          <w:strike/>
          <w:color w:val="auto"/>
          <w:szCs w:val="21"/>
          <w:highlight w:val="none"/>
        </w:rPr>
        <w:t>（当N个标段同时招标且不允许兼中时，若有效投标人不足N+2家，则重新组织招标）</w:t>
      </w:r>
      <w:r>
        <w:rPr>
          <w:rFonts w:hint="eastAsia" w:ascii="宋体" w:hAnsi="宋体" w:eastAsia="宋体" w:cs="宋体"/>
          <w:color w:val="auto"/>
          <w:szCs w:val="21"/>
          <w:highlight w:val="none"/>
        </w:rPr>
        <w:t>。</w:t>
      </w:r>
    </w:p>
    <w:p w14:paraId="1AB3555F">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条款号：21.1                                   修改类型：修改</w:t>
      </w:r>
    </w:p>
    <w:p w14:paraId="086055BE">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21.1 本须知前附表第17项规定的投标截止时间</w:t>
      </w:r>
      <w:r>
        <w:rPr>
          <w:rFonts w:hint="eastAsia" w:ascii="宋体" w:hAnsi="宋体" w:eastAsia="宋体" w:cs="宋体"/>
          <w:bCs/>
          <w:color w:val="auto"/>
          <w:szCs w:val="21"/>
          <w:highlight w:val="none"/>
        </w:rPr>
        <w:t>后送达的电子投标文件，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交易平台将予以拒收。</w:t>
      </w:r>
    </w:p>
    <w:p w14:paraId="26D6593C">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21.1 本须知前附表第17项规定的投标截止时间</w:t>
      </w:r>
      <w:r>
        <w:rPr>
          <w:rFonts w:hint="eastAsia" w:ascii="宋体" w:hAnsi="宋体" w:eastAsia="宋体" w:cs="宋体"/>
          <w:bCs/>
          <w:color w:val="auto"/>
          <w:szCs w:val="21"/>
          <w:highlight w:val="none"/>
        </w:rPr>
        <w:t>后送达的电子投标文件，</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交易平台将予以拒收。</w:t>
      </w:r>
    </w:p>
    <w:p w14:paraId="41478FE2">
      <w:pPr>
        <w:spacing w:line="360" w:lineRule="auto"/>
        <w:ind w:firstLine="422" w:firstLineChars="200"/>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条款号：24.1                       修改类型：修改</w:t>
      </w:r>
    </w:p>
    <w:p w14:paraId="2FE2ADDE">
      <w:pPr>
        <w:spacing w:line="360" w:lineRule="auto"/>
        <w:ind w:firstLine="422" w:firstLineChars="200"/>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24.1 开标后，直至中标公示为止，凡属于对投标文件的审查、澄清、评价和比较有关的资料以及中标候选人的推荐情况，与评标有关的其他任何情况均严格保密。</w:t>
      </w:r>
    </w:p>
    <w:p w14:paraId="42B97BF1">
      <w:pPr>
        <w:pBdr>
          <w:bottom w:val="single" w:color="auto" w:sz="6" w:space="1"/>
        </w:pBdr>
        <w:spacing w:line="360" w:lineRule="auto"/>
        <w:ind w:firstLine="422" w:firstLineChars="200"/>
        <w:textAlignment w:val="baseline"/>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24.1 开标后，直至中标结果公示为止，凡属于对投标文件的审查、澄清、评价和比较有关的资料以及</w:t>
      </w:r>
      <w:r>
        <w:rPr>
          <w:rFonts w:hint="eastAsia" w:ascii="宋体" w:hAnsi="宋体" w:eastAsia="宋体" w:cs="宋体"/>
          <w:b/>
          <w:bCs/>
          <w:color w:val="auto"/>
          <w:szCs w:val="21"/>
          <w:highlight w:val="none"/>
          <w:u w:val="single"/>
        </w:rPr>
        <w:t>合格</w:t>
      </w:r>
      <w:r>
        <w:rPr>
          <w:rFonts w:hint="eastAsia" w:ascii="宋体" w:hAnsi="宋体" w:eastAsia="宋体" w:cs="宋体"/>
          <w:color w:val="auto"/>
          <w:szCs w:val="21"/>
          <w:highlight w:val="none"/>
        </w:rPr>
        <w:t>中标候选人的推荐</w:t>
      </w:r>
      <w:r>
        <w:rPr>
          <w:rFonts w:hint="eastAsia" w:ascii="宋体" w:hAnsi="宋体" w:eastAsia="宋体" w:cs="宋体"/>
          <w:b/>
          <w:bCs/>
          <w:color w:val="auto"/>
          <w:szCs w:val="21"/>
          <w:highlight w:val="none"/>
          <w:u w:val="single"/>
        </w:rPr>
        <w:t>【合格中标候选人不排序，按统一社会信用代码后4位（除校验码外）大小排位，如统一社会信用代码后4位出现字母情况的，字母以“0”进行代替大小排位；如出现后4位（除校验码外）大小一致的，则随机排位。如联合体投标的，以主办方为准。】</w:t>
      </w:r>
      <w:r>
        <w:rPr>
          <w:rFonts w:hint="eastAsia" w:ascii="宋体" w:hAnsi="宋体" w:eastAsia="宋体" w:cs="宋体"/>
          <w:color w:val="auto"/>
          <w:szCs w:val="21"/>
          <w:highlight w:val="none"/>
        </w:rPr>
        <w:t>情况，与评标</w:t>
      </w:r>
      <w:r>
        <w:rPr>
          <w:rFonts w:hint="eastAsia" w:ascii="宋体" w:hAnsi="宋体" w:eastAsia="宋体" w:cs="宋体"/>
          <w:b/>
          <w:bCs/>
          <w:color w:val="auto"/>
          <w:szCs w:val="21"/>
          <w:highlight w:val="none"/>
          <w:u w:val="single"/>
        </w:rPr>
        <w:t>、定标</w:t>
      </w:r>
      <w:r>
        <w:rPr>
          <w:rFonts w:hint="eastAsia" w:ascii="宋体" w:hAnsi="宋体" w:eastAsia="宋体" w:cs="宋体"/>
          <w:color w:val="auto"/>
          <w:szCs w:val="21"/>
          <w:highlight w:val="none"/>
        </w:rPr>
        <w:t>有关的其他任何情况均严格保密。</w:t>
      </w:r>
    </w:p>
    <w:p w14:paraId="17A4A18D">
      <w:pPr>
        <w:spacing w:line="360" w:lineRule="auto"/>
        <w:ind w:firstLine="422" w:firstLineChars="200"/>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条款号：24.2                       修改类型：修改</w:t>
      </w:r>
    </w:p>
    <w:p w14:paraId="05E46924">
      <w:pPr>
        <w:spacing w:line="360" w:lineRule="auto"/>
        <w:ind w:firstLine="422" w:firstLineChars="200"/>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24.2 在投标文件的评审和比较、中标候选人推荐以及授予合同的过程中，投标人向招标人和评标委员会施加不公正影响的任何行为，都将会导致其投标被拒绝。</w:t>
      </w:r>
    </w:p>
    <w:p w14:paraId="70C9EE06">
      <w:pPr>
        <w:pBdr>
          <w:bottom w:val="single" w:color="auto" w:sz="6" w:space="1"/>
        </w:pBdr>
        <w:spacing w:line="360" w:lineRule="auto"/>
        <w:ind w:firstLine="422" w:firstLineChars="200"/>
        <w:textAlignment w:val="baseline"/>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24.2 在投标文件的评审和比较、</w:t>
      </w:r>
      <w:r>
        <w:rPr>
          <w:rFonts w:hint="eastAsia" w:ascii="宋体" w:hAnsi="宋体" w:eastAsia="宋体" w:cs="宋体"/>
          <w:b/>
          <w:bCs/>
          <w:color w:val="auto"/>
          <w:szCs w:val="21"/>
          <w:highlight w:val="none"/>
          <w:u w:val="single"/>
        </w:rPr>
        <w:t>合格</w:t>
      </w:r>
      <w:r>
        <w:rPr>
          <w:rFonts w:hint="eastAsia" w:ascii="宋体" w:hAnsi="宋体" w:eastAsia="宋体" w:cs="宋体"/>
          <w:color w:val="auto"/>
          <w:szCs w:val="21"/>
          <w:highlight w:val="none"/>
        </w:rPr>
        <w:t>中标候选人推荐</w:t>
      </w:r>
      <w:r>
        <w:rPr>
          <w:rFonts w:hint="eastAsia" w:ascii="宋体" w:hAnsi="宋体" w:eastAsia="宋体" w:cs="宋体"/>
          <w:b/>
          <w:bCs/>
          <w:color w:val="auto"/>
          <w:szCs w:val="21"/>
          <w:highlight w:val="none"/>
          <w:u w:val="single"/>
        </w:rPr>
        <w:t>【合格中标候选人不排序，按统一社会信用代码后4位（除校验码外）大小排位，如统一社会信用代码后4位出现字母情况的，字母以“0”进行代替大小排位；如出现后4位（除校验码外）大小一致的，则随机排位。如联合体投标的，以主办方为准。】、定标</w:t>
      </w:r>
      <w:r>
        <w:rPr>
          <w:rFonts w:hint="eastAsia" w:ascii="宋体" w:hAnsi="宋体" w:eastAsia="宋体" w:cs="宋体"/>
          <w:color w:val="auto"/>
          <w:szCs w:val="21"/>
          <w:highlight w:val="none"/>
        </w:rPr>
        <w:t>以及授予合同的过程中，投标人向招标人、评标委员会和</w:t>
      </w:r>
      <w:r>
        <w:rPr>
          <w:rFonts w:hint="eastAsia" w:ascii="宋体" w:hAnsi="宋体" w:eastAsia="宋体" w:cs="宋体"/>
          <w:b/>
          <w:bCs/>
          <w:color w:val="auto"/>
          <w:szCs w:val="21"/>
          <w:highlight w:val="none"/>
          <w:u w:val="single"/>
        </w:rPr>
        <w:t>定标委员会</w:t>
      </w:r>
      <w:r>
        <w:rPr>
          <w:rFonts w:hint="eastAsia" w:ascii="宋体" w:hAnsi="宋体" w:eastAsia="宋体" w:cs="宋体"/>
          <w:color w:val="auto"/>
          <w:szCs w:val="21"/>
          <w:highlight w:val="none"/>
        </w:rPr>
        <w:t>施加不公正影响的任何行为，都将会导致其投标被拒绝。</w:t>
      </w:r>
    </w:p>
    <w:p w14:paraId="49469688">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 xml:space="preserve">条款号：27 </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修改类型：修改</w:t>
      </w:r>
    </w:p>
    <w:p w14:paraId="5BE091B4">
      <w:pPr>
        <w:pBdr>
          <w:bottom w:val="single" w:color="auto" w:sz="6" w:space="1"/>
        </w:pBdr>
        <w:tabs>
          <w:tab w:val="left" w:pos="3327"/>
          <w:tab w:val="left" w:pos="6137"/>
          <w:tab w:val="left" w:pos="8967"/>
        </w:tabs>
        <w:kinsoku w:val="0"/>
        <w:overflowPunct w:val="0"/>
        <w:spacing w:line="360" w:lineRule="auto"/>
        <w:ind w:firstLine="422" w:firstLineChars="200"/>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原文：</w:t>
      </w:r>
      <w:r>
        <w:rPr>
          <w:rFonts w:hint="eastAsia" w:ascii="宋体" w:hAnsi="宋体" w:eastAsia="宋体" w:cs="宋体"/>
          <w:color w:val="auto"/>
          <w:kern w:val="0"/>
          <w:szCs w:val="21"/>
          <w:highlight w:val="none"/>
        </w:rPr>
        <w:t>27．定标</w:t>
      </w:r>
    </w:p>
    <w:p w14:paraId="7CA97381">
      <w:pPr>
        <w:pBdr>
          <w:bottom w:val="single" w:color="auto" w:sz="6" w:space="1"/>
        </w:pBdr>
        <w:tabs>
          <w:tab w:val="left" w:pos="3327"/>
          <w:tab w:val="left" w:pos="6137"/>
          <w:tab w:val="left" w:pos="8967"/>
        </w:tabs>
        <w:kinsoku w:val="0"/>
        <w:overflowPunct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27.1按照投标人须知前附表的规定，由招标人或招标人授权的评标委员会依法确定中标人。</w:t>
      </w:r>
    </w:p>
    <w:p w14:paraId="50CD3855">
      <w:pPr>
        <w:pBdr>
          <w:bottom w:val="single" w:color="auto" w:sz="6" w:space="1"/>
        </w:pBdr>
        <w:tabs>
          <w:tab w:val="left" w:pos="3327"/>
          <w:tab w:val="left" w:pos="6137"/>
          <w:tab w:val="left" w:pos="8967"/>
        </w:tabs>
        <w:kinsoku w:val="0"/>
        <w:overflowPunct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27.2采用评定分离方式确定中标人的，从其规定。</w:t>
      </w:r>
    </w:p>
    <w:p w14:paraId="16A26AAE">
      <w:pPr>
        <w:pBdr>
          <w:bottom w:val="single" w:color="auto" w:sz="6" w:space="1"/>
        </w:pBdr>
        <w:tabs>
          <w:tab w:val="left" w:pos="3327"/>
          <w:tab w:val="left" w:pos="6137"/>
          <w:tab w:val="left" w:pos="8967"/>
        </w:tabs>
        <w:kinsoku w:val="0"/>
        <w:overflowPunct w:val="0"/>
        <w:spacing w:line="360" w:lineRule="auto"/>
        <w:ind w:firstLine="422" w:firstLineChars="200"/>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现文</w:t>
      </w:r>
      <w:r>
        <w:rPr>
          <w:rFonts w:hint="eastAsia" w:ascii="宋体" w:hAnsi="宋体" w:eastAsia="宋体" w:cs="宋体"/>
          <w:color w:val="auto"/>
          <w:kern w:val="0"/>
          <w:szCs w:val="21"/>
          <w:highlight w:val="none"/>
        </w:rPr>
        <w:t>：27．定标</w:t>
      </w:r>
    </w:p>
    <w:p w14:paraId="69A1C664">
      <w:pPr>
        <w:pBdr>
          <w:bottom w:val="single" w:color="auto" w:sz="6" w:space="1"/>
        </w:pBdr>
        <w:tabs>
          <w:tab w:val="left" w:pos="3327"/>
          <w:tab w:val="left" w:pos="6137"/>
          <w:tab w:val="left" w:pos="8967"/>
        </w:tabs>
        <w:kinsoku w:val="0"/>
        <w:overflowPunct w:val="0"/>
        <w:spacing w:line="360" w:lineRule="auto"/>
        <w:ind w:firstLine="420" w:firstLineChars="200"/>
        <w:rPr>
          <w:rFonts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rPr>
        <w:t>27.1按照投标人须知前附表的规定，</w:t>
      </w:r>
      <w:r>
        <w:rPr>
          <w:rFonts w:hint="eastAsia" w:ascii="宋体" w:hAnsi="宋体" w:eastAsia="宋体" w:cs="宋体"/>
          <w:b/>
          <w:bCs/>
          <w:color w:val="auto"/>
          <w:kern w:val="0"/>
          <w:szCs w:val="21"/>
          <w:highlight w:val="none"/>
          <w:u w:val="single"/>
        </w:rPr>
        <w:t>本项目采用评定分离方式，定标采用评分法，定标委员会从进入定标阶段的合格中标候选人中，采用“评分法”选出得分最高的候选人，确定为中标人。</w:t>
      </w:r>
    </w:p>
    <w:p w14:paraId="15512F6C">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 xml:space="preserve">条款号：28 </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修改类型：修改</w:t>
      </w:r>
    </w:p>
    <w:p w14:paraId="4AD6CAB3">
      <w:pPr>
        <w:tabs>
          <w:tab w:val="left" w:pos="3327"/>
          <w:tab w:val="left" w:pos="6137"/>
          <w:tab w:val="left" w:pos="8967"/>
        </w:tabs>
        <w:kinsoku w:val="0"/>
        <w:overflowPunct w:val="0"/>
        <w:spacing w:line="360" w:lineRule="auto"/>
        <w:ind w:firstLine="422" w:firstLineChars="2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原文：</w:t>
      </w:r>
      <w:r>
        <w:rPr>
          <w:rFonts w:hint="eastAsia" w:ascii="宋体" w:hAnsi="宋体" w:eastAsia="宋体" w:cs="Times New Roman"/>
          <w:color w:val="auto"/>
          <w:szCs w:val="21"/>
          <w:highlight w:val="none"/>
        </w:rPr>
        <w:t>28.1招标人将在</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答复线上提交的异议，具体按照电子招标投标交易平台相关指南进行操作。作出答复前，应当暂停招标投标活动。</w:t>
      </w:r>
      <w:r>
        <w:rPr>
          <w:rFonts w:hint="eastAsia" w:ascii="宋体" w:hAnsi="宋体" w:eastAsia="宋体" w:cs="Times New Roman"/>
          <w:color w:val="auto"/>
          <w:szCs w:val="21"/>
          <w:highlight w:val="none"/>
          <w:u w:val="single"/>
        </w:rPr>
        <w:t>投标人提出异议时需在线提交书面的异议书（异议书应清晰表述异议事项、依据、线索、请求或主张、有效的联系方式等）并附法定代表人证明书、有效的授权委托书、被授权人的有效身份证明。</w:t>
      </w:r>
    </w:p>
    <w:p w14:paraId="36D00770">
      <w:pPr>
        <w:pBdr>
          <w:bottom w:val="single" w:color="auto" w:sz="6" w:space="1"/>
        </w:pBdr>
        <w:tabs>
          <w:tab w:val="left" w:pos="3327"/>
          <w:tab w:val="left" w:pos="6137"/>
          <w:tab w:val="left" w:pos="8967"/>
        </w:tabs>
        <w:kinsoku w:val="0"/>
        <w:overflowPunct w:val="0"/>
        <w:spacing w:line="360" w:lineRule="auto"/>
        <w:ind w:firstLine="422" w:firstLineChars="200"/>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现文</w:t>
      </w:r>
      <w:r>
        <w:rPr>
          <w:rFonts w:hint="eastAsia" w:ascii="宋体" w:hAnsi="宋体" w:eastAsia="宋体" w:cs="宋体"/>
          <w:color w:val="auto"/>
          <w:kern w:val="0"/>
          <w:szCs w:val="21"/>
          <w:highlight w:val="none"/>
        </w:rPr>
        <w:t>：28.1</w:t>
      </w:r>
      <w:r>
        <w:rPr>
          <w:rFonts w:hint="eastAsia" w:ascii="宋体" w:hAnsi="宋体" w:eastAsia="宋体" w:cs="宋体"/>
          <w:color w:val="auto"/>
          <w:spacing w:val="-61"/>
          <w:kern w:val="0"/>
          <w:szCs w:val="21"/>
          <w:highlight w:val="none"/>
        </w:rPr>
        <w:t xml:space="preserve"> </w:t>
      </w:r>
      <w:r>
        <w:rPr>
          <w:rFonts w:hint="eastAsia" w:ascii="宋体" w:hAnsi="宋体" w:eastAsia="宋体" w:cs="宋体"/>
          <w:color w:val="auto"/>
          <w:kern w:val="0"/>
          <w:szCs w:val="21"/>
          <w:highlight w:val="none"/>
        </w:rPr>
        <w:t>招标人将在</w:t>
      </w:r>
      <w:r>
        <w:rPr>
          <w:rFonts w:hint="eastAsia" w:ascii="宋体" w:hAnsi="宋体" w:eastAsia="宋体" w:cs="宋体"/>
          <w:b/>
          <w:bCs/>
          <w:color w:val="auto"/>
          <w:spacing w:val="-1"/>
          <w:kern w:val="0"/>
          <w:szCs w:val="21"/>
          <w:highlight w:val="none"/>
          <w:u w:val="single"/>
        </w:rPr>
        <w:t>广州交易集团有限公司（广州公共资源交易中心）</w:t>
      </w:r>
      <w:r>
        <w:rPr>
          <w:rFonts w:hint="eastAsia" w:ascii="宋体" w:hAnsi="宋体" w:eastAsia="宋体" w:cs="宋体"/>
          <w:color w:val="auto"/>
          <w:spacing w:val="-5"/>
          <w:kern w:val="0"/>
          <w:szCs w:val="21"/>
          <w:highlight w:val="none"/>
        </w:rPr>
        <w:t>交易平台、广东省招标投标监管网和中国招标投标公共服</w:t>
      </w:r>
      <w:r>
        <w:rPr>
          <w:rFonts w:hint="eastAsia" w:ascii="宋体" w:hAnsi="宋体" w:eastAsia="宋体" w:cs="宋体"/>
          <w:color w:val="auto"/>
          <w:kern w:val="0"/>
          <w:szCs w:val="21"/>
          <w:highlight w:val="none"/>
        </w:rPr>
        <w:t>务平台公示</w:t>
      </w:r>
      <w:r>
        <w:rPr>
          <w:rFonts w:hint="eastAsia" w:ascii="宋体" w:hAnsi="宋体" w:eastAsia="宋体" w:cs="宋体"/>
          <w:b/>
          <w:bCs/>
          <w:color w:val="auto"/>
          <w:kern w:val="0"/>
          <w:szCs w:val="21"/>
          <w:highlight w:val="none"/>
          <w:u w:val="single"/>
        </w:rPr>
        <w:t>合格</w:t>
      </w:r>
      <w:r>
        <w:rPr>
          <w:rFonts w:hint="eastAsia" w:ascii="宋体" w:hAnsi="宋体" w:eastAsia="宋体" w:cs="宋体"/>
          <w:color w:val="auto"/>
          <w:kern w:val="0"/>
          <w:szCs w:val="21"/>
          <w:highlight w:val="none"/>
        </w:rPr>
        <w:t>中标候选人，公示期为三天</w:t>
      </w:r>
      <w:r>
        <w:rPr>
          <w:rFonts w:hint="eastAsia" w:ascii="宋体" w:hAnsi="宋体" w:eastAsia="宋体" w:cs="Times New Roman"/>
          <w:color w:val="auto"/>
          <w:szCs w:val="21"/>
          <w:highlight w:val="none"/>
        </w:rPr>
        <w:t>（最后一天应为工作日）</w:t>
      </w:r>
      <w:r>
        <w:rPr>
          <w:rFonts w:hint="eastAsia" w:ascii="宋体" w:hAnsi="宋体" w:eastAsia="宋体" w:cs="宋体"/>
          <w:color w:val="auto"/>
          <w:kern w:val="0"/>
          <w:szCs w:val="21"/>
          <w:highlight w:val="none"/>
        </w:rPr>
        <w:t>。投标人或其他利害关系人对评标结果有异议的，应当在</w:t>
      </w:r>
      <w:r>
        <w:rPr>
          <w:rFonts w:hint="eastAsia" w:ascii="宋体" w:hAnsi="宋体" w:eastAsia="宋体" w:cs="宋体"/>
          <w:b/>
          <w:bCs/>
          <w:color w:val="auto"/>
          <w:kern w:val="0"/>
          <w:szCs w:val="21"/>
          <w:highlight w:val="none"/>
          <w:u w:val="single"/>
        </w:rPr>
        <w:t>合格</w:t>
      </w:r>
      <w:r>
        <w:rPr>
          <w:rFonts w:hint="eastAsia" w:ascii="宋体" w:hAnsi="宋体" w:eastAsia="宋体" w:cs="宋体"/>
          <w:color w:val="auto"/>
          <w:kern w:val="0"/>
          <w:szCs w:val="21"/>
          <w:highlight w:val="none"/>
        </w:rPr>
        <w:t>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eastAsia="宋体" w:cs="宋体"/>
          <w:color w:val="auto"/>
          <w:kern w:val="0"/>
          <w:szCs w:val="21"/>
          <w:highlight w:val="none"/>
          <w:u w:val="single"/>
        </w:rPr>
        <w:t>投标人提出异议时需在线提交书面的异议书（异议书应清晰表述异议事项、依据、线索、请求或主张、有效的联系方式等）并附法定代表人证明书、有效的授权委托书、被授权人的有效身份证明</w:t>
      </w:r>
      <w:r>
        <w:rPr>
          <w:rFonts w:hint="eastAsia" w:ascii="宋体" w:hAnsi="宋体" w:eastAsia="宋体" w:cs="宋体"/>
          <w:color w:val="auto"/>
          <w:kern w:val="0"/>
          <w:szCs w:val="21"/>
          <w:highlight w:val="none"/>
        </w:rPr>
        <w:t>。</w:t>
      </w:r>
    </w:p>
    <w:p w14:paraId="48EC9684">
      <w:pPr>
        <w:pBdr>
          <w:bottom w:val="single" w:color="auto" w:sz="6" w:space="1"/>
        </w:pBdr>
        <w:tabs>
          <w:tab w:val="left" w:pos="3327"/>
          <w:tab w:val="left" w:pos="6137"/>
          <w:tab w:val="left" w:pos="8967"/>
        </w:tabs>
        <w:kinsoku w:val="0"/>
        <w:overflowPunct w:val="0"/>
        <w:spacing w:line="360" w:lineRule="auto"/>
        <w:ind w:firstLine="422" w:firstLineChars="200"/>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u w:val="single"/>
        </w:rPr>
        <w:t>合格中标候选人公示结束后按规定在广州交易集团有限公司（广州公共资源交易中心）开展定标工作，在定标委员会完成定标工作后，招标人将在广州交易集团有限公司（广州公共资源交易中心）交易平台、广东省招标投标监管网进行中标结果公示。因投诉生效导致中标人不符合中标资格的，或定标后出现中标人不符合法定情形的，招标人可从其他合格中标候选人中采用原定标办法，由原定标委员会确定中标人，也可以重新组织招标。</w:t>
      </w:r>
    </w:p>
    <w:p w14:paraId="538D4F63">
      <w:pPr>
        <w:spacing w:line="360" w:lineRule="auto"/>
        <w:ind w:firstLine="422" w:firstLineChars="200"/>
        <w:rPr>
          <w:rFonts w:ascii="宋体" w:hAnsi="宋体" w:eastAsia="宋体" w:cs="宋体"/>
          <w:color w:val="auto"/>
          <w:spacing w:val="-1"/>
          <w:szCs w:val="21"/>
          <w:highlight w:val="none"/>
        </w:rPr>
      </w:pPr>
      <w:r>
        <w:rPr>
          <w:rFonts w:hint="eastAsia" w:ascii="宋体" w:hAnsi="宋体" w:eastAsia="宋体" w:cs="宋体"/>
          <w:b/>
          <w:color w:val="auto"/>
          <w:szCs w:val="21"/>
          <w:highlight w:val="none"/>
        </w:rPr>
        <w:t>条款号：28.4</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修改类型：修改</w:t>
      </w:r>
    </w:p>
    <w:p w14:paraId="554434EE">
      <w:pPr>
        <w:tabs>
          <w:tab w:val="left" w:pos="6329"/>
        </w:tabs>
        <w:kinsoku w:val="0"/>
        <w:overflowPunct w:val="0"/>
        <w:spacing w:line="360" w:lineRule="auto"/>
        <w:ind w:firstLine="418" w:firstLineChars="200"/>
        <w:rPr>
          <w:rFonts w:ascii="宋体" w:hAnsi="宋体" w:eastAsia="宋体" w:cs="宋体"/>
          <w:color w:val="auto"/>
          <w:kern w:val="0"/>
          <w:szCs w:val="21"/>
          <w:highlight w:val="none"/>
        </w:rPr>
      </w:pPr>
      <w:r>
        <w:rPr>
          <w:rFonts w:hint="eastAsia" w:ascii="宋体" w:hAnsi="宋体" w:eastAsia="宋体" w:cs="宋体"/>
          <w:b/>
          <w:bCs/>
          <w:color w:val="auto"/>
          <w:spacing w:val="-1"/>
          <w:kern w:val="0"/>
          <w:szCs w:val="21"/>
          <w:highlight w:val="none"/>
        </w:rPr>
        <w:t>原文：</w:t>
      </w:r>
      <w:r>
        <w:rPr>
          <w:rFonts w:hint="eastAsia" w:ascii="宋体" w:hAnsi="宋体" w:eastAsia="宋体" w:cs="宋体"/>
          <w:color w:val="auto"/>
          <w:kern w:val="0"/>
          <w:szCs w:val="21"/>
          <w:highlight w:val="none"/>
        </w:rPr>
        <w:t>28.4</w:t>
      </w:r>
      <w:r>
        <w:rPr>
          <w:rFonts w:hint="eastAsia" w:ascii="宋体" w:hAnsi="宋体" w:eastAsia="宋体" w:cs="宋体"/>
          <w:color w:val="auto"/>
          <w:spacing w:val="-37"/>
          <w:kern w:val="0"/>
          <w:szCs w:val="21"/>
          <w:highlight w:val="none"/>
        </w:rPr>
        <w:t xml:space="preserve"> </w:t>
      </w:r>
      <w:r>
        <w:rPr>
          <w:rFonts w:hint="eastAsia" w:ascii="宋体" w:hAnsi="宋体" w:eastAsia="宋体" w:cs="宋体"/>
          <w:color w:val="auto"/>
          <w:spacing w:val="-4"/>
          <w:kern w:val="0"/>
          <w:szCs w:val="21"/>
          <w:highlight w:val="none"/>
        </w:rPr>
        <w:t>在产生中标候选人后，招标人将中标候选人的投标文件商务部分文件的所有内</w:t>
      </w:r>
      <w:r>
        <w:rPr>
          <w:rFonts w:hint="eastAsia" w:ascii="宋体" w:hAnsi="宋体" w:eastAsia="宋体" w:cs="宋体"/>
          <w:color w:val="auto"/>
          <w:spacing w:val="-3"/>
          <w:kern w:val="0"/>
          <w:szCs w:val="21"/>
          <w:highlight w:val="none"/>
        </w:rPr>
        <w:t>容（包括人员、业绩、奖项等资料）在</w:t>
      </w:r>
      <w:r>
        <w:rPr>
          <w:rFonts w:hint="eastAsia" w:ascii="宋体" w:hAnsi="宋体" w:eastAsia="宋体" w:cs="宋体"/>
          <w:color w:val="auto"/>
          <w:spacing w:val="-3"/>
          <w:kern w:val="0"/>
          <w:szCs w:val="21"/>
          <w:highlight w:val="none"/>
          <w:u w:val="single"/>
        </w:rPr>
        <w:tab/>
      </w:r>
      <w:r>
        <w:rPr>
          <w:rFonts w:hint="eastAsia" w:ascii="宋体" w:hAnsi="宋体" w:eastAsia="宋体" w:cs="宋体"/>
          <w:color w:val="auto"/>
          <w:kern w:val="0"/>
          <w:szCs w:val="21"/>
          <w:highlight w:val="none"/>
        </w:rPr>
        <w:t>交易平台和广东省招标投标 监管网公开。</w:t>
      </w:r>
    </w:p>
    <w:p w14:paraId="08D75210">
      <w:pPr>
        <w:pBdr>
          <w:bottom w:val="single" w:color="auto" w:sz="6" w:space="1"/>
        </w:pBdr>
        <w:tabs>
          <w:tab w:val="left" w:pos="6329"/>
        </w:tabs>
        <w:kinsoku w:val="0"/>
        <w:overflowPunct w:val="0"/>
        <w:spacing w:line="360" w:lineRule="auto"/>
        <w:ind w:firstLine="422" w:firstLineChars="200"/>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现文</w:t>
      </w:r>
      <w:r>
        <w:rPr>
          <w:rFonts w:hint="eastAsia" w:ascii="宋体" w:hAnsi="宋体" w:eastAsia="宋体" w:cs="宋体"/>
          <w:color w:val="auto"/>
          <w:kern w:val="0"/>
          <w:szCs w:val="21"/>
          <w:highlight w:val="none"/>
        </w:rPr>
        <w:t>：28.4</w:t>
      </w:r>
      <w:r>
        <w:rPr>
          <w:rFonts w:hint="eastAsia" w:ascii="宋体" w:hAnsi="宋体" w:eastAsia="宋体" w:cs="宋体"/>
          <w:color w:val="auto"/>
          <w:spacing w:val="-37"/>
          <w:kern w:val="0"/>
          <w:szCs w:val="21"/>
          <w:highlight w:val="none"/>
        </w:rPr>
        <w:t xml:space="preserve"> </w:t>
      </w:r>
      <w:r>
        <w:rPr>
          <w:rFonts w:hint="eastAsia" w:ascii="宋体" w:hAnsi="宋体" w:eastAsia="宋体" w:cs="宋体"/>
          <w:color w:val="auto"/>
          <w:spacing w:val="-4"/>
          <w:kern w:val="0"/>
          <w:szCs w:val="21"/>
          <w:highlight w:val="none"/>
        </w:rPr>
        <w:t>在产生</w:t>
      </w:r>
      <w:r>
        <w:rPr>
          <w:rFonts w:hint="eastAsia" w:ascii="宋体" w:hAnsi="宋体" w:eastAsia="宋体" w:cs="宋体"/>
          <w:b/>
          <w:bCs/>
          <w:color w:val="auto"/>
          <w:spacing w:val="-4"/>
          <w:kern w:val="0"/>
          <w:szCs w:val="21"/>
          <w:highlight w:val="none"/>
          <w:u w:val="single"/>
        </w:rPr>
        <w:t>合格</w:t>
      </w:r>
      <w:r>
        <w:rPr>
          <w:rFonts w:hint="eastAsia" w:ascii="宋体" w:hAnsi="宋体" w:eastAsia="宋体" w:cs="宋体"/>
          <w:color w:val="auto"/>
          <w:spacing w:val="-4"/>
          <w:kern w:val="0"/>
          <w:szCs w:val="21"/>
          <w:highlight w:val="none"/>
        </w:rPr>
        <w:t>中标候选人后，招标人将</w:t>
      </w:r>
      <w:r>
        <w:rPr>
          <w:rFonts w:hint="eastAsia" w:ascii="宋体" w:hAnsi="宋体" w:eastAsia="宋体" w:cs="宋体"/>
          <w:b/>
          <w:bCs/>
          <w:color w:val="auto"/>
          <w:spacing w:val="-4"/>
          <w:kern w:val="0"/>
          <w:szCs w:val="21"/>
          <w:highlight w:val="none"/>
          <w:u w:val="single"/>
        </w:rPr>
        <w:t>合格</w:t>
      </w:r>
      <w:r>
        <w:rPr>
          <w:rFonts w:hint="eastAsia" w:ascii="宋体" w:hAnsi="宋体" w:eastAsia="宋体" w:cs="宋体"/>
          <w:color w:val="auto"/>
          <w:spacing w:val="-4"/>
          <w:kern w:val="0"/>
          <w:szCs w:val="21"/>
          <w:highlight w:val="none"/>
        </w:rPr>
        <w:t>中标候选人的投标文件商务部分文件的所有内</w:t>
      </w:r>
      <w:r>
        <w:rPr>
          <w:rFonts w:hint="eastAsia" w:ascii="宋体" w:hAnsi="宋体" w:eastAsia="宋体" w:cs="宋体"/>
          <w:color w:val="auto"/>
          <w:spacing w:val="-3"/>
          <w:kern w:val="0"/>
          <w:szCs w:val="21"/>
          <w:highlight w:val="none"/>
        </w:rPr>
        <w:t>容（包括人员、业绩、奖项等资料）在</w:t>
      </w:r>
      <w:r>
        <w:rPr>
          <w:rFonts w:hint="eastAsia" w:ascii="宋体" w:hAnsi="宋体" w:eastAsia="宋体" w:cs="宋体"/>
          <w:color w:val="auto"/>
          <w:spacing w:val="-1"/>
          <w:kern w:val="0"/>
          <w:szCs w:val="21"/>
          <w:highlight w:val="none"/>
          <w:u w:val="single"/>
        </w:rPr>
        <w:t>广州交易集团有限公司（广州公共资源交易中心）</w:t>
      </w:r>
      <w:r>
        <w:rPr>
          <w:rFonts w:hint="eastAsia" w:ascii="宋体" w:hAnsi="宋体" w:eastAsia="宋体" w:cs="宋体"/>
          <w:color w:val="auto"/>
          <w:kern w:val="0"/>
          <w:szCs w:val="21"/>
          <w:highlight w:val="none"/>
        </w:rPr>
        <w:t>交易平台和广东省招标投标监管网公开。</w:t>
      </w:r>
    </w:p>
    <w:p w14:paraId="4B128C57">
      <w:pPr>
        <w:spacing w:line="360" w:lineRule="auto"/>
        <w:ind w:firstLine="422" w:firstLineChars="200"/>
        <w:rPr>
          <w:rFonts w:ascii="宋体" w:hAnsi="宋体" w:eastAsia="宋体" w:cs="宋体"/>
          <w:color w:val="auto"/>
          <w:spacing w:val="-1"/>
          <w:szCs w:val="21"/>
          <w:highlight w:val="none"/>
        </w:rPr>
      </w:pPr>
      <w:r>
        <w:rPr>
          <w:rFonts w:hint="eastAsia" w:ascii="宋体" w:hAnsi="宋体" w:eastAsia="宋体" w:cs="宋体"/>
          <w:b/>
          <w:color w:val="auto"/>
          <w:szCs w:val="21"/>
          <w:highlight w:val="none"/>
        </w:rPr>
        <w:t>条款号：28.5</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修改类型：删除</w:t>
      </w:r>
    </w:p>
    <w:p w14:paraId="70FCC043">
      <w:pPr>
        <w:tabs>
          <w:tab w:val="left" w:pos="6329"/>
        </w:tabs>
        <w:kinsoku w:val="0"/>
        <w:overflowPunct w:val="0"/>
        <w:spacing w:line="360" w:lineRule="auto"/>
        <w:ind w:firstLine="418" w:firstLineChars="200"/>
        <w:rPr>
          <w:rFonts w:ascii="宋体" w:hAnsi="宋体" w:eastAsia="宋体" w:cs="宋体"/>
          <w:color w:val="auto"/>
          <w:kern w:val="0"/>
          <w:szCs w:val="21"/>
          <w:highlight w:val="none"/>
        </w:rPr>
      </w:pPr>
      <w:r>
        <w:rPr>
          <w:rFonts w:hint="eastAsia" w:ascii="宋体" w:hAnsi="宋体" w:eastAsia="宋体" w:cs="宋体"/>
          <w:b/>
          <w:bCs/>
          <w:color w:val="auto"/>
          <w:spacing w:val="-1"/>
          <w:kern w:val="0"/>
          <w:szCs w:val="21"/>
          <w:highlight w:val="none"/>
        </w:rPr>
        <w:t>原文：</w:t>
      </w:r>
      <w:r>
        <w:rPr>
          <w:rFonts w:hint="eastAsia" w:ascii="宋体" w:hAnsi="宋体" w:eastAsia="宋体" w:cs="宋体"/>
          <w:color w:val="auto"/>
          <w:spacing w:val="-1"/>
          <w:kern w:val="0"/>
          <w:szCs w:val="21"/>
          <w:highlight w:val="none"/>
        </w:rPr>
        <w:t>28.5（适用于轨道交通建设项目）如项目采用整体发包的形式开展施工总承包招标，且后续需分段办理监督手续，确定中标单位后，招标人在向中标单位发出的中标通知书中一并标注施工总承包项目经理和各段项目经理。</w:t>
      </w:r>
    </w:p>
    <w:p w14:paraId="3A163579">
      <w:pPr>
        <w:pBdr>
          <w:bottom w:val="single" w:color="auto" w:sz="6" w:space="1"/>
        </w:pBdr>
        <w:tabs>
          <w:tab w:val="left" w:pos="6329"/>
        </w:tabs>
        <w:kinsoku w:val="0"/>
        <w:overflowPunct w:val="0"/>
        <w:spacing w:line="360" w:lineRule="auto"/>
        <w:ind w:firstLine="422" w:firstLineChars="200"/>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现文</w:t>
      </w:r>
      <w:r>
        <w:rPr>
          <w:rFonts w:hint="eastAsia" w:ascii="宋体" w:hAnsi="宋体" w:eastAsia="宋体" w:cs="宋体"/>
          <w:color w:val="auto"/>
          <w:kern w:val="0"/>
          <w:szCs w:val="21"/>
          <w:highlight w:val="none"/>
        </w:rPr>
        <w:t>：</w:t>
      </w:r>
      <w:r>
        <w:rPr>
          <w:rFonts w:hint="eastAsia" w:ascii="宋体" w:hAnsi="宋体" w:eastAsia="宋体" w:cs="宋体"/>
          <w:strike/>
          <w:color w:val="auto"/>
          <w:spacing w:val="-1"/>
          <w:kern w:val="0"/>
          <w:szCs w:val="21"/>
          <w:highlight w:val="none"/>
        </w:rPr>
        <w:t>28.5（适用于轨道交通建设项目）如项目采用整体发包的形式开展施工总承包招标，且后续需分段办理监督手续，确定中标单位后，招标人在向中标单位发出的中标通知书中一并标注施工总承包项目经理和各段项目经理。</w:t>
      </w:r>
    </w:p>
    <w:p w14:paraId="31806602">
      <w:pPr>
        <w:spacing w:line="360" w:lineRule="auto"/>
        <w:ind w:firstLine="422" w:firstLineChars="200"/>
        <w:rPr>
          <w:rFonts w:ascii="宋体" w:hAnsi="宋体" w:eastAsia="宋体" w:cs="宋体"/>
          <w:color w:val="auto"/>
          <w:spacing w:val="-1"/>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color w:val="auto"/>
          <w:kern w:val="0"/>
          <w:szCs w:val="21"/>
          <w:highlight w:val="none"/>
        </w:rPr>
        <w:t>29.2</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修改类型：修改</w:t>
      </w:r>
    </w:p>
    <w:p w14:paraId="4F1CE1D1">
      <w:pPr>
        <w:tabs>
          <w:tab w:val="left" w:pos="6329"/>
        </w:tabs>
        <w:kinsoku w:val="0"/>
        <w:overflowPunct w:val="0"/>
        <w:spacing w:line="360" w:lineRule="auto"/>
        <w:ind w:firstLine="418" w:firstLineChars="200"/>
        <w:rPr>
          <w:rFonts w:ascii="宋体" w:hAnsi="宋体" w:eastAsia="宋体" w:cs="宋体"/>
          <w:color w:val="auto"/>
          <w:kern w:val="0"/>
          <w:szCs w:val="21"/>
          <w:highlight w:val="none"/>
        </w:rPr>
      </w:pPr>
      <w:r>
        <w:rPr>
          <w:rFonts w:hint="eastAsia" w:ascii="宋体" w:hAnsi="宋体" w:eastAsia="宋体" w:cs="宋体"/>
          <w:b/>
          <w:bCs/>
          <w:color w:val="auto"/>
          <w:spacing w:val="-1"/>
          <w:kern w:val="0"/>
          <w:szCs w:val="21"/>
          <w:highlight w:val="none"/>
        </w:rPr>
        <w:t>原文：</w:t>
      </w:r>
      <w:r>
        <w:rPr>
          <w:rFonts w:hint="eastAsia" w:ascii="宋体" w:hAnsi="宋体" w:eastAsia="宋体" w:cs="宋体"/>
          <w:color w:val="auto"/>
          <w:kern w:val="0"/>
          <w:szCs w:val="21"/>
          <w:highlight w:val="none"/>
        </w:rPr>
        <w:t>29.2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30653BE">
      <w:pPr>
        <w:pBdr>
          <w:bottom w:val="single" w:color="auto" w:sz="6" w:space="1"/>
        </w:pBdr>
        <w:spacing w:line="360" w:lineRule="auto"/>
        <w:ind w:firstLine="422" w:firstLineChars="200"/>
        <w:contextualSpacing/>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现文</w:t>
      </w:r>
      <w:r>
        <w:rPr>
          <w:rFonts w:hint="eastAsia" w:ascii="宋体" w:hAnsi="宋体" w:eastAsia="宋体" w:cs="宋体"/>
          <w:color w:val="auto"/>
          <w:kern w:val="0"/>
          <w:szCs w:val="21"/>
          <w:highlight w:val="none"/>
        </w:rPr>
        <w:t>：29.2中标通知书发出之日起30日后，中标人未按上款的规定与招标人订立合同，招标人将解除中标通知书，</w:t>
      </w:r>
      <w:r>
        <w:rPr>
          <w:rFonts w:hint="eastAsia" w:ascii="宋体" w:hAnsi="宋体" w:eastAsia="宋体" w:cs="宋体"/>
          <w:b/>
          <w:bCs/>
          <w:color w:val="auto"/>
          <w:szCs w:val="21"/>
          <w:highlight w:val="none"/>
          <w:u w:val="single"/>
        </w:rPr>
        <w:t>原中标人</w:t>
      </w:r>
      <w:r>
        <w:rPr>
          <w:rFonts w:hint="eastAsia" w:ascii="宋体" w:hAnsi="宋体" w:eastAsia="宋体" w:cs="宋体"/>
          <w:b/>
          <w:bCs/>
          <w:color w:val="auto"/>
          <w:kern w:val="0"/>
          <w:szCs w:val="21"/>
          <w:highlight w:val="none"/>
          <w:u w:val="single"/>
        </w:rPr>
        <w:t>依法承担相应法律责任。原中标人给招标人造成损失的，还应当予以赔偿。</w:t>
      </w:r>
      <w:r>
        <w:rPr>
          <w:rFonts w:hint="eastAsia" w:ascii="宋体" w:hAnsi="宋体" w:eastAsia="宋体" w:cs="宋体"/>
          <w:color w:val="auto"/>
          <w:kern w:val="0"/>
          <w:szCs w:val="21"/>
          <w:highlight w:val="none"/>
        </w:rPr>
        <w:t>原中标人有异议的，可以向人民法院起诉。</w:t>
      </w:r>
    </w:p>
    <w:p w14:paraId="097CA453">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条款号：29.3                             修改类型：修改</w:t>
      </w:r>
    </w:p>
    <w:p w14:paraId="55F4EB7D">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29.3非经招标人同意，中标人在投标过程中使用的银行名称及帐号至完成竣工结算不得变更，否则招标人有权停止工程款项的拔付及至解除合同，由此造成的一切责任由中标人承担。</w:t>
      </w:r>
    </w:p>
    <w:p w14:paraId="5992E917">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29.3非经招标人同意，中标人在投标过程中使用的银行名称及帐号至完成竣工结算不得变更，否则招标人有权停止工程款项的</w:t>
      </w:r>
      <w:r>
        <w:rPr>
          <w:rFonts w:hint="eastAsia" w:ascii="宋体" w:hAnsi="宋体" w:eastAsia="宋体" w:cs="宋体"/>
          <w:b/>
          <w:bCs/>
          <w:color w:val="auto"/>
          <w:szCs w:val="21"/>
          <w:highlight w:val="none"/>
          <w:u w:val="single"/>
        </w:rPr>
        <w:t>拨付直至</w:t>
      </w:r>
      <w:r>
        <w:rPr>
          <w:rFonts w:hint="eastAsia" w:ascii="宋体" w:hAnsi="宋体" w:eastAsia="宋体" w:cs="宋体"/>
          <w:color w:val="auto"/>
          <w:szCs w:val="21"/>
          <w:highlight w:val="none"/>
        </w:rPr>
        <w:t>解除合同，由此造成的一切责任由中标人承担。</w:t>
      </w:r>
    </w:p>
    <w:p w14:paraId="130B16ED">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 29.4            修改类型：修改</w:t>
      </w:r>
    </w:p>
    <w:p w14:paraId="725BF912">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29.4招标人支付工程款时，中标人应按规定开具发票并完税。</w:t>
      </w:r>
    </w:p>
    <w:p w14:paraId="65B7C5C7">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29.4招标人支付工程款时，</w:t>
      </w:r>
      <w:r>
        <w:rPr>
          <w:rFonts w:hint="eastAsia" w:ascii="宋体" w:hAnsi="宋体" w:eastAsia="宋体" w:cs="宋体"/>
          <w:b/>
          <w:bCs/>
          <w:color w:val="auto"/>
          <w:szCs w:val="21"/>
          <w:highlight w:val="none"/>
          <w:u w:val="single"/>
        </w:rPr>
        <w:t>中标人应按规定开具符合国家税务相关部门要求的发票并完税</w:t>
      </w:r>
      <w:r>
        <w:rPr>
          <w:rFonts w:hint="eastAsia" w:ascii="宋体" w:hAnsi="宋体" w:eastAsia="宋体" w:cs="宋体"/>
          <w:b/>
          <w:bCs/>
          <w:color w:val="auto"/>
          <w:szCs w:val="21"/>
          <w:highlight w:val="none"/>
        </w:rPr>
        <w:t>。</w:t>
      </w:r>
    </w:p>
    <w:p w14:paraId="3A395B96">
      <w:pPr>
        <w:spacing w:line="360" w:lineRule="auto"/>
        <w:ind w:firstLine="422" w:firstLineChars="200"/>
        <w:contextualSpacing/>
        <w:rPr>
          <w:rFonts w:ascii="宋体" w:hAnsi="宋体" w:eastAsia="宋体" w:cs="宋体"/>
          <w:b/>
          <w:color w:val="auto"/>
          <w:szCs w:val="21"/>
          <w:highlight w:val="none"/>
        </w:rPr>
      </w:pPr>
      <w:r>
        <w:rPr>
          <w:rFonts w:hint="eastAsia" w:ascii="宋体" w:hAnsi="宋体" w:eastAsia="宋体" w:cs="宋体"/>
          <w:b/>
          <w:color w:val="auto"/>
          <w:szCs w:val="21"/>
          <w:highlight w:val="none"/>
        </w:rPr>
        <w:t>条款号：29.5                                    修改类型：增加</w:t>
      </w:r>
    </w:p>
    <w:p w14:paraId="5C5C4921">
      <w:pPr>
        <w:pBdr>
          <w:bottom w:val="single" w:color="auto" w:sz="6" w:space="1"/>
        </w:pBd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b/>
          <w:bCs/>
          <w:color w:val="auto"/>
          <w:szCs w:val="21"/>
          <w:highlight w:val="none"/>
          <w:u w:val="single"/>
        </w:rPr>
        <w:t>29.5如本工程委托代建单位（项目建设管理单位），则可由代建单位作为发包人与中标人签订合同</w:t>
      </w:r>
      <w:r>
        <w:rPr>
          <w:rFonts w:hint="eastAsia" w:ascii="宋体" w:hAnsi="宋体" w:eastAsia="宋体" w:cs="宋体"/>
          <w:b/>
          <w:bCs/>
          <w:color w:val="auto"/>
          <w:szCs w:val="21"/>
          <w:highlight w:val="none"/>
        </w:rPr>
        <w:t>。</w:t>
      </w:r>
    </w:p>
    <w:p w14:paraId="796784A7">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条款号：30.1                                    修改类型：修改</w:t>
      </w:r>
    </w:p>
    <w:p w14:paraId="66C8C5A6">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 xml:space="preserve">30.1 </w:t>
      </w:r>
      <w:r>
        <w:rPr>
          <w:rFonts w:hint="eastAsia" w:ascii="宋体" w:hAnsi="宋体" w:eastAsia="宋体" w:cs="宋体"/>
          <w:color w:val="auto"/>
          <w:kern w:val="0"/>
          <w:szCs w:val="21"/>
          <w:highlight w:val="none"/>
        </w:rPr>
        <w:t>在收到中标通知书后的15日内，中标人应按本须知前附表第20项的规定向招标人提交履约担保</w:t>
      </w:r>
      <w:r>
        <w:rPr>
          <w:rFonts w:hint="eastAsia" w:ascii="宋体" w:hAnsi="宋体" w:eastAsia="宋体" w:cs="宋体"/>
          <w:color w:val="auto"/>
          <w:szCs w:val="21"/>
          <w:highlight w:val="none"/>
        </w:rPr>
        <w:t>。</w:t>
      </w:r>
    </w:p>
    <w:p w14:paraId="0EDC2269">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 xml:space="preserve">30.1 </w:t>
      </w:r>
      <w:r>
        <w:rPr>
          <w:rFonts w:hint="eastAsia" w:ascii="宋体" w:hAnsi="宋体" w:eastAsia="宋体" w:cs="宋体"/>
          <w:b/>
          <w:bCs/>
          <w:color w:val="auto"/>
          <w:szCs w:val="21"/>
          <w:highlight w:val="none"/>
          <w:u w:val="single"/>
        </w:rPr>
        <w:t>合同正式签订之日后的30日内</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中标人应按本须知前附表第21项的规定向招标人提交履约担保</w:t>
      </w:r>
      <w:r>
        <w:rPr>
          <w:rFonts w:hint="eastAsia" w:ascii="宋体" w:hAnsi="宋体" w:eastAsia="宋体" w:cs="宋体"/>
          <w:color w:val="auto"/>
          <w:szCs w:val="21"/>
          <w:highlight w:val="none"/>
        </w:rPr>
        <w:t>。</w:t>
      </w:r>
    </w:p>
    <w:p w14:paraId="5F2CF035">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条款号：30.2                                    修改类型：修改</w:t>
      </w:r>
    </w:p>
    <w:p w14:paraId="3E2727F7">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30.2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58C6D40">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：30.2</w:t>
      </w:r>
      <w:r>
        <w:rPr>
          <w:rFonts w:hint="eastAsia" w:ascii="宋体" w:hAnsi="宋体" w:eastAsia="宋体" w:cs="宋体"/>
          <w:b/>
          <w:bCs/>
          <w:color w:val="auto"/>
          <w:szCs w:val="21"/>
          <w:highlight w:val="none"/>
          <w:u w:val="single"/>
        </w:rPr>
        <w:t>合同正式签订之日后的30日内</w:t>
      </w:r>
      <w:r>
        <w:rPr>
          <w:rFonts w:hint="eastAsia" w:ascii="宋体" w:hAnsi="宋体" w:eastAsia="宋体" w:cs="宋体"/>
          <w:color w:val="auto"/>
          <w:szCs w:val="21"/>
          <w:highlight w:val="none"/>
        </w:rPr>
        <w:t>，中标人未按上款的规定提交履约担保，招标人将解除中标通知书，</w:t>
      </w:r>
      <w:r>
        <w:rPr>
          <w:rFonts w:hint="eastAsia" w:ascii="宋体" w:hAnsi="宋体" w:eastAsia="宋体" w:cs="宋体"/>
          <w:b/>
          <w:bCs/>
          <w:color w:val="auto"/>
          <w:szCs w:val="21"/>
          <w:highlight w:val="none"/>
          <w:u w:val="single"/>
        </w:rPr>
        <w:t>原中标人依法承担相应法律责任。原中标人给招标人造成的损失，还应当予以赔偿。</w:t>
      </w:r>
      <w:r>
        <w:rPr>
          <w:rFonts w:hint="eastAsia" w:ascii="宋体" w:hAnsi="宋体" w:eastAsia="宋体" w:cs="宋体"/>
          <w:color w:val="auto"/>
          <w:szCs w:val="21"/>
          <w:highlight w:val="none"/>
        </w:rPr>
        <w:t>原中标人有异议的，可以向人民法院起诉。</w:t>
      </w:r>
    </w:p>
    <w:p w14:paraId="41A1407F">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条款号：30.3                                    修改类型：修改</w:t>
      </w:r>
    </w:p>
    <w:p w14:paraId="10C99DAB">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30.3中标候选人的经营、财务状况发生较大变化或存在违法行为，招标人认为可能影响其履约能力的，将在发出中标通知书前提请原评标委员会按照招标文件规定的标准和方法进行审查确认。</w:t>
      </w:r>
    </w:p>
    <w:p w14:paraId="2B1B0723">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30.3</w:t>
      </w:r>
      <w:r>
        <w:rPr>
          <w:rFonts w:hint="eastAsia" w:ascii="宋体" w:hAnsi="宋体" w:eastAsia="宋体" w:cs="宋体"/>
          <w:b/>
          <w:bCs/>
          <w:color w:val="auto"/>
          <w:szCs w:val="21"/>
          <w:highlight w:val="none"/>
          <w:u w:val="single"/>
        </w:rPr>
        <w:t>合格</w:t>
      </w:r>
      <w:r>
        <w:rPr>
          <w:rFonts w:hint="eastAsia" w:ascii="宋体" w:hAnsi="宋体" w:eastAsia="宋体" w:cs="宋体"/>
          <w:color w:val="auto"/>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431554F1">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条款号：31.1                                    修改类型：修改</w:t>
      </w:r>
    </w:p>
    <w:p w14:paraId="335B63D6">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31.1在合同双方全权代表在合同协议书上签字，并分别加盖双方单位的公章后，合同正式生效。</w:t>
      </w:r>
    </w:p>
    <w:p w14:paraId="5D932806">
      <w:pPr>
        <w:pBdr>
          <w:bottom w:val="single" w:color="auto" w:sz="6" w:space="1"/>
        </w:pBd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31.1在合同双方全权代表在合同协议书上签字，并分别加盖双方单位的公章</w:t>
      </w:r>
      <w:r>
        <w:rPr>
          <w:rFonts w:hint="eastAsia" w:ascii="宋体" w:hAnsi="宋体" w:eastAsia="宋体" w:cs="宋体"/>
          <w:b/>
          <w:bCs/>
          <w:color w:val="auto"/>
          <w:szCs w:val="21"/>
          <w:highlight w:val="none"/>
          <w:u w:val="single"/>
        </w:rPr>
        <w:t>且承包人提交履约担保后，合同正式生效。</w:t>
      </w:r>
    </w:p>
    <w:p w14:paraId="324D08E6">
      <w:pPr>
        <w:spacing w:line="24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条款号：34.                                     修改类型：修改</w:t>
      </w:r>
    </w:p>
    <w:p w14:paraId="239296BA">
      <w:pPr>
        <w:pBdr>
          <w:bottom w:val="single" w:color="auto" w:sz="6" w:space="1"/>
        </w:pBdr>
        <w:spacing w:line="24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原文：34.其它费用</w:t>
      </w:r>
    </w:p>
    <w:p w14:paraId="591BAADD">
      <w:pPr>
        <w:pBdr>
          <w:bottom w:val="single" w:color="auto" w:sz="6" w:space="1"/>
        </w:pBdr>
        <w:spacing w:line="24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34.</w:t>
      </w:r>
      <w:r>
        <w:rPr>
          <w:rFonts w:hint="eastAsia" w:ascii="宋体" w:hAnsi="宋体" w:eastAsia="宋体" w:cs="宋体"/>
          <w:b/>
          <w:bCs/>
          <w:color w:val="auto"/>
          <w:szCs w:val="21"/>
          <w:highlight w:val="none"/>
          <w:u w:val="single"/>
        </w:rPr>
        <w:t>中标人应交纳交易服务费，该费用包含在投标价中。</w:t>
      </w:r>
    </w:p>
    <w:p w14:paraId="78D8DAD0">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（以下无正文）</w:t>
      </w:r>
    </w:p>
    <w:p w14:paraId="0BCE24D9">
      <w:pPr>
        <w:keepNext/>
        <w:keepLines/>
        <w:numPr>
          <w:ilvl w:val="1"/>
          <w:numId w:val="0"/>
        </w:numPr>
        <w:spacing w:line="360" w:lineRule="auto"/>
        <w:jc w:val="center"/>
        <w:outlineLvl w:val="1"/>
        <w:rPr>
          <w:rFonts w:ascii="宋体" w:hAnsi="宋体" w:eastAsia="宋体" w:cs="Times New Roman"/>
          <w:b/>
          <w:color w:val="auto"/>
          <w:kern w:val="0"/>
          <w:sz w:val="24"/>
          <w:szCs w:val="24"/>
          <w:highlight w:val="none"/>
        </w:rPr>
      </w:pPr>
      <w:r>
        <w:rPr>
          <w:rFonts w:hint="eastAsia" w:ascii="宋体" w:hAnsi="宋体" w:eastAsia="宋体" w:cs="宋体"/>
          <w:b/>
          <w:color w:val="auto"/>
          <w:kern w:val="0"/>
          <w:sz w:val="24"/>
          <w:szCs w:val="24"/>
          <w:highlight w:val="none"/>
        </w:rPr>
        <w:br w:type="page"/>
      </w:r>
      <w:bookmarkStart w:id="5" w:name="_Toc202907279"/>
      <w:bookmarkStart w:id="6" w:name="_Toc2272548"/>
      <w:bookmarkStart w:id="7" w:name="_Toc12778"/>
      <w:bookmarkStart w:id="8" w:name="_Toc19765"/>
      <w:bookmarkStart w:id="9" w:name="_Toc21525492"/>
      <w:r>
        <w:rPr>
          <w:rFonts w:hint="eastAsia" w:ascii="宋体" w:hAnsi="宋体" w:eastAsia="宋体" w:cs="Times New Roman"/>
          <w:b/>
          <w:color w:val="auto"/>
          <w:kern w:val="0"/>
          <w:sz w:val="24"/>
          <w:szCs w:val="24"/>
          <w:highlight w:val="none"/>
        </w:rPr>
        <w:t>三、投标须知通用条款</w:t>
      </w:r>
      <w:bookmarkEnd w:id="5"/>
      <w:bookmarkEnd w:id="6"/>
      <w:bookmarkEnd w:id="7"/>
      <w:bookmarkEnd w:id="8"/>
    </w:p>
    <w:p w14:paraId="5F273118">
      <w:pPr>
        <w:widowControl/>
        <w:spacing w:line="360" w:lineRule="auto"/>
        <w:jc w:val="left"/>
        <w:outlineLvl w:val="2"/>
        <w:rPr>
          <w:rFonts w:ascii="宋体" w:hAnsi="宋体" w:eastAsia="宋体" w:cs="Times New Roman"/>
          <w:color w:val="auto"/>
          <w:kern w:val="0"/>
          <w:sz w:val="24"/>
          <w:szCs w:val="24"/>
          <w:highlight w:val="none"/>
        </w:rPr>
      </w:pPr>
      <w:bookmarkStart w:id="10" w:name="_Toc202907280"/>
      <w:r>
        <w:rPr>
          <w:rFonts w:hint="eastAsia" w:ascii="宋体" w:hAnsi="宋体" w:eastAsia="宋体" w:cs="Times New Roman"/>
          <w:color w:val="auto"/>
          <w:kern w:val="0"/>
          <w:sz w:val="24"/>
          <w:szCs w:val="24"/>
          <w:highlight w:val="none"/>
        </w:rPr>
        <w:t>（一）总则</w:t>
      </w:r>
      <w:bookmarkEnd w:id="10"/>
    </w:p>
    <w:p w14:paraId="4B725614">
      <w:pPr>
        <w:spacing w:line="360" w:lineRule="auto"/>
        <w:ind w:firstLine="482" w:firstLineChars="200"/>
        <w:rPr>
          <w:rFonts w:ascii="宋体" w:hAnsi="宋体" w:eastAsia="宋体" w:cs="Times New Roman"/>
          <w:b/>
          <w:bCs/>
          <w:color w:val="auto"/>
          <w:kern w:val="0"/>
          <w:sz w:val="24"/>
          <w:szCs w:val="20"/>
          <w:highlight w:val="none"/>
        </w:rPr>
      </w:pPr>
      <w:r>
        <w:rPr>
          <w:rFonts w:ascii="宋体" w:hAnsi="宋体" w:eastAsia="宋体" w:cs="Times New Roman"/>
          <w:b/>
          <w:bCs/>
          <w:color w:val="auto"/>
          <w:kern w:val="0"/>
          <w:sz w:val="24"/>
          <w:szCs w:val="20"/>
          <w:highlight w:val="none"/>
        </w:rPr>
        <w:t>1</w:t>
      </w:r>
      <w:r>
        <w:rPr>
          <w:rFonts w:hint="eastAsia" w:ascii="宋体" w:hAnsi="宋体" w:eastAsia="宋体" w:cs="Times New Roman"/>
          <w:b/>
          <w:bCs/>
          <w:color w:val="auto"/>
          <w:kern w:val="0"/>
          <w:sz w:val="24"/>
          <w:szCs w:val="20"/>
          <w:highlight w:val="none"/>
        </w:rPr>
        <w:t>、定义</w:t>
      </w:r>
    </w:p>
    <w:p w14:paraId="77FA1767">
      <w:pPr>
        <w:spacing w:line="360" w:lineRule="auto"/>
        <w:ind w:firstLine="480" w:firstLineChars="200"/>
        <w:rPr>
          <w:rFonts w:ascii="宋体" w:hAnsi="宋体" w:eastAsia="宋体" w:cs="Times New Roman"/>
          <w:b/>
          <w:bCs/>
          <w:color w:val="auto"/>
          <w:kern w:val="0"/>
          <w:sz w:val="24"/>
          <w:szCs w:val="20"/>
          <w:highlight w:val="none"/>
        </w:rPr>
      </w:pPr>
      <w:r>
        <w:rPr>
          <w:rFonts w:hint="eastAsia" w:ascii="宋体" w:hAnsi="宋体" w:eastAsia="宋体" w:cs="Times New Roman"/>
          <w:color w:val="auto"/>
          <w:kern w:val="0"/>
          <w:sz w:val="24"/>
          <w:szCs w:val="20"/>
          <w:highlight w:val="none"/>
        </w:rPr>
        <w:t>本招标文件使用的下列词语具有如下规定的意义：</w:t>
      </w:r>
    </w:p>
    <w:p w14:paraId="531BE428">
      <w:pPr>
        <w:spacing w:line="360" w:lineRule="auto"/>
        <w:ind w:firstLine="480" w:firstLineChars="200"/>
        <w:rPr>
          <w:rFonts w:ascii="宋体" w:hAnsi="宋体" w:eastAsia="宋体" w:cs="Times New Roman"/>
          <w:b/>
          <w:bCs/>
          <w:color w:val="auto"/>
          <w:kern w:val="0"/>
          <w:sz w:val="24"/>
          <w:szCs w:val="20"/>
          <w:highlight w:val="none"/>
          <w:u w:val="single"/>
        </w:rPr>
      </w:pPr>
      <w:r>
        <w:rPr>
          <w:rFonts w:hint="eastAsia" w:ascii="宋体" w:hAnsi="宋体" w:eastAsia="宋体" w:cs="Times New Roman"/>
          <w:color w:val="auto"/>
          <w:kern w:val="0"/>
          <w:sz w:val="24"/>
          <w:szCs w:val="20"/>
          <w:highlight w:val="none"/>
        </w:rPr>
        <w:t>（</w:t>
      </w:r>
      <w:r>
        <w:rPr>
          <w:rFonts w:ascii="宋体" w:hAnsi="宋体" w:eastAsia="宋体" w:cs="Times New Roman"/>
          <w:color w:val="auto"/>
          <w:kern w:val="0"/>
          <w:sz w:val="24"/>
          <w:szCs w:val="20"/>
          <w:highlight w:val="none"/>
        </w:rPr>
        <w:t>1</w:t>
      </w:r>
      <w:r>
        <w:rPr>
          <w:rFonts w:hint="eastAsia" w:ascii="宋体" w:hAnsi="宋体" w:eastAsia="宋体" w:cs="Times New Roman"/>
          <w:color w:val="auto"/>
          <w:kern w:val="0"/>
          <w:sz w:val="24"/>
          <w:szCs w:val="20"/>
          <w:highlight w:val="none"/>
        </w:rPr>
        <w:t>）“招标人”（即发包人）、“项目建设管理单位”（或称“项目代建单位”）、“招标代理”、“设计单位”、“监理单位”均已在投标须知前附表中列明。</w:t>
      </w:r>
    </w:p>
    <w:p w14:paraId="1642896A">
      <w:pPr>
        <w:spacing w:line="360" w:lineRule="auto"/>
        <w:ind w:firstLine="480" w:firstLineChars="200"/>
        <w:rPr>
          <w:rFonts w:ascii="宋体" w:hAnsi="宋体" w:eastAsia="宋体" w:cs="Times New Roman"/>
          <w:color w:val="auto"/>
          <w:kern w:val="0"/>
          <w:sz w:val="24"/>
          <w:szCs w:val="20"/>
          <w:highlight w:val="none"/>
          <w:u w:val="single"/>
        </w:rPr>
      </w:pPr>
      <w:r>
        <w:rPr>
          <w:rFonts w:hint="eastAsia" w:ascii="宋体" w:hAnsi="宋体" w:eastAsia="宋体" w:cs="Times New Roman"/>
          <w:color w:val="auto"/>
          <w:kern w:val="0"/>
          <w:sz w:val="24"/>
          <w:szCs w:val="20"/>
          <w:highlight w:val="none"/>
        </w:rPr>
        <w:t>（</w:t>
      </w:r>
      <w:r>
        <w:rPr>
          <w:rFonts w:ascii="宋体" w:hAnsi="宋体" w:eastAsia="宋体" w:cs="Times New Roman"/>
          <w:color w:val="auto"/>
          <w:kern w:val="0"/>
          <w:sz w:val="24"/>
          <w:szCs w:val="20"/>
          <w:highlight w:val="none"/>
        </w:rPr>
        <w:t>2</w:t>
      </w:r>
      <w:r>
        <w:rPr>
          <w:rFonts w:hint="eastAsia" w:ascii="宋体" w:hAnsi="宋体" w:eastAsia="宋体" w:cs="Times New Roman"/>
          <w:color w:val="auto"/>
          <w:kern w:val="0"/>
          <w:sz w:val="24"/>
          <w:szCs w:val="20"/>
          <w:highlight w:val="none"/>
        </w:rPr>
        <w:t>）“投标人”指向招标人提交投标文件的当事人。</w:t>
      </w:r>
      <w:r>
        <w:rPr>
          <w:rFonts w:ascii="宋体" w:hAnsi="宋体" w:eastAsia="宋体" w:cs="Times New Roman"/>
          <w:color w:val="auto"/>
          <w:kern w:val="0"/>
          <w:sz w:val="24"/>
          <w:szCs w:val="20"/>
          <w:highlight w:val="none"/>
        </w:rPr>
        <w:t xml:space="preserve">   </w:t>
      </w:r>
    </w:p>
    <w:p w14:paraId="5342FE73">
      <w:pPr>
        <w:spacing w:line="360" w:lineRule="auto"/>
        <w:ind w:firstLine="480" w:firstLineChars="200"/>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w:t>
      </w:r>
      <w:r>
        <w:rPr>
          <w:rFonts w:ascii="宋体" w:hAnsi="宋体" w:eastAsia="宋体" w:cs="Times New Roman"/>
          <w:color w:val="auto"/>
          <w:kern w:val="0"/>
          <w:sz w:val="24"/>
          <w:szCs w:val="20"/>
          <w:highlight w:val="none"/>
        </w:rPr>
        <w:t>3</w:t>
      </w:r>
      <w:r>
        <w:rPr>
          <w:rFonts w:hint="eastAsia" w:ascii="宋体" w:hAnsi="宋体" w:eastAsia="宋体" w:cs="Times New Roman"/>
          <w:color w:val="auto"/>
          <w:kern w:val="0"/>
          <w:sz w:val="24"/>
          <w:szCs w:val="20"/>
          <w:highlight w:val="none"/>
        </w:rPr>
        <w:t>）“承包人”指其投标被招标人接受并与其签订承包合同的当事人。</w:t>
      </w:r>
    </w:p>
    <w:p w14:paraId="4BDBEEC0">
      <w:pPr>
        <w:spacing w:line="360" w:lineRule="auto"/>
        <w:ind w:firstLine="480" w:firstLineChars="200"/>
        <w:rPr>
          <w:rFonts w:ascii="宋体" w:hAnsi="宋体" w:eastAsia="宋体" w:cs="Times New Roman"/>
          <w:color w:val="auto"/>
          <w:kern w:val="0"/>
          <w:sz w:val="24"/>
          <w:szCs w:val="20"/>
          <w:highlight w:val="none"/>
          <w:u w:val="single"/>
        </w:rPr>
      </w:pPr>
      <w:r>
        <w:rPr>
          <w:rFonts w:hint="eastAsia" w:ascii="宋体" w:hAnsi="宋体" w:eastAsia="宋体" w:cs="Times New Roman"/>
          <w:color w:val="auto"/>
          <w:kern w:val="0"/>
          <w:sz w:val="24"/>
          <w:szCs w:val="20"/>
          <w:highlight w:val="none"/>
        </w:rPr>
        <w:t>（</w:t>
      </w:r>
      <w:r>
        <w:rPr>
          <w:rFonts w:ascii="宋体" w:hAnsi="宋体" w:eastAsia="宋体" w:cs="Times New Roman"/>
          <w:color w:val="auto"/>
          <w:kern w:val="0"/>
          <w:sz w:val="24"/>
          <w:szCs w:val="20"/>
          <w:highlight w:val="none"/>
        </w:rPr>
        <w:t>4</w:t>
      </w:r>
      <w:r>
        <w:rPr>
          <w:rFonts w:hint="eastAsia" w:ascii="宋体" w:hAnsi="宋体" w:eastAsia="宋体" w:cs="Times New Roman"/>
          <w:color w:val="auto"/>
          <w:kern w:val="0"/>
          <w:sz w:val="24"/>
          <w:szCs w:val="20"/>
          <w:highlight w:val="none"/>
        </w:rPr>
        <w:t>）“招标文件”指由招标代理发出的本文件（包括全部章节、附件）及招标答疑会会议纪要和</w:t>
      </w:r>
      <w:r>
        <w:rPr>
          <w:rFonts w:hint="eastAsia" w:ascii="宋体" w:hAnsi="宋体" w:eastAsia="宋体" w:cs="Times New Roman"/>
          <w:bCs/>
          <w:color w:val="auto"/>
          <w:kern w:val="0"/>
          <w:sz w:val="24"/>
          <w:szCs w:val="20"/>
          <w:highlight w:val="none"/>
        </w:rPr>
        <w:t>招标文件的澄清与修改</w:t>
      </w:r>
      <w:r>
        <w:rPr>
          <w:rFonts w:hint="eastAsia" w:ascii="宋体" w:hAnsi="宋体" w:eastAsia="宋体" w:cs="Times New Roman"/>
          <w:color w:val="auto"/>
          <w:kern w:val="0"/>
          <w:sz w:val="24"/>
          <w:szCs w:val="20"/>
          <w:highlight w:val="none"/>
        </w:rPr>
        <w:t>文件。</w:t>
      </w:r>
    </w:p>
    <w:p w14:paraId="47FAF388">
      <w:pPr>
        <w:spacing w:line="360" w:lineRule="auto"/>
        <w:ind w:firstLine="480" w:firstLineChars="200"/>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w:t>
      </w:r>
      <w:r>
        <w:rPr>
          <w:rFonts w:ascii="宋体" w:hAnsi="宋体" w:eastAsia="宋体" w:cs="Times New Roman"/>
          <w:color w:val="auto"/>
          <w:kern w:val="0"/>
          <w:sz w:val="24"/>
          <w:szCs w:val="20"/>
          <w:highlight w:val="none"/>
        </w:rPr>
        <w:t>5</w:t>
      </w:r>
      <w:r>
        <w:rPr>
          <w:rFonts w:hint="eastAsia" w:ascii="宋体" w:hAnsi="宋体" w:eastAsia="宋体" w:cs="Times New Roman"/>
          <w:color w:val="auto"/>
          <w:kern w:val="0"/>
          <w:sz w:val="24"/>
          <w:szCs w:val="20"/>
          <w:highlight w:val="none"/>
        </w:rPr>
        <w:t>）“投标文件”指投标人根据本项目招标文件向招标人提交的全部文件。</w:t>
      </w:r>
    </w:p>
    <w:p w14:paraId="6DD1568B">
      <w:pPr>
        <w:spacing w:line="360" w:lineRule="auto"/>
        <w:ind w:firstLine="480" w:firstLineChars="200"/>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w:t>
      </w:r>
      <w:r>
        <w:rPr>
          <w:rFonts w:ascii="宋体" w:hAnsi="宋体" w:eastAsia="宋体" w:cs="Times New Roman"/>
          <w:color w:val="auto"/>
          <w:kern w:val="0"/>
          <w:sz w:val="24"/>
          <w:szCs w:val="20"/>
          <w:highlight w:val="none"/>
        </w:rPr>
        <w:t>6</w:t>
      </w:r>
      <w:r>
        <w:rPr>
          <w:rFonts w:hint="eastAsia" w:ascii="宋体" w:hAnsi="宋体" w:eastAsia="宋体" w:cs="Times New Roman"/>
          <w:color w:val="auto"/>
          <w:kern w:val="0"/>
          <w:sz w:val="24"/>
          <w:szCs w:val="20"/>
          <w:highlight w:val="none"/>
        </w:rPr>
        <w:t>）“书面形式”指打字或印刷的文件和数据电文（包括电报、电传、传真、电子数据交换和电子邮件）。</w:t>
      </w:r>
    </w:p>
    <w:p w14:paraId="6D0ED5F6">
      <w:pPr>
        <w:spacing w:line="360" w:lineRule="auto"/>
        <w:ind w:firstLine="482" w:firstLineChars="200"/>
        <w:rPr>
          <w:rFonts w:ascii="宋体" w:hAnsi="宋体" w:eastAsia="宋体" w:cs="Times New Roman"/>
          <w:b/>
          <w:color w:val="auto"/>
          <w:sz w:val="24"/>
          <w:highlight w:val="none"/>
        </w:rPr>
      </w:pPr>
      <w:r>
        <w:rPr>
          <w:rFonts w:ascii="宋体" w:hAnsi="宋体" w:eastAsia="宋体" w:cs="Times New Roman"/>
          <w:b/>
          <w:color w:val="auto"/>
          <w:sz w:val="24"/>
          <w:highlight w:val="none"/>
        </w:rPr>
        <w:t>2</w:t>
      </w:r>
      <w:r>
        <w:rPr>
          <w:rFonts w:hint="eastAsia" w:ascii="宋体" w:hAnsi="宋体" w:eastAsia="宋体" w:cs="Times New Roman"/>
          <w:b/>
          <w:color w:val="auto"/>
          <w:sz w:val="24"/>
          <w:highlight w:val="none"/>
        </w:rPr>
        <w:t>、招标说明</w:t>
      </w:r>
    </w:p>
    <w:p w14:paraId="5102F96C">
      <w:pPr>
        <w:spacing w:line="360" w:lineRule="auto"/>
        <w:ind w:firstLine="480" w:firstLineChars="200"/>
        <w:rPr>
          <w:rFonts w:ascii="宋体" w:hAnsi="宋体" w:eastAsia="宋体" w:cs="Times New Roman"/>
          <w:bCs/>
          <w:color w:val="auto"/>
          <w:sz w:val="24"/>
          <w:highlight w:val="none"/>
        </w:rPr>
      </w:pPr>
      <w:r>
        <w:rPr>
          <w:rFonts w:ascii="宋体" w:hAnsi="宋体" w:eastAsia="宋体" w:cs="Times New Roman"/>
          <w:bCs/>
          <w:color w:val="auto"/>
          <w:sz w:val="24"/>
          <w:highlight w:val="none"/>
        </w:rPr>
        <w:t>2.1</w:t>
      </w:r>
      <w:r>
        <w:rPr>
          <w:rFonts w:hint="eastAsia" w:ascii="宋体" w:hAnsi="宋体" w:eastAsia="宋体" w:cs="Times New Roman"/>
          <w:bCs/>
          <w:color w:val="auto"/>
          <w:sz w:val="24"/>
          <w:highlight w:val="none"/>
        </w:rPr>
        <w:t>本招标工程项目按照《中华人民共和国招标投标法》等有关法律、行政法规、规章和规范性文件，通过招标方式选定承包人。</w:t>
      </w:r>
    </w:p>
    <w:p w14:paraId="7227E799">
      <w:pPr>
        <w:spacing w:line="360" w:lineRule="auto"/>
        <w:ind w:firstLine="480" w:firstLineChars="200"/>
        <w:rPr>
          <w:rFonts w:ascii="宋体" w:hAnsi="宋体" w:eastAsia="宋体" w:cs="Times New Roman"/>
          <w:bCs/>
          <w:color w:val="auto"/>
          <w:sz w:val="24"/>
          <w:highlight w:val="none"/>
        </w:rPr>
      </w:pPr>
      <w:r>
        <w:rPr>
          <w:rFonts w:ascii="宋体" w:hAnsi="宋体" w:eastAsia="宋体" w:cs="Times New Roman"/>
          <w:bCs/>
          <w:color w:val="auto"/>
          <w:sz w:val="24"/>
          <w:highlight w:val="none"/>
        </w:rPr>
        <w:t>2.2</w:t>
      </w:r>
      <w:r>
        <w:rPr>
          <w:rFonts w:hint="eastAsia" w:ascii="宋体" w:hAnsi="宋体" w:eastAsia="宋体" w:cs="Times New Roman"/>
          <w:bCs/>
          <w:color w:val="auto"/>
          <w:sz w:val="24"/>
          <w:highlight w:val="none"/>
        </w:rPr>
        <w:t>工程名称、招标项目名称、建设地点、建设规模、承包方式、质量标准、招标范围、工期要求等均在投标须知前附表中列明。</w:t>
      </w:r>
    </w:p>
    <w:p w14:paraId="7AAEDFED">
      <w:pPr>
        <w:spacing w:line="360" w:lineRule="auto"/>
        <w:ind w:firstLine="480" w:firstLineChars="200"/>
        <w:rPr>
          <w:rFonts w:ascii="宋体" w:hAnsi="宋体" w:eastAsia="宋体" w:cs="Times New Roman"/>
          <w:bCs/>
          <w:color w:val="auto"/>
          <w:sz w:val="24"/>
          <w:highlight w:val="none"/>
        </w:rPr>
      </w:pPr>
      <w:r>
        <w:rPr>
          <w:rFonts w:ascii="宋体" w:hAnsi="宋体" w:eastAsia="宋体" w:cs="Times New Roman"/>
          <w:bCs/>
          <w:color w:val="auto"/>
          <w:sz w:val="24"/>
          <w:highlight w:val="none"/>
        </w:rPr>
        <w:t>2.3</w:t>
      </w:r>
      <w:r>
        <w:rPr>
          <w:rFonts w:hint="eastAsia" w:ascii="宋体" w:hAnsi="宋体" w:eastAsia="宋体" w:cs="Times New Roman"/>
          <w:bCs/>
          <w:color w:val="auto"/>
          <w:sz w:val="24"/>
          <w:highlight w:val="none"/>
        </w:rPr>
        <w:t>设计说明：详见招标图纸。</w:t>
      </w:r>
    </w:p>
    <w:p w14:paraId="382FE43C">
      <w:pPr>
        <w:spacing w:line="360" w:lineRule="auto"/>
        <w:ind w:firstLine="480" w:firstLineChars="200"/>
        <w:rPr>
          <w:rFonts w:ascii="宋体" w:hAnsi="宋体" w:eastAsia="宋体" w:cs="Times New Roman"/>
          <w:bCs/>
          <w:color w:val="auto"/>
          <w:sz w:val="24"/>
          <w:highlight w:val="none"/>
        </w:rPr>
      </w:pPr>
      <w:r>
        <w:rPr>
          <w:rFonts w:ascii="宋体" w:hAnsi="宋体" w:eastAsia="宋体" w:cs="Times New Roman"/>
          <w:bCs/>
          <w:color w:val="auto"/>
          <w:sz w:val="24"/>
          <w:highlight w:val="none"/>
        </w:rPr>
        <w:t>2.4</w:t>
      </w:r>
      <w:r>
        <w:rPr>
          <w:rFonts w:hint="eastAsia" w:ascii="宋体" w:hAnsi="宋体" w:eastAsia="宋体" w:cs="Times New Roman"/>
          <w:bCs/>
          <w:color w:val="auto"/>
          <w:sz w:val="24"/>
          <w:highlight w:val="none"/>
        </w:rPr>
        <w:t>工程施工特点：详见招标图纸。</w:t>
      </w:r>
    </w:p>
    <w:p w14:paraId="48324451">
      <w:pPr>
        <w:tabs>
          <w:tab w:val="left" w:pos="105"/>
        </w:tabs>
        <w:spacing w:line="360" w:lineRule="auto"/>
        <w:ind w:firstLine="482" w:firstLineChars="200"/>
        <w:rPr>
          <w:rFonts w:ascii="宋体" w:hAnsi="宋体" w:eastAsia="宋体" w:cs="Times New Roman"/>
          <w:b/>
          <w:color w:val="auto"/>
          <w:sz w:val="24"/>
          <w:highlight w:val="none"/>
        </w:rPr>
      </w:pPr>
      <w:r>
        <w:rPr>
          <w:rFonts w:ascii="宋体" w:hAnsi="宋体" w:eastAsia="宋体" w:cs="Times New Roman"/>
          <w:b/>
          <w:color w:val="auto"/>
          <w:sz w:val="24"/>
          <w:highlight w:val="none"/>
        </w:rPr>
        <w:t>3</w:t>
      </w:r>
      <w:r>
        <w:rPr>
          <w:rFonts w:hint="eastAsia" w:ascii="宋体" w:hAnsi="宋体" w:eastAsia="宋体" w:cs="Times New Roman"/>
          <w:b/>
          <w:color w:val="auto"/>
          <w:sz w:val="24"/>
          <w:highlight w:val="none"/>
        </w:rPr>
        <w:t>．资金来源</w:t>
      </w:r>
    </w:p>
    <w:p w14:paraId="6B074C17">
      <w:pPr>
        <w:spacing w:line="360" w:lineRule="auto"/>
        <w:ind w:firstLine="480" w:firstLineChars="200"/>
        <w:rPr>
          <w:rFonts w:ascii="宋体" w:hAnsi="宋体" w:eastAsia="宋体" w:cs="Times New Roman"/>
          <w:bCs/>
          <w:color w:val="auto"/>
          <w:sz w:val="24"/>
          <w:highlight w:val="none"/>
        </w:rPr>
      </w:pPr>
      <w:r>
        <w:rPr>
          <w:rFonts w:ascii="宋体" w:hAnsi="宋体" w:eastAsia="宋体" w:cs="Times New Roman"/>
          <w:bCs/>
          <w:color w:val="auto"/>
          <w:sz w:val="24"/>
          <w:highlight w:val="none"/>
        </w:rPr>
        <w:t>3.1</w:t>
      </w:r>
      <w:r>
        <w:rPr>
          <w:rFonts w:hint="eastAsia" w:ascii="宋体" w:hAnsi="宋体" w:eastAsia="宋体" w:cs="Times New Roman"/>
          <w:bCs/>
          <w:color w:val="auto"/>
          <w:sz w:val="24"/>
          <w:highlight w:val="none"/>
        </w:rPr>
        <w:t>本招标工程项目资金来源见投标须知前附表第</w:t>
      </w:r>
      <w:r>
        <w:rPr>
          <w:rFonts w:ascii="宋体" w:hAnsi="宋体" w:eastAsia="宋体" w:cs="Times New Roman"/>
          <w:bCs/>
          <w:color w:val="auto"/>
          <w:sz w:val="24"/>
          <w:highlight w:val="none"/>
        </w:rPr>
        <w:t>9</w:t>
      </w:r>
      <w:r>
        <w:rPr>
          <w:rFonts w:hint="eastAsia" w:ascii="宋体" w:hAnsi="宋体" w:eastAsia="宋体" w:cs="Times New Roman"/>
          <w:bCs/>
          <w:color w:val="auto"/>
          <w:sz w:val="24"/>
          <w:highlight w:val="none"/>
        </w:rPr>
        <w:t>项</w:t>
      </w:r>
    </w:p>
    <w:p w14:paraId="5B16E215">
      <w:pPr>
        <w:tabs>
          <w:tab w:val="left" w:pos="105"/>
        </w:tabs>
        <w:spacing w:line="360" w:lineRule="auto"/>
        <w:ind w:firstLine="482" w:firstLineChars="200"/>
        <w:rPr>
          <w:rFonts w:ascii="宋体" w:hAnsi="宋体" w:eastAsia="宋体" w:cs="Times New Roman"/>
          <w:b/>
          <w:color w:val="auto"/>
          <w:sz w:val="24"/>
          <w:highlight w:val="none"/>
        </w:rPr>
      </w:pPr>
      <w:r>
        <w:rPr>
          <w:rFonts w:ascii="宋体" w:hAnsi="宋体" w:eastAsia="宋体" w:cs="Times New Roman"/>
          <w:b/>
          <w:color w:val="auto"/>
          <w:sz w:val="24"/>
          <w:highlight w:val="none"/>
        </w:rPr>
        <w:t>4</w:t>
      </w:r>
      <w:r>
        <w:rPr>
          <w:rFonts w:hint="eastAsia" w:ascii="宋体" w:hAnsi="宋体" w:eastAsia="宋体" w:cs="Times New Roman"/>
          <w:b/>
          <w:color w:val="auto"/>
          <w:sz w:val="24"/>
          <w:highlight w:val="none"/>
        </w:rPr>
        <w:t>．合格投标人的条件</w:t>
      </w:r>
    </w:p>
    <w:p w14:paraId="258937D4">
      <w:pPr>
        <w:spacing w:line="360" w:lineRule="auto"/>
        <w:ind w:firstLine="480" w:firstLineChars="200"/>
        <w:rPr>
          <w:rFonts w:ascii="宋体" w:hAnsi="宋体" w:eastAsia="宋体" w:cs="Times New Roman"/>
          <w:bCs/>
          <w:color w:val="auto"/>
          <w:sz w:val="24"/>
          <w:highlight w:val="none"/>
        </w:rPr>
      </w:pPr>
      <w:r>
        <w:rPr>
          <w:rFonts w:ascii="宋体" w:hAnsi="宋体" w:eastAsia="宋体" w:cs="Times New Roman"/>
          <w:bCs/>
          <w:color w:val="auto"/>
          <w:sz w:val="24"/>
          <w:highlight w:val="none"/>
        </w:rPr>
        <w:t>4.1</w:t>
      </w:r>
      <w:r>
        <w:rPr>
          <w:rFonts w:hint="eastAsia" w:ascii="宋体" w:hAnsi="宋体" w:eastAsia="宋体" w:cs="Times New Roman"/>
          <w:bCs/>
          <w:color w:val="auto"/>
          <w:sz w:val="24"/>
          <w:highlight w:val="none"/>
        </w:rPr>
        <w:t>投标人合格条件详见本项目招标公告。</w:t>
      </w:r>
    </w:p>
    <w:p w14:paraId="421735EC">
      <w:pPr>
        <w:ind w:firstLine="480" w:firstLineChars="200"/>
        <w:rPr>
          <w:rFonts w:ascii="宋体" w:hAnsi="宋体" w:eastAsia="宋体" w:cs="Courier New"/>
          <w:color w:val="auto"/>
          <w:highlight w:val="none"/>
        </w:rPr>
      </w:pPr>
      <w:r>
        <w:rPr>
          <w:rFonts w:hint="eastAsia" w:ascii="宋体" w:hAnsi="宋体" w:eastAsia="宋体" w:cs="Courier New"/>
          <w:bCs/>
          <w:color w:val="auto"/>
          <w:sz w:val="24"/>
          <w:highlight w:val="none"/>
        </w:rPr>
        <w:t>4.2资格审查方式详见本项目招标公告。</w:t>
      </w:r>
    </w:p>
    <w:p w14:paraId="1A5279A3">
      <w:pPr>
        <w:tabs>
          <w:tab w:val="left" w:pos="105"/>
        </w:tabs>
        <w:spacing w:line="360" w:lineRule="auto"/>
        <w:ind w:firstLine="482" w:firstLineChars="200"/>
        <w:rPr>
          <w:rFonts w:ascii="宋体" w:hAnsi="宋体" w:eastAsia="宋体" w:cs="Times New Roman"/>
          <w:b/>
          <w:color w:val="auto"/>
          <w:sz w:val="24"/>
          <w:highlight w:val="none"/>
        </w:rPr>
      </w:pPr>
      <w:r>
        <w:rPr>
          <w:rFonts w:ascii="宋体" w:hAnsi="宋体" w:eastAsia="宋体" w:cs="Times New Roman"/>
          <w:b/>
          <w:color w:val="auto"/>
          <w:sz w:val="24"/>
          <w:highlight w:val="none"/>
        </w:rPr>
        <w:t>5</w:t>
      </w:r>
      <w:r>
        <w:rPr>
          <w:rFonts w:hint="eastAsia" w:ascii="宋体" w:hAnsi="宋体" w:eastAsia="宋体" w:cs="Times New Roman"/>
          <w:b/>
          <w:color w:val="auto"/>
          <w:sz w:val="24"/>
          <w:highlight w:val="none"/>
        </w:rPr>
        <w:t>．踏勘现场</w:t>
      </w:r>
    </w:p>
    <w:p w14:paraId="28B0218B">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bCs/>
          <w:color w:val="auto"/>
          <w:sz w:val="24"/>
          <w:highlight w:val="none"/>
        </w:rPr>
        <w:t xml:space="preserve">5.1 </w:t>
      </w:r>
      <w:r>
        <w:rPr>
          <w:rFonts w:hint="eastAsia" w:ascii="宋体" w:hAnsi="宋体" w:eastAsia="宋体" w:cs="Times New Roman"/>
          <w:bCs/>
          <w:color w:val="auto"/>
          <w:sz w:val="24"/>
          <w:highlight w:val="none"/>
        </w:rPr>
        <w:t>投标人应按本投标须知前附表第</w:t>
      </w:r>
      <w:r>
        <w:rPr>
          <w:rFonts w:ascii="宋体" w:hAnsi="宋体" w:eastAsia="宋体" w:cs="Times New Roman"/>
          <w:bCs/>
          <w:color w:val="auto"/>
          <w:sz w:val="24"/>
          <w:highlight w:val="none"/>
        </w:rPr>
        <w:t>1</w:t>
      </w:r>
      <w:r>
        <w:rPr>
          <w:rFonts w:hint="eastAsia" w:ascii="宋体" w:hAnsi="宋体" w:eastAsia="宋体" w:cs="Times New Roman"/>
          <w:bCs/>
          <w:color w:val="auto"/>
          <w:sz w:val="24"/>
          <w:highlight w:val="none"/>
        </w:rPr>
        <w:t>2项所述时间和要求自行对工程现场及周围环境进行踏勘，</w:t>
      </w:r>
      <w:r>
        <w:rPr>
          <w:rFonts w:hint="eastAsia" w:ascii="宋体" w:hAnsi="宋体" w:eastAsia="宋体" w:cs="Times New Roman"/>
          <w:color w:val="auto"/>
          <w:sz w:val="24"/>
          <w:highlight w:val="none"/>
        </w:rPr>
        <w:t>投标人应充分重视和仔细地进行这种考察，</w:t>
      </w:r>
      <w:r>
        <w:rPr>
          <w:rFonts w:hint="eastAsia" w:ascii="宋体" w:hAnsi="宋体" w:eastAsia="宋体" w:cs="Times New Roman"/>
          <w:bCs/>
          <w:color w:val="auto"/>
          <w:sz w:val="24"/>
          <w:highlight w:val="none"/>
        </w:rPr>
        <w:t>以便投标人获取</w:t>
      </w:r>
      <w:r>
        <w:rPr>
          <w:rFonts w:hint="eastAsia" w:ascii="宋体" w:hAnsi="宋体" w:eastAsia="宋体" w:cs="Times New Roman"/>
          <w:color w:val="auto"/>
          <w:sz w:val="24"/>
          <w:highlight w:val="none"/>
        </w:rPr>
        <w:t>那些须投标人自己负责的</w:t>
      </w:r>
      <w:r>
        <w:rPr>
          <w:rFonts w:hint="eastAsia" w:ascii="宋体" w:hAnsi="宋体" w:eastAsia="宋体" w:cs="Times New Roman"/>
          <w:bCs/>
          <w:color w:val="auto"/>
          <w:sz w:val="24"/>
          <w:highlight w:val="none"/>
        </w:rPr>
        <w:t>有关编制投标文件和签署合同所涉及现场所有的资料。</w:t>
      </w:r>
      <w:r>
        <w:rPr>
          <w:rFonts w:hint="eastAsia" w:ascii="宋体" w:hAnsi="宋体" w:eastAsia="宋体" w:cs="Times New Roman"/>
          <w:color w:val="auto"/>
          <w:sz w:val="24"/>
          <w:highlight w:val="none"/>
        </w:rPr>
        <w:t>一旦中标，这种考察即被认为其结果已在中标文件中得到充分反映。</w:t>
      </w:r>
    </w:p>
    <w:p w14:paraId="12DE7C88">
      <w:pPr>
        <w:spacing w:line="360" w:lineRule="auto"/>
        <w:ind w:firstLine="480" w:firstLineChars="200"/>
        <w:rPr>
          <w:rFonts w:ascii="宋体" w:hAnsi="宋体" w:eastAsia="宋体" w:cs="Times New Roman"/>
          <w:bCs/>
          <w:color w:val="auto"/>
          <w:sz w:val="24"/>
          <w:highlight w:val="none"/>
          <w:u w:val="single"/>
        </w:rPr>
      </w:pPr>
      <w:r>
        <w:rPr>
          <w:rFonts w:hint="eastAsia" w:ascii="宋体" w:hAnsi="宋体" w:eastAsia="宋体" w:cs="Times New Roman"/>
          <w:color w:val="auto"/>
          <w:sz w:val="24"/>
          <w:highlight w:val="none"/>
        </w:rPr>
        <w:t>5.2投标人</w:t>
      </w:r>
      <w:r>
        <w:rPr>
          <w:rFonts w:hint="eastAsia" w:ascii="宋体" w:hAnsi="宋体" w:eastAsia="宋体" w:cs="Times New Roman"/>
          <w:bCs/>
          <w:color w:val="auto"/>
          <w:sz w:val="24"/>
          <w:highlight w:val="none"/>
        </w:rPr>
        <w:t>踏勘</w:t>
      </w:r>
      <w:r>
        <w:rPr>
          <w:rFonts w:hint="eastAsia" w:ascii="宋体" w:hAnsi="宋体" w:eastAsia="宋体" w:cs="Times New Roman"/>
          <w:color w:val="auto"/>
          <w:sz w:val="24"/>
          <w:highlight w:val="none"/>
        </w:rPr>
        <w:t>现场的费用自理。</w:t>
      </w:r>
    </w:p>
    <w:p w14:paraId="0DA433D6">
      <w:pPr>
        <w:tabs>
          <w:tab w:val="left" w:pos="105"/>
        </w:tabs>
        <w:spacing w:line="360" w:lineRule="auto"/>
        <w:ind w:firstLine="480" w:firstLineChars="200"/>
        <w:rPr>
          <w:rFonts w:ascii="宋体" w:hAnsi="宋体" w:eastAsia="宋体" w:cs="Times New Roman"/>
          <w:bCs/>
          <w:color w:val="auto"/>
          <w:sz w:val="24"/>
          <w:highlight w:val="none"/>
        </w:rPr>
      </w:pPr>
      <w:r>
        <w:rPr>
          <w:rFonts w:ascii="宋体" w:hAnsi="宋体" w:eastAsia="宋体" w:cs="Times New Roman"/>
          <w:bCs/>
          <w:color w:val="auto"/>
          <w:sz w:val="24"/>
          <w:highlight w:val="none"/>
        </w:rPr>
        <w:t>5.</w:t>
      </w:r>
      <w:r>
        <w:rPr>
          <w:rFonts w:hint="eastAsia" w:ascii="宋体" w:hAnsi="宋体" w:eastAsia="宋体" w:cs="Times New Roman"/>
          <w:bCs/>
          <w:color w:val="auto"/>
          <w:sz w:val="24"/>
          <w:highlight w:val="none"/>
        </w:rPr>
        <w:t>3</w:t>
      </w:r>
      <w:r>
        <w:rPr>
          <w:rFonts w:ascii="宋体" w:hAnsi="宋体" w:eastAsia="宋体" w:cs="Times New Roman"/>
          <w:bCs/>
          <w:color w:val="auto"/>
          <w:sz w:val="24"/>
          <w:highlight w:val="none"/>
        </w:rPr>
        <w:t xml:space="preserve"> </w:t>
      </w:r>
      <w:r>
        <w:rPr>
          <w:rFonts w:hint="eastAsia" w:ascii="宋体" w:hAnsi="宋体" w:eastAsia="宋体" w:cs="Times New Roman"/>
          <w:bCs/>
          <w:color w:val="auto"/>
          <w:sz w:val="24"/>
          <w:highlight w:val="none"/>
        </w:rPr>
        <w:t>招标人向投标人提供的有关现场的数据和资料，是招标人现有的能被投标人利用的资料，招标人对投标人做出的任何推论、理解和结论均不负责任。</w:t>
      </w:r>
    </w:p>
    <w:p w14:paraId="5B77DBA4">
      <w:pPr>
        <w:spacing w:line="360" w:lineRule="auto"/>
        <w:ind w:firstLine="480" w:firstLineChars="200"/>
        <w:rPr>
          <w:rFonts w:ascii="宋体" w:hAnsi="宋体" w:eastAsia="宋体" w:cs="Times New Roman"/>
          <w:bCs/>
          <w:color w:val="auto"/>
          <w:sz w:val="24"/>
          <w:highlight w:val="none"/>
        </w:rPr>
      </w:pPr>
      <w:r>
        <w:rPr>
          <w:rFonts w:ascii="宋体" w:hAnsi="宋体" w:eastAsia="宋体" w:cs="Times New Roman"/>
          <w:bCs/>
          <w:color w:val="auto"/>
          <w:sz w:val="24"/>
          <w:highlight w:val="none"/>
        </w:rPr>
        <w:t>5.</w:t>
      </w:r>
      <w:r>
        <w:rPr>
          <w:rFonts w:hint="eastAsia" w:ascii="宋体" w:hAnsi="宋体" w:eastAsia="宋体" w:cs="Times New Roman"/>
          <w:bCs/>
          <w:color w:val="auto"/>
          <w:sz w:val="24"/>
          <w:highlight w:val="none"/>
        </w:rPr>
        <w:t>4</w:t>
      </w:r>
      <w:r>
        <w:rPr>
          <w:rFonts w:ascii="宋体" w:hAnsi="宋体" w:eastAsia="宋体" w:cs="Times New Roman"/>
          <w:bCs/>
          <w:color w:val="auto"/>
          <w:sz w:val="24"/>
          <w:highlight w:val="none"/>
        </w:rPr>
        <w:t xml:space="preserve"> </w:t>
      </w:r>
      <w:r>
        <w:rPr>
          <w:rFonts w:hint="eastAsia" w:ascii="宋体" w:hAnsi="宋体" w:eastAsia="宋体" w:cs="Times New Roman"/>
          <w:bCs/>
          <w:color w:val="auto"/>
          <w:sz w:val="24"/>
          <w:highlight w:val="none"/>
        </w:rPr>
        <w:t>经招标人允许，投标人可为踏勘目的进入招标人的项目现场。</w:t>
      </w:r>
      <w:r>
        <w:rPr>
          <w:rFonts w:hint="eastAsia" w:ascii="宋体" w:hAnsi="宋体" w:eastAsia="宋体" w:cs="Times New Roman"/>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eastAsia="宋体" w:cs="Times New Roman"/>
          <w:bCs/>
          <w:color w:val="auto"/>
          <w:sz w:val="24"/>
          <w:highlight w:val="none"/>
        </w:rPr>
        <w:t>投标人不得因此使招标人承担有关的责任和蒙受损失。</w:t>
      </w:r>
    </w:p>
    <w:p w14:paraId="5A810B58">
      <w:pPr>
        <w:spacing w:line="360" w:lineRule="auto"/>
        <w:rPr>
          <w:rFonts w:ascii="宋体" w:hAnsi="宋体" w:eastAsia="宋体" w:cs="Courier New"/>
          <w:color w:val="auto"/>
          <w:highlight w:val="none"/>
        </w:rPr>
      </w:pPr>
      <w:r>
        <w:rPr>
          <w:rFonts w:hint="eastAsia" w:ascii="宋体" w:hAnsi="宋体" w:eastAsia="宋体" w:cs="Courier New"/>
          <w:bCs/>
          <w:color w:val="auto"/>
          <w:sz w:val="24"/>
          <w:highlight w:val="none"/>
        </w:rPr>
        <w:t xml:space="preserve">    5.4由于投标人没有对工程现场及周围环境进行踏勘，造成投标失误的，由投标人自行承担责任和损失。</w:t>
      </w:r>
    </w:p>
    <w:p w14:paraId="59E3F2C2">
      <w:pPr>
        <w:tabs>
          <w:tab w:val="left" w:pos="105"/>
        </w:tabs>
        <w:spacing w:line="360" w:lineRule="auto"/>
        <w:ind w:firstLine="482" w:firstLineChars="200"/>
        <w:rPr>
          <w:rFonts w:ascii="宋体" w:hAnsi="宋体" w:eastAsia="宋体" w:cs="Times New Roman"/>
          <w:b/>
          <w:color w:val="auto"/>
          <w:sz w:val="24"/>
          <w:highlight w:val="none"/>
        </w:rPr>
      </w:pPr>
      <w:r>
        <w:rPr>
          <w:rFonts w:ascii="宋体" w:hAnsi="宋体" w:eastAsia="宋体" w:cs="Times New Roman"/>
          <w:b/>
          <w:color w:val="auto"/>
          <w:sz w:val="24"/>
          <w:highlight w:val="none"/>
        </w:rPr>
        <w:t>6</w:t>
      </w:r>
      <w:r>
        <w:rPr>
          <w:rFonts w:hint="eastAsia" w:ascii="宋体" w:hAnsi="宋体" w:eastAsia="宋体" w:cs="Times New Roman"/>
          <w:b/>
          <w:color w:val="auto"/>
          <w:sz w:val="24"/>
          <w:highlight w:val="none"/>
        </w:rPr>
        <w:t>．投标费用</w:t>
      </w:r>
    </w:p>
    <w:p w14:paraId="0429FF11">
      <w:pPr>
        <w:tabs>
          <w:tab w:val="left" w:pos="105"/>
        </w:tabs>
        <w:spacing w:line="360" w:lineRule="auto"/>
        <w:ind w:firstLine="480" w:firstLineChars="200"/>
        <w:rPr>
          <w:rFonts w:ascii="宋体" w:hAnsi="宋体" w:eastAsia="宋体" w:cs="Times New Roman"/>
          <w:bCs/>
          <w:color w:val="auto"/>
          <w:sz w:val="24"/>
          <w:highlight w:val="none"/>
        </w:rPr>
      </w:pPr>
      <w:r>
        <w:rPr>
          <w:rFonts w:ascii="宋体" w:hAnsi="宋体" w:eastAsia="宋体" w:cs="Times New Roman"/>
          <w:bCs/>
          <w:color w:val="auto"/>
          <w:sz w:val="24"/>
          <w:highlight w:val="none"/>
        </w:rPr>
        <w:t>6.1</w:t>
      </w:r>
      <w:r>
        <w:rPr>
          <w:rFonts w:hint="eastAsia" w:ascii="宋体" w:hAnsi="宋体" w:eastAsia="宋体" w:cs="Times New Roman"/>
          <w:bCs/>
          <w:color w:val="auto"/>
          <w:sz w:val="24"/>
          <w:highlight w:val="none"/>
        </w:rPr>
        <w:t>投标人准备和参加投标活动发生的费用自理。</w:t>
      </w:r>
    </w:p>
    <w:p w14:paraId="4B604A6D">
      <w:pPr>
        <w:tabs>
          <w:tab w:val="left" w:pos="105"/>
        </w:tabs>
        <w:spacing w:line="360" w:lineRule="auto"/>
        <w:ind w:firstLine="480" w:firstLineChars="200"/>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6.2</w:t>
      </w:r>
      <w:r>
        <w:rPr>
          <w:rFonts w:hint="eastAsia" w:ascii="宋体" w:hAnsi="宋体" w:eastAsia="宋体" w:cs="Times New Roman"/>
          <w:color w:val="auto"/>
          <w:sz w:val="24"/>
          <w:highlight w:val="none"/>
        </w:rPr>
        <w:t>不论投标结果如何，投标人应承担</w:t>
      </w:r>
      <w:r>
        <w:rPr>
          <w:rFonts w:hint="eastAsia" w:ascii="宋体" w:hAnsi="宋体" w:eastAsia="宋体" w:cs="Times New Roman"/>
          <w:bCs/>
          <w:color w:val="auto"/>
          <w:sz w:val="24"/>
          <w:highlight w:val="none"/>
        </w:rPr>
        <w:t>自身</w:t>
      </w:r>
      <w:r>
        <w:rPr>
          <w:rFonts w:hint="eastAsia" w:ascii="宋体" w:hAnsi="宋体" w:eastAsia="宋体" w:cs="Times New Roman"/>
          <w:color w:val="auto"/>
          <w:sz w:val="24"/>
          <w:highlight w:val="none"/>
        </w:rPr>
        <w:t>因投标文件编制、递交及其他</w:t>
      </w:r>
      <w:r>
        <w:rPr>
          <w:rFonts w:hint="eastAsia" w:ascii="宋体" w:hAnsi="宋体" w:eastAsia="宋体" w:cs="Times New Roman"/>
          <w:bCs/>
          <w:color w:val="auto"/>
          <w:sz w:val="24"/>
          <w:highlight w:val="none"/>
        </w:rPr>
        <w:t>参加本招标活动</w:t>
      </w:r>
      <w:r>
        <w:rPr>
          <w:rFonts w:hint="eastAsia" w:ascii="宋体" w:hAnsi="宋体" w:eastAsia="宋体" w:cs="Times New Roman"/>
          <w:color w:val="auto"/>
          <w:sz w:val="24"/>
          <w:highlight w:val="none"/>
        </w:rPr>
        <w:t>所涉及的一切费用，招标人对上述费用不负任何责任。</w:t>
      </w:r>
    </w:p>
    <w:p w14:paraId="481DC68F">
      <w:pPr>
        <w:widowControl/>
        <w:spacing w:line="360" w:lineRule="auto"/>
        <w:jc w:val="left"/>
        <w:outlineLvl w:val="2"/>
        <w:rPr>
          <w:rFonts w:ascii="宋体" w:hAnsi="宋体" w:eastAsia="宋体" w:cs="Times New Roman"/>
          <w:color w:val="auto"/>
          <w:kern w:val="0"/>
          <w:sz w:val="24"/>
          <w:szCs w:val="24"/>
          <w:highlight w:val="none"/>
        </w:rPr>
      </w:pPr>
      <w:bookmarkStart w:id="11" w:name="_Toc202907281"/>
      <w:r>
        <w:rPr>
          <w:rFonts w:hint="eastAsia" w:ascii="宋体" w:hAnsi="宋体" w:eastAsia="宋体" w:cs="Times New Roman"/>
          <w:color w:val="auto"/>
          <w:kern w:val="0"/>
          <w:sz w:val="24"/>
          <w:szCs w:val="24"/>
          <w:highlight w:val="none"/>
        </w:rPr>
        <w:t>（二）招标文件</w:t>
      </w:r>
      <w:bookmarkEnd w:id="11"/>
    </w:p>
    <w:p w14:paraId="70F8EAD1">
      <w:pPr>
        <w:tabs>
          <w:tab w:val="left" w:pos="105"/>
        </w:tabs>
        <w:spacing w:line="360" w:lineRule="auto"/>
        <w:ind w:firstLine="482" w:firstLineChars="200"/>
        <w:rPr>
          <w:rFonts w:ascii="宋体" w:hAnsi="宋体" w:eastAsia="宋体" w:cs="Times New Roman"/>
          <w:b/>
          <w:color w:val="auto"/>
          <w:sz w:val="24"/>
          <w:highlight w:val="none"/>
        </w:rPr>
      </w:pPr>
      <w:r>
        <w:rPr>
          <w:rFonts w:ascii="宋体" w:hAnsi="宋体" w:eastAsia="宋体" w:cs="Times New Roman"/>
          <w:b/>
          <w:color w:val="auto"/>
          <w:sz w:val="24"/>
          <w:highlight w:val="none"/>
        </w:rPr>
        <w:t>7.</w:t>
      </w:r>
      <w:r>
        <w:rPr>
          <w:rFonts w:hint="eastAsia" w:ascii="宋体" w:hAnsi="宋体" w:eastAsia="宋体" w:cs="Times New Roman"/>
          <w:b/>
          <w:color w:val="auto"/>
          <w:sz w:val="24"/>
          <w:highlight w:val="none"/>
        </w:rPr>
        <w:t>招标文件的组成</w:t>
      </w:r>
    </w:p>
    <w:p w14:paraId="26A05BB5">
      <w:pPr>
        <w:spacing w:line="360" w:lineRule="auto"/>
        <w:ind w:firstLine="480" w:firstLineChars="200"/>
        <w:rPr>
          <w:rFonts w:ascii="宋体" w:hAnsi="宋体" w:eastAsia="宋体" w:cs="Times New Roman"/>
          <w:color w:val="auto"/>
          <w:sz w:val="24"/>
          <w:highlight w:val="none"/>
          <w:u w:val="single"/>
        </w:rPr>
      </w:pPr>
      <w:r>
        <w:rPr>
          <w:rFonts w:ascii="宋体" w:hAnsi="宋体" w:eastAsia="宋体" w:cs="Times New Roman"/>
          <w:bCs/>
          <w:color w:val="auto"/>
          <w:sz w:val="24"/>
          <w:highlight w:val="none"/>
          <w:u w:val="single"/>
        </w:rPr>
        <w:t>7.1</w:t>
      </w:r>
      <w:r>
        <w:rPr>
          <w:rFonts w:hint="eastAsia" w:ascii="宋体" w:hAnsi="宋体" w:eastAsia="宋体" w:cs="Times New Roman"/>
          <w:color w:val="auto"/>
          <w:sz w:val="24"/>
          <w:highlight w:val="none"/>
          <w:u w:val="single"/>
        </w:rPr>
        <w:t>本招标文件包括下列文件，以及所有按本须知第</w:t>
      </w:r>
      <w:r>
        <w:rPr>
          <w:rFonts w:ascii="宋体" w:hAnsi="宋体" w:eastAsia="宋体" w:cs="Times New Roman"/>
          <w:color w:val="auto"/>
          <w:sz w:val="24"/>
          <w:highlight w:val="none"/>
          <w:u w:val="single"/>
        </w:rPr>
        <w:t>8</w:t>
      </w:r>
      <w:r>
        <w:rPr>
          <w:rFonts w:hint="eastAsia" w:ascii="宋体" w:hAnsi="宋体" w:eastAsia="宋体" w:cs="Times New Roman"/>
          <w:color w:val="auto"/>
          <w:sz w:val="24"/>
          <w:highlight w:val="none"/>
          <w:u w:val="single"/>
        </w:rPr>
        <w:t>条发出的招标答疑会会议纪要和按本须知第</w:t>
      </w:r>
      <w:r>
        <w:rPr>
          <w:rFonts w:ascii="宋体" w:hAnsi="宋体" w:eastAsia="宋体" w:cs="Times New Roman"/>
          <w:color w:val="auto"/>
          <w:sz w:val="24"/>
          <w:highlight w:val="none"/>
          <w:u w:val="single"/>
        </w:rPr>
        <w:t>9</w:t>
      </w:r>
      <w:r>
        <w:rPr>
          <w:rFonts w:hint="eastAsia" w:ascii="宋体" w:hAnsi="宋体" w:eastAsia="宋体" w:cs="Times New Roman"/>
          <w:color w:val="auto"/>
          <w:sz w:val="24"/>
          <w:highlight w:val="none"/>
          <w:u w:val="single"/>
        </w:rPr>
        <w:t>条发出的澄清或修改：</w:t>
      </w:r>
    </w:p>
    <w:p w14:paraId="57B4CA39">
      <w:pPr>
        <w:numPr>
          <w:ilvl w:val="0"/>
          <w:numId w:val="5"/>
        </w:numPr>
        <w:spacing w:line="360" w:lineRule="auto"/>
        <w:ind w:firstLine="480" w:firstLineChars="200"/>
        <w:rPr>
          <w:rFonts w:ascii="宋体" w:hAnsi="宋体" w:eastAsia="宋体" w:cs="Times New Roman"/>
          <w:bCs/>
          <w:color w:val="auto"/>
          <w:kern w:val="0"/>
          <w:sz w:val="24"/>
          <w:szCs w:val="20"/>
          <w:highlight w:val="none"/>
          <w:u w:val="single"/>
        </w:rPr>
      </w:pPr>
      <w:r>
        <w:rPr>
          <w:rFonts w:hint="eastAsia" w:ascii="宋体" w:hAnsi="宋体" w:eastAsia="宋体" w:cs="Times New Roman"/>
          <w:bCs/>
          <w:color w:val="auto"/>
          <w:kern w:val="0"/>
          <w:sz w:val="24"/>
          <w:szCs w:val="20"/>
          <w:highlight w:val="none"/>
          <w:u w:val="single"/>
        </w:rPr>
        <w:t>招标公告</w:t>
      </w:r>
    </w:p>
    <w:p w14:paraId="136575BC">
      <w:pPr>
        <w:numPr>
          <w:ilvl w:val="0"/>
          <w:numId w:val="5"/>
        </w:numPr>
        <w:spacing w:line="360" w:lineRule="auto"/>
        <w:ind w:firstLine="480" w:firstLineChars="200"/>
        <w:rPr>
          <w:rFonts w:ascii="宋体" w:hAnsi="宋体" w:eastAsia="宋体" w:cs="Times New Roman"/>
          <w:color w:val="auto"/>
          <w:kern w:val="0"/>
          <w:sz w:val="24"/>
          <w:szCs w:val="20"/>
          <w:highlight w:val="none"/>
          <w:u w:val="single"/>
        </w:rPr>
      </w:pPr>
      <w:r>
        <w:rPr>
          <w:rFonts w:hint="eastAsia" w:ascii="宋体" w:hAnsi="宋体" w:eastAsia="宋体" w:cs="Times New Roman"/>
          <w:color w:val="auto"/>
          <w:kern w:val="0"/>
          <w:sz w:val="24"/>
          <w:szCs w:val="20"/>
          <w:highlight w:val="none"/>
          <w:u w:val="single"/>
        </w:rPr>
        <w:t>投标须知</w:t>
      </w:r>
    </w:p>
    <w:p w14:paraId="45AD4A0B">
      <w:pPr>
        <w:numPr>
          <w:ilvl w:val="0"/>
          <w:numId w:val="5"/>
        </w:numPr>
        <w:spacing w:line="360" w:lineRule="auto"/>
        <w:ind w:firstLine="480" w:firstLineChars="200"/>
        <w:rPr>
          <w:rFonts w:ascii="宋体" w:hAnsi="宋体" w:eastAsia="宋体" w:cs="Times New Roman"/>
          <w:color w:val="auto"/>
          <w:kern w:val="0"/>
          <w:sz w:val="24"/>
          <w:szCs w:val="20"/>
          <w:highlight w:val="none"/>
          <w:u w:val="single"/>
        </w:rPr>
      </w:pPr>
      <w:r>
        <w:rPr>
          <w:rFonts w:hint="eastAsia" w:ascii="宋体" w:hAnsi="宋体" w:eastAsia="宋体" w:cs="Times New Roman"/>
          <w:color w:val="auto"/>
          <w:kern w:val="0"/>
          <w:sz w:val="24"/>
          <w:szCs w:val="20"/>
          <w:highlight w:val="none"/>
          <w:u w:val="single"/>
        </w:rPr>
        <w:t>开标、评标及定标办法</w:t>
      </w:r>
    </w:p>
    <w:p w14:paraId="008A920A">
      <w:pPr>
        <w:numPr>
          <w:ilvl w:val="0"/>
          <w:numId w:val="5"/>
        </w:numPr>
        <w:spacing w:line="360" w:lineRule="auto"/>
        <w:ind w:firstLine="480" w:firstLineChars="200"/>
        <w:rPr>
          <w:rFonts w:ascii="宋体" w:hAnsi="宋体" w:eastAsia="宋体" w:cs="Times New Roman"/>
          <w:color w:val="auto"/>
          <w:kern w:val="0"/>
          <w:sz w:val="24"/>
          <w:szCs w:val="20"/>
          <w:highlight w:val="none"/>
          <w:u w:val="single"/>
        </w:rPr>
      </w:pPr>
      <w:r>
        <w:rPr>
          <w:rFonts w:hint="eastAsia" w:ascii="宋体" w:hAnsi="宋体" w:eastAsia="宋体" w:cs="Times New Roman"/>
          <w:color w:val="auto"/>
          <w:kern w:val="0"/>
          <w:sz w:val="24"/>
          <w:szCs w:val="20"/>
          <w:highlight w:val="none"/>
          <w:u w:val="single"/>
        </w:rPr>
        <w:t>合同条款</w:t>
      </w:r>
    </w:p>
    <w:p w14:paraId="289587A1">
      <w:pPr>
        <w:numPr>
          <w:ilvl w:val="0"/>
          <w:numId w:val="5"/>
        </w:numPr>
        <w:spacing w:line="360" w:lineRule="auto"/>
        <w:ind w:firstLine="480" w:firstLineChars="200"/>
        <w:rPr>
          <w:rFonts w:ascii="宋体" w:hAnsi="宋体" w:eastAsia="宋体" w:cs="Times New Roman"/>
          <w:color w:val="auto"/>
          <w:kern w:val="0"/>
          <w:sz w:val="24"/>
          <w:szCs w:val="20"/>
          <w:highlight w:val="none"/>
          <w:u w:val="single"/>
        </w:rPr>
      </w:pPr>
      <w:r>
        <w:rPr>
          <w:rFonts w:hint="eastAsia" w:ascii="宋体" w:hAnsi="宋体" w:eastAsia="宋体" w:cs="Times New Roman"/>
          <w:color w:val="auto"/>
          <w:kern w:val="0"/>
          <w:sz w:val="24"/>
          <w:szCs w:val="20"/>
          <w:highlight w:val="none"/>
          <w:u w:val="single"/>
        </w:rPr>
        <w:t>投标文件格式</w:t>
      </w:r>
    </w:p>
    <w:p w14:paraId="2AE1B054">
      <w:pPr>
        <w:numPr>
          <w:ilvl w:val="0"/>
          <w:numId w:val="5"/>
        </w:numPr>
        <w:spacing w:line="360" w:lineRule="auto"/>
        <w:ind w:firstLine="480" w:firstLineChars="200"/>
        <w:rPr>
          <w:rFonts w:ascii="宋体" w:hAnsi="宋体" w:eastAsia="宋体" w:cs="Times New Roman"/>
          <w:color w:val="auto"/>
          <w:kern w:val="0"/>
          <w:sz w:val="24"/>
          <w:szCs w:val="20"/>
          <w:highlight w:val="none"/>
          <w:u w:val="single"/>
        </w:rPr>
      </w:pPr>
      <w:r>
        <w:rPr>
          <w:rFonts w:hint="eastAsia" w:ascii="宋体" w:hAnsi="宋体" w:eastAsia="宋体" w:cs="Times New Roman"/>
          <w:color w:val="auto"/>
          <w:kern w:val="0"/>
          <w:sz w:val="24"/>
          <w:szCs w:val="20"/>
          <w:highlight w:val="none"/>
          <w:u w:val="single"/>
        </w:rPr>
        <w:t>技术条件（工程建设标准）</w:t>
      </w:r>
    </w:p>
    <w:p w14:paraId="702B71B8">
      <w:pPr>
        <w:numPr>
          <w:ilvl w:val="0"/>
          <w:numId w:val="5"/>
        </w:numPr>
        <w:spacing w:line="360" w:lineRule="auto"/>
        <w:ind w:firstLine="480" w:firstLineChars="200"/>
        <w:rPr>
          <w:rFonts w:ascii="宋体" w:hAnsi="宋体" w:eastAsia="宋体" w:cs="Times New Roman"/>
          <w:color w:val="auto"/>
          <w:kern w:val="0"/>
          <w:sz w:val="24"/>
          <w:szCs w:val="20"/>
          <w:highlight w:val="none"/>
          <w:u w:val="single"/>
        </w:rPr>
      </w:pPr>
      <w:r>
        <w:rPr>
          <w:rFonts w:hint="eastAsia" w:ascii="宋体" w:hAnsi="宋体" w:eastAsia="宋体" w:cs="Times New Roman"/>
          <w:color w:val="auto"/>
          <w:kern w:val="0"/>
          <w:sz w:val="24"/>
          <w:szCs w:val="20"/>
          <w:highlight w:val="none"/>
          <w:u w:val="single"/>
        </w:rPr>
        <w:t>图纸及勘察资料</w:t>
      </w:r>
    </w:p>
    <w:p w14:paraId="515D1081">
      <w:pPr>
        <w:numPr>
          <w:ilvl w:val="0"/>
          <w:numId w:val="5"/>
        </w:numPr>
        <w:spacing w:line="360" w:lineRule="auto"/>
        <w:ind w:firstLine="480" w:firstLineChars="200"/>
        <w:rPr>
          <w:rFonts w:ascii="宋体" w:hAnsi="宋体" w:eastAsia="宋体" w:cs="Times New Roman"/>
          <w:color w:val="auto"/>
          <w:kern w:val="0"/>
          <w:sz w:val="24"/>
          <w:szCs w:val="20"/>
          <w:highlight w:val="none"/>
          <w:u w:val="single"/>
        </w:rPr>
      </w:pPr>
      <w:r>
        <w:rPr>
          <w:rFonts w:hint="eastAsia" w:ascii="宋体" w:hAnsi="宋体" w:eastAsia="宋体" w:cs="Times New Roman"/>
          <w:bCs/>
          <w:color w:val="auto"/>
          <w:kern w:val="0"/>
          <w:sz w:val="24"/>
          <w:szCs w:val="20"/>
          <w:highlight w:val="none"/>
          <w:u w:val="single"/>
        </w:rPr>
        <w:t>招标</w:t>
      </w:r>
      <w:r>
        <w:rPr>
          <w:rFonts w:hint="eastAsia" w:ascii="宋体" w:hAnsi="宋体" w:eastAsia="宋体" w:cs="Times New Roman"/>
          <w:color w:val="auto"/>
          <w:kern w:val="0"/>
          <w:sz w:val="24"/>
          <w:szCs w:val="20"/>
          <w:highlight w:val="none"/>
          <w:u w:val="single"/>
        </w:rPr>
        <w:t>工程量清单</w:t>
      </w:r>
    </w:p>
    <w:p w14:paraId="0B2DD91F">
      <w:pPr>
        <w:numPr>
          <w:ilvl w:val="0"/>
          <w:numId w:val="5"/>
        </w:numPr>
        <w:spacing w:line="360" w:lineRule="auto"/>
        <w:ind w:firstLine="480" w:firstLineChars="200"/>
        <w:rPr>
          <w:rFonts w:ascii="宋体" w:hAnsi="宋体" w:eastAsia="宋体" w:cs="Times New Roman"/>
          <w:color w:val="auto"/>
          <w:kern w:val="0"/>
          <w:sz w:val="24"/>
          <w:szCs w:val="20"/>
          <w:highlight w:val="none"/>
          <w:u w:val="single"/>
        </w:rPr>
      </w:pPr>
      <w:r>
        <w:rPr>
          <w:rFonts w:hint="eastAsia" w:ascii="宋体" w:hAnsi="宋体" w:eastAsia="宋体" w:cs="Times New Roman"/>
          <w:color w:val="auto"/>
          <w:kern w:val="0"/>
          <w:sz w:val="24"/>
          <w:szCs w:val="20"/>
          <w:highlight w:val="none"/>
          <w:u w:val="single"/>
        </w:rPr>
        <w:t>最高投标限价</w:t>
      </w:r>
    </w:p>
    <w:p w14:paraId="345A0128">
      <w:pPr>
        <w:spacing w:line="360" w:lineRule="auto"/>
        <w:ind w:left="-2" w:firstLine="480" w:firstLineChars="200"/>
        <w:rPr>
          <w:rFonts w:ascii="宋体" w:hAnsi="宋体" w:eastAsia="宋体" w:cs="楷体"/>
          <w:color w:val="auto"/>
          <w:kern w:val="0"/>
          <w:sz w:val="24"/>
          <w:szCs w:val="24"/>
          <w:highlight w:val="none"/>
        </w:rPr>
      </w:pPr>
      <w:r>
        <w:rPr>
          <w:rFonts w:hint="eastAsia" w:ascii="宋体" w:hAnsi="宋体" w:eastAsia="宋体" w:cs="楷体"/>
          <w:color w:val="auto"/>
          <w:kern w:val="0"/>
          <w:sz w:val="24"/>
          <w:szCs w:val="20"/>
          <w:highlight w:val="none"/>
        </w:rPr>
        <w:t>注：</w:t>
      </w:r>
      <w:r>
        <w:rPr>
          <w:rFonts w:hint="eastAsia" w:ascii="宋体" w:hAnsi="宋体" w:eastAsia="宋体" w:cs="楷体"/>
          <w:color w:val="auto"/>
          <w:kern w:val="0"/>
          <w:sz w:val="24"/>
          <w:szCs w:val="24"/>
          <w:highlight w:val="none"/>
        </w:rPr>
        <w:t>招标人应在技术条件（工程建设标准）中明确如下内容：</w:t>
      </w:r>
    </w:p>
    <w:p w14:paraId="04EC68AC">
      <w:pPr>
        <w:spacing w:line="360" w:lineRule="auto"/>
        <w:ind w:left="420" w:leftChars="200"/>
        <w:rPr>
          <w:rFonts w:ascii="宋体" w:hAnsi="宋体" w:eastAsia="宋体" w:cs="楷体"/>
          <w:color w:val="auto"/>
          <w:kern w:val="0"/>
          <w:sz w:val="24"/>
          <w:szCs w:val="24"/>
          <w:highlight w:val="none"/>
        </w:rPr>
      </w:pPr>
      <w:r>
        <w:rPr>
          <w:rFonts w:hint="eastAsia" w:ascii="宋体" w:hAnsi="宋体" w:eastAsia="宋体" w:cs="楷体"/>
          <w:color w:val="auto"/>
          <w:kern w:val="0"/>
          <w:sz w:val="24"/>
          <w:szCs w:val="24"/>
          <w:highlight w:val="none"/>
        </w:rPr>
        <w:t>1.施工现场建筑垃圾源头减量的具体要求和建筑垃圾综合利用产品的使用要求。</w:t>
      </w:r>
    </w:p>
    <w:p w14:paraId="2615D22A">
      <w:pPr>
        <w:spacing w:line="360" w:lineRule="auto"/>
        <w:ind w:left="420" w:leftChars="200"/>
        <w:rPr>
          <w:rFonts w:ascii="宋体" w:hAnsi="宋体" w:eastAsia="宋体" w:cs="楷体"/>
          <w:color w:val="auto"/>
          <w:kern w:val="0"/>
          <w:sz w:val="24"/>
          <w:szCs w:val="24"/>
          <w:highlight w:val="none"/>
        </w:rPr>
      </w:pPr>
      <w:r>
        <w:rPr>
          <w:rFonts w:hint="eastAsia" w:ascii="宋体" w:hAnsi="宋体" w:eastAsia="宋体" w:cs="楷体"/>
          <w:color w:val="auto"/>
          <w:kern w:val="0"/>
          <w:sz w:val="24"/>
          <w:szCs w:val="24"/>
          <w:highlight w:val="none"/>
        </w:rPr>
        <w:t>2.占道施工相关告知、围蔽、修复等要求。</w:t>
      </w:r>
    </w:p>
    <w:p w14:paraId="3F9AEF58">
      <w:pPr>
        <w:spacing w:line="360" w:lineRule="auto"/>
        <w:ind w:left="420" w:leftChars="200"/>
        <w:rPr>
          <w:rFonts w:ascii="宋体" w:hAnsi="宋体" w:eastAsia="宋体" w:cs="楷体"/>
          <w:color w:val="auto"/>
          <w:kern w:val="0"/>
          <w:sz w:val="24"/>
          <w:szCs w:val="24"/>
          <w:highlight w:val="none"/>
        </w:rPr>
      </w:pPr>
      <w:r>
        <w:rPr>
          <w:rFonts w:hint="eastAsia" w:ascii="宋体" w:hAnsi="宋体" w:eastAsia="宋体" w:cs="楷体"/>
          <w:color w:val="auto"/>
          <w:kern w:val="0"/>
          <w:sz w:val="24"/>
          <w:szCs w:val="24"/>
          <w:highlight w:val="none"/>
        </w:rPr>
        <w:t>3.对照《广州市智能建造技术清单（1.0版）》对招标项目智能建造提出要求。</w:t>
      </w:r>
    </w:p>
    <w:p w14:paraId="2F3241E5">
      <w:pPr>
        <w:spacing w:line="360" w:lineRule="auto"/>
        <w:ind w:left="420" w:leftChars="200"/>
        <w:rPr>
          <w:rFonts w:ascii="宋体" w:hAnsi="宋体" w:eastAsia="宋体" w:cs="楷体"/>
          <w:color w:val="auto"/>
          <w:kern w:val="0"/>
          <w:sz w:val="24"/>
          <w:szCs w:val="24"/>
          <w:highlight w:val="none"/>
        </w:rPr>
      </w:pPr>
      <w:r>
        <w:rPr>
          <w:rFonts w:hint="eastAsia" w:ascii="宋体" w:hAnsi="宋体" w:eastAsia="宋体" w:cs="楷体"/>
          <w:color w:val="auto"/>
          <w:kern w:val="0"/>
          <w:sz w:val="24"/>
          <w:szCs w:val="24"/>
          <w:highlight w:val="none"/>
        </w:rPr>
        <w:t>4.招标人对中标人参与“百千万工程”的具体要求。</w:t>
      </w:r>
    </w:p>
    <w:p w14:paraId="693F50AA">
      <w:pPr>
        <w:spacing w:line="360" w:lineRule="auto"/>
        <w:ind w:firstLine="480" w:firstLineChars="200"/>
        <w:rPr>
          <w:rFonts w:ascii="宋体" w:hAnsi="宋体" w:eastAsia="宋体" w:cs="楷体"/>
          <w:color w:val="auto"/>
          <w:kern w:val="0"/>
          <w:sz w:val="24"/>
          <w:szCs w:val="24"/>
          <w:highlight w:val="none"/>
        </w:rPr>
      </w:pPr>
      <w:r>
        <w:rPr>
          <w:rFonts w:hint="eastAsia" w:ascii="宋体" w:hAnsi="宋体" w:eastAsia="宋体" w:cs="楷体"/>
          <w:color w:val="auto"/>
          <w:kern w:val="0"/>
          <w:sz w:val="24"/>
          <w:szCs w:val="24"/>
          <w:highlight w:val="none"/>
        </w:rPr>
        <w:t>5.在建筑废弃物运输上落实《关于加快推动氢能产业高质量发展的若干措施》的要求。</w:t>
      </w:r>
    </w:p>
    <w:p w14:paraId="6CD89A1A">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7.2 </w:t>
      </w:r>
      <w:r>
        <w:rPr>
          <w:rFonts w:hint="eastAsia" w:ascii="宋体" w:hAnsi="宋体" w:eastAsia="宋体" w:cs="Times New Roman"/>
          <w:color w:val="auto"/>
          <w:kern w:val="0"/>
          <w:sz w:val="24"/>
          <w:szCs w:val="20"/>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23826C44">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7.3 </w:t>
      </w:r>
      <w:r>
        <w:rPr>
          <w:rFonts w:hint="eastAsia" w:ascii="宋体" w:hAnsi="宋体" w:eastAsia="宋体" w:cs="Times New Roman"/>
          <w:color w:val="auto"/>
          <w:kern w:val="0"/>
          <w:sz w:val="24"/>
          <w:szCs w:val="20"/>
          <w:highlight w:val="none"/>
        </w:rPr>
        <w:t>投标人一旦中标，招标文件的内容对招标人和中标人双方均有约束力。</w:t>
      </w:r>
    </w:p>
    <w:p w14:paraId="4974484B">
      <w:pPr>
        <w:spacing w:line="360" w:lineRule="auto"/>
        <w:ind w:firstLine="482" w:firstLineChars="200"/>
        <w:rPr>
          <w:rFonts w:ascii="宋体" w:hAnsi="宋体" w:eastAsia="宋体" w:cs="Times New Roman"/>
          <w:b/>
          <w:bCs/>
          <w:color w:val="auto"/>
          <w:kern w:val="0"/>
          <w:sz w:val="24"/>
          <w:szCs w:val="20"/>
          <w:highlight w:val="none"/>
        </w:rPr>
      </w:pPr>
      <w:r>
        <w:rPr>
          <w:rFonts w:ascii="宋体" w:hAnsi="宋体" w:eastAsia="宋体" w:cs="Times New Roman"/>
          <w:b/>
          <w:bCs/>
          <w:color w:val="auto"/>
          <w:kern w:val="0"/>
          <w:sz w:val="24"/>
          <w:szCs w:val="20"/>
          <w:highlight w:val="none"/>
        </w:rPr>
        <w:t>8</w:t>
      </w:r>
      <w:r>
        <w:rPr>
          <w:rFonts w:hint="eastAsia" w:ascii="宋体" w:hAnsi="宋体" w:eastAsia="宋体" w:cs="Times New Roman"/>
          <w:b/>
          <w:bCs/>
          <w:color w:val="auto"/>
          <w:kern w:val="0"/>
          <w:sz w:val="24"/>
          <w:szCs w:val="20"/>
          <w:highlight w:val="none"/>
        </w:rPr>
        <w:t>．招标答疑</w:t>
      </w:r>
    </w:p>
    <w:p w14:paraId="1EBDC0C9">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8.1 </w:t>
      </w:r>
      <w:r>
        <w:rPr>
          <w:rFonts w:hint="eastAsia" w:ascii="宋体" w:hAnsi="宋体" w:eastAsia="宋体" w:cs="Times New Roman"/>
          <w:color w:val="auto"/>
          <w:kern w:val="0"/>
          <w:sz w:val="24"/>
          <w:szCs w:val="20"/>
          <w:highlight w:val="none"/>
        </w:rPr>
        <w:t>投标人若对招标文件（包括招标图纸）中有疑问，可以书面形式</w:t>
      </w:r>
      <w:r>
        <w:rPr>
          <w:rFonts w:hint="eastAsia" w:ascii="宋体" w:hAnsi="宋体" w:eastAsia="宋体" w:cs="Times New Roman"/>
          <w:color w:val="auto"/>
          <w:kern w:val="0"/>
          <w:sz w:val="24"/>
          <w:szCs w:val="24"/>
          <w:highlight w:val="none"/>
        </w:rPr>
        <w:t>通过</w:t>
      </w:r>
      <w:r>
        <w:rPr>
          <w:rFonts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交易平台提交</w:t>
      </w:r>
      <w:r>
        <w:rPr>
          <w:rFonts w:hint="eastAsia" w:ascii="宋体" w:hAnsi="宋体" w:eastAsia="宋体" w:cs="Times New Roman"/>
          <w:color w:val="auto"/>
          <w:kern w:val="0"/>
          <w:sz w:val="24"/>
          <w:szCs w:val="20"/>
          <w:highlight w:val="none"/>
        </w:rPr>
        <w:t>给招标人或招标代理人，提交形式见本须知前附表第13项。</w:t>
      </w:r>
    </w:p>
    <w:p w14:paraId="2D37BFD4">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8.2</w:t>
      </w:r>
      <w:r>
        <w:rPr>
          <w:rFonts w:hint="eastAsia" w:ascii="宋体" w:hAnsi="宋体" w:eastAsia="宋体" w:cs="Times New Roman"/>
          <w:color w:val="auto"/>
          <w:kern w:val="0"/>
          <w:sz w:val="24"/>
          <w:szCs w:val="20"/>
          <w:highlight w:val="none"/>
        </w:rPr>
        <w:t>招标答疑会会议纪要将在提交投标文件截止时间15日前在</w:t>
      </w:r>
      <w:r>
        <w:rPr>
          <w:rFonts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交易平台</w:t>
      </w:r>
      <w:r>
        <w:rPr>
          <w:rFonts w:hint="eastAsia" w:ascii="宋体" w:hAnsi="宋体" w:eastAsia="宋体" w:cs="Times New Roman"/>
          <w:color w:val="auto"/>
          <w:kern w:val="0"/>
          <w:sz w:val="24"/>
          <w:szCs w:val="20"/>
          <w:highlight w:val="none"/>
        </w:rPr>
        <w:t xml:space="preserve"> “项目答疑纪要”专区公开发布。答疑纪要一经在</w:t>
      </w:r>
      <w:r>
        <w:rPr>
          <w:rFonts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交易平台</w:t>
      </w:r>
      <w:r>
        <w:rPr>
          <w:rFonts w:hint="eastAsia" w:ascii="宋体" w:hAnsi="宋体" w:eastAsia="宋体" w:cs="Times New Roman"/>
          <w:color w:val="auto"/>
          <w:kern w:val="0"/>
          <w:sz w:val="24"/>
          <w:szCs w:val="20"/>
          <w:highlight w:val="none"/>
        </w:rPr>
        <w:t>发布，视作已发放给所有投标人。</w:t>
      </w:r>
    </w:p>
    <w:p w14:paraId="33B9C698">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8.3</w:t>
      </w:r>
      <w:r>
        <w:rPr>
          <w:rFonts w:hint="eastAsia" w:ascii="宋体" w:hAnsi="宋体" w:eastAsia="宋体" w:cs="Times New Roman"/>
          <w:color w:val="auto"/>
          <w:kern w:val="0"/>
          <w:sz w:val="24"/>
          <w:szCs w:val="20"/>
          <w:highlight w:val="none"/>
        </w:rPr>
        <w:t>答疑会会议纪要为招标文件的一部分。</w:t>
      </w:r>
    </w:p>
    <w:p w14:paraId="0A50A8E6">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8.4</w:t>
      </w:r>
      <w:r>
        <w:rPr>
          <w:rFonts w:hint="eastAsia" w:ascii="宋体" w:hAnsi="宋体" w:eastAsia="宋体" w:cs="Times New Roman"/>
          <w:color w:val="auto"/>
          <w:kern w:val="0"/>
          <w:sz w:val="24"/>
          <w:szCs w:val="20"/>
          <w:highlight w:val="none"/>
        </w:rPr>
        <w:t>若招标答疑会会议纪要与招标文件有矛盾，以答疑会议纪要最后发出的书面形式的文件为准。</w:t>
      </w:r>
    </w:p>
    <w:p w14:paraId="40B46D58">
      <w:pPr>
        <w:spacing w:line="360" w:lineRule="auto"/>
        <w:ind w:firstLine="482" w:firstLineChars="200"/>
        <w:rPr>
          <w:rFonts w:ascii="宋体" w:hAnsi="宋体" w:eastAsia="宋体" w:cs="Times New Roman"/>
          <w:b/>
          <w:bCs/>
          <w:color w:val="auto"/>
          <w:kern w:val="0"/>
          <w:sz w:val="24"/>
          <w:szCs w:val="20"/>
          <w:highlight w:val="none"/>
        </w:rPr>
      </w:pPr>
      <w:r>
        <w:rPr>
          <w:rFonts w:ascii="宋体" w:hAnsi="宋体" w:eastAsia="宋体" w:cs="Times New Roman"/>
          <w:b/>
          <w:bCs/>
          <w:color w:val="auto"/>
          <w:kern w:val="0"/>
          <w:sz w:val="24"/>
          <w:szCs w:val="20"/>
          <w:highlight w:val="none"/>
        </w:rPr>
        <w:t>9.</w:t>
      </w:r>
      <w:r>
        <w:rPr>
          <w:rFonts w:hint="eastAsia" w:ascii="宋体" w:hAnsi="宋体" w:eastAsia="宋体" w:cs="Times New Roman"/>
          <w:b/>
          <w:bCs/>
          <w:color w:val="auto"/>
          <w:kern w:val="0"/>
          <w:sz w:val="24"/>
          <w:szCs w:val="20"/>
          <w:highlight w:val="none"/>
        </w:rPr>
        <w:t>招标文件的澄清与修改</w:t>
      </w:r>
    </w:p>
    <w:p w14:paraId="6A1F90BB">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9.1</w:t>
      </w:r>
      <w:r>
        <w:rPr>
          <w:rFonts w:hint="eastAsia" w:ascii="宋体" w:hAnsi="宋体" w:eastAsia="宋体" w:cs="Times New Roman"/>
          <w:color w:val="auto"/>
          <w:kern w:val="0"/>
          <w:sz w:val="24"/>
          <w:szCs w:val="20"/>
          <w:highlight w:val="none"/>
        </w:rPr>
        <w:t>招标文件发出后</w:t>
      </w:r>
      <w:r>
        <w:rPr>
          <w:rFonts w:ascii="宋体" w:hAnsi="宋体" w:eastAsia="宋体" w:cs="Times New Roman"/>
          <w:color w:val="auto"/>
          <w:kern w:val="0"/>
          <w:sz w:val="24"/>
          <w:szCs w:val="20"/>
          <w:highlight w:val="none"/>
        </w:rPr>
        <w:t>,</w:t>
      </w:r>
      <w:r>
        <w:rPr>
          <w:rFonts w:hint="eastAsia" w:ascii="宋体" w:hAnsi="宋体" w:eastAsia="宋体" w:cs="Times New Roman"/>
          <w:color w:val="auto"/>
          <w:kern w:val="0"/>
          <w:sz w:val="24"/>
          <w:szCs w:val="20"/>
          <w:highlight w:val="none"/>
        </w:rPr>
        <w:t>在提交投标文件截止时间15日前，招标人可对招标文件进行必要的澄清或修改。</w:t>
      </w:r>
    </w:p>
    <w:p w14:paraId="112395EC">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9.2</w:t>
      </w:r>
      <w:r>
        <w:rPr>
          <w:rFonts w:hint="eastAsia" w:ascii="宋体" w:hAnsi="宋体" w:eastAsia="宋体" w:cs="Times New Roman"/>
          <w:color w:val="auto"/>
          <w:kern w:val="0"/>
          <w:sz w:val="24"/>
          <w:szCs w:val="20"/>
          <w:highlight w:val="none"/>
        </w:rPr>
        <w:t>招标文件的澄清或修改将在</w:t>
      </w:r>
      <w:r>
        <w:rPr>
          <w:rFonts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交易平台</w:t>
      </w:r>
      <w:r>
        <w:rPr>
          <w:rFonts w:hint="eastAsia" w:ascii="宋体" w:hAnsi="宋体" w:eastAsia="宋体" w:cs="Times New Roman"/>
          <w:color w:val="auto"/>
          <w:kern w:val="0"/>
          <w:sz w:val="24"/>
          <w:szCs w:val="20"/>
          <w:highlight w:val="none"/>
        </w:rPr>
        <w:t>“项目答疑纪要”专区公开发布。答疑纪要一经在</w:t>
      </w:r>
      <w:r>
        <w:rPr>
          <w:rFonts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交易平台</w:t>
      </w:r>
      <w:r>
        <w:rPr>
          <w:rFonts w:hint="eastAsia" w:ascii="宋体" w:hAnsi="宋体" w:eastAsia="宋体" w:cs="Times New Roman"/>
          <w:color w:val="auto"/>
          <w:kern w:val="0"/>
          <w:sz w:val="24"/>
          <w:szCs w:val="20"/>
          <w:highlight w:val="none"/>
        </w:rPr>
        <w:t>发布，视作已发放给所有投标人，以</w:t>
      </w:r>
      <w:r>
        <w:rPr>
          <w:rFonts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交易平台</w:t>
      </w:r>
      <w:r>
        <w:rPr>
          <w:rFonts w:hint="eastAsia" w:ascii="宋体" w:hAnsi="宋体" w:eastAsia="宋体" w:cs="Times New Roman"/>
          <w:color w:val="auto"/>
          <w:kern w:val="0"/>
          <w:sz w:val="24"/>
          <w:szCs w:val="20"/>
          <w:highlight w:val="none"/>
        </w:rPr>
        <w:t>上网发布时间作为送达时间。</w:t>
      </w:r>
    </w:p>
    <w:p w14:paraId="3089C74B">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9.3</w:t>
      </w:r>
      <w:r>
        <w:rPr>
          <w:rFonts w:hint="eastAsia" w:ascii="宋体" w:hAnsi="宋体" w:eastAsia="宋体" w:cs="Times New Roman"/>
          <w:color w:val="auto"/>
          <w:kern w:val="0"/>
          <w:sz w:val="24"/>
          <w:szCs w:val="20"/>
          <w:highlight w:val="none"/>
        </w:rPr>
        <w:t>招标文件的澄清或修改内容为招标文件的组成部分，对投标人起约束作用。</w:t>
      </w:r>
    </w:p>
    <w:p w14:paraId="2EB73920">
      <w:pPr>
        <w:spacing w:line="360" w:lineRule="auto"/>
        <w:ind w:firstLine="480" w:firstLineChars="200"/>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9.4招标文件的澄清或修改均以</w:t>
      </w:r>
      <w:r>
        <w:rPr>
          <w:rFonts w:hint="eastAsia" w:ascii="宋体" w:hAnsi="宋体" w:eastAsia="宋体" w:cs="Times New Roman"/>
          <w:color w:val="auto"/>
          <w:kern w:val="0"/>
          <w:sz w:val="24"/>
          <w:szCs w:val="20"/>
          <w:highlight w:val="none"/>
          <w:u w:val="single"/>
        </w:rPr>
        <w:t xml:space="preserve">          网站</w:t>
      </w:r>
      <w:r>
        <w:rPr>
          <w:rFonts w:hint="eastAsia" w:ascii="宋体" w:hAnsi="宋体" w:eastAsia="宋体" w:cs="Times New Roman"/>
          <w:color w:val="auto"/>
          <w:kern w:val="0"/>
          <w:sz w:val="24"/>
          <w:szCs w:val="20"/>
          <w:highlight w:val="none"/>
        </w:rPr>
        <w:t>发布的内容为准。当招标文件的澄清、修改、补充等在同一内容的表述不一致时，以最后发出的书面形式的文件为准。</w:t>
      </w:r>
    </w:p>
    <w:p w14:paraId="60ABC6AC">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9.5</w:t>
      </w:r>
      <w:r>
        <w:rPr>
          <w:rFonts w:hint="eastAsia" w:ascii="宋体" w:hAnsi="宋体" w:eastAsia="宋体" w:cs="Times New Roman"/>
          <w:color w:val="auto"/>
          <w:kern w:val="0"/>
          <w:sz w:val="24"/>
          <w:szCs w:val="20"/>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52E62C2D">
      <w:pPr>
        <w:widowControl/>
        <w:spacing w:line="360" w:lineRule="auto"/>
        <w:jc w:val="left"/>
        <w:outlineLvl w:val="2"/>
        <w:rPr>
          <w:rFonts w:ascii="宋体" w:hAnsi="宋体" w:eastAsia="宋体" w:cs="Times New Roman"/>
          <w:color w:val="auto"/>
          <w:kern w:val="0"/>
          <w:sz w:val="24"/>
          <w:szCs w:val="24"/>
          <w:highlight w:val="none"/>
        </w:rPr>
      </w:pPr>
      <w:bookmarkStart w:id="12" w:name="_Toc202907282"/>
      <w:r>
        <w:rPr>
          <w:rFonts w:hint="eastAsia" w:ascii="宋体" w:hAnsi="宋体" w:eastAsia="宋体" w:cs="Times New Roman"/>
          <w:color w:val="auto"/>
          <w:kern w:val="0"/>
          <w:sz w:val="24"/>
          <w:szCs w:val="24"/>
          <w:highlight w:val="none"/>
        </w:rPr>
        <w:t>（三）投标文件的编制</w:t>
      </w:r>
      <w:bookmarkEnd w:id="12"/>
    </w:p>
    <w:p w14:paraId="7CB74266">
      <w:pPr>
        <w:spacing w:line="360" w:lineRule="auto"/>
        <w:ind w:firstLine="482" w:firstLineChars="200"/>
        <w:rPr>
          <w:rFonts w:ascii="宋体" w:hAnsi="宋体" w:eastAsia="宋体" w:cs="Times New Roman"/>
          <w:b/>
          <w:bCs/>
          <w:color w:val="auto"/>
          <w:kern w:val="0"/>
          <w:sz w:val="24"/>
          <w:szCs w:val="20"/>
          <w:highlight w:val="none"/>
        </w:rPr>
      </w:pPr>
      <w:r>
        <w:rPr>
          <w:rFonts w:ascii="宋体" w:hAnsi="宋体" w:eastAsia="宋体" w:cs="Times New Roman"/>
          <w:b/>
          <w:bCs/>
          <w:color w:val="auto"/>
          <w:kern w:val="0"/>
          <w:sz w:val="24"/>
          <w:szCs w:val="20"/>
          <w:highlight w:val="none"/>
        </w:rPr>
        <w:t>10</w:t>
      </w:r>
      <w:r>
        <w:rPr>
          <w:rFonts w:hint="eastAsia" w:ascii="宋体" w:hAnsi="宋体" w:eastAsia="宋体" w:cs="Times New Roman"/>
          <w:b/>
          <w:bCs/>
          <w:color w:val="auto"/>
          <w:kern w:val="0"/>
          <w:sz w:val="24"/>
          <w:szCs w:val="20"/>
          <w:highlight w:val="none"/>
        </w:rPr>
        <w:t>．投标文件的语言及度量衡单位</w:t>
      </w:r>
    </w:p>
    <w:p w14:paraId="57DE6EE4">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10.1 </w:t>
      </w:r>
      <w:r>
        <w:rPr>
          <w:rFonts w:hint="eastAsia" w:ascii="宋体" w:hAnsi="宋体" w:eastAsia="宋体" w:cs="Times New Roman"/>
          <w:color w:val="auto"/>
          <w:kern w:val="0"/>
          <w:sz w:val="24"/>
          <w:szCs w:val="20"/>
          <w:highlight w:val="none"/>
        </w:rPr>
        <w:t>投标文件和与投标有关的所有文件均应使用中文。</w:t>
      </w:r>
    </w:p>
    <w:p w14:paraId="34BABD83">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10.2 </w:t>
      </w:r>
      <w:r>
        <w:rPr>
          <w:rFonts w:hint="eastAsia" w:ascii="宋体" w:hAnsi="宋体" w:eastAsia="宋体" w:cs="Times New Roman"/>
          <w:color w:val="auto"/>
          <w:kern w:val="0"/>
          <w:sz w:val="24"/>
          <w:szCs w:val="20"/>
          <w:highlight w:val="none"/>
        </w:rPr>
        <w:t>除工程规范另有规定外，投标文件使用的度量衡单位，均采用中华人民共和国法定计量单位。</w:t>
      </w:r>
    </w:p>
    <w:p w14:paraId="39CBF9B6">
      <w:pPr>
        <w:spacing w:line="360" w:lineRule="auto"/>
        <w:ind w:firstLine="482" w:firstLineChars="200"/>
        <w:rPr>
          <w:rFonts w:ascii="宋体" w:hAnsi="宋体" w:eastAsia="宋体" w:cs="Times New Roman"/>
          <w:b/>
          <w:bCs/>
          <w:color w:val="auto"/>
          <w:kern w:val="0"/>
          <w:sz w:val="24"/>
          <w:szCs w:val="20"/>
          <w:highlight w:val="none"/>
        </w:rPr>
      </w:pPr>
      <w:r>
        <w:rPr>
          <w:rFonts w:ascii="宋体" w:hAnsi="宋体" w:eastAsia="宋体" w:cs="Times New Roman"/>
          <w:b/>
          <w:bCs/>
          <w:color w:val="auto"/>
          <w:kern w:val="0"/>
          <w:sz w:val="24"/>
          <w:szCs w:val="20"/>
          <w:highlight w:val="none"/>
        </w:rPr>
        <w:t>11</w:t>
      </w:r>
      <w:r>
        <w:rPr>
          <w:rFonts w:hint="eastAsia" w:ascii="宋体" w:hAnsi="宋体" w:eastAsia="宋体" w:cs="Times New Roman"/>
          <w:b/>
          <w:bCs/>
          <w:color w:val="auto"/>
          <w:kern w:val="0"/>
          <w:sz w:val="24"/>
          <w:szCs w:val="20"/>
          <w:highlight w:val="none"/>
        </w:rPr>
        <w:t>．投标文件的组成</w:t>
      </w:r>
    </w:p>
    <w:p w14:paraId="26998713">
      <w:pPr>
        <w:spacing w:line="360" w:lineRule="auto"/>
        <w:ind w:firstLine="480" w:firstLineChars="200"/>
        <w:rPr>
          <w:rFonts w:ascii="宋体" w:hAnsi="宋体" w:eastAsia="宋体" w:cs="Times New Roman"/>
          <w:color w:val="auto"/>
          <w:kern w:val="0"/>
          <w:sz w:val="24"/>
          <w:szCs w:val="20"/>
          <w:highlight w:val="none"/>
          <w:u w:val="single"/>
        </w:rPr>
      </w:pPr>
      <w:r>
        <w:rPr>
          <w:rFonts w:hint="eastAsia" w:ascii="宋体" w:hAnsi="宋体" w:eastAsia="宋体" w:cs="Times New Roman"/>
          <w:color w:val="auto"/>
          <w:kern w:val="0"/>
          <w:sz w:val="24"/>
          <w:szCs w:val="20"/>
          <w:highlight w:val="none"/>
          <w:u w:val="single"/>
        </w:rPr>
        <w:t>（由招标人根据招标项目实际情况自行确定）</w:t>
      </w:r>
    </w:p>
    <w:p w14:paraId="51FBEA5F">
      <w:pPr>
        <w:spacing w:line="360" w:lineRule="auto"/>
        <w:ind w:firstLine="480" w:firstLineChars="200"/>
        <w:rPr>
          <w:rFonts w:ascii="宋体" w:hAnsi="宋体" w:eastAsia="宋体" w:cs="Times New Roman"/>
          <w:b/>
          <w:color w:val="auto"/>
          <w:kern w:val="0"/>
          <w:sz w:val="24"/>
          <w:szCs w:val="20"/>
          <w:highlight w:val="none"/>
          <w:u w:val="single"/>
        </w:rPr>
      </w:pPr>
      <w:r>
        <w:rPr>
          <w:rFonts w:ascii="宋体" w:hAnsi="宋体" w:eastAsia="宋体" w:cs="Times New Roman"/>
          <w:color w:val="auto"/>
          <w:kern w:val="0"/>
          <w:sz w:val="24"/>
          <w:szCs w:val="20"/>
          <w:highlight w:val="none"/>
          <w:u w:val="single"/>
        </w:rPr>
        <w:t xml:space="preserve">11.1 </w:t>
      </w:r>
      <w:r>
        <w:rPr>
          <w:rFonts w:hint="eastAsia" w:ascii="宋体" w:hAnsi="宋体" w:eastAsia="宋体" w:cs="Times New Roman"/>
          <w:color w:val="auto"/>
          <w:kern w:val="0"/>
          <w:sz w:val="24"/>
          <w:szCs w:val="20"/>
          <w:highlight w:val="none"/>
          <w:u w:val="single"/>
        </w:rPr>
        <w:t>投标文件由技术部分（含资格审查文件）和经济部分二部分投标文件组成</w:t>
      </w:r>
      <w:r>
        <w:rPr>
          <w:rFonts w:hint="eastAsia" w:ascii="宋体" w:hAnsi="宋体" w:eastAsia="宋体" w:cs="Times New Roman"/>
          <w:b/>
          <w:color w:val="auto"/>
          <w:kern w:val="0"/>
          <w:sz w:val="24"/>
          <w:szCs w:val="20"/>
          <w:highlight w:val="none"/>
          <w:u w:val="single"/>
        </w:rPr>
        <w:t>。</w:t>
      </w:r>
    </w:p>
    <w:p w14:paraId="349D39AB">
      <w:pPr>
        <w:spacing w:line="360" w:lineRule="auto"/>
        <w:ind w:firstLine="480" w:firstLineChars="200"/>
        <w:rPr>
          <w:rFonts w:ascii="宋体" w:hAnsi="宋体" w:eastAsia="宋体" w:cs="Times New Roman"/>
          <w:bCs/>
          <w:color w:val="auto"/>
          <w:sz w:val="24"/>
          <w:highlight w:val="none"/>
          <w:u w:val="single"/>
        </w:rPr>
      </w:pPr>
      <w:r>
        <w:rPr>
          <w:rFonts w:ascii="宋体" w:hAnsi="宋体" w:eastAsia="宋体" w:cs="Times New Roman"/>
          <w:bCs/>
          <w:color w:val="auto"/>
          <w:sz w:val="24"/>
          <w:highlight w:val="none"/>
          <w:u w:val="single"/>
        </w:rPr>
        <w:t>11.2</w:t>
      </w:r>
      <w:r>
        <w:rPr>
          <w:rFonts w:hint="eastAsia" w:ascii="宋体" w:hAnsi="宋体" w:eastAsia="宋体" w:cs="Times New Roman"/>
          <w:bCs/>
          <w:color w:val="auto"/>
          <w:sz w:val="24"/>
          <w:highlight w:val="none"/>
          <w:u w:val="single"/>
        </w:rPr>
        <w:t>投标文件技术标部分主要包括下列内容</w:t>
      </w:r>
      <w:r>
        <w:rPr>
          <w:rFonts w:ascii="宋体" w:hAnsi="宋体" w:eastAsia="宋体" w:cs="Times New Roman"/>
          <w:bCs/>
          <w:color w:val="auto"/>
          <w:sz w:val="24"/>
          <w:highlight w:val="none"/>
          <w:u w:val="single"/>
        </w:rPr>
        <w:t>:</w:t>
      </w:r>
    </w:p>
    <w:p w14:paraId="208C88BB">
      <w:pPr>
        <w:spacing w:line="360" w:lineRule="auto"/>
        <w:ind w:firstLine="480"/>
        <w:rPr>
          <w:rFonts w:ascii="宋体" w:hAnsi="宋体" w:eastAsia="宋体" w:cs="Courier New"/>
          <w:bCs/>
          <w:color w:val="auto"/>
          <w:sz w:val="24"/>
          <w:highlight w:val="none"/>
          <w:u w:val="single"/>
        </w:rPr>
      </w:pPr>
      <w:r>
        <w:rPr>
          <w:rFonts w:hint="eastAsia" w:ascii="宋体" w:hAnsi="宋体" w:eastAsia="宋体" w:cs="Courier New"/>
          <w:bCs/>
          <w:color w:val="auto"/>
          <w:sz w:val="24"/>
          <w:highlight w:val="none"/>
          <w:u w:val="single"/>
        </w:rPr>
        <w:t>11.2.1资格审查文件</w:t>
      </w:r>
    </w:p>
    <w:p w14:paraId="291853CB">
      <w:pPr>
        <w:numPr>
          <w:ilvl w:val="0"/>
          <w:numId w:val="6"/>
        </w:numPr>
        <w:spacing w:line="360" w:lineRule="auto"/>
        <w:ind w:firstLine="480" w:firstLineChars="200"/>
        <w:rPr>
          <w:rFonts w:ascii="宋体" w:hAnsi="宋体" w:eastAsia="宋体" w:cs="Times New Roman"/>
          <w:bCs/>
          <w:color w:val="auto"/>
          <w:sz w:val="24"/>
          <w:highlight w:val="none"/>
          <w:u w:val="single"/>
        </w:rPr>
      </w:pPr>
      <w:r>
        <w:rPr>
          <w:rFonts w:hint="eastAsia" w:ascii="宋体" w:hAnsi="宋体" w:eastAsia="宋体" w:cs="Times New Roman"/>
          <w:bCs/>
          <w:color w:val="auto"/>
          <w:sz w:val="24"/>
          <w:highlight w:val="none"/>
          <w:u w:val="single"/>
        </w:rPr>
        <w:t>投标人声明；</w:t>
      </w:r>
    </w:p>
    <w:p w14:paraId="1D3F33C3">
      <w:pPr>
        <w:spacing w:line="360" w:lineRule="auto"/>
        <w:ind w:firstLine="480" w:firstLineChars="200"/>
        <w:rPr>
          <w:rFonts w:ascii="宋体" w:hAnsi="宋体" w:eastAsia="宋体" w:cs="Times New Roman"/>
          <w:bCs/>
          <w:color w:val="auto"/>
          <w:sz w:val="24"/>
          <w:highlight w:val="none"/>
          <w:u w:val="single"/>
        </w:rPr>
      </w:pPr>
      <w:r>
        <w:rPr>
          <w:rFonts w:hint="eastAsia" w:ascii="宋体" w:hAnsi="宋体" w:eastAsia="宋体" w:cs="Times New Roman"/>
          <w:bCs/>
          <w:color w:val="auto"/>
          <w:sz w:val="24"/>
          <w:highlight w:val="none"/>
          <w:u w:val="single"/>
        </w:rPr>
        <w:t>（2）法定代表人证明书、法定代表人签字或盖章的本投标文件授权委托证明书；</w:t>
      </w:r>
    </w:p>
    <w:p w14:paraId="00C1033E">
      <w:pPr>
        <w:spacing w:line="360" w:lineRule="auto"/>
        <w:ind w:firstLine="480" w:firstLineChars="200"/>
        <w:rPr>
          <w:rFonts w:ascii="宋体" w:hAnsi="宋体" w:eastAsia="宋体" w:cs="Times New Roman"/>
          <w:bCs/>
          <w:color w:val="auto"/>
          <w:sz w:val="24"/>
          <w:highlight w:val="none"/>
          <w:u w:val="single"/>
        </w:rPr>
      </w:pPr>
      <w:r>
        <w:rPr>
          <w:rFonts w:hint="eastAsia" w:ascii="宋体" w:hAnsi="宋体" w:eastAsia="宋体" w:cs="Times New Roman"/>
          <w:bCs/>
          <w:color w:val="auto"/>
          <w:sz w:val="24"/>
          <w:highlight w:val="none"/>
          <w:u w:val="single"/>
        </w:rPr>
        <w:t>（3）企业营业执照；</w:t>
      </w:r>
    </w:p>
    <w:p w14:paraId="6E7C7837">
      <w:pPr>
        <w:spacing w:line="360" w:lineRule="auto"/>
        <w:ind w:firstLine="480" w:firstLineChars="200"/>
        <w:rPr>
          <w:rFonts w:ascii="宋体" w:hAnsi="宋体" w:eastAsia="宋体" w:cs="Times New Roman"/>
          <w:bCs/>
          <w:color w:val="auto"/>
          <w:sz w:val="24"/>
          <w:highlight w:val="none"/>
          <w:u w:val="single"/>
        </w:rPr>
      </w:pPr>
      <w:r>
        <w:rPr>
          <w:rFonts w:hint="eastAsia" w:ascii="宋体" w:hAnsi="宋体" w:eastAsia="宋体" w:cs="Times New Roman"/>
          <w:bCs/>
          <w:color w:val="auto"/>
          <w:sz w:val="24"/>
          <w:highlight w:val="none"/>
          <w:u w:val="single"/>
        </w:rPr>
        <w:t>（4）企业资质证书；</w:t>
      </w:r>
    </w:p>
    <w:p w14:paraId="2AFD3615">
      <w:pPr>
        <w:spacing w:line="360" w:lineRule="auto"/>
        <w:ind w:firstLine="480" w:firstLineChars="200"/>
        <w:rPr>
          <w:rFonts w:ascii="宋体" w:hAnsi="宋体" w:eastAsia="宋体" w:cs="Times New Roman"/>
          <w:bCs/>
          <w:color w:val="auto"/>
          <w:sz w:val="24"/>
          <w:highlight w:val="none"/>
          <w:u w:val="single"/>
        </w:rPr>
      </w:pPr>
      <w:r>
        <w:rPr>
          <w:rFonts w:hint="eastAsia" w:ascii="宋体" w:hAnsi="宋体" w:eastAsia="宋体" w:cs="Times New Roman"/>
          <w:bCs/>
          <w:color w:val="auto"/>
          <w:sz w:val="24"/>
          <w:highlight w:val="none"/>
          <w:u w:val="single"/>
        </w:rPr>
        <w:t>（5）建筑施工企业安全生产许可证；</w:t>
      </w:r>
    </w:p>
    <w:p w14:paraId="2BD40F44">
      <w:pPr>
        <w:spacing w:line="360" w:lineRule="auto"/>
        <w:ind w:firstLine="480" w:firstLineChars="200"/>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highlight w:val="none"/>
          <w:u w:val="single"/>
        </w:rPr>
        <w:t>（6）</w:t>
      </w:r>
      <w:r>
        <w:rPr>
          <w:rFonts w:hint="eastAsia" w:ascii="宋体" w:hAnsi="宋体" w:eastAsia="宋体" w:cs="Times New Roman"/>
          <w:bCs/>
          <w:color w:val="auto"/>
          <w:sz w:val="24"/>
          <w:szCs w:val="24"/>
          <w:highlight w:val="none"/>
          <w:u w:val="single"/>
        </w:rPr>
        <w:t>项目负责人（按网上投标登记时选择拟投标的项目负责人。</w:t>
      </w:r>
      <w:r>
        <w:rPr>
          <w:rFonts w:ascii="宋体" w:hAnsi="宋体" w:eastAsia="宋体" w:cs="Times New Roman"/>
          <w:color w:val="auto"/>
          <w:sz w:val="24"/>
          <w:highlight w:val="none"/>
          <w:u w:val="single"/>
        </w:rPr>
        <w:t>投标人须在</w:t>
      </w:r>
      <w:r>
        <w:rPr>
          <w:rFonts w:hint="eastAsia" w:ascii="宋体" w:hAnsi="宋体" w:eastAsia="宋体" w:cs="Times New Roman"/>
          <w:color w:val="auto"/>
          <w:sz w:val="24"/>
          <w:highlight w:val="none"/>
          <w:u w:val="single"/>
        </w:rPr>
        <w:t>广州市交通建设项目企业信息库建立企业信用信息档案，拟担任本工程项目负责人须是本企业信息档案中的在册人员</w:t>
      </w:r>
      <w:r>
        <w:rPr>
          <w:rFonts w:hint="eastAsia" w:ascii="宋体" w:hAnsi="宋体" w:eastAsia="宋体" w:cs="Times New Roman"/>
          <w:bCs/>
          <w:color w:val="auto"/>
          <w:sz w:val="24"/>
          <w:szCs w:val="24"/>
          <w:highlight w:val="none"/>
          <w:u w:val="single"/>
        </w:rPr>
        <w:t>）；</w:t>
      </w:r>
    </w:p>
    <w:p w14:paraId="3FEA4BBD">
      <w:pPr>
        <w:spacing w:line="360" w:lineRule="auto"/>
        <w:ind w:firstLine="480" w:firstLineChars="200"/>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（7）专职安全员（按网上投标登记时选择拟投标的专职安全员，</w:t>
      </w:r>
      <w:r>
        <w:rPr>
          <w:rFonts w:ascii="宋体" w:hAnsi="宋体" w:eastAsia="宋体" w:cs="Times New Roman"/>
          <w:color w:val="auto"/>
          <w:sz w:val="24"/>
          <w:highlight w:val="none"/>
          <w:u w:val="single"/>
        </w:rPr>
        <w:t>投标人须在</w:t>
      </w:r>
      <w:r>
        <w:rPr>
          <w:rFonts w:hint="eastAsia" w:ascii="宋体" w:hAnsi="宋体" w:eastAsia="宋体" w:cs="Times New Roman"/>
          <w:color w:val="auto"/>
          <w:sz w:val="24"/>
          <w:highlight w:val="none"/>
          <w:u w:val="single"/>
        </w:rPr>
        <w:t>广州市交通建设项目企业信息库建立企业信用信息档案，拟担任本工程专职安全员须是本企业信息档案中的在册人员</w:t>
      </w:r>
      <w:r>
        <w:rPr>
          <w:rFonts w:hint="eastAsia" w:ascii="宋体" w:hAnsi="宋体" w:eastAsia="宋体" w:cs="Times New Roman"/>
          <w:bCs/>
          <w:color w:val="auto"/>
          <w:sz w:val="24"/>
          <w:szCs w:val="24"/>
          <w:highlight w:val="none"/>
          <w:u w:val="single"/>
        </w:rPr>
        <w:t>）；</w:t>
      </w:r>
    </w:p>
    <w:p w14:paraId="38311BB8">
      <w:pPr>
        <w:spacing w:line="360" w:lineRule="auto"/>
        <w:ind w:firstLine="480" w:firstLineChars="200"/>
        <w:rPr>
          <w:rFonts w:ascii="宋体" w:hAnsi="宋体" w:eastAsia="宋体" w:cs="Times New Roman"/>
          <w:bCs/>
          <w:color w:val="auto"/>
          <w:sz w:val="24"/>
          <w:highlight w:val="none"/>
          <w:u w:val="single"/>
        </w:rPr>
      </w:pPr>
      <w:r>
        <w:rPr>
          <w:rFonts w:hint="eastAsia" w:ascii="宋体" w:hAnsi="宋体" w:eastAsia="宋体" w:cs="Times New Roman"/>
          <w:bCs/>
          <w:color w:val="auto"/>
          <w:sz w:val="24"/>
          <w:highlight w:val="none"/>
          <w:u w:val="single"/>
        </w:rPr>
        <w:t>（8）拟委派项目负责人的建造师注册证书（取自</w:t>
      </w:r>
      <w:r>
        <w:rPr>
          <w:rFonts w:hint="eastAsia" w:ascii="宋体" w:hAnsi="宋体" w:eastAsia="宋体" w:cs="Times New Roman"/>
          <w:color w:val="auto"/>
          <w:sz w:val="24"/>
          <w:highlight w:val="none"/>
          <w:u w:val="single"/>
        </w:rPr>
        <w:t>广州市交通建设项目企业信息库</w:t>
      </w:r>
      <w:r>
        <w:rPr>
          <w:rFonts w:hint="eastAsia" w:ascii="宋体" w:hAnsi="宋体" w:eastAsia="宋体" w:cs="Times New Roman"/>
          <w:bCs/>
          <w:color w:val="auto"/>
          <w:sz w:val="24"/>
          <w:highlight w:val="none"/>
          <w:u w:val="single"/>
        </w:rPr>
        <w:t xml:space="preserve">内上传件）； </w:t>
      </w:r>
    </w:p>
    <w:p w14:paraId="20CD70DD">
      <w:pPr>
        <w:spacing w:line="360" w:lineRule="auto"/>
        <w:ind w:firstLine="480" w:firstLineChars="200"/>
        <w:rPr>
          <w:rFonts w:ascii="宋体" w:hAnsi="宋体" w:eastAsia="宋体" w:cs="Times New Roman"/>
          <w:bCs/>
          <w:color w:val="auto"/>
          <w:sz w:val="24"/>
          <w:highlight w:val="none"/>
          <w:u w:val="single"/>
        </w:rPr>
      </w:pPr>
      <w:r>
        <w:rPr>
          <w:rFonts w:hint="eastAsia" w:ascii="宋体" w:hAnsi="宋体" w:eastAsia="宋体" w:cs="Times New Roman"/>
          <w:bCs/>
          <w:color w:val="auto"/>
          <w:sz w:val="24"/>
          <w:highlight w:val="none"/>
          <w:u w:val="single"/>
        </w:rPr>
        <w:t>（9）项目负责人安全生产考核合格证明或在有效期内的安全考核合格证书（B类）或建筑施工企业项目负责人安全生产考核合格证书；</w:t>
      </w:r>
    </w:p>
    <w:p w14:paraId="6B2EB1DA">
      <w:pPr>
        <w:spacing w:line="360" w:lineRule="auto"/>
        <w:ind w:firstLine="480" w:firstLineChars="200"/>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highlight w:val="none"/>
          <w:u w:val="single"/>
        </w:rPr>
        <w:t>（10）专职安全员须具有在有效期内的安全考核合格证书（C类）或建筑施工企业专职安全生产管理人员安全生产考核合格证书（C3）；</w:t>
      </w:r>
    </w:p>
    <w:p w14:paraId="1BD7AB10">
      <w:pPr>
        <w:spacing w:line="360" w:lineRule="auto"/>
        <w:ind w:firstLine="480" w:firstLineChars="200"/>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（11）用于资格审查的业绩（设置业绩要求时选择此项，</w:t>
      </w:r>
      <w:r>
        <w:rPr>
          <w:rFonts w:hint="eastAsia" w:ascii="宋体" w:hAnsi="宋体" w:eastAsia="宋体" w:cs="Times New Roman"/>
          <w:color w:val="auto"/>
          <w:sz w:val="24"/>
          <w:highlight w:val="none"/>
          <w:u w:val="single"/>
        </w:rPr>
        <w:t>具体格式由招标人自定</w:t>
      </w:r>
      <w:r>
        <w:rPr>
          <w:rFonts w:hint="eastAsia" w:ascii="宋体" w:hAnsi="宋体" w:eastAsia="宋体" w:cs="Times New Roman"/>
          <w:bCs/>
          <w:color w:val="auto"/>
          <w:sz w:val="24"/>
          <w:szCs w:val="24"/>
          <w:highlight w:val="none"/>
          <w:u w:val="single"/>
        </w:rPr>
        <w:t>）</w:t>
      </w:r>
    </w:p>
    <w:p w14:paraId="6D582A59">
      <w:pPr>
        <w:spacing w:line="360" w:lineRule="auto"/>
        <w:ind w:firstLine="480" w:firstLineChars="200"/>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（12）列明主办单位的联合体工作协议（采用联合体投标时需递交，</w:t>
      </w:r>
      <w:r>
        <w:rPr>
          <w:rFonts w:hint="eastAsia" w:ascii="宋体" w:hAnsi="宋体" w:eastAsia="宋体" w:cs="Times New Roman"/>
          <w:color w:val="auto"/>
          <w:sz w:val="24"/>
          <w:szCs w:val="24"/>
          <w:highlight w:val="none"/>
          <w:u w:val="single"/>
        </w:rPr>
        <w:t>联合体工作协议应明确约定各方拟承担的工作和责任</w:t>
      </w:r>
      <w:r>
        <w:rPr>
          <w:rFonts w:hint="eastAsia" w:ascii="宋体" w:hAnsi="宋体" w:eastAsia="宋体" w:cs="Times New Roman"/>
          <w:bCs/>
          <w:color w:val="auto"/>
          <w:sz w:val="24"/>
          <w:szCs w:val="24"/>
          <w:highlight w:val="none"/>
          <w:u w:val="single"/>
        </w:rPr>
        <w:t>）；</w:t>
      </w:r>
    </w:p>
    <w:p w14:paraId="53E00B6A">
      <w:pPr>
        <w:spacing w:line="360" w:lineRule="auto"/>
        <w:ind w:firstLine="480" w:firstLineChars="200"/>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u w:val="single"/>
        </w:rPr>
        <w:t>（13）投标人认为应提交的其他资料 。</w:t>
      </w:r>
    </w:p>
    <w:p w14:paraId="3B587D1E">
      <w:pPr>
        <w:spacing w:line="360" w:lineRule="auto"/>
        <w:ind w:firstLine="480" w:firstLineChars="200"/>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11.2.2技术投标文件主要包括下列内容：</w:t>
      </w:r>
    </w:p>
    <w:p w14:paraId="6AE48842">
      <w:pPr>
        <w:numPr>
          <w:ilvl w:val="0"/>
          <w:numId w:val="7"/>
        </w:numPr>
        <w:spacing w:line="360" w:lineRule="auto"/>
        <w:ind w:firstLine="480" w:firstLineChars="200"/>
        <w:rPr>
          <w:rFonts w:ascii="宋体" w:hAnsi="宋体" w:eastAsia="宋体" w:cs="Times New Roman"/>
          <w:color w:val="auto"/>
          <w:sz w:val="24"/>
          <w:highlight w:val="none"/>
          <w:u w:val="single"/>
        </w:rPr>
      </w:pPr>
      <w:r>
        <w:rPr>
          <w:rFonts w:hint="eastAsia" w:ascii="宋体" w:hAnsi="宋体" w:eastAsia="宋体" w:cs="Times New Roman"/>
          <w:bCs/>
          <w:color w:val="auto"/>
          <w:sz w:val="24"/>
          <w:highlight w:val="none"/>
          <w:u w:val="single"/>
        </w:rPr>
        <w:t>《广州建设工程施工招标投标书》；</w:t>
      </w:r>
    </w:p>
    <w:p w14:paraId="41B9C64C">
      <w:pPr>
        <w:numPr>
          <w:ilvl w:val="0"/>
          <w:numId w:val="7"/>
        </w:numPr>
        <w:spacing w:line="360" w:lineRule="auto"/>
        <w:ind w:firstLine="480" w:firstLineChars="200"/>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项目管理机构配备：</w:t>
      </w:r>
    </w:p>
    <w:p w14:paraId="4AC3163C">
      <w:pPr>
        <w:spacing w:line="360" w:lineRule="auto"/>
        <w:ind w:firstLine="480" w:firstLineChars="200"/>
        <w:rPr>
          <w:rFonts w:ascii="宋体" w:hAnsi="宋体" w:eastAsia="宋体" w:cs="Times New Roman"/>
          <w:color w:val="auto"/>
          <w:sz w:val="24"/>
          <w:highlight w:val="none"/>
          <w:u w:val="single"/>
        </w:rPr>
      </w:pPr>
      <w:r>
        <w:rPr>
          <w:rFonts w:hint="eastAsia" w:ascii="宋体" w:hAnsi="宋体" w:eastAsia="宋体" w:cs="Times New Roman"/>
          <w:color w:val="auto"/>
          <w:sz w:val="24"/>
          <w:szCs w:val="24"/>
          <w:highlight w:val="none"/>
          <w:u w:val="single"/>
        </w:rPr>
        <w:t>①</w:t>
      </w:r>
      <w:r>
        <w:rPr>
          <w:rFonts w:hint="eastAsia" w:ascii="宋体" w:hAnsi="宋体" w:eastAsia="宋体" w:cs="Times New Roman"/>
          <w:color w:val="auto"/>
          <w:sz w:val="24"/>
          <w:highlight w:val="none"/>
          <w:u w:val="single"/>
        </w:rPr>
        <w:t>投标人应列出该项目工程的施工组织机构构成和画出机构框架图及其负责人；</w:t>
      </w:r>
    </w:p>
    <w:p w14:paraId="1A7D96B8">
      <w:pPr>
        <w:spacing w:line="360" w:lineRule="auto"/>
        <w:ind w:firstLine="480" w:firstLineChars="200"/>
        <w:rPr>
          <w:rFonts w:ascii="宋体" w:hAnsi="宋体" w:eastAsia="宋体" w:cs="Times New Roman"/>
          <w:color w:val="auto"/>
          <w:sz w:val="24"/>
          <w:highlight w:val="none"/>
          <w:u w:val="single"/>
        </w:rPr>
      </w:pPr>
      <w:r>
        <w:rPr>
          <w:rFonts w:hint="eastAsia" w:ascii="宋体" w:hAnsi="宋体" w:eastAsia="宋体" w:cs="Times New Roman"/>
          <w:color w:val="auto"/>
          <w:sz w:val="24"/>
          <w:szCs w:val="24"/>
          <w:highlight w:val="none"/>
          <w:u w:val="single"/>
        </w:rPr>
        <w:t>②</w:t>
      </w:r>
      <w:r>
        <w:rPr>
          <w:rFonts w:hint="eastAsia" w:ascii="宋体" w:hAnsi="宋体" w:eastAsia="宋体" w:cs="Times New Roman"/>
          <w:color w:val="auto"/>
          <w:sz w:val="24"/>
          <w:highlight w:val="none"/>
          <w:u w:val="single"/>
        </w:rPr>
        <w:t>投标人应详细列出该施工组织机构中主要成员的名单、简历资料、职务职称和在本项目中拟担任的职务等资料，并附上有关证明材料扫描件；</w:t>
      </w:r>
    </w:p>
    <w:p w14:paraId="7D39ECB6">
      <w:pPr>
        <w:spacing w:line="360" w:lineRule="auto"/>
        <w:ind w:firstLine="480" w:firstLineChars="200"/>
        <w:rPr>
          <w:rFonts w:ascii="宋体" w:hAnsi="宋体" w:eastAsia="宋体" w:cs="Times New Roman"/>
          <w:color w:val="auto"/>
          <w:sz w:val="24"/>
          <w:highlight w:val="none"/>
          <w:u w:val="single"/>
        </w:rPr>
      </w:pPr>
      <w:r>
        <w:rPr>
          <w:rFonts w:hint="eastAsia" w:ascii="宋体" w:hAnsi="宋体" w:eastAsia="宋体" w:cs="Times New Roman"/>
          <w:color w:val="auto"/>
          <w:sz w:val="24"/>
          <w:szCs w:val="24"/>
          <w:highlight w:val="none"/>
          <w:u w:val="single"/>
        </w:rPr>
        <w:t>③</w:t>
      </w:r>
      <w:r>
        <w:rPr>
          <w:rFonts w:hint="eastAsia" w:ascii="宋体" w:hAnsi="宋体" w:eastAsia="宋体" w:cs="Times New Roman"/>
          <w:color w:val="auto"/>
          <w:sz w:val="24"/>
          <w:highlight w:val="none"/>
          <w:u w:val="single"/>
        </w:rPr>
        <w:t>其他辅助说明资料。</w:t>
      </w:r>
    </w:p>
    <w:p w14:paraId="6CE9D182">
      <w:pPr>
        <w:spacing w:line="360" w:lineRule="auto"/>
        <w:ind w:firstLine="480" w:firstLineChars="200"/>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（3）施工组织设计或施工方案；</w:t>
      </w:r>
    </w:p>
    <w:p w14:paraId="7E7DAB85">
      <w:pPr>
        <w:ind w:firstLine="420"/>
        <w:rPr>
          <w:rFonts w:ascii="宋体" w:hAnsi="宋体" w:eastAsia="宋体" w:cs="Times New Roman"/>
          <w:color w:val="auto"/>
          <w:sz w:val="24"/>
          <w:szCs w:val="20"/>
          <w:highlight w:val="none"/>
          <w:u w:val="single"/>
        </w:rPr>
      </w:pPr>
      <w:r>
        <w:rPr>
          <w:rFonts w:hint="eastAsia" w:ascii="宋体" w:hAnsi="宋体" w:eastAsia="宋体" w:cs="楷体"/>
          <w:color w:val="auto"/>
          <w:sz w:val="24"/>
          <w:szCs w:val="20"/>
          <w:highlight w:val="none"/>
          <w:u w:val="single"/>
        </w:rPr>
        <w:t>注：建议招标人在招标文件中提出篇幅上限，国家及地方现有工法规范已有的内容无需重复提交。</w:t>
      </w:r>
    </w:p>
    <w:p w14:paraId="23ED5966">
      <w:pPr>
        <w:spacing w:line="360" w:lineRule="auto"/>
        <w:ind w:firstLine="480" w:firstLineChars="200"/>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（4）（选择性条款）有余泥渣土产生的项目可要求提供余泥渣土运输与排放方案；</w:t>
      </w:r>
    </w:p>
    <w:p w14:paraId="33708314">
      <w:pPr>
        <w:spacing w:line="360" w:lineRule="auto"/>
        <w:ind w:firstLine="480" w:firstLineChars="200"/>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（5）（选择性条款）投标人可使用适合本工程的机械设备；</w:t>
      </w:r>
    </w:p>
    <w:p w14:paraId="5F81EE56">
      <w:pPr>
        <w:spacing w:line="360" w:lineRule="auto"/>
        <w:ind w:firstLine="480" w:firstLineChars="200"/>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（6）（选择性条款）类似工程业绩材料；</w:t>
      </w:r>
    </w:p>
    <w:p w14:paraId="2BA225B8">
      <w:pPr>
        <w:spacing w:line="360" w:lineRule="auto"/>
        <w:ind w:firstLine="480" w:firstLineChars="200"/>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（7）按本招标文件规定提交的其它所有技术资料；</w:t>
      </w:r>
    </w:p>
    <w:p w14:paraId="0B3BC32C">
      <w:pPr>
        <w:spacing w:line="360" w:lineRule="auto"/>
        <w:ind w:firstLine="480" w:firstLineChars="200"/>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（8）按照招标文件要求填写的《参与编制技术标投标文件人员名单》。</w:t>
      </w:r>
    </w:p>
    <w:p w14:paraId="7D90F8BC">
      <w:pPr>
        <w:spacing w:line="360" w:lineRule="auto"/>
        <w:ind w:firstLine="480" w:firstLineChars="200"/>
        <w:rPr>
          <w:rFonts w:ascii="宋体" w:hAnsi="宋体" w:eastAsia="宋体" w:cs="Times New Roman"/>
          <w:bCs/>
          <w:color w:val="auto"/>
          <w:sz w:val="24"/>
          <w:highlight w:val="none"/>
          <w:u w:val="single"/>
        </w:rPr>
      </w:pPr>
      <w:r>
        <w:rPr>
          <w:rFonts w:ascii="宋体" w:hAnsi="宋体" w:eastAsia="宋体" w:cs="Times New Roman"/>
          <w:bCs/>
          <w:color w:val="auto"/>
          <w:sz w:val="24"/>
          <w:highlight w:val="none"/>
          <w:u w:val="single"/>
        </w:rPr>
        <w:t xml:space="preserve">11.3 </w:t>
      </w:r>
      <w:r>
        <w:rPr>
          <w:rFonts w:hint="eastAsia" w:ascii="宋体" w:hAnsi="宋体" w:eastAsia="宋体" w:cs="Times New Roman"/>
          <w:bCs/>
          <w:color w:val="auto"/>
          <w:sz w:val="24"/>
          <w:highlight w:val="none"/>
          <w:u w:val="single"/>
        </w:rPr>
        <w:t>经济部分投标文件主要包括下列内容：</w:t>
      </w:r>
    </w:p>
    <w:p w14:paraId="2B23F332">
      <w:pPr>
        <w:spacing w:line="360" w:lineRule="auto"/>
        <w:ind w:firstLine="480" w:firstLineChars="200"/>
        <w:rPr>
          <w:rFonts w:ascii="宋体" w:hAnsi="宋体" w:eastAsia="宋体" w:cs="Times New Roman"/>
          <w:color w:val="auto"/>
          <w:sz w:val="24"/>
          <w:highlight w:val="none"/>
          <w:u w:val="single"/>
        </w:rPr>
      </w:pPr>
      <w:r>
        <w:rPr>
          <w:rFonts w:ascii="宋体" w:hAnsi="宋体" w:eastAsia="宋体" w:cs="Times New Roman"/>
          <w:color w:val="auto"/>
          <w:sz w:val="24"/>
          <w:highlight w:val="none"/>
          <w:u w:val="single"/>
        </w:rPr>
        <w:t xml:space="preserve">11.3.1 </w:t>
      </w:r>
      <w:r>
        <w:rPr>
          <w:rFonts w:hint="eastAsia" w:ascii="宋体" w:hAnsi="宋体" w:eastAsia="宋体" w:cs="Times New Roman"/>
          <w:color w:val="auto"/>
          <w:sz w:val="24"/>
          <w:highlight w:val="none"/>
          <w:u w:val="single"/>
        </w:rPr>
        <w:t>经济投标文件</w:t>
      </w:r>
    </w:p>
    <w:p w14:paraId="608B14DC">
      <w:pPr>
        <w:spacing w:line="360" w:lineRule="auto"/>
        <w:ind w:firstLine="480" w:firstLineChars="200"/>
        <w:rPr>
          <w:rFonts w:ascii="宋体" w:hAnsi="宋体" w:eastAsia="宋体" w:cs="Times New Roman"/>
          <w:color w:val="auto"/>
          <w:sz w:val="24"/>
          <w:highlight w:val="none"/>
          <w:u w:val="single"/>
        </w:rPr>
      </w:pPr>
      <w:r>
        <w:rPr>
          <w:rFonts w:ascii="宋体" w:hAnsi="宋体" w:eastAsia="宋体" w:cs="Times New Roman"/>
          <w:color w:val="auto"/>
          <w:sz w:val="24"/>
          <w:highlight w:val="none"/>
          <w:u w:val="single"/>
        </w:rPr>
        <w:t>11.3.2</w:t>
      </w:r>
      <w:r>
        <w:rPr>
          <w:rFonts w:hint="eastAsia" w:ascii="宋体" w:hAnsi="宋体" w:eastAsia="宋体" w:cs="Times New Roman"/>
          <w:color w:val="auto"/>
          <w:sz w:val="24"/>
          <w:highlight w:val="none"/>
          <w:u w:val="singl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eastAsia="宋体" w:cs="Times New Roman"/>
          <w:color w:val="auto"/>
          <w:sz w:val="24"/>
          <w:szCs w:val="24"/>
          <w:highlight w:val="none"/>
          <w:u w:val="single"/>
        </w:rPr>
        <w:t>其中包括如下：</w:t>
      </w:r>
      <w:r>
        <w:rPr>
          <w:rFonts w:ascii="宋体" w:hAnsi="宋体" w:eastAsia="宋体" w:cs="Times New Roman"/>
          <w:color w:val="auto"/>
          <w:sz w:val="24"/>
          <w:highlight w:val="none"/>
          <w:u w:val="single"/>
        </w:rPr>
        <w:t xml:space="preserve"> </w:t>
      </w:r>
    </w:p>
    <w:p w14:paraId="55190583">
      <w:pPr>
        <w:spacing w:line="360" w:lineRule="auto"/>
        <w:ind w:firstLine="566" w:firstLineChars="236"/>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w:t>
      </w:r>
      <w:r>
        <w:rPr>
          <w:rFonts w:ascii="宋体" w:hAnsi="宋体" w:eastAsia="宋体" w:cs="Times New Roman"/>
          <w:color w:val="auto"/>
          <w:sz w:val="24"/>
          <w:highlight w:val="none"/>
          <w:u w:val="single"/>
        </w:rPr>
        <w:t>1</w:t>
      </w:r>
      <w:r>
        <w:rPr>
          <w:rFonts w:hint="eastAsia" w:ascii="宋体" w:hAnsi="宋体" w:eastAsia="宋体" w:cs="Times New Roman"/>
          <w:color w:val="auto"/>
          <w:sz w:val="24"/>
          <w:highlight w:val="none"/>
          <w:u w:val="single"/>
        </w:rPr>
        <w:t>）投标总价封面、扉页；</w:t>
      </w:r>
    </w:p>
    <w:p w14:paraId="4D800B6C">
      <w:pPr>
        <w:spacing w:line="360" w:lineRule="auto"/>
        <w:ind w:firstLine="566" w:firstLineChars="236"/>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w:t>
      </w:r>
      <w:r>
        <w:rPr>
          <w:rFonts w:ascii="宋体" w:hAnsi="宋体" w:eastAsia="宋体" w:cs="Times New Roman"/>
          <w:color w:val="auto"/>
          <w:sz w:val="24"/>
          <w:szCs w:val="24"/>
          <w:highlight w:val="none"/>
          <w:u w:val="single"/>
        </w:rPr>
        <w:t>2</w:t>
      </w:r>
      <w:r>
        <w:rPr>
          <w:rFonts w:hint="eastAsia" w:ascii="宋体" w:hAnsi="宋体" w:eastAsia="宋体" w:cs="Times New Roman"/>
          <w:color w:val="auto"/>
          <w:sz w:val="24"/>
          <w:szCs w:val="24"/>
          <w:highlight w:val="none"/>
          <w:u w:val="single"/>
        </w:rPr>
        <w:t>）总说明；</w:t>
      </w:r>
    </w:p>
    <w:p w14:paraId="7A8BE106">
      <w:pPr>
        <w:spacing w:line="360" w:lineRule="auto"/>
        <w:ind w:firstLine="566" w:firstLineChars="236"/>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（3）工程项目投标报价汇总表；</w:t>
      </w:r>
    </w:p>
    <w:p w14:paraId="085A6641">
      <w:pPr>
        <w:spacing w:line="360" w:lineRule="auto"/>
        <w:ind w:firstLine="566" w:firstLineChars="236"/>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（4）单项工程投标报价汇总表；</w:t>
      </w:r>
    </w:p>
    <w:p w14:paraId="1FCE966E">
      <w:pPr>
        <w:spacing w:line="360" w:lineRule="auto"/>
        <w:ind w:firstLine="566" w:firstLineChars="236"/>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（5）单位工程投标报价汇总表；</w:t>
      </w:r>
    </w:p>
    <w:p w14:paraId="34610254">
      <w:pPr>
        <w:spacing w:line="360" w:lineRule="auto"/>
        <w:ind w:firstLine="566" w:firstLineChars="236"/>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（6）分部分项工程清单与计价表；</w:t>
      </w:r>
    </w:p>
    <w:p w14:paraId="343E35A4">
      <w:pPr>
        <w:spacing w:line="360" w:lineRule="auto"/>
        <w:ind w:firstLine="566" w:firstLineChars="236"/>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（7）单价措施项目清单与计价表；</w:t>
      </w:r>
    </w:p>
    <w:p w14:paraId="18197233">
      <w:pPr>
        <w:spacing w:line="360" w:lineRule="auto"/>
        <w:ind w:firstLine="566" w:firstLineChars="236"/>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（8）总价措施项目清单与计价表；</w:t>
      </w:r>
    </w:p>
    <w:p w14:paraId="1AA2B133">
      <w:pPr>
        <w:spacing w:line="360" w:lineRule="auto"/>
        <w:ind w:firstLine="566" w:firstLineChars="236"/>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（9）综合单价分析表；</w:t>
      </w:r>
    </w:p>
    <w:p w14:paraId="1B8E9550">
      <w:pPr>
        <w:spacing w:line="360" w:lineRule="auto"/>
        <w:ind w:firstLine="480" w:firstLineChars="2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（10）其他项目清单与计价汇总表；</w:t>
      </w:r>
    </w:p>
    <w:p w14:paraId="7179E89A">
      <w:pPr>
        <w:spacing w:line="360" w:lineRule="auto"/>
        <w:ind w:firstLine="480" w:firstLineChars="2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（11）暂列金额明细表；</w:t>
      </w:r>
    </w:p>
    <w:p w14:paraId="0AD11FBA">
      <w:pPr>
        <w:spacing w:line="360" w:lineRule="auto"/>
        <w:ind w:firstLine="480" w:firstLineChars="2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（12）材料（工程设备）暂估价明细表；</w:t>
      </w:r>
    </w:p>
    <w:p w14:paraId="06DA8A1D">
      <w:pPr>
        <w:spacing w:line="360" w:lineRule="auto"/>
        <w:ind w:firstLine="480" w:firstLineChars="2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（13）专业工程暂估价明细表；</w:t>
      </w:r>
    </w:p>
    <w:p w14:paraId="0D171011">
      <w:pPr>
        <w:spacing w:line="360" w:lineRule="auto"/>
        <w:ind w:firstLine="480" w:firstLineChars="2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（14）计日工表；</w:t>
      </w:r>
    </w:p>
    <w:p w14:paraId="6B556C6F">
      <w:pPr>
        <w:spacing w:line="360" w:lineRule="auto"/>
        <w:ind w:firstLine="480" w:firstLineChars="2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（15）总承包服务计价表；</w:t>
      </w:r>
    </w:p>
    <w:p w14:paraId="16B4B817">
      <w:pPr>
        <w:spacing w:line="360" w:lineRule="auto"/>
        <w:ind w:firstLine="480" w:firstLineChars="2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u w:val="single"/>
        </w:rPr>
        <w:t>（16）规费和税金项目计价表；</w:t>
      </w:r>
    </w:p>
    <w:p w14:paraId="64A65E30">
      <w:pPr>
        <w:spacing w:line="360" w:lineRule="auto"/>
        <w:ind w:firstLine="480" w:firstLineChars="200"/>
        <w:rPr>
          <w:rFonts w:ascii="宋体" w:hAnsi="宋体" w:eastAsia="宋体" w:cs="Times New Roman"/>
          <w:color w:val="auto"/>
          <w:sz w:val="24"/>
          <w:highlight w:val="none"/>
          <w:u w:val="single"/>
        </w:rPr>
      </w:pPr>
      <w:r>
        <w:rPr>
          <w:rFonts w:hint="eastAsia" w:ascii="宋体" w:hAnsi="宋体" w:eastAsia="宋体" w:cs="Times New Roman"/>
          <w:color w:val="auto"/>
          <w:sz w:val="24"/>
          <w:szCs w:val="24"/>
          <w:highlight w:val="none"/>
          <w:u w:val="single"/>
        </w:rPr>
        <w:t>（17）人工、主要材料和设备一览表</w:t>
      </w:r>
    </w:p>
    <w:p w14:paraId="5604CDCE">
      <w:pPr>
        <w:tabs>
          <w:tab w:val="left" w:pos="1125"/>
        </w:tabs>
        <w:spacing w:line="360" w:lineRule="auto"/>
        <w:ind w:firstLine="480" w:firstLineChars="200"/>
        <w:rPr>
          <w:rFonts w:ascii="宋体" w:hAnsi="宋体" w:eastAsia="宋体" w:cs="Times New Roman"/>
          <w:color w:val="auto"/>
          <w:sz w:val="24"/>
          <w:highlight w:val="none"/>
          <w:u w:val="single"/>
        </w:rPr>
      </w:pPr>
      <w:r>
        <w:rPr>
          <w:rFonts w:ascii="宋体" w:hAnsi="宋体" w:eastAsia="宋体" w:cs="Times New Roman"/>
          <w:color w:val="auto"/>
          <w:sz w:val="24"/>
          <w:highlight w:val="none"/>
          <w:u w:val="single"/>
        </w:rPr>
        <w:t>11.3.</w:t>
      </w:r>
      <w:r>
        <w:rPr>
          <w:rFonts w:hint="eastAsia" w:ascii="宋体" w:hAnsi="宋体" w:eastAsia="宋体" w:cs="Times New Roman"/>
          <w:color w:val="auto"/>
          <w:sz w:val="24"/>
          <w:highlight w:val="none"/>
          <w:u w:val="single"/>
        </w:rPr>
        <w:t>3按照</w:t>
      </w:r>
      <w:r>
        <w:rPr>
          <w:rFonts w:hint="eastAsia" w:ascii="宋体" w:hAnsi="宋体" w:eastAsia="宋体" w:cs="Times New Roman"/>
          <w:bCs/>
          <w:color w:val="auto"/>
          <w:sz w:val="24"/>
          <w:highlight w:val="none"/>
          <w:u w:val="single"/>
        </w:rPr>
        <w:t>招标文件要求</w:t>
      </w:r>
      <w:r>
        <w:rPr>
          <w:rFonts w:hint="eastAsia" w:ascii="宋体" w:hAnsi="宋体" w:eastAsia="宋体" w:cs="Times New Roman"/>
          <w:color w:val="auto"/>
          <w:sz w:val="24"/>
          <w:highlight w:val="none"/>
          <w:u w:val="single"/>
        </w:rPr>
        <w:t>填写的《参与编制经济标投标文件人员名单》。</w:t>
      </w:r>
    </w:p>
    <w:p w14:paraId="6789673E">
      <w:pPr>
        <w:tabs>
          <w:tab w:val="left" w:pos="1125"/>
        </w:tabs>
        <w:spacing w:line="360" w:lineRule="auto"/>
        <w:ind w:firstLine="480" w:firstLineChars="200"/>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11.3.4若投标人的投标报价低于工程成本警示价的，投标人还须提供详细的施工组织设计、单价、措施性费用、单价分析表、主要材料价格表、投标人成本分析供评标委员会评审。</w:t>
      </w:r>
    </w:p>
    <w:p w14:paraId="1DD2CEEF">
      <w:pPr>
        <w:spacing w:line="360" w:lineRule="auto"/>
        <w:ind w:firstLine="482" w:firstLineChars="200"/>
        <w:rPr>
          <w:rFonts w:ascii="宋体" w:hAnsi="宋体" w:eastAsia="宋体" w:cs="Times New Roman"/>
          <w:b/>
          <w:bCs/>
          <w:color w:val="auto"/>
          <w:kern w:val="0"/>
          <w:sz w:val="24"/>
          <w:szCs w:val="20"/>
          <w:highlight w:val="none"/>
        </w:rPr>
      </w:pPr>
      <w:r>
        <w:rPr>
          <w:rFonts w:ascii="宋体" w:hAnsi="宋体" w:eastAsia="宋体" w:cs="Times New Roman"/>
          <w:b/>
          <w:bCs/>
          <w:color w:val="auto"/>
          <w:kern w:val="0"/>
          <w:sz w:val="24"/>
          <w:szCs w:val="20"/>
          <w:highlight w:val="none"/>
        </w:rPr>
        <w:t>12</w:t>
      </w:r>
      <w:r>
        <w:rPr>
          <w:rFonts w:hint="eastAsia" w:ascii="宋体" w:hAnsi="宋体" w:eastAsia="宋体" w:cs="Times New Roman"/>
          <w:b/>
          <w:bCs/>
          <w:color w:val="auto"/>
          <w:kern w:val="0"/>
          <w:sz w:val="24"/>
          <w:szCs w:val="20"/>
          <w:highlight w:val="none"/>
        </w:rPr>
        <w:t>．投标文件格式</w:t>
      </w:r>
    </w:p>
    <w:p w14:paraId="65E5DBC6">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12.1 </w:t>
      </w:r>
      <w:r>
        <w:rPr>
          <w:rFonts w:hint="eastAsia" w:ascii="宋体" w:hAnsi="宋体" w:eastAsia="宋体" w:cs="Times New Roman"/>
          <w:color w:val="auto"/>
          <w:kern w:val="0"/>
          <w:sz w:val="24"/>
          <w:szCs w:val="20"/>
          <w:highlight w:val="none"/>
        </w:rPr>
        <w:t>投标文件包括本须知第</w:t>
      </w:r>
      <w:r>
        <w:rPr>
          <w:rFonts w:ascii="宋体" w:hAnsi="宋体" w:eastAsia="宋体" w:cs="Times New Roman"/>
          <w:color w:val="auto"/>
          <w:kern w:val="0"/>
          <w:sz w:val="24"/>
          <w:szCs w:val="20"/>
          <w:highlight w:val="none"/>
        </w:rPr>
        <w:t>11</w:t>
      </w:r>
      <w:r>
        <w:rPr>
          <w:rFonts w:hint="eastAsia" w:ascii="宋体" w:hAnsi="宋体" w:eastAsia="宋体" w:cs="Times New Roman"/>
          <w:color w:val="auto"/>
          <w:kern w:val="0"/>
          <w:sz w:val="24"/>
          <w:szCs w:val="20"/>
          <w:highlight w:val="none"/>
        </w:rPr>
        <w:t>条中规定的内容，投标人提交的投标文件应当使用招标文件所提供的投标文件全部格式（表格可以按同样格式扩展）。</w:t>
      </w:r>
    </w:p>
    <w:p w14:paraId="587C8348">
      <w:pPr>
        <w:spacing w:line="360" w:lineRule="auto"/>
        <w:ind w:firstLine="480" w:firstLineChars="200"/>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ascii="宋体" w:hAnsi="宋体" w:eastAsia="宋体" w:cs="Times New Roman"/>
          <w:color w:val="auto"/>
          <w:kern w:val="0"/>
          <w:sz w:val="24"/>
          <w:szCs w:val="24"/>
          <w:highlight w:val="none"/>
        </w:rPr>
        <w:t>全流程电子化项目的相关指南进行操作。详见：</w:t>
      </w:r>
      <w:r>
        <w:rPr>
          <w:rFonts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u w:val="single"/>
        </w:rPr>
        <w:t xml:space="preserve">    </w:t>
      </w:r>
      <w:r>
        <w:rPr>
          <w:rFonts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 xml:space="preserve"> 。</w:t>
      </w:r>
    </w:p>
    <w:p w14:paraId="3BF21F61">
      <w:pPr>
        <w:spacing w:line="360" w:lineRule="auto"/>
        <w:ind w:firstLine="480" w:firstLineChars="200"/>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 xml:space="preserve">12.3 </w:t>
      </w:r>
      <w:r>
        <w:rPr>
          <w:rFonts w:hint="eastAsia" w:ascii="宋体" w:hAnsi="宋体" w:eastAsia="宋体" w:cs="Times New Roman"/>
          <w:bCs/>
          <w:color w:val="auto"/>
          <w:kern w:val="0"/>
          <w:sz w:val="24"/>
          <w:szCs w:val="24"/>
          <w:highlight w:val="none"/>
        </w:rPr>
        <w:t>投标文件应按</w:t>
      </w:r>
      <w:r>
        <w:rPr>
          <w:rFonts w:hint="eastAsia" w:ascii="宋体" w:hAnsi="宋体" w:eastAsia="宋体" w:cs="Times New Roman"/>
          <w:color w:val="auto"/>
          <w:kern w:val="0"/>
          <w:sz w:val="24"/>
          <w:szCs w:val="20"/>
          <w:highlight w:val="none"/>
        </w:rPr>
        <w:t>照交易平台关于全流程电子化项目的相关指南进行编制，详见：</w:t>
      </w:r>
      <w:r>
        <w:rPr>
          <w:rFonts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0"/>
          <w:highlight w:val="none"/>
        </w:rPr>
        <w:t>。</w:t>
      </w:r>
    </w:p>
    <w:p w14:paraId="4FCD5921">
      <w:pPr>
        <w:spacing w:line="360" w:lineRule="auto"/>
        <w:ind w:firstLine="480" w:firstLineChars="200"/>
        <w:rPr>
          <w:rFonts w:ascii="宋体" w:hAnsi="宋体" w:eastAsia="宋体" w:cs="Times New Roman"/>
          <w:color w:val="auto"/>
          <w:kern w:val="0"/>
          <w:sz w:val="24"/>
          <w:szCs w:val="20"/>
          <w:highlight w:val="none"/>
        </w:rPr>
      </w:pPr>
      <w:r>
        <w:rPr>
          <w:rFonts w:hint="eastAsia" w:ascii="宋体" w:hAnsi="宋体" w:eastAsia="宋体" w:cs="Times New Roman"/>
          <w:bCs/>
          <w:color w:val="auto"/>
          <w:kern w:val="0"/>
          <w:sz w:val="24"/>
          <w:szCs w:val="24"/>
          <w:highlight w:val="none"/>
        </w:rPr>
        <w:t>如不按上述要求编制引起系统无法检索、读取相关信息的，其后果由投标人承担。</w:t>
      </w:r>
    </w:p>
    <w:p w14:paraId="7423ABD5">
      <w:pPr>
        <w:spacing w:line="360" w:lineRule="auto"/>
        <w:ind w:firstLine="482" w:firstLineChars="200"/>
        <w:rPr>
          <w:rFonts w:ascii="宋体" w:hAnsi="宋体" w:eastAsia="宋体" w:cs="Times New Roman"/>
          <w:b/>
          <w:bCs/>
          <w:color w:val="auto"/>
          <w:kern w:val="0"/>
          <w:sz w:val="24"/>
          <w:szCs w:val="20"/>
          <w:highlight w:val="none"/>
        </w:rPr>
      </w:pPr>
      <w:r>
        <w:rPr>
          <w:rFonts w:ascii="宋体" w:hAnsi="宋体" w:eastAsia="宋体" w:cs="Times New Roman"/>
          <w:b/>
          <w:bCs/>
          <w:color w:val="auto"/>
          <w:kern w:val="0"/>
          <w:sz w:val="24"/>
          <w:szCs w:val="20"/>
          <w:highlight w:val="none"/>
        </w:rPr>
        <w:t>13</w:t>
      </w:r>
      <w:r>
        <w:rPr>
          <w:rFonts w:hint="eastAsia" w:ascii="宋体" w:hAnsi="宋体" w:eastAsia="宋体" w:cs="Times New Roman"/>
          <w:b/>
          <w:bCs/>
          <w:color w:val="auto"/>
          <w:kern w:val="0"/>
          <w:sz w:val="24"/>
          <w:szCs w:val="20"/>
          <w:highlight w:val="none"/>
        </w:rPr>
        <w:t>．投标报价及造价承包和变更结算方式</w:t>
      </w:r>
    </w:p>
    <w:p w14:paraId="6AADDAC3">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13.1 </w:t>
      </w:r>
      <w:r>
        <w:rPr>
          <w:rFonts w:hint="eastAsia" w:ascii="宋体" w:hAnsi="宋体" w:eastAsia="宋体" w:cs="Times New Roman"/>
          <w:color w:val="auto"/>
          <w:kern w:val="0"/>
          <w:sz w:val="24"/>
          <w:szCs w:val="20"/>
          <w:highlight w:val="none"/>
        </w:rPr>
        <w:t>本工程的投标报价采用投标须知前附表第</w:t>
      </w:r>
      <w:r>
        <w:rPr>
          <w:rFonts w:ascii="宋体" w:hAnsi="宋体" w:eastAsia="宋体" w:cs="Times New Roman"/>
          <w:color w:val="auto"/>
          <w:kern w:val="0"/>
          <w:sz w:val="24"/>
          <w:szCs w:val="20"/>
          <w:highlight w:val="none"/>
        </w:rPr>
        <w:t>1</w:t>
      </w:r>
      <w:r>
        <w:rPr>
          <w:rFonts w:hint="eastAsia" w:ascii="宋体" w:hAnsi="宋体" w:eastAsia="宋体" w:cs="Times New Roman"/>
          <w:color w:val="auto"/>
          <w:kern w:val="0"/>
          <w:sz w:val="24"/>
          <w:szCs w:val="20"/>
          <w:highlight w:val="none"/>
        </w:rPr>
        <w:t>4项所规定的方式。投标报价（含单价及总价）精确到“分”。</w:t>
      </w:r>
    </w:p>
    <w:p w14:paraId="28709EE3">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13.2</w:t>
      </w:r>
      <w:r>
        <w:rPr>
          <w:rFonts w:hint="eastAsia" w:ascii="宋体" w:hAnsi="宋体" w:eastAsia="宋体" w:cs="Times New Roman"/>
          <w:color w:val="auto"/>
          <w:kern w:val="0"/>
          <w:sz w:val="24"/>
          <w:szCs w:val="20"/>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52648D43">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13.3</w:t>
      </w:r>
      <w:r>
        <w:rPr>
          <w:rFonts w:hint="eastAsia" w:ascii="宋体" w:hAnsi="宋体" w:eastAsia="宋体" w:cs="Times New Roman"/>
          <w:color w:val="auto"/>
          <w:kern w:val="0"/>
          <w:sz w:val="24"/>
          <w:szCs w:val="20"/>
          <w:highlight w:val="none"/>
        </w:rPr>
        <w:t>投标人的投标报价，应是按照投标须知前附表第</w:t>
      </w:r>
      <w:r>
        <w:rPr>
          <w:rFonts w:ascii="宋体" w:hAnsi="宋体" w:eastAsia="宋体" w:cs="Times New Roman"/>
          <w:color w:val="auto"/>
          <w:kern w:val="0"/>
          <w:sz w:val="24"/>
          <w:szCs w:val="20"/>
          <w:highlight w:val="none"/>
        </w:rPr>
        <w:t>8</w:t>
      </w:r>
      <w:r>
        <w:rPr>
          <w:rFonts w:hint="eastAsia" w:ascii="宋体" w:hAnsi="宋体" w:eastAsia="宋体" w:cs="Times New Roman"/>
          <w:color w:val="auto"/>
          <w:kern w:val="0"/>
          <w:sz w:val="24"/>
          <w:szCs w:val="20"/>
          <w:highlight w:val="none"/>
        </w:rPr>
        <w:t>项的工期要求，在投标须知前附表第</w:t>
      </w:r>
      <w:r>
        <w:rPr>
          <w:rFonts w:ascii="宋体" w:hAnsi="宋体" w:eastAsia="宋体" w:cs="Times New Roman"/>
          <w:color w:val="auto"/>
          <w:kern w:val="0"/>
          <w:sz w:val="24"/>
          <w:szCs w:val="20"/>
          <w:highlight w:val="none"/>
        </w:rPr>
        <w:t>3</w:t>
      </w:r>
      <w:r>
        <w:rPr>
          <w:rFonts w:hint="eastAsia" w:ascii="宋体" w:hAnsi="宋体" w:eastAsia="宋体" w:cs="Times New Roman"/>
          <w:color w:val="auto"/>
          <w:kern w:val="0"/>
          <w:sz w:val="24"/>
          <w:szCs w:val="20"/>
          <w:highlight w:val="none"/>
        </w:rPr>
        <w:t>项的建设地点，完成投标须知前附表第</w:t>
      </w:r>
      <w:r>
        <w:rPr>
          <w:rFonts w:ascii="宋体" w:hAnsi="宋体" w:eastAsia="宋体" w:cs="Times New Roman"/>
          <w:color w:val="auto"/>
          <w:kern w:val="0"/>
          <w:sz w:val="24"/>
          <w:szCs w:val="20"/>
          <w:highlight w:val="none"/>
        </w:rPr>
        <w:t>7</w:t>
      </w:r>
      <w:r>
        <w:rPr>
          <w:rFonts w:hint="eastAsia" w:ascii="宋体" w:hAnsi="宋体" w:eastAsia="宋体" w:cs="Times New Roman"/>
          <w:color w:val="auto"/>
          <w:kern w:val="0"/>
          <w:sz w:val="24"/>
          <w:szCs w:val="20"/>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eastAsia="宋体" w:cs="Times New Roman"/>
          <w:color w:val="auto"/>
          <w:kern w:val="0"/>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73093C0A">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13.4</w:t>
      </w:r>
      <w:r>
        <w:rPr>
          <w:rFonts w:hint="eastAsia" w:ascii="宋体" w:hAnsi="宋体" w:eastAsia="宋体" w:cs="Times New Roman"/>
          <w:color w:val="auto"/>
          <w:kern w:val="0"/>
          <w:sz w:val="24"/>
          <w:szCs w:val="20"/>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1F0CD081">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13.5</w:t>
      </w:r>
      <w:r>
        <w:rPr>
          <w:rFonts w:hint="eastAsia" w:ascii="宋体" w:hAnsi="宋体" w:eastAsia="宋体" w:cs="Times New Roman"/>
          <w:color w:val="auto"/>
          <w:kern w:val="0"/>
          <w:sz w:val="24"/>
          <w:szCs w:val="20"/>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14:paraId="3171E4E2">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13.5.1</w:t>
      </w:r>
      <w:r>
        <w:rPr>
          <w:rFonts w:hint="eastAsia" w:ascii="宋体" w:hAnsi="宋体" w:eastAsia="宋体" w:cs="Times New Roman"/>
          <w:color w:val="auto"/>
          <w:kern w:val="0"/>
          <w:sz w:val="24"/>
          <w:szCs w:val="20"/>
          <w:highlight w:val="none"/>
        </w:rPr>
        <w:t>中标的投标文件工程量清单中已有相同项目的适用综合单价，则沿用；</w:t>
      </w:r>
    </w:p>
    <w:p w14:paraId="679C6544">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13.5.2</w:t>
      </w:r>
      <w:r>
        <w:rPr>
          <w:rFonts w:hint="eastAsia" w:ascii="宋体" w:hAnsi="宋体" w:eastAsia="宋体" w:cs="Times New Roman"/>
          <w:color w:val="auto"/>
          <w:kern w:val="0"/>
          <w:sz w:val="24"/>
          <w:szCs w:val="20"/>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77D1E2AB">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13.5.3 </w:t>
      </w:r>
      <w:r>
        <w:rPr>
          <w:rFonts w:hint="eastAsia" w:ascii="宋体" w:hAnsi="宋体" w:eastAsia="宋体" w:cs="Times New Roman"/>
          <w:color w:val="auto"/>
          <w:kern w:val="0"/>
          <w:sz w:val="24"/>
          <w:szCs w:val="20"/>
          <w:highlight w:val="none"/>
        </w:rPr>
        <w:t>中标的投标文件工程量清单中没有相同项目或类似项目的，如可套取相关定额，则以相关定额为基数下浮计算单价</w:t>
      </w:r>
      <w:r>
        <w:rPr>
          <w:rFonts w:ascii="宋体" w:hAnsi="宋体" w:eastAsia="宋体" w:cs="Times New Roman"/>
          <w:color w:val="auto"/>
          <w:kern w:val="0"/>
          <w:sz w:val="24"/>
          <w:szCs w:val="20"/>
          <w:highlight w:val="none"/>
        </w:rPr>
        <w:t>,</w:t>
      </w:r>
      <w:r>
        <w:rPr>
          <w:rFonts w:hint="eastAsia" w:ascii="宋体" w:hAnsi="宋体" w:eastAsia="宋体" w:cs="Times New Roman"/>
          <w:color w:val="auto"/>
          <w:kern w:val="0"/>
          <w:sz w:val="24"/>
          <w:szCs w:val="20"/>
          <w:highlight w:val="none"/>
        </w:rPr>
        <w:t>下浮率为中标价</w:t>
      </w:r>
      <w:r>
        <w:rPr>
          <w:rFonts w:hint="eastAsia" w:ascii="宋体" w:hAnsi="宋体" w:eastAsia="宋体" w:cs="Times New Roman"/>
          <w:color w:val="auto"/>
          <w:kern w:val="0"/>
          <w:sz w:val="24"/>
          <w:szCs w:val="24"/>
          <w:highlight w:val="none"/>
        </w:rPr>
        <w:t>相对于最高投标限价的下</w:t>
      </w:r>
      <w:r>
        <w:rPr>
          <w:rFonts w:hint="eastAsia" w:ascii="宋体" w:hAnsi="宋体" w:eastAsia="宋体" w:cs="Times New Roman"/>
          <w:color w:val="auto"/>
          <w:kern w:val="0"/>
          <w:sz w:val="24"/>
          <w:szCs w:val="20"/>
          <w:highlight w:val="none"/>
        </w:rPr>
        <w:t>浮率（下浮率</w:t>
      </w:r>
      <w:r>
        <w:rPr>
          <w:rFonts w:ascii="宋体" w:hAnsi="宋体" w:eastAsia="宋体" w:cs="Times New Roman"/>
          <w:color w:val="auto"/>
          <w:kern w:val="0"/>
          <w:sz w:val="24"/>
          <w:szCs w:val="20"/>
          <w:highlight w:val="none"/>
        </w:rPr>
        <w:t>=(</w:t>
      </w:r>
      <w:r>
        <w:rPr>
          <w:rFonts w:hint="eastAsia" w:ascii="宋体" w:hAnsi="宋体" w:eastAsia="宋体" w:cs="Times New Roman"/>
          <w:color w:val="auto"/>
          <w:kern w:val="0"/>
          <w:sz w:val="24"/>
          <w:szCs w:val="24"/>
          <w:highlight w:val="none"/>
        </w:rPr>
        <w:t>最高投标限价</w:t>
      </w:r>
      <w:r>
        <w:rPr>
          <w:rFonts w:ascii="宋体" w:hAnsi="宋体" w:eastAsia="宋体" w:cs="Times New Roman"/>
          <w:color w:val="auto"/>
          <w:kern w:val="0"/>
          <w:sz w:val="24"/>
          <w:szCs w:val="20"/>
          <w:highlight w:val="none"/>
        </w:rPr>
        <w:t>-</w:t>
      </w:r>
      <w:r>
        <w:rPr>
          <w:rFonts w:hint="eastAsia" w:ascii="宋体" w:hAnsi="宋体" w:eastAsia="宋体" w:cs="Times New Roman"/>
          <w:color w:val="auto"/>
          <w:kern w:val="0"/>
          <w:sz w:val="24"/>
          <w:szCs w:val="20"/>
          <w:highlight w:val="none"/>
        </w:rPr>
        <w:t>中标价</w:t>
      </w:r>
      <w:r>
        <w:rPr>
          <w:rFonts w:ascii="宋体" w:hAnsi="宋体" w:eastAsia="宋体" w:cs="Times New Roman"/>
          <w:color w:val="auto"/>
          <w:kern w:val="0"/>
          <w:sz w:val="24"/>
          <w:szCs w:val="20"/>
          <w:highlight w:val="none"/>
        </w:rPr>
        <w:t>)/</w:t>
      </w:r>
      <w:r>
        <w:rPr>
          <w:rFonts w:ascii="宋体" w:hAnsi="宋体" w:eastAsia="宋体" w:cs="Times New Roman"/>
          <w:color w:val="auto"/>
          <w:kern w:val="0"/>
          <w:sz w:val="24"/>
          <w:szCs w:val="24"/>
          <w:highlight w:val="none"/>
        </w:rPr>
        <w:t xml:space="preserve"> </w:t>
      </w:r>
      <w:r>
        <w:rPr>
          <w:rFonts w:hint="eastAsia" w:ascii="宋体" w:hAnsi="宋体" w:eastAsia="宋体" w:cs="Times New Roman"/>
          <w:color w:val="auto"/>
          <w:kern w:val="0"/>
          <w:sz w:val="24"/>
          <w:szCs w:val="24"/>
          <w:highlight w:val="none"/>
        </w:rPr>
        <w:t>最高投标限价</w:t>
      </w:r>
      <w:r>
        <w:rPr>
          <w:rFonts w:hint="eastAsia" w:ascii="宋体" w:hAnsi="宋体" w:eastAsia="宋体" w:cs="Times New Roman"/>
          <w:color w:val="auto"/>
          <w:kern w:val="0"/>
          <w:sz w:val="24"/>
          <w:szCs w:val="20"/>
          <w:highlight w:val="none"/>
        </w:rPr>
        <w:t>）。</w:t>
      </w:r>
    </w:p>
    <w:p w14:paraId="1E3B2DD8">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13.5.4 </w:t>
      </w:r>
      <w:r>
        <w:rPr>
          <w:rFonts w:hint="eastAsia" w:ascii="宋体" w:hAnsi="宋体" w:eastAsia="宋体" w:cs="Times New Roman"/>
          <w:color w:val="auto"/>
          <w:kern w:val="0"/>
          <w:sz w:val="24"/>
          <w:szCs w:val="20"/>
          <w:highlight w:val="none"/>
        </w:rPr>
        <w:t>如相关定额没有相应子目的，其计价方式由招标人在本招标文件第三章中另行规定。未规定的，中标后双方协商约定。</w:t>
      </w:r>
    </w:p>
    <w:p w14:paraId="2403666F">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13.6</w:t>
      </w:r>
      <w:r>
        <w:rPr>
          <w:rFonts w:hint="eastAsia" w:ascii="宋体" w:hAnsi="宋体" w:eastAsia="宋体" w:cs="Times New Roman"/>
          <w:color w:val="auto"/>
          <w:kern w:val="0"/>
          <w:sz w:val="24"/>
          <w:szCs w:val="20"/>
          <w:highlight w:val="none"/>
        </w:rPr>
        <w:t>暂列金额、暂估价</w:t>
      </w:r>
    </w:p>
    <w:p w14:paraId="12EDF0B8">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13.6.1</w:t>
      </w:r>
      <w:r>
        <w:rPr>
          <w:rFonts w:hint="eastAsia" w:ascii="宋体" w:hAnsi="宋体" w:eastAsia="宋体" w:cs="Times New Roman"/>
          <w:color w:val="auto"/>
          <w:kern w:val="0"/>
          <w:sz w:val="24"/>
          <w:szCs w:val="20"/>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4833F932">
      <w:pPr>
        <w:spacing w:line="360" w:lineRule="auto"/>
        <w:ind w:firstLine="480" w:firstLineChars="200"/>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暂估价是指招标人在工程量清单中提供的用于支付必然发生但暂时不能确定价格的材料的单价以及专业工程的金额。</w:t>
      </w:r>
    </w:p>
    <w:p w14:paraId="674B448B">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13.6.2</w:t>
      </w:r>
      <w:r>
        <w:rPr>
          <w:rFonts w:hint="eastAsia" w:ascii="宋体" w:hAnsi="宋体" w:eastAsia="宋体" w:cs="Times New Roman"/>
          <w:color w:val="auto"/>
          <w:kern w:val="0"/>
          <w:sz w:val="24"/>
          <w:szCs w:val="20"/>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28B91643">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13.6.3</w:t>
      </w:r>
      <w:r>
        <w:rPr>
          <w:rFonts w:hint="eastAsia" w:ascii="宋体" w:hAnsi="宋体" w:eastAsia="宋体" w:cs="Times New Roman"/>
          <w:color w:val="auto"/>
          <w:kern w:val="0"/>
          <w:sz w:val="24"/>
          <w:szCs w:val="20"/>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158DE298">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13.6.4</w:t>
      </w:r>
      <w:r>
        <w:rPr>
          <w:rFonts w:hint="eastAsia" w:ascii="宋体" w:hAnsi="宋体" w:eastAsia="宋体" w:cs="Times New Roman"/>
          <w:color w:val="auto"/>
          <w:kern w:val="0"/>
          <w:sz w:val="24"/>
          <w:szCs w:val="20"/>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eastAsia="宋体" w:cs="Times New Roman"/>
          <w:color w:val="auto"/>
          <w:kern w:val="0"/>
          <w:sz w:val="24"/>
          <w:szCs w:val="20"/>
          <w:highlight w:val="none"/>
        </w:rPr>
        <w:t>13.5</w:t>
      </w:r>
      <w:r>
        <w:rPr>
          <w:rFonts w:hint="eastAsia" w:ascii="宋体" w:hAnsi="宋体" w:eastAsia="宋体" w:cs="Times New Roman"/>
          <w:color w:val="auto"/>
          <w:kern w:val="0"/>
          <w:sz w:val="24"/>
          <w:szCs w:val="20"/>
          <w:highlight w:val="none"/>
        </w:rPr>
        <w:t>款规定确定。</w:t>
      </w:r>
    </w:p>
    <w:p w14:paraId="1104A9A8">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13.6.5</w:t>
      </w:r>
      <w:r>
        <w:rPr>
          <w:rFonts w:hint="eastAsia" w:ascii="宋体" w:hAnsi="宋体" w:eastAsia="宋体" w:cs="Times New Roman"/>
          <w:color w:val="auto"/>
          <w:kern w:val="0"/>
          <w:sz w:val="24"/>
          <w:szCs w:val="20"/>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7E0FF6F1">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13.6.6 </w:t>
      </w:r>
      <w:r>
        <w:rPr>
          <w:rFonts w:hint="eastAsia" w:ascii="宋体" w:hAnsi="宋体" w:eastAsia="宋体" w:cs="Times New Roman"/>
          <w:color w:val="auto"/>
          <w:kern w:val="0"/>
          <w:sz w:val="24"/>
          <w:szCs w:val="20"/>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5E9FC757">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13.7</w:t>
      </w:r>
      <w:r>
        <w:rPr>
          <w:rFonts w:hint="eastAsia" w:ascii="宋体" w:hAnsi="宋体" w:eastAsia="宋体" w:cs="Times New Roman"/>
          <w:color w:val="auto"/>
          <w:kern w:val="0"/>
          <w:sz w:val="24"/>
          <w:szCs w:val="20"/>
          <w:highlight w:val="none"/>
        </w:rPr>
        <w:t>投标人可先到工地踏勘以充分了解工地位置、情况、道路、储存空间、装卸限制及任何其他足以影响承包价的情况，任何因忽视或误解工地情况而导致的索赔或工期延长申请将不被批准。</w:t>
      </w:r>
    </w:p>
    <w:p w14:paraId="402BE6CE">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13.8</w:t>
      </w:r>
      <w:r>
        <w:rPr>
          <w:rFonts w:hint="eastAsia" w:ascii="宋体" w:hAnsi="宋体" w:eastAsia="宋体" w:cs="Times New Roman"/>
          <w:color w:val="auto"/>
          <w:kern w:val="0"/>
          <w:sz w:val="24"/>
          <w:szCs w:val="20"/>
          <w:highlight w:val="none"/>
        </w:rPr>
        <w:t>属于承包人自行采购的主要材料、设备，招标人应当在招标文件中提出材料、设备的技术标准或者质量要求，或者提出不少于</w:t>
      </w:r>
      <w:r>
        <w:rPr>
          <w:rFonts w:ascii="宋体" w:hAnsi="宋体" w:eastAsia="宋体" w:cs="Times New Roman"/>
          <w:color w:val="auto"/>
          <w:kern w:val="0"/>
          <w:sz w:val="24"/>
          <w:szCs w:val="20"/>
          <w:highlight w:val="none"/>
        </w:rPr>
        <w:t>3</w:t>
      </w:r>
      <w:r>
        <w:rPr>
          <w:rFonts w:hint="eastAsia" w:ascii="宋体" w:hAnsi="宋体" w:eastAsia="宋体" w:cs="Times New Roman"/>
          <w:color w:val="auto"/>
          <w:kern w:val="0"/>
          <w:sz w:val="24"/>
          <w:szCs w:val="20"/>
          <w:highlight w:val="none"/>
        </w:rPr>
        <w:t>个同等档次品牌或分包商供投标人报价时选择</w:t>
      </w:r>
      <w:r>
        <w:rPr>
          <w:rFonts w:ascii="宋体" w:hAnsi="宋体" w:eastAsia="宋体" w:cs="Times New Roman"/>
          <w:color w:val="auto"/>
          <w:kern w:val="0"/>
          <w:sz w:val="24"/>
          <w:szCs w:val="20"/>
          <w:highlight w:val="none"/>
        </w:rPr>
        <w:t>,</w:t>
      </w:r>
      <w:r>
        <w:rPr>
          <w:rFonts w:hint="eastAsia" w:ascii="宋体" w:hAnsi="宋体" w:eastAsia="宋体" w:cs="Times New Roman"/>
          <w:color w:val="auto"/>
          <w:kern w:val="0"/>
          <w:sz w:val="24"/>
          <w:szCs w:val="20"/>
          <w:highlight w:val="none"/>
        </w:rPr>
        <w:t>凡招标人在招标文件中提出参考品牌的，必须在参考品牌后面加上“或相当于”字样。投标人在投标文件中应明确所选用主要材料、设备的品牌、厂家以及质量等级，并且应当符合招标文件的要求。</w:t>
      </w:r>
    </w:p>
    <w:p w14:paraId="48B1E668">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0"/>
          <w:highlight w:val="none"/>
        </w:rPr>
        <w:t>13.9</w:t>
      </w:r>
      <w:r>
        <w:rPr>
          <w:rFonts w:hint="eastAsia" w:ascii="宋体" w:hAnsi="宋体" w:eastAsia="宋体" w:cs="Times New Roman"/>
          <w:color w:val="auto"/>
          <w:kern w:val="0"/>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22213A80">
      <w:pPr>
        <w:spacing w:line="360" w:lineRule="auto"/>
        <w:ind w:firstLine="482" w:firstLineChars="200"/>
        <w:rPr>
          <w:rFonts w:ascii="宋体" w:hAnsi="宋体" w:eastAsia="宋体" w:cs="Times New Roman"/>
          <w:b/>
          <w:bCs/>
          <w:color w:val="auto"/>
          <w:kern w:val="0"/>
          <w:sz w:val="24"/>
          <w:szCs w:val="20"/>
          <w:highlight w:val="none"/>
        </w:rPr>
      </w:pPr>
      <w:r>
        <w:rPr>
          <w:rFonts w:ascii="宋体" w:hAnsi="宋体" w:eastAsia="宋体" w:cs="Times New Roman"/>
          <w:b/>
          <w:bCs/>
          <w:color w:val="auto"/>
          <w:kern w:val="0"/>
          <w:sz w:val="24"/>
          <w:szCs w:val="20"/>
          <w:highlight w:val="none"/>
        </w:rPr>
        <w:t>14</w:t>
      </w:r>
      <w:r>
        <w:rPr>
          <w:rFonts w:hint="eastAsia" w:ascii="宋体" w:hAnsi="宋体" w:eastAsia="宋体" w:cs="Times New Roman"/>
          <w:b/>
          <w:bCs/>
          <w:color w:val="auto"/>
          <w:kern w:val="0"/>
          <w:sz w:val="24"/>
          <w:szCs w:val="20"/>
          <w:highlight w:val="none"/>
        </w:rPr>
        <w:t>．投标货币</w:t>
      </w:r>
    </w:p>
    <w:p w14:paraId="39AD3E50">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14.1 </w:t>
      </w:r>
      <w:r>
        <w:rPr>
          <w:rFonts w:hint="eastAsia" w:ascii="宋体" w:hAnsi="宋体" w:eastAsia="宋体" w:cs="Times New Roman"/>
          <w:color w:val="auto"/>
          <w:kern w:val="0"/>
          <w:sz w:val="24"/>
          <w:szCs w:val="20"/>
          <w:highlight w:val="none"/>
        </w:rPr>
        <w:t>本工程投标报价采用的币种为人民币。</w:t>
      </w:r>
    </w:p>
    <w:p w14:paraId="01EA95A0">
      <w:pPr>
        <w:spacing w:line="360" w:lineRule="auto"/>
        <w:ind w:firstLine="482" w:firstLineChars="200"/>
        <w:rPr>
          <w:rFonts w:ascii="宋体" w:hAnsi="宋体" w:eastAsia="宋体" w:cs="Times New Roman"/>
          <w:color w:val="auto"/>
          <w:kern w:val="0"/>
          <w:sz w:val="24"/>
          <w:szCs w:val="20"/>
          <w:highlight w:val="none"/>
        </w:rPr>
      </w:pPr>
      <w:r>
        <w:rPr>
          <w:rFonts w:ascii="宋体" w:hAnsi="宋体" w:eastAsia="宋体" w:cs="Times New Roman"/>
          <w:b/>
          <w:bCs/>
          <w:color w:val="auto"/>
          <w:kern w:val="0"/>
          <w:sz w:val="24"/>
          <w:szCs w:val="20"/>
          <w:highlight w:val="none"/>
        </w:rPr>
        <w:t>15</w:t>
      </w:r>
      <w:r>
        <w:rPr>
          <w:rFonts w:hint="eastAsia" w:ascii="宋体" w:hAnsi="宋体" w:eastAsia="宋体" w:cs="Times New Roman"/>
          <w:b/>
          <w:bCs/>
          <w:color w:val="auto"/>
          <w:kern w:val="0"/>
          <w:sz w:val="24"/>
          <w:szCs w:val="20"/>
          <w:highlight w:val="none"/>
        </w:rPr>
        <w:t>．投标有效期</w:t>
      </w:r>
    </w:p>
    <w:p w14:paraId="455562CE">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15.1 </w:t>
      </w:r>
      <w:r>
        <w:rPr>
          <w:rFonts w:hint="eastAsia" w:ascii="宋体" w:hAnsi="宋体" w:eastAsia="宋体" w:cs="Times New Roman"/>
          <w:color w:val="auto"/>
          <w:kern w:val="0"/>
          <w:sz w:val="24"/>
          <w:szCs w:val="20"/>
          <w:highlight w:val="none"/>
        </w:rPr>
        <w:t>投标有效期见投标须知前附表第15项所规定的期限，在此期限内，凡符合本招标文件要求的投标文件均保持有效。</w:t>
      </w:r>
    </w:p>
    <w:p w14:paraId="7975D153">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15.2 </w:t>
      </w:r>
      <w:r>
        <w:rPr>
          <w:rFonts w:hint="eastAsia" w:ascii="宋体" w:hAnsi="宋体" w:eastAsia="宋体" w:cs="Times New Roman"/>
          <w:color w:val="auto"/>
          <w:kern w:val="0"/>
          <w:sz w:val="24"/>
          <w:szCs w:val="20"/>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eastAsia="宋体" w:cs="Times New Roman"/>
          <w:color w:val="auto"/>
          <w:kern w:val="0"/>
          <w:sz w:val="24"/>
          <w:szCs w:val="20"/>
          <w:highlight w:val="none"/>
        </w:rPr>
        <w:t>16</w:t>
      </w:r>
      <w:r>
        <w:rPr>
          <w:rFonts w:hint="eastAsia" w:ascii="宋体" w:hAnsi="宋体" w:eastAsia="宋体" w:cs="Times New Roman"/>
          <w:color w:val="auto"/>
          <w:kern w:val="0"/>
          <w:sz w:val="24"/>
          <w:szCs w:val="20"/>
          <w:highlight w:val="none"/>
        </w:rPr>
        <w:t>条关于投标保证金的退还与不予退还的规定仍然适用。</w:t>
      </w:r>
    </w:p>
    <w:p w14:paraId="4ED67EA6">
      <w:pPr>
        <w:spacing w:line="360" w:lineRule="auto"/>
        <w:ind w:firstLine="482" w:firstLineChars="200"/>
        <w:rPr>
          <w:rFonts w:ascii="宋体" w:hAnsi="宋体" w:eastAsia="宋体" w:cs="Times New Roman"/>
          <w:b/>
          <w:bCs/>
          <w:color w:val="auto"/>
          <w:kern w:val="0"/>
          <w:sz w:val="24"/>
          <w:szCs w:val="20"/>
          <w:highlight w:val="none"/>
        </w:rPr>
      </w:pPr>
      <w:r>
        <w:rPr>
          <w:rFonts w:ascii="宋体" w:hAnsi="宋体" w:eastAsia="宋体" w:cs="Times New Roman"/>
          <w:b/>
          <w:bCs/>
          <w:color w:val="auto"/>
          <w:kern w:val="0"/>
          <w:sz w:val="24"/>
          <w:szCs w:val="20"/>
          <w:highlight w:val="none"/>
        </w:rPr>
        <w:t>16</w:t>
      </w:r>
      <w:r>
        <w:rPr>
          <w:rFonts w:hint="eastAsia" w:ascii="宋体" w:hAnsi="宋体" w:eastAsia="宋体" w:cs="Times New Roman"/>
          <w:b/>
          <w:bCs/>
          <w:color w:val="auto"/>
          <w:kern w:val="0"/>
          <w:sz w:val="24"/>
          <w:szCs w:val="20"/>
          <w:highlight w:val="none"/>
        </w:rPr>
        <w:t>．投标保证金</w:t>
      </w:r>
    </w:p>
    <w:p w14:paraId="4F436443">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16.1</w:t>
      </w:r>
      <w:r>
        <w:rPr>
          <w:rFonts w:hint="eastAsia" w:ascii="宋体" w:hAnsi="宋体" w:eastAsia="宋体" w:cs="Times New Roman"/>
          <w:color w:val="auto"/>
          <w:sz w:val="24"/>
          <w:highlight w:val="none"/>
        </w:rPr>
        <w:t>投标人应按国家、省、市有关规定和投标须知前附表第16项所述金额和时间递交</w:t>
      </w:r>
      <w:r>
        <w:rPr>
          <w:rFonts w:hint="eastAsia" w:ascii="宋体" w:hAnsi="宋体" w:eastAsia="宋体" w:cs="Times New Roman"/>
          <w:bCs/>
          <w:color w:val="auto"/>
          <w:sz w:val="24"/>
          <w:highlight w:val="none"/>
        </w:rPr>
        <w:t>投标保证金</w:t>
      </w:r>
      <w:r>
        <w:rPr>
          <w:rFonts w:hint="eastAsia" w:ascii="宋体" w:hAnsi="宋体" w:eastAsia="宋体" w:cs="Times New Roman"/>
          <w:color w:val="auto"/>
          <w:sz w:val="24"/>
          <w:highlight w:val="none"/>
        </w:rPr>
        <w:t>。招标人应当允许投标人自主选择现金、银行保函、保证保险、专业工程担保公司担保等方式缴纳投标保证金。</w:t>
      </w:r>
    </w:p>
    <w:p w14:paraId="7C007546">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16.1.1 采用现金或者支票形式提交的，投标保证金须从投标人的银行基本账户转出。</w:t>
      </w:r>
    </w:p>
    <w:p w14:paraId="690193EE">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63E34B77">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16.1.3 采用电子形式的保函、担保或保证保险提交投标保证金的，应在招标文件中明确电子递交途径。</w:t>
      </w:r>
    </w:p>
    <w:p w14:paraId="35227AD8">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060822BA">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16.3投标保证金应依据法律法规的相关规定退还。</w:t>
      </w:r>
    </w:p>
    <w:p w14:paraId="038588C3">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16.4如有下列情况之一的，招标人可以不予退还投标保证金（是否退还投标保证金由招标人依法依规在招标文件中规定）：</w:t>
      </w:r>
    </w:p>
    <w:p w14:paraId="43137988">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16.5投标人如存在下列情况之一的，将被拒绝在一定时期内参与招标人后续工程投标（由招标人依法依规在招标文件中明确）：</w:t>
      </w:r>
    </w:p>
    <w:p w14:paraId="242E09D9">
      <w:pPr>
        <w:spacing w:line="360" w:lineRule="auto"/>
        <w:ind w:firstLine="482" w:firstLineChars="200"/>
        <w:rPr>
          <w:rFonts w:ascii="宋体" w:hAnsi="宋体" w:eastAsia="宋体" w:cs="Times New Roman"/>
          <w:b/>
          <w:bCs/>
          <w:color w:val="auto"/>
          <w:kern w:val="0"/>
          <w:sz w:val="24"/>
          <w:szCs w:val="20"/>
          <w:highlight w:val="none"/>
        </w:rPr>
      </w:pPr>
      <w:r>
        <w:rPr>
          <w:rFonts w:ascii="宋体" w:hAnsi="宋体" w:eastAsia="宋体" w:cs="Times New Roman"/>
          <w:b/>
          <w:bCs/>
          <w:color w:val="auto"/>
          <w:kern w:val="0"/>
          <w:sz w:val="24"/>
          <w:szCs w:val="20"/>
          <w:highlight w:val="none"/>
        </w:rPr>
        <w:t>17</w:t>
      </w:r>
      <w:r>
        <w:rPr>
          <w:rFonts w:hint="eastAsia" w:ascii="宋体" w:hAnsi="宋体" w:eastAsia="宋体" w:cs="Times New Roman"/>
          <w:b/>
          <w:bCs/>
          <w:color w:val="auto"/>
          <w:kern w:val="0"/>
          <w:sz w:val="24"/>
          <w:szCs w:val="20"/>
          <w:highlight w:val="none"/>
        </w:rPr>
        <w:t>．投标文件的签署</w:t>
      </w:r>
    </w:p>
    <w:p w14:paraId="3FFA4A8E">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17.1</w:t>
      </w:r>
      <w:r>
        <w:rPr>
          <w:rFonts w:hint="eastAsia" w:ascii="宋体" w:hAnsi="宋体" w:eastAsia="宋体" w:cs="Times New Roman"/>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p>
    <w:p w14:paraId="44D38B1D">
      <w:pPr>
        <w:widowControl/>
        <w:spacing w:line="360" w:lineRule="auto"/>
        <w:jc w:val="left"/>
        <w:outlineLvl w:val="2"/>
        <w:rPr>
          <w:rFonts w:ascii="宋体" w:hAnsi="宋体" w:eastAsia="宋体" w:cs="Times New Roman"/>
          <w:color w:val="auto"/>
          <w:kern w:val="0"/>
          <w:sz w:val="24"/>
          <w:szCs w:val="24"/>
          <w:highlight w:val="none"/>
        </w:rPr>
      </w:pPr>
      <w:bookmarkStart w:id="13" w:name="_Toc202907283"/>
      <w:r>
        <w:rPr>
          <w:rFonts w:hint="eastAsia" w:ascii="宋体" w:hAnsi="宋体" w:eastAsia="宋体" w:cs="Times New Roman"/>
          <w:color w:val="auto"/>
          <w:kern w:val="0"/>
          <w:sz w:val="24"/>
          <w:szCs w:val="24"/>
          <w:highlight w:val="none"/>
        </w:rPr>
        <w:t>（四）投标文件的提交</w:t>
      </w:r>
      <w:bookmarkEnd w:id="13"/>
    </w:p>
    <w:p w14:paraId="622F4EC9">
      <w:pPr>
        <w:spacing w:line="360" w:lineRule="auto"/>
        <w:ind w:firstLine="482" w:firstLineChars="200"/>
        <w:rPr>
          <w:rFonts w:ascii="宋体" w:hAnsi="宋体" w:eastAsia="宋体" w:cs="Times New Roman"/>
          <w:b/>
          <w:bCs/>
          <w:color w:val="auto"/>
          <w:kern w:val="0"/>
          <w:sz w:val="24"/>
          <w:szCs w:val="20"/>
          <w:highlight w:val="none"/>
        </w:rPr>
      </w:pPr>
      <w:r>
        <w:rPr>
          <w:rFonts w:ascii="宋体" w:hAnsi="宋体" w:eastAsia="宋体" w:cs="Times New Roman"/>
          <w:b/>
          <w:bCs/>
          <w:color w:val="auto"/>
          <w:kern w:val="0"/>
          <w:sz w:val="24"/>
          <w:szCs w:val="20"/>
          <w:highlight w:val="none"/>
        </w:rPr>
        <w:t>18</w:t>
      </w:r>
      <w:r>
        <w:rPr>
          <w:rFonts w:hint="eastAsia" w:ascii="宋体" w:hAnsi="宋体" w:eastAsia="宋体" w:cs="Times New Roman"/>
          <w:b/>
          <w:bCs/>
          <w:color w:val="auto"/>
          <w:kern w:val="0"/>
          <w:sz w:val="24"/>
          <w:szCs w:val="20"/>
          <w:highlight w:val="none"/>
        </w:rPr>
        <w:t>．</w:t>
      </w:r>
      <w:r>
        <w:rPr>
          <w:rFonts w:hint="eastAsia" w:ascii="宋体" w:hAnsi="宋体" w:eastAsia="宋体" w:cs="Times New Roman"/>
          <w:b/>
          <w:color w:val="auto"/>
          <w:kern w:val="0"/>
          <w:sz w:val="24"/>
          <w:szCs w:val="24"/>
          <w:highlight w:val="none"/>
        </w:rPr>
        <w:t>投标文件的密封和标记</w:t>
      </w:r>
    </w:p>
    <w:p w14:paraId="34D9CB1B">
      <w:pPr>
        <w:spacing w:line="360" w:lineRule="auto"/>
        <w:ind w:firstLine="480" w:firstLineChars="200"/>
        <w:rPr>
          <w:rFonts w:ascii="宋体" w:hAnsi="宋体" w:eastAsia="宋体" w:cs="Times New Roman"/>
          <w:bCs/>
          <w:color w:val="auto"/>
          <w:sz w:val="24"/>
          <w:highlight w:val="none"/>
        </w:rPr>
      </w:pPr>
      <w:r>
        <w:rPr>
          <w:rFonts w:ascii="宋体" w:hAnsi="宋体" w:eastAsia="宋体" w:cs="Times New Roman"/>
          <w:bCs/>
          <w:color w:val="auto"/>
          <w:sz w:val="24"/>
          <w:highlight w:val="none"/>
        </w:rPr>
        <w:t>1</w:t>
      </w:r>
      <w:r>
        <w:rPr>
          <w:rFonts w:hint="eastAsia" w:ascii="宋体" w:hAnsi="宋体" w:eastAsia="宋体" w:cs="Times New Roman"/>
          <w:bCs/>
          <w:color w:val="auto"/>
          <w:sz w:val="24"/>
          <w:highlight w:val="none"/>
        </w:rPr>
        <w:t>8</w:t>
      </w:r>
      <w:r>
        <w:rPr>
          <w:rFonts w:ascii="宋体" w:hAnsi="宋体" w:eastAsia="宋体" w:cs="Times New Roman"/>
          <w:bCs/>
          <w:color w:val="auto"/>
          <w:sz w:val="24"/>
          <w:highlight w:val="none"/>
        </w:rPr>
        <w:t>.1</w:t>
      </w:r>
      <w:r>
        <w:rPr>
          <w:rFonts w:hint="eastAsia" w:ascii="宋体" w:hAnsi="宋体" w:eastAsia="宋体" w:cs="Times New Roman"/>
          <w:bCs/>
          <w:color w:val="auto"/>
          <w:sz w:val="24"/>
          <w:highlight w:val="none"/>
        </w:rPr>
        <w:t>递交的电子投标文件（不含备用光盘）必须进行加密。按照交易平台关于</w:t>
      </w:r>
      <w:r>
        <w:rPr>
          <w:rFonts w:hint="eastAsia" w:ascii="宋体" w:hAnsi="宋体" w:eastAsia="宋体" w:cs="Times New Roman"/>
          <w:color w:val="auto"/>
          <w:sz w:val="24"/>
          <w:szCs w:val="24"/>
          <w:highlight w:val="none"/>
        </w:rPr>
        <w:t>全流程电子化项目的相关指南进行操作。详见：</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w:t>
      </w:r>
    </w:p>
    <w:p w14:paraId="536065C4">
      <w:pPr>
        <w:spacing w:line="360" w:lineRule="auto"/>
        <w:ind w:firstLine="480" w:firstLineChars="200"/>
        <w:rPr>
          <w:rFonts w:ascii="宋体" w:hAnsi="宋体" w:eastAsia="宋体" w:cs="Times New Roman"/>
          <w:bCs/>
          <w:color w:val="auto"/>
          <w:sz w:val="24"/>
          <w:highlight w:val="none"/>
        </w:rPr>
      </w:pPr>
      <w:r>
        <w:rPr>
          <w:rFonts w:ascii="宋体" w:hAnsi="宋体" w:eastAsia="宋体" w:cs="Times New Roman"/>
          <w:bCs/>
          <w:color w:val="auto"/>
          <w:sz w:val="24"/>
          <w:highlight w:val="none"/>
        </w:rPr>
        <w:t>1</w:t>
      </w:r>
      <w:r>
        <w:rPr>
          <w:rFonts w:hint="eastAsia" w:ascii="宋体" w:hAnsi="宋体" w:eastAsia="宋体" w:cs="Times New Roman"/>
          <w:bCs/>
          <w:color w:val="auto"/>
          <w:sz w:val="24"/>
          <w:highlight w:val="none"/>
        </w:rPr>
        <w:t>8</w:t>
      </w:r>
      <w:r>
        <w:rPr>
          <w:rFonts w:ascii="宋体" w:hAnsi="宋体" w:eastAsia="宋体" w:cs="Times New Roman"/>
          <w:bCs/>
          <w:color w:val="auto"/>
          <w:sz w:val="24"/>
          <w:highlight w:val="none"/>
        </w:rPr>
        <w:t xml:space="preserve">.2 </w:t>
      </w:r>
      <w:r>
        <w:rPr>
          <w:rFonts w:hint="eastAsia" w:ascii="宋体" w:hAnsi="宋体" w:eastAsia="宋体" w:cs="Times New Roman"/>
          <w:bCs/>
          <w:color w:val="auto"/>
          <w:sz w:val="24"/>
          <w:highlight w:val="none"/>
        </w:rPr>
        <w:t>未按要求加密的投标文件，</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交易平台</w:t>
      </w:r>
      <w:r>
        <w:rPr>
          <w:rFonts w:hint="eastAsia" w:ascii="宋体" w:hAnsi="宋体" w:eastAsia="宋体" w:cs="Times New Roman"/>
          <w:bCs/>
          <w:color w:val="auto"/>
          <w:sz w:val="24"/>
          <w:highlight w:val="none"/>
        </w:rPr>
        <w:t>将予以拒收。</w:t>
      </w:r>
    </w:p>
    <w:p w14:paraId="792568C6">
      <w:pPr>
        <w:spacing w:line="360" w:lineRule="auto"/>
        <w:ind w:firstLine="482" w:firstLineChars="200"/>
        <w:rPr>
          <w:rFonts w:ascii="宋体" w:hAnsi="宋体" w:eastAsia="宋体" w:cs="Times New Roman"/>
          <w:b/>
          <w:bCs/>
          <w:color w:val="auto"/>
          <w:sz w:val="24"/>
          <w:highlight w:val="none"/>
        </w:rPr>
      </w:pPr>
      <w:r>
        <w:rPr>
          <w:rFonts w:ascii="宋体" w:hAnsi="宋体" w:eastAsia="宋体" w:cs="Times New Roman"/>
          <w:b/>
          <w:bCs/>
          <w:color w:val="auto"/>
          <w:sz w:val="24"/>
          <w:highlight w:val="none"/>
        </w:rPr>
        <w:t>19</w:t>
      </w:r>
      <w:r>
        <w:rPr>
          <w:rFonts w:hint="eastAsia" w:ascii="宋体" w:hAnsi="宋体" w:eastAsia="宋体" w:cs="Times New Roman"/>
          <w:b/>
          <w:bCs/>
          <w:color w:val="auto"/>
          <w:sz w:val="24"/>
          <w:highlight w:val="none"/>
        </w:rPr>
        <w:t>．投标文件的递交和接收</w:t>
      </w:r>
    </w:p>
    <w:p w14:paraId="14B01C1A">
      <w:pPr>
        <w:spacing w:line="360" w:lineRule="auto"/>
        <w:ind w:firstLine="480" w:firstLineChars="200"/>
        <w:rPr>
          <w:rFonts w:ascii="宋体" w:hAnsi="宋体" w:eastAsia="宋体" w:cs="Times New Roman"/>
          <w:bCs/>
          <w:color w:val="auto"/>
          <w:sz w:val="24"/>
          <w:highlight w:val="none"/>
        </w:rPr>
      </w:pPr>
      <w:r>
        <w:rPr>
          <w:rFonts w:ascii="宋体" w:hAnsi="宋体" w:eastAsia="宋体" w:cs="Times New Roman"/>
          <w:bCs/>
          <w:color w:val="auto"/>
          <w:sz w:val="24"/>
          <w:highlight w:val="none"/>
        </w:rPr>
        <w:t>1</w:t>
      </w:r>
      <w:r>
        <w:rPr>
          <w:rFonts w:hint="eastAsia" w:ascii="宋体" w:hAnsi="宋体" w:eastAsia="宋体" w:cs="Times New Roman"/>
          <w:bCs/>
          <w:color w:val="auto"/>
          <w:sz w:val="24"/>
          <w:highlight w:val="none"/>
        </w:rPr>
        <w:t>9</w:t>
      </w:r>
      <w:r>
        <w:rPr>
          <w:rFonts w:ascii="宋体" w:hAnsi="宋体" w:eastAsia="宋体" w:cs="Times New Roman"/>
          <w:bCs/>
          <w:color w:val="auto"/>
          <w:sz w:val="24"/>
          <w:highlight w:val="none"/>
        </w:rPr>
        <w:t>.</w:t>
      </w:r>
      <w:r>
        <w:rPr>
          <w:rFonts w:hint="eastAsia" w:ascii="宋体" w:hAnsi="宋体" w:eastAsia="宋体" w:cs="Times New Roman"/>
          <w:bCs/>
          <w:color w:val="auto"/>
          <w:sz w:val="24"/>
          <w:highlight w:val="none"/>
        </w:rPr>
        <w:t>1投标人通过</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交易平台</w:t>
      </w:r>
      <w:r>
        <w:rPr>
          <w:rFonts w:hint="eastAsia" w:ascii="宋体" w:hAnsi="宋体" w:eastAsia="宋体" w:cs="Times New Roman"/>
          <w:color w:val="auto"/>
          <w:sz w:val="24"/>
          <w:highlight w:val="none"/>
        </w:rPr>
        <w:t>递交电子投标文件。</w:t>
      </w:r>
    </w:p>
    <w:p w14:paraId="69F12248">
      <w:pPr>
        <w:spacing w:line="360" w:lineRule="auto"/>
        <w:ind w:firstLine="480" w:firstLineChars="200"/>
        <w:rPr>
          <w:rFonts w:ascii="宋体" w:hAnsi="宋体" w:eastAsia="宋体" w:cs="Times New Roman"/>
          <w:bCs/>
          <w:color w:val="auto"/>
          <w:sz w:val="24"/>
          <w:highlight w:val="none"/>
        </w:rPr>
      </w:pPr>
      <w:r>
        <w:rPr>
          <w:rFonts w:ascii="宋体" w:hAnsi="宋体" w:eastAsia="宋体" w:cs="Times New Roman"/>
          <w:bCs/>
          <w:color w:val="auto"/>
          <w:sz w:val="24"/>
          <w:highlight w:val="none"/>
        </w:rPr>
        <w:t>1</w:t>
      </w:r>
      <w:r>
        <w:rPr>
          <w:rFonts w:hint="eastAsia" w:ascii="宋体" w:hAnsi="宋体" w:eastAsia="宋体" w:cs="Times New Roman"/>
          <w:bCs/>
          <w:color w:val="auto"/>
          <w:sz w:val="24"/>
          <w:highlight w:val="none"/>
        </w:rPr>
        <w:t>9</w:t>
      </w:r>
      <w:r>
        <w:rPr>
          <w:rFonts w:ascii="宋体" w:hAnsi="宋体" w:eastAsia="宋体" w:cs="Times New Roman"/>
          <w:bCs/>
          <w:color w:val="auto"/>
          <w:sz w:val="24"/>
          <w:highlight w:val="none"/>
        </w:rPr>
        <w:t>.</w:t>
      </w:r>
      <w:r>
        <w:rPr>
          <w:rFonts w:hint="eastAsia" w:ascii="宋体" w:hAnsi="宋体" w:eastAsia="宋体" w:cs="Times New Roman"/>
          <w:bCs/>
          <w:color w:val="auto"/>
          <w:sz w:val="24"/>
          <w:highlight w:val="none"/>
        </w:rPr>
        <w:t>2投标人完成电子</w:t>
      </w:r>
      <w:r>
        <w:rPr>
          <w:rFonts w:hint="eastAsia" w:ascii="宋体" w:hAnsi="宋体" w:eastAsia="宋体" w:cs="Times New Roman"/>
          <w:color w:val="auto"/>
          <w:sz w:val="24"/>
          <w:highlight w:val="none"/>
        </w:rPr>
        <w:t>投标文件</w:t>
      </w:r>
      <w:r>
        <w:rPr>
          <w:rFonts w:hint="eastAsia" w:ascii="宋体" w:hAnsi="宋体" w:eastAsia="宋体" w:cs="Times New Roman"/>
          <w:bCs/>
          <w:color w:val="auto"/>
          <w:sz w:val="24"/>
          <w:highlight w:val="none"/>
        </w:rPr>
        <w:t>上传后，</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交易平台</w:t>
      </w:r>
      <w:r>
        <w:rPr>
          <w:rFonts w:hint="eastAsia" w:ascii="宋体" w:hAnsi="宋体" w:eastAsia="宋体" w:cs="Times New Roman"/>
          <w:color w:val="auto"/>
          <w:sz w:val="24"/>
          <w:highlight w:val="none"/>
        </w:rPr>
        <w:t>即时向投标人发出递交回执通知。递交时间以递交回执通知载明的传输完成时间为准。</w:t>
      </w:r>
    </w:p>
    <w:p w14:paraId="2B9D8611">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bCs/>
          <w:color w:val="auto"/>
          <w:sz w:val="24"/>
          <w:highlight w:val="none"/>
        </w:rPr>
        <w:t>1</w:t>
      </w:r>
      <w:r>
        <w:rPr>
          <w:rFonts w:hint="eastAsia" w:ascii="宋体" w:hAnsi="宋体" w:eastAsia="宋体" w:cs="Times New Roman"/>
          <w:bCs/>
          <w:color w:val="auto"/>
          <w:sz w:val="24"/>
          <w:highlight w:val="none"/>
        </w:rPr>
        <w:t>9</w:t>
      </w:r>
      <w:r>
        <w:rPr>
          <w:rFonts w:ascii="宋体" w:hAnsi="宋体" w:eastAsia="宋体" w:cs="Times New Roman"/>
          <w:bCs/>
          <w:color w:val="auto"/>
          <w:sz w:val="24"/>
          <w:highlight w:val="none"/>
        </w:rPr>
        <w:t>.</w:t>
      </w:r>
      <w:r>
        <w:rPr>
          <w:rFonts w:hint="eastAsia" w:ascii="宋体" w:hAnsi="宋体" w:eastAsia="宋体" w:cs="Times New Roman"/>
          <w:bCs/>
          <w:color w:val="auto"/>
          <w:sz w:val="24"/>
          <w:highlight w:val="none"/>
        </w:rPr>
        <w:t>3</w:t>
      </w:r>
      <w:r>
        <w:rPr>
          <w:rFonts w:hint="eastAsia" w:ascii="宋体" w:hAnsi="宋体" w:eastAsia="宋体" w:cs="Times New Roman"/>
          <w:bCs/>
          <w:color w:val="auto"/>
          <w:sz w:val="24"/>
          <w:szCs w:val="24"/>
          <w:highlight w:val="none"/>
        </w:rPr>
        <w:t>逾期送达的</w:t>
      </w:r>
      <w:r>
        <w:rPr>
          <w:rFonts w:hint="eastAsia" w:ascii="宋体" w:hAnsi="宋体" w:eastAsia="宋体" w:cs="Times New Roman"/>
          <w:bCs/>
          <w:color w:val="auto"/>
          <w:sz w:val="24"/>
          <w:highlight w:val="none"/>
        </w:rPr>
        <w:t>电子投标文件，</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交易平台</w:t>
      </w:r>
      <w:r>
        <w:rPr>
          <w:rFonts w:hint="eastAsia" w:ascii="宋体" w:hAnsi="宋体" w:eastAsia="宋体" w:cs="Times New Roman"/>
          <w:color w:val="auto"/>
          <w:sz w:val="24"/>
          <w:highlight w:val="none"/>
        </w:rPr>
        <w:t>将予以拒收。</w:t>
      </w:r>
    </w:p>
    <w:p w14:paraId="7DDE946B">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19.</w:t>
      </w:r>
      <w:r>
        <w:rPr>
          <w:rFonts w:hint="eastAsia" w:ascii="宋体" w:hAnsi="宋体" w:eastAsia="宋体" w:cs="Times New Roman"/>
          <w:color w:val="auto"/>
          <w:sz w:val="24"/>
          <w:highlight w:val="none"/>
        </w:rPr>
        <w:t>4</w:t>
      </w:r>
      <w:r>
        <w:rPr>
          <w:rFonts w:ascii="宋体" w:hAnsi="宋体" w:eastAsia="宋体" w:cs="Times New Roman"/>
          <w:color w:val="auto"/>
          <w:sz w:val="24"/>
          <w:highlight w:val="none"/>
        </w:rPr>
        <w:t xml:space="preserve"> </w:t>
      </w:r>
      <w:r>
        <w:rPr>
          <w:rFonts w:hint="eastAsia" w:ascii="宋体" w:hAnsi="宋体" w:eastAsia="宋体" w:cs="Times New Roman"/>
          <w:color w:val="auto"/>
          <w:sz w:val="24"/>
          <w:szCs w:val="24"/>
          <w:highlight w:val="none"/>
        </w:rPr>
        <w:t>投标截止前，招标人拒绝接收符合条件的投标文件，投标人可向招标投标监督机构投诉。</w:t>
      </w:r>
    </w:p>
    <w:p w14:paraId="1A28CFCA">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19.</w:t>
      </w:r>
      <w:r>
        <w:rPr>
          <w:rFonts w:hint="eastAsia" w:ascii="宋体" w:hAnsi="宋体" w:eastAsia="宋体" w:cs="Times New Roman"/>
          <w:color w:val="auto"/>
          <w:sz w:val="24"/>
          <w:highlight w:val="none"/>
        </w:rPr>
        <w:t>5如技术标和经济标先后分别开启，</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交易平台</w:t>
      </w:r>
      <w:r>
        <w:rPr>
          <w:rFonts w:hint="eastAsia" w:ascii="宋体" w:hAnsi="宋体" w:eastAsia="宋体" w:cs="Times New Roman"/>
          <w:color w:val="auto"/>
          <w:sz w:val="24"/>
          <w:highlight w:val="none"/>
        </w:rPr>
        <w:t>将按招标文件规定的时间分别开启技术标和经济标。</w:t>
      </w:r>
    </w:p>
    <w:p w14:paraId="4725DE90">
      <w:pPr>
        <w:spacing w:line="360" w:lineRule="auto"/>
        <w:ind w:firstLine="482" w:firstLineChars="200"/>
        <w:rPr>
          <w:rFonts w:ascii="宋体" w:hAnsi="宋体" w:eastAsia="宋体" w:cs="Times New Roman"/>
          <w:b/>
          <w:bCs/>
          <w:color w:val="auto"/>
          <w:sz w:val="24"/>
          <w:highlight w:val="none"/>
        </w:rPr>
      </w:pPr>
      <w:r>
        <w:rPr>
          <w:rFonts w:ascii="宋体" w:hAnsi="宋体" w:eastAsia="宋体" w:cs="Times New Roman"/>
          <w:b/>
          <w:bCs/>
          <w:color w:val="auto"/>
          <w:sz w:val="24"/>
          <w:highlight w:val="none"/>
        </w:rPr>
        <w:t>20</w:t>
      </w:r>
      <w:r>
        <w:rPr>
          <w:rFonts w:hint="eastAsia" w:ascii="宋体" w:hAnsi="宋体" w:eastAsia="宋体" w:cs="Times New Roman"/>
          <w:b/>
          <w:bCs/>
          <w:color w:val="auto"/>
          <w:sz w:val="24"/>
          <w:highlight w:val="none"/>
        </w:rPr>
        <w:t>．投标文件提交的截止时间</w:t>
      </w:r>
    </w:p>
    <w:p w14:paraId="4813A7E6">
      <w:pPr>
        <w:spacing w:line="360" w:lineRule="auto"/>
        <w:ind w:firstLine="480" w:firstLineChars="200"/>
        <w:rPr>
          <w:rFonts w:ascii="宋体" w:hAnsi="宋体" w:eastAsia="宋体" w:cs="Times New Roman"/>
          <w:b/>
          <w:bCs/>
          <w:color w:val="auto"/>
          <w:sz w:val="24"/>
          <w:highlight w:val="none"/>
        </w:rPr>
      </w:pPr>
      <w:r>
        <w:rPr>
          <w:rFonts w:ascii="宋体" w:hAnsi="宋体" w:eastAsia="宋体" w:cs="Times New Roman"/>
          <w:color w:val="auto"/>
          <w:sz w:val="24"/>
          <w:highlight w:val="none"/>
        </w:rPr>
        <w:t>20.1</w:t>
      </w:r>
      <w:r>
        <w:rPr>
          <w:rFonts w:hint="eastAsia" w:ascii="宋体" w:hAnsi="宋体" w:eastAsia="宋体" w:cs="Times New Roman"/>
          <w:color w:val="auto"/>
          <w:sz w:val="24"/>
          <w:highlight w:val="none"/>
        </w:rPr>
        <w:t>投标人应在投标须知前附表第17项所述的时间前提交投标文件。</w:t>
      </w:r>
    </w:p>
    <w:p w14:paraId="0E969104">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20.2</w:t>
      </w:r>
      <w:r>
        <w:rPr>
          <w:rFonts w:hint="eastAsia" w:ascii="宋体" w:hAnsi="宋体" w:eastAsia="宋体" w:cs="Times New Roman"/>
          <w:color w:val="auto"/>
          <w:sz w:val="24"/>
          <w:highlight w:val="none"/>
        </w:rPr>
        <w:t>招标人可按本须知第</w:t>
      </w:r>
      <w:r>
        <w:rPr>
          <w:rFonts w:ascii="宋体" w:hAnsi="宋体" w:eastAsia="宋体" w:cs="Times New Roman"/>
          <w:color w:val="auto"/>
          <w:sz w:val="24"/>
          <w:highlight w:val="none"/>
        </w:rPr>
        <w:t>9</w:t>
      </w:r>
      <w:r>
        <w:rPr>
          <w:rFonts w:hint="eastAsia" w:ascii="宋体" w:hAnsi="宋体" w:eastAsia="宋体" w:cs="Times New Roman"/>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14:paraId="1CCA4044">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20.3 </w:t>
      </w:r>
      <w:r>
        <w:rPr>
          <w:rFonts w:hint="eastAsia" w:ascii="宋体" w:hAnsi="宋体" w:eastAsia="宋体" w:cs="Times New Roman"/>
          <w:color w:val="auto"/>
          <w:sz w:val="24"/>
          <w:highlight w:val="none"/>
        </w:rPr>
        <w:t>到投标截止时间止，招标人收到的投标文件少于3家的，招标人将重新组织招标</w:t>
      </w:r>
      <w:r>
        <w:rPr>
          <w:rFonts w:hint="eastAsia" w:ascii="宋体" w:hAnsi="宋体" w:eastAsia="宋体" w:cs="Times New Roman"/>
          <w:color w:val="auto"/>
          <w:sz w:val="24"/>
          <w:szCs w:val="24"/>
          <w:highlight w:val="none"/>
        </w:rPr>
        <w:t>（当</w:t>
      </w:r>
      <w:r>
        <w:rPr>
          <w:rFonts w:ascii="宋体" w:hAnsi="宋体" w:eastAsia="宋体" w:cs="Times New Roman"/>
          <w:color w:val="auto"/>
          <w:sz w:val="24"/>
          <w:szCs w:val="24"/>
          <w:highlight w:val="none"/>
        </w:rPr>
        <w:t>N</w:t>
      </w:r>
      <w:r>
        <w:rPr>
          <w:rFonts w:hint="eastAsia" w:ascii="宋体" w:hAnsi="宋体" w:eastAsia="宋体" w:cs="Times New Roman"/>
          <w:color w:val="auto"/>
          <w:sz w:val="24"/>
          <w:szCs w:val="24"/>
          <w:highlight w:val="none"/>
        </w:rPr>
        <w:t>个标段同时招标且不允许兼中时，若有效投标人不足</w:t>
      </w:r>
      <w:r>
        <w:rPr>
          <w:rFonts w:ascii="宋体" w:hAnsi="宋体" w:eastAsia="宋体" w:cs="Times New Roman"/>
          <w:color w:val="auto"/>
          <w:sz w:val="24"/>
          <w:szCs w:val="24"/>
          <w:highlight w:val="none"/>
        </w:rPr>
        <w:t>N+</w:t>
      </w:r>
      <w:r>
        <w:rPr>
          <w:rFonts w:hint="eastAsia" w:ascii="宋体" w:hAnsi="宋体" w:eastAsia="宋体" w:cs="Times New Roman"/>
          <w:color w:val="auto"/>
          <w:sz w:val="24"/>
          <w:szCs w:val="24"/>
          <w:highlight w:val="none"/>
        </w:rPr>
        <w:t>2家，则重新组织招标）</w:t>
      </w:r>
      <w:r>
        <w:rPr>
          <w:rFonts w:hint="eastAsia" w:ascii="宋体" w:hAnsi="宋体" w:eastAsia="宋体" w:cs="Times New Roman"/>
          <w:color w:val="auto"/>
          <w:sz w:val="24"/>
          <w:highlight w:val="none"/>
        </w:rPr>
        <w:t>。</w:t>
      </w:r>
    </w:p>
    <w:p w14:paraId="626C1CF9">
      <w:pPr>
        <w:spacing w:line="360" w:lineRule="auto"/>
        <w:ind w:firstLine="482" w:firstLineChars="200"/>
        <w:rPr>
          <w:rFonts w:ascii="宋体" w:hAnsi="宋体" w:eastAsia="宋体" w:cs="Times New Roman"/>
          <w:b/>
          <w:bCs/>
          <w:color w:val="auto"/>
          <w:sz w:val="24"/>
          <w:highlight w:val="none"/>
        </w:rPr>
      </w:pPr>
      <w:r>
        <w:rPr>
          <w:rFonts w:ascii="宋体" w:hAnsi="宋体" w:eastAsia="宋体" w:cs="Times New Roman"/>
          <w:b/>
          <w:bCs/>
          <w:color w:val="auto"/>
          <w:sz w:val="24"/>
          <w:highlight w:val="none"/>
        </w:rPr>
        <w:t>21</w:t>
      </w:r>
      <w:r>
        <w:rPr>
          <w:rFonts w:hint="eastAsia" w:ascii="宋体" w:hAnsi="宋体" w:eastAsia="宋体" w:cs="Times New Roman"/>
          <w:b/>
          <w:bCs/>
          <w:color w:val="auto"/>
          <w:sz w:val="24"/>
          <w:highlight w:val="none"/>
        </w:rPr>
        <w:t>．迟交的投标文件</w:t>
      </w:r>
    </w:p>
    <w:p w14:paraId="5E364063">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21.1 </w:t>
      </w:r>
      <w:r>
        <w:rPr>
          <w:rFonts w:hint="eastAsia" w:ascii="宋体" w:hAnsi="宋体" w:eastAsia="宋体" w:cs="Times New Roman"/>
          <w:color w:val="auto"/>
          <w:sz w:val="24"/>
          <w:highlight w:val="none"/>
        </w:rPr>
        <w:t>本须知前附表第17项规定的投标截止时间</w:t>
      </w:r>
      <w:r>
        <w:rPr>
          <w:rFonts w:hint="eastAsia" w:ascii="宋体" w:hAnsi="宋体" w:eastAsia="宋体" w:cs="Times New Roman"/>
          <w:bCs/>
          <w:color w:val="auto"/>
          <w:sz w:val="24"/>
          <w:szCs w:val="24"/>
          <w:highlight w:val="none"/>
        </w:rPr>
        <w:t>后送达的</w:t>
      </w:r>
      <w:r>
        <w:rPr>
          <w:rFonts w:hint="eastAsia" w:ascii="宋体" w:hAnsi="宋体" w:eastAsia="宋体" w:cs="Times New Roman"/>
          <w:bCs/>
          <w:color w:val="auto"/>
          <w:sz w:val="24"/>
          <w:highlight w:val="none"/>
        </w:rPr>
        <w:t>电子投标文件，</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交易平台</w:t>
      </w:r>
      <w:r>
        <w:rPr>
          <w:rFonts w:hint="eastAsia" w:ascii="宋体" w:hAnsi="宋体" w:eastAsia="宋体" w:cs="Times New Roman"/>
          <w:color w:val="auto"/>
          <w:sz w:val="24"/>
          <w:highlight w:val="none"/>
        </w:rPr>
        <w:t>将予以拒收。</w:t>
      </w:r>
    </w:p>
    <w:p w14:paraId="18DDCB26">
      <w:pPr>
        <w:spacing w:line="360" w:lineRule="auto"/>
        <w:ind w:firstLine="482" w:firstLineChars="200"/>
        <w:rPr>
          <w:rFonts w:ascii="宋体" w:hAnsi="宋体" w:eastAsia="宋体" w:cs="Times New Roman"/>
          <w:b/>
          <w:bCs/>
          <w:color w:val="auto"/>
          <w:sz w:val="24"/>
          <w:highlight w:val="none"/>
        </w:rPr>
      </w:pPr>
      <w:r>
        <w:rPr>
          <w:rFonts w:ascii="宋体" w:hAnsi="宋体" w:eastAsia="宋体" w:cs="Times New Roman"/>
          <w:b/>
          <w:bCs/>
          <w:color w:val="auto"/>
          <w:sz w:val="24"/>
          <w:highlight w:val="none"/>
        </w:rPr>
        <w:t>22</w:t>
      </w:r>
      <w:r>
        <w:rPr>
          <w:rFonts w:hint="eastAsia" w:ascii="宋体" w:hAnsi="宋体" w:eastAsia="宋体" w:cs="Times New Roman"/>
          <w:b/>
          <w:bCs/>
          <w:color w:val="auto"/>
          <w:sz w:val="24"/>
          <w:highlight w:val="none"/>
        </w:rPr>
        <w:t>．投标文件的修改与撤回</w:t>
      </w:r>
    </w:p>
    <w:p w14:paraId="08BBF2D6">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22.1</w:t>
      </w:r>
      <w:r>
        <w:rPr>
          <w:rFonts w:hint="eastAsia" w:ascii="宋体" w:hAnsi="宋体" w:eastAsia="宋体" w:cs="Times New Roman"/>
          <w:color w:val="auto"/>
          <w:sz w:val="24"/>
          <w:highlight w:val="none"/>
        </w:rPr>
        <w:t>在规定的投标截止时间前，投标人可以修改或撤回已递交的投标文件，但应以书面形式通知招标人。</w:t>
      </w:r>
    </w:p>
    <w:p w14:paraId="18E18223">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22.2投标人修改或撤回已递交</w:t>
      </w:r>
      <w:r>
        <w:rPr>
          <w:rFonts w:hint="eastAsia" w:ascii="宋体" w:hAnsi="宋体" w:eastAsia="宋体" w:cs="Times New Roman"/>
          <w:color w:val="auto"/>
          <w:sz w:val="24"/>
          <w:szCs w:val="24"/>
          <w:highlight w:val="none"/>
        </w:rPr>
        <w:t>的</w:t>
      </w:r>
      <w:r>
        <w:rPr>
          <w:rFonts w:ascii="宋体" w:hAnsi="宋体" w:eastAsia="宋体" w:cs="Times New Roman"/>
          <w:color w:val="auto"/>
          <w:sz w:val="24"/>
          <w:szCs w:val="24"/>
          <w:highlight w:val="none"/>
        </w:rPr>
        <w:t>投标文件</w:t>
      </w:r>
      <w:r>
        <w:rPr>
          <w:rFonts w:hint="eastAsia" w:ascii="宋体" w:hAnsi="宋体" w:eastAsia="宋体" w:cs="Times New Roman"/>
          <w:color w:val="auto"/>
          <w:sz w:val="24"/>
          <w:szCs w:val="24"/>
          <w:highlight w:val="none"/>
        </w:rPr>
        <w:t>，需在</w:t>
      </w:r>
      <w:r>
        <w:rPr>
          <w:rFonts w:hint="eastAsia" w:ascii="宋体" w:hAnsi="宋体" w:eastAsia="宋体" w:cs="Times New Roman"/>
          <w:color w:val="auto"/>
          <w:sz w:val="24"/>
          <w:highlight w:val="none"/>
        </w:rPr>
        <w:t>交易平台发出修改或撤回</w:t>
      </w:r>
      <w:r>
        <w:rPr>
          <w:rFonts w:ascii="宋体" w:hAnsi="宋体" w:eastAsia="宋体" w:cs="Times New Roman"/>
          <w:color w:val="auto"/>
          <w:sz w:val="24"/>
          <w:szCs w:val="24"/>
          <w:highlight w:val="none"/>
        </w:rPr>
        <w:t>通知，</w:t>
      </w:r>
      <w:r>
        <w:rPr>
          <w:rFonts w:hint="eastAsia" w:ascii="宋体" w:hAnsi="宋体" w:eastAsia="宋体" w:cs="Times New Roman"/>
          <w:color w:val="auto"/>
          <w:sz w:val="24"/>
          <w:szCs w:val="24"/>
          <w:highlight w:val="none"/>
        </w:rPr>
        <w:t>并按</w:t>
      </w:r>
      <w:r>
        <w:rPr>
          <w:rFonts w:ascii="宋体" w:hAnsi="宋体" w:eastAsia="宋体" w:cs="Times New Roman"/>
          <w:color w:val="auto"/>
          <w:sz w:val="24"/>
          <w:szCs w:val="24"/>
          <w:highlight w:val="none"/>
        </w:rPr>
        <w:t>要求加盖电子印章。</w:t>
      </w:r>
      <w:r>
        <w:rPr>
          <w:rFonts w:ascii="宋体" w:hAnsi="宋体" w:eastAsia="宋体" w:cs="Times New Roman"/>
          <w:bCs/>
          <w:iCs/>
          <w:color w:val="auto"/>
          <w:sz w:val="24"/>
          <w:szCs w:val="24"/>
          <w:highlight w:val="none"/>
        </w:rPr>
        <w:t>电子招标投标交易平台收到通知后，</w:t>
      </w:r>
      <w:r>
        <w:rPr>
          <w:rFonts w:ascii="宋体" w:hAnsi="宋体" w:eastAsia="宋体" w:cs="Times New Roman"/>
          <w:color w:val="auto"/>
          <w:sz w:val="24"/>
          <w:szCs w:val="24"/>
          <w:highlight w:val="none"/>
        </w:rPr>
        <w:t>即时向投标人发出确认回执通知。</w:t>
      </w:r>
    </w:p>
    <w:p w14:paraId="1BB5BFA3">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22.3修改后再次递交的</w:t>
      </w:r>
      <w:r>
        <w:rPr>
          <w:rFonts w:hint="eastAsia" w:ascii="宋体" w:hAnsi="宋体" w:eastAsia="宋体" w:cs="Times New Roman"/>
          <w:bCs/>
          <w:iCs/>
          <w:color w:val="auto"/>
          <w:sz w:val="24"/>
          <w:szCs w:val="24"/>
          <w:highlight w:val="none"/>
        </w:rPr>
        <w:t>，按19点的规</w:t>
      </w:r>
      <w:r>
        <w:rPr>
          <w:rFonts w:hint="eastAsia" w:ascii="宋体" w:hAnsi="宋体" w:eastAsia="宋体" w:cs="Times New Roman"/>
          <w:color w:val="auto"/>
          <w:sz w:val="24"/>
          <w:szCs w:val="24"/>
          <w:highlight w:val="none"/>
        </w:rPr>
        <w:t>定执行。</w:t>
      </w:r>
    </w:p>
    <w:p w14:paraId="447AC6B5">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22.</w:t>
      </w:r>
      <w:r>
        <w:rPr>
          <w:rFonts w:hint="eastAsia" w:ascii="宋体" w:hAnsi="宋体" w:eastAsia="宋体" w:cs="Times New Roman"/>
          <w:color w:val="auto"/>
          <w:sz w:val="24"/>
          <w:highlight w:val="none"/>
        </w:rPr>
        <w:t>4</w:t>
      </w:r>
      <w:r>
        <w:rPr>
          <w:rFonts w:ascii="宋体" w:hAnsi="宋体" w:eastAsia="宋体" w:cs="Times New Roman"/>
          <w:color w:val="auto"/>
          <w:sz w:val="24"/>
          <w:highlight w:val="none"/>
        </w:rPr>
        <w:t xml:space="preserve"> </w:t>
      </w:r>
      <w:r>
        <w:rPr>
          <w:rFonts w:hint="eastAsia" w:ascii="宋体" w:hAnsi="宋体" w:eastAsia="宋体" w:cs="Times New Roman"/>
          <w:color w:val="auto"/>
          <w:sz w:val="24"/>
          <w:highlight w:val="none"/>
        </w:rPr>
        <w:t>在投标截止时间之后，投标人不得补充、修改和更换投标文件。</w:t>
      </w:r>
    </w:p>
    <w:p w14:paraId="77F8F126">
      <w:pPr>
        <w:widowControl/>
        <w:spacing w:before="156" w:after="156" w:line="360" w:lineRule="auto"/>
        <w:jc w:val="left"/>
        <w:outlineLvl w:val="2"/>
        <w:rPr>
          <w:rFonts w:ascii="宋体" w:hAnsi="宋体" w:eastAsia="宋体" w:cs="Times New Roman"/>
          <w:color w:val="auto"/>
          <w:kern w:val="0"/>
          <w:sz w:val="24"/>
          <w:szCs w:val="24"/>
          <w:highlight w:val="none"/>
        </w:rPr>
      </w:pPr>
      <w:bookmarkStart w:id="14" w:name="_Toc202907284"/>
      <w:r>
        <w:rPr>
          <w:rFonts w:hint="eastAsia" w:ascii="宋体" w:hAnsi="宋体" w:eastAsia="宋体" w:cs="Times New Roman"/>
          <w:color w:val="auto"/>
          <w:kern w:val="0"/>
          <w:sz w:val="24"/>
          <w:szCs w:val="24"/>
          <w:highlight w:val="none"/>
        </w:rPr>
        <w:t>（五）开标、评标、定标及合同签定</w:t>
      </w:r>
      <w:bookmarkEnd w:id="14"/>
    </w:p>
    <w:p w14:paraId="78B6EAD0">
      <w:pPr>
        <w:spacing w:line="360" w:lineRule="auto"/>
        <w:ind w:firstLine="482" w:firstLineChars="200"/>
        <w:rPr>
          <w:rFonts w:ascii="宋体" w:hAnsi="宋体" w:eastAsia="宋体" w:cs="Times New Roman"/>
          <w:b/>
          <w:bCs/>
          <w:color w:val="auto"/>
          <w:sz w:val="24"/>
          <w:highlight w:val="none"/>
        </w:rPr>
      </w:pPr>
      <w:r>
        <w:rPr>
          <w:rFonts w:ascii="宋体" w:hAnsi="宋体" w:eastAsia="宋体" w:cs="Times New Roman"/>
          <w:b/>
          <w:bCs/>
          <w:color w:val="auto"/>
          <w:sz w:val="24"/>
          <w:highlight w:val="none"/>
        </w:rPr>
        <w:t>23</w:t>
      </w:r>
      <w:r>
        <w:rPr>
          <w:rFonts w:hint="eastAsia" w:ascii="宋体" w:hAnsi="宋体" w:eastAsia="宋体" w:cs="Times New Roman"/>
          <w:b/>
          <w:bCs/>
          <w:color w:val="auto"/>
          <w:sz w:val="24"/>
          <w:highlight w:val="none"/>
        </w:rPr>
        <w:t>、开标。</w:t>
      </w:r>
    </w:p>
    <w:p w14:paraId="19EA7955">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详见第二章开标、评标及定标办法</w:t>
      </w:r>
    </w:p>
    <w:p w14:paraId="11EFC90E">
      <w:pPr>
        <w:spacing w:line="360" w:lineRule="auto"/>
        <w:ind w:firstLine="482" w:firstLineChars="200"/>
        <w:rPr>
          <w:rFonts w:ascii="宋体" w:hAnsi="宋体" w:eastAsia="宋体" w:cs="Times New Roman"/>
          <w:b/>
          <w:bCs/>
          <w:color w:val="auto"/>
          <w:sz w:val="24"/>
          <w:highlight w:val="none"/>
        </w:rPr>
      </w:pPr>
      <w:r>
        <w:rPr>
          <w:rFonts w:ascii="宋体" w:hAnsi="宋体" w:eastAsia="宋体" w:cs="Times New Roman"/>
          <w:b/>
          <w:bCs/>
          <w:color w:val="auto"/>
          <w:sz w:val="24"/>
          <w:highlight w:val="none"/>
        </w:rPr>
        <w:t>24</w:t>
      </w:r>
      <w:r>
        <w:rPr>
          <w:rFonts w:hint="eastAsia" w:ascii="宋体" w:hAnsi="宋体" w:eastAsia="宋体" w:cs="Times New Roman"/>
          <w:b/>
          <w:bCs/>
          <w:color w:val="auto"/>
          <w:sz w:val="24"/>
          <w:highlight w:val="none"/>
        </w:rPr>
        <w:t>．评标过程的保密</w:t>
      </w:r>
    </w:p>
    <w:p w14:paraId="0110B7AE">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24.1 </w:t>
      </w:r>
      <w:r>
        <w:rPr>
          <w:rFonts w:hint="eastAsia" w:ascii="宋体" w:hAnsi="宋体" w:eastAsia="宋体" w:cs="Times New Roman"/>
          <w:color w:val="auto"/>
          <w:sz w:val="24"/>
          <w:highlight w:val="none"/>
        </w:rPr>
        <w:t>开标后，直至中标公示为止，凡属于对投标文件的审查、澄清、评价和比较有关的资料以及中标候选人的推荐情况，与评标有关的其他任何情况均严格保密。</w:t>
      </w:r>
    </w:p>
    <w:p w14:paraId="413285A6">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24.2 </w:t>
      </w:r>
      <w:r>
        <w:rPr>
          <w:rFonts w:hint="eastAsia" w:ascii="宋体" w:hAnsi="宋体" w:eastAsia="宋体" w:cs="Times New Roman"/>
          <w:color w:val="auto"/>
          <w:sz w:val="24"/>
          <w:highlight w:val="none"/>
        </w:rPr>
        <w:t>在投标文件的评审和比较、中标候选人推荐以及授予合同的过程中，投标人向招标人和评标委员会施加不公正影响的任何行为，都将会导致其投标被拒绝。</w:t>
      </w:r>
    </w:p>
    <w:p w14:paraId="459C164A">
      <w:pPr>
        <w:spacing w:line="360" w:lineRule="auto"/>
        <w:ind w:firstLine="482" w:firstLineChars="200"/>
        <w:rPr>
          <w:rFonts w:ascii="宋体" w:hAnsi="宋体" w:eastAsia="宋体" w:cs="Times New Roman"/>
          <w:b/>
          <w:bCs/>
          <w:color w:val="auto"/>
          <w:sz w:val="24"/>
          <w:highlight w:val="none"/>
        </w:rPr>
      </w:pPr>
      <w:r>
        <w:rPr>
          <w:rFonts w:ascii="宋体" w:hAnsi="宋体" w:eastAsia="宋体" w:cs="Times New Roman"/>
          <w:b/>
          <w:bCs/>
          <w:color w:val="auto"/>
          <w:sz w:val="24"/>
          <w:highlight w:val="none"/>
        </w:rPr>
        <w:t>25</w:t>
      </w:r>
      <w:r>
        <w:rPr>
          <w:rFonts w:hint="eastAsia" w:ascii="宋体" w:hAnsi="宋体" w:eastAsia="宋体" w:cs="Times New Roman"/>
          <w:b/>
          <w:bCs/>
          <w:color w:val="auto"/>
          <w:sz w:val="24"/>
          <w:highlight w:val="none"/>
        </w:rPr>
        <w:t>．投标文件的澄清，计算错误的修正</w:t>
      </w:r>
    </w:p>
    <w:p w14:paraId="50BB3F57">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详见招标文件第二章开标、评标及定标办法</w:t>
      </w:r>
    </w:p>
    <w:p w14:paraId="2BA7E74F">
      <w:pPr>
        <w:spacing w:line="360" w:lineRule="auto"/>
        <w:ind w:firstLine="482" w:firstLineChars="200"/>
        <w:rPr>
          <w:rFonts w:ascii="宋体" w:hAnsi="宋体" w:eastAsia="宋体" w:cs="Times New Roman"/>
          <w:b/>
          <w:bCs/>
          <w:color w:val="auto"/>
          <w:sz w:val="24"/>
          <w:highlight w:val="none"/>
        </w:rPr>
      </w:pPr>
      <w:r>
        <w:rPr>
          <w:rFonts w:ascii="宋体" w:hAnsi="宋体" w:eastAsia="宋体" w:cs="Times New Roman"/>
          <w:b/>
          <w:bCs/>
          <w:color w:val="auto"/>
          <w:sz w:val="24"/>
          <w:highlight w:val="none"/>
        </w:rPr>
        <w:t>26</w:t>
      </w:r>
      <w:r>
        <w:rPr>
          <w:rFonts w:hint="eastAsia" w:ascii="宋体" w:hAnsi="宋体" w:eastAsia="宋体" w:cs="Times New Roman"/>
          <w:b/>
          <w:bCs/>
          <w:color w:val="auto"/>
          <w:sz w:val="24"/>
          <w:highlight w:val="none"/>
        </w:rPr>
        <w:t>．投标文件的评审、比较和否决</w:t>
      </w:r>
    </w:p>
    <w:p w14:paraId="4C40620B">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color w:val="auto"/>
          <w:sz w:val="24"/>
          <w:highlight w:val="none"/>
        </w:rPr>
        <w:t>详见招标文件第二章开标、评标及定标办法。</w:t>
      </w:r>
    </w:p>
    <w:p w14:paraId="1AA17819">
      <w:pPr>
        <w:numPr>
          <w:ilvl w:val="0"/>
          <w:numId w:val="8"/>
        </w:numPr>
        <w:spacing w:line="360" w:lineRule="auto"/>
        <w:ind w:firstLine="482" w:firstLineChars="200"/>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定标</w:t>
      </w:r>
    </w:p>
    <w:p w14:paraId="39A96371">
      <w:pPr>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27.1按照投标人须知前附表的规定，由招标人或招标人授权的评标委员会依法确定中标人。</w:t>
      </w:r>
    </w:p>
    <w:p w14:paraId="2CE3FB3F">
      <w:pPr>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27.2采用评定分离方式确定中标人的，从其规定。</w:t>
      </w:r>
    </w:p>
    <w:p w14:paraId="41EBBE2B">
      <w:pPr>
        <w:rPr>
          <w:rFonts w:ascii="宋体" w:hAnsi="宋体" w:eastAsia="宋体" w:cs="Courier New"/>
          <w:color w:val="auto"/>
          <w:highlight w:val="none"/>
        </w:rPr>
      </w:pPr>
    </w:p>
    <w:p w14:paraId="6B9BF110">
      <w:pPr>
        <w:numPr>
          <w:ilvl w:val="0"/>
          <w:numId w:val="8"/>
        </w:numPr>
        <w:spacing w:line="360" w:lineRule="auto"/>
        <w:ind w:firstLine="482" w:firstLineChars="200"/>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中标通知书</w:t>
      </w:r>
    </w:p>
    <w:p w14:paraId="762B8394">
      <w:pPr>
        <w:spacing w:line="360" w:lineRule="auto"/>
        <w:ind w:firstLine="480" w:firstLineChars="200"/>
        <w:rPr>
          <w:rFonts w:ascii="宋体" w:hAnsi="宋体" w:eastAsia="宋体" w:cs="Times New Roman"/>
          <w:color w:val="auto"/>
          <w:highlight w:val="none"/>
        </w:rPr>
      </w:pPr>
      <w:bookmarkStart w:id="15" w:name="_Hlk202901608"/>
      <w:r>
        <w:rPr>
          <w:rFonts w:hint="eastAsia" w:ascii="宋体" w:hAnsi="宋体" w:eastAsia="宋体" w:cs="Times New Roman"/>
          <w:color w:val="auto"/>
          <w:sz w:val="24"/>
          <w:highlight w:val="none"/>
        </w:rPr>
        <w:t>28.1招标人将在</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答复线上提交的异议，具体按照电子招标投标交易平台相关指南进行操作。作出答复前，应当暂停招标投标活动。</w:t>
      </w:r>
      <w:r>
        <w:rPr>
          <w:rFonts w:hint="eastAsia" w:ascii="宋体" w:hAnsi="宋体" w:eastAsia="宋体" w:cs="Times New Roman"/>
          <w:color w:val="auto"/>
          <w:sz w:val="24"/>
          <w:highlight w:val="none"/>
          <w:u w:val="single"/>
        </w:rPr>
        <w:t>投标人提出异议时需在线提交书面的异议书（异议书应清晰表述异议事项、依据、线索、请求或主张、有效的联系方式等）并附法定代表人证明书、有效的授权委托书、被授权人的有效身份证明。</w:t>
      </w:r>
      <w:bookmarkEnd w:id="15"/>
    </w:p>
    <w:p w14:paraId="6A4161F8">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28</w:t>
      </w: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招标人应当自确定中标人后，向招标投标监管机构提交招标投标情况的书面报告。</w:t>
      </w:r>
    </w:p>
    <w:p w14:paraId="523439C5">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28</w:t>
      </w:r>
      <w:r>
        <w:rPr>
          <w:rFonts w:ascii="宋体" w:hAnsi="宋体" w:eastAsia="宋体" w:cs="Times New Roman"/>
          <w:color w:val="auto"/>
          <w:sz w:val="24"/>
          <w:highlight w:val="none"/>
        </w:rPr>
        <w:t>.3</w:t>
      </w:r>
      <w:r>
        <w:rPr>
          <w:rFonts w:hint="eastAsia" w:ascii="宋体" w:hAnsi="宋体" w:eastAsia="宋体" w:cs="Times New Roman"/>
          <w:color w:val="auto"/>
          <w:sz w:val="24"/>
          <w:highlight w:val="none"/>
        </w:rPr>
        <w:t>中标人必须在收到中标通知书后</w:t>
      </w:r>
      <w:r>
        <w:rPr>
          <w:rFonts w:ascii="宋体" w:hAnsi="宋体" w:eastAsia="宋体" w:cs="Times New Roman"/>
          <w:color w:val="auto"/>
          <w:sz w:val="24"/>
          <w:highlight w:val="none"/>
        </w:rPr>
        <w:t>24</w:t>
      </w:r>
      <w:r>
        <w:rPr>
          <w:rFonts w:hint="eastAsia" w:ascii="宋体" w:hAnsi="宋体" w:eastAsia="宋体" w:cs="Times New Roman"/>
          <w:color w:val="auto"/>
          <w:sz w:val="24"/>
          <w:highlight w:val="none"/>
        </w:rPr>
        <w:t>小时之内以书面形式回复招标人，确认收到。</w:t>
      </w:r>
    </w:p>
    <w:p w14:paraId="2548BFCC">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28.4在产生中标候选人后，招标人将中标候选人的投标文件商务部分文件的所有内容（包括人员、业绩、奖项等资料）在</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交易平台和广东省招标投标监管网公开。</w:t>
      </w:r>
    </w:p>
    <w:p w14:paraId="085057FD">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28.5（适用于轨道交通建设项目）如项目采用整体发包的形式开展施工总承包招标，且后续需分段办理监督手续，确定中标单位后，招标人在向中标单位发出的中标通知书中一并标注施工总承包项目经理和各段项目经理。</w:t>
      </w:r>
    </w:p>
    <w:p w14:paraId="3DC8BD0F">
      <w:pPr>
        <w:spacing w:line="360" w:lineRule="auto"/>
        <w:ind w:firstLine="482" w:firstLineChars="200"/>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29．合同协议书的签订</w:t>
      </w:r>
    </w:p>
    <w:p w14:paraId="2BDB6E13">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9</w:t>
      </w:r>
      <w:r>
        <w:rPr>
          <w:rFonts w:ascii="宋体" w:hAnsi="宋体" w:eastAsia="宋体" w:cs="Times New Roman"/>
          <w:color w:val="auto"/>
          <w:sz w:val="24"/>
          <w:highlight w:val="none"/>
        </w:rPr>
        <w:t xml:space="preserve">.1 </w:t>
      </w:r>
      <w:r>
        <w:rPr>
          <w:rFonts w:hint="eastAsia" w:ascii="宋体" w:hAnsi="宋体" w:eastAsia="宋体" w:cs="Times New Roman"/>
          <w:color w:val="auto"/>
          <w:sz w:val="24"/>
          <w:highlight w:val="none"/>
        </w:rPr>
        <w:t>招标人与中标人将于中标通知书发出之日起</w:t>
      </w:r>
      <w:r>
        <w:rPr>
          <w:rFonts w:ascii="宋体" w:hAnsi="宋体" w:eastAsia="宋体" w:cs="Times New Roman"/>
          <w:color w:val="auto"/>
          <w:sz w:val="24"/>
          <w:highlight w:val="none"/>
        </w:rPr>
        <w:t>30</w:t>
      </w:r>
      <w:r>
        <w:rPr>
          <w:rFonts w:hint="eastAsia" w:ascii="宋体" w:hAnsi="宋体" w:eastAsia="宋体" w:cs="Times New Roman"/>
          <w:color w:val="auto"/>
          <w:sz w:val="24"/>
          <w:highlight w:val="none"/>
        </w:rPr>
        <w:t>日内，按照招标文件和中标人的投标文件商定和签订合同，招标人和中标人不得再行订立背离合同实质性内容的其他协议。</w:t>
      </w:r>
    </w:p>
    <w:p w14:paraId="62C1B696">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9</w:t>
      </w: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中标通知书发出之日起</w:t>
      </w:r>
      <w:r>
        <w:rPr>
          <w:rFonts w:ascii="宋体" w:hAnsi="宋体" w:eastAsia="宋体" w:cs="Times New Roman"/>
          <w:color w:val="auto"/>
          <w:sz w:val="24"/>
          <w:highlight w:val="none"/>
        </w:rPr>
        <w:t>30</w:t>
      </w:r>
      <w:r>
        <w:rPr>
          <w:rFonts w:hint="eastAsia" w:ascii="宋体" w:hAnsi="宋体" w:eastAsia="宋体" w:cs="Times New Roman"/>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118EA6B">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9</w:t>
      </w:r>
      <w:r>
        <w:rPr>
          <w:rFonts w:ascii="宋体" w:hAnsi="宋体" w:eastAsia="宋体" w:cs="Times New Roman"/>
          <w:color w:val="auto"/>
          <w:sz w:val="24"/>
          <w:highlight w:val="none"/>
        </w:rPr>
        <w:t>.3</w:t>
      </w:r>
      <w:r>
        <w:rPr>
          <w:rFonts w:hint="eastAsia" w:ascii="宋体" w:hAnsi="宋体" w:eastAsia="宋体" w:cs="Times New Roman"/>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14:paraId="5570797D">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9</w:t>
      </w:r>
      <w:r>
        <w:rPr>
          <w:rFonts w:ascii="宋体" w:hAnsi="宋体" w:eastAsia="宋体" w:cs="Times New Roman"/>
          <w:color w:val="auto"/>
          <w:sz w:val="24"/>
          <w:highlight w:val="none"/>
        </w:rPr>
        <w:t>.4</w:t>
      </w:r>
      <w:r>
        <w:rPr>
          <w:rFonts w:hint="eastAsia" w:ascii="宋体" w:hAnsi="宋体" w:eastAsia="宋体" w:cs="Times New Roman"/>
          <w:color w:val="auto"/>
          <w:sz w:val="24"/>
          <w:highlight w:val="none"/>
        </w:rPr>
        <w:t>招标人支付工程款时，中标人应按规定开具发票并完税。</w:t>
      </w:r>
    </w:p>
    <w:p w14:paraId="08F92384">
      <w:pPr>
        <w:spacing w:line="360" w:lineRule="auto"/>
        <w:ind w:firstLine="482" w:firstLineChars="200"/>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30．履约担保</w:t>
      </w:r>
    </w:p>
    <w:p w14:paraId="0ACFDDA1">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30</w:t>
      </w:r>
      <w:r>
        <w:rPr>
          <w:rFonts w:ascii="宋体" w:hAnsi="宋体" w:eastAsia="宋体" w:cs="Times New Roman"/>
          <w:color w:val="auto"/>
          <w:sz w:val="24"/>
          <w:highlight w:val="none"/>
        </w:rPr>
        <w:t xml:space="preserve">.1 </w:t>
      </w:r>
      <w:r>
        <w:rPr>
          <w:rFonts w:hint="eastAsia" w:ascii="宋体" w:hAnsi="宋体" w:eastAsia="宋体" w:cs="Times New Roman"/>
          <w:color w:val="auto"/>
          <w:sz w:val="24"/>
          <w:highlight w:val="none"/>
        </w:rPr>
        <w:t>在收到中标通知书后的</w:t>
      </w:r>
      <w:r>
        <w:rPr>
          <w:rFonts w:ascii="宋体" w:hAnsi="宋体" w:eastAsia="宋体" w:cs="Times New Roman"/>
          <w:bCs/>
          <w:color w:val="auto"/>
          <w:sz w:val="24"/>
          <w:highlight w:val="none"/>
        </w:rPr>
        <w:t>15</w:t>
      </w:r>
      <w:r>
        <w:rPr>
          <w:rFonts w:hint="eastAsia" w:ascii="宋体" w:hAnsi="宋体" w:eastAsia="宋体" w:cs="Times New Roman"/>
          <w:bCs/>
          <w:color w:val="auto"/>
          <w:sz w:val="24"/>
          <w:highlight w:val="none"/>
        </w:rPr>
        <w:t>日内</w:t>
      </w:r>
      <w:r>
        <w:rPr>
          <w:rFonts w:hint="eastAsia" w:ascii="宋体" w:hAnsi="宋体" w:eastAsia="宋体" w:cs="Times New Roman"/>
          <w:color w:val="auto"/>
          <w:sz w:val="24"/>
          <w:highlight w:val="none"/>
        </w:rPr>
        <w:t>，中标人应按本须知前附表第</w:t>
      </w: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0项的规定向招标人提交履约担保。</w:t>
      </w:r>
    </w:p>
    <w:p w14:paraId="4A42B35D">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30</w:t>
      </w: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中标通知书发出之日起</w:t>
      </w:r>
      <w:r>
        <w:rPr>
          <w:rFonts w:ascii="宋体" w:hAnsi="宋体" w:eastAsia="宋体" w:cs="Times New Roman"/>
          <w:color w:val="auto"/>
          <w:sz w:val="24"/>
          <w:highlight w:val="none"/>
        </w:rPr>
        <w:t>15</w:t>
      </w:r>
      <w:r>
        <w:rPr>
          <w:rFonts w:hint="eastAsia" w:ascii="宋体" w:hAnsi="宋体" w:eastAsia="宋体" w:cs="Times New Roman"/>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9F7AEDF">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30.3中标候选人的经营、财务状况发生较大变化或存在违法行为，招标人认为可能影响其履约能力的，将在发出中标通知书前提请原评标委员会按照招标文件规定的标准和方法进行审查确认。</w:t>
      </w:r>
    </w:p>
    <w:p w14:paraId="586468AB">
      <w:pPr>
        <w:spacing w:line="360" w:lineRule="auto"/>
        <w:ind w:firstLine="482" w:firstLineChars="200"/>
        <w:rPr>
          <w:rFonts w:ascii="宋体" w:hAnsi="宋体" w:eastAsia="宋体" w:cs="Times New Roman"/>
          <w:b/>
          <w:bCs/>
          <w:color w:val="auto"/>
          <w:sz w:val="24"/>
          <w:highlight w:val="none"/>
        </w:rPr>
      </w:pPr>
      <w:r>
        <w:rPr>
          <w:rFonts w:ascii="宋体" w:hAnsi="宋体" w:eastAsia="宋体" w:cs="Times New Roman"/>
          <w:b/>
          <w:bCs/>
          <w:color w:val="auto"/>
          <w:sz w:val="24"/>
          <w:highlight w:val="none"/>
        </w:rPr>
        <w:t>3</w:t>
      </w:r>
      <w:r>
        <w:rPr>
          <w:rFonts w:hint="eastAsia" w:ascii="宋体" w:hAnsi="宋体" w:eastAsia="宋体" w:cs="Times New Roman"/>
          <w:b/>
          <w:bCs/>
          <w:color w:val="auto"/>
          <w:sz w:val="24"/>
          <w:highlight w:val="none"/>
        </w:rPr>
        <w:t>1．合同生效</w:t>
      </w:r>
    </w:p>
    <w:p w14:paraId="219987B2">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3</w:t>
      </w:r>
      <w:r>
        <w:rPr>
          <w:rFonts w:hint="eastAsia" w:ascii="宋体" w:hAnsi="宋体" w:eastAsia="宋体" w:cs="Times New Roman"/>
          <w:color w:val="auto"/>
          <w:sz w:val="24"/>
          <w:highlight w:val="none"/>
        </w:rPr>
        <w:t>1</w:t>
      </w:r>
      <w:r>
        <w:rPr>
          <w:rFonts w:ascii="宋体" w:hAnsi="宋体" w:eastAsia="宋体" w:cs="Times New Roman"/>
          <w:color w:val="auto"/>
          <w:sz w:val="24"/>
          <w:highlight w:val="none"/>
        </w:rPr>
        <w:t>.1</w:t>
      </w:r>
      <w:r>
        <w:rPr>
          <w:rFonts w:hint="eastAsia" w:ascii="宋体" w:hAnsi="宋体" w:eastAsia="宋体" w:cs="Times New Roman"/>
          <w:color w:val="auto"/>
          <w:sz w:val="24"/>
          <w:highlight w:val="none"/>
        </w:rPr>
        <w:t>在合同双方全权代表在合同协议书上签字，并分别加盖双方单位的公章后，合同正式生效。</w:t>
      </w:r>
    </w:p>
    <w:p w14:paraId="78421D7E">
      <w:pPr>
        <w:numPr>
          <w:ilvl w:val="0"/>
          <w:numId w:val="9"/>
        </w:numPr>
        <w:spacing w:line="360" w:lineRule="auto"/>
        <w:ind w:firstLine="482" w:firstLineChars="200"/>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专业分包</w:t>
      </w:r>
    </w:p>
    <w:p w14:paraId="4FEE25DE">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32.1投标人拟在中标后将中标项目的非主体、非关键性施工工作进行分包的，应符合投标须知前附表规定的分包内容、分包金额和资质要求等限制性条件，除投标人须知前附表规定的非主体、非关键性施工工作分包外，其他工作不得分包。</w:t>
      </w:r>
    </w:p>
    <w:p w14:paraId="43354AEC">
      <w:pPr>
        <w:spacing w:line="360" w:lineRule="auto"/>
        <w:rPr>
          <w:rFonts w:ascii="宋体" w:hAnsi="宋体" w:eastAsia="宋体" w:cs="Courier New"/>
          <w:color w:val="auto"/>
          <w:highlight w:val="none"/>
        </w:rPr>
      </w:pPr>
      <w:r>
        <w:rPr>
          <w:rFonts w:hint="eastAsia" w:ascii="宋体" w:hAnsi="宋体" w:eastAsia="宋体" w:cs="Times New Roman"/>
          <w:color w:val="auto"/>
          <w:sz w:val="24"/>
          <w:highlight w:val="none"/>
        </w:rPr>
        <w:t xml:space="preserve">    32.2中标人不得向他人转让中标项目，接受分包的人不得再次分包。中标人应当就分包项目向招标人负责，接受分包的人就分包项目承担连带责任。</w:t>
      </w:r>
    </w:p>
    <w:p w14:paraId="596D78A2">
      <w:pPr>
        <w:spacing w:line="360" w:lineRule="auto"/>
        <w:ind w:firstLine="482" w:firstLineChars="200"/>
        <w:rPr>
          <w:rFonts w:ascii="宋体" w:hAnsi="宋体" w:eastAsia="宋体" w:cs="Times New Roman"/>
          <w:b/>
          <w:bCs/>
          <w:color w:val="auto"/>
          <w:kern w:val="0"/>
          <w:sz w:val="24"/>
          <w:szCs w:val="20"/>
          <w:highlight w:val="none"/>
        </w:rPr>
      </w:pPr>
      <w:r>
        <w:rPr>
          <w:rFonts w:ascii="宋体" w:hAnsi="宋体" w:eastAsia="宋体" w:cs="Times New Roman"/>
          <w:b/>
          <w:bCs/>
          <w:color w:val="auto"/>
          <w:kern w:val="0"/>
          <w:sz w:val="24"/>
          <w:szCs w:val="20"/>
          <w:highlight w:val="none"/>
        </w:rPr>
        <w:t>3</w:t>
      </w:r>
      <w:r>
        <w:rPr>
          <w:rFonts w:hint="eastAsia" w:ascii="宋体" w:hAnsi="宋体" w:eastAsia="宋体" w:cs="Times New Roman"/>
          <w:b/>
          <w:bCs/>
          <w:color w:val="auto"/>
          <w:kern w:val="0"/>
          <w:sz w:val="24"/>
          <w:szCs w:val="20"/>
          <w:highlight w:val="none"/>
        </w:rPr>
        <w:t>3．腐败与欺诈行为</w:t>
      </w:r>
    </w:p>
    <w:p w14:paraId="53CA2BF3">
      <w:pPr>
        <w:spacing w:line="360" w:lineRule="auto"/>
        <w:ind w:firstLine="480" w:firstLineChars="200"/>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在招标和合同实施期间，招标人要求投标人和承包人遵守最高的道德标准。</w:t>
      </w:r>
    </w:p>
    <w:p w14:paraId="43A47455">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3</w:t>
      </w:r>
      <w:r>
        <w:rPr>
          <w:rFonts w:hint="eastAsia" w:ascii="宋体" w:hAnsi="宋体" w:eastAsia="宋体" w:cs="Times New Roman"/>
          <w:color w:val="auto"/>
          <w:kern w:val="0"/>
          <w:sz w:val="24"/>
          <w:szCs w:val="20"/>
          <w:highlight w:val="none"/>
        </w:rPr>
        <w:t>3.</w:t>
      </w:r>
      <w:r>
        <w:rPr>
          <w:rFonts w:ascii="宋体" w:hAnsi="宋体" w:eastAsia="宋体" w:cs="Times New Roman"/>
          <w:color w:val="auto"/>
          <w:kern w:val="0"/>
          <w:sz w:val="24"/>
          <w:szCs w:val="20"/>
          <w:highlight w:val="none"/>
        </w:rPr>
        <w:t>1</w:t>
      </w:r>
      <w:r>
        <w:rPr>
          <w:rFonts w:hint="eastAsia" w:ascii="宋体" w:hAnsi="宋体" w:eastAsia="宋体" w:cs="Times New Roman"/>
          <w:color w:val="auto"/>
          <w:kern w:val="0"/>
          <w:sz w:val="24"/>
          <w:szCs w:val="20"/>
          <w:highlight w:val="none"/>
        </w:rPr>
        <w:t>对本条款的规定，特定义如下词汇：</w:t>
      </w:r>
    </w:p>
    <w:p w14:paraId="5F2C1C03">
      <w:pPr>
        <w:spacing w:line="360" w:lineRule="auto"/>
        <w:ind w:firstLine="480" w:firstLineChars="200"/>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“腐败行为”是指在招标或合同执行期间，通过提供、给予、接受或索要任何有价值的东西，从而影响招标人有关人员工作的行为；</w:t>
      </w:r>
    </w:p>
    <w:p w14:paraId="56E4D62B">
      <w:pPr>
        <w:spacing w:line="360" w:lineRule="auto"/>
        <w:ind w:firstLine="480" w:firstLineChars="200"/>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40BCAF61">
      <w:pPr>
        <w:spacing w:line="360" w:lineRule="auto"/>
        <w:ind w:firstLine="480" w:firstLineChars="200"/>
        <w:rPr>
          <w:rFonts w:ascii="宋体" w:hAnsi="宋体" w:eastAsia="宋体" w:cs="Times New Roman"/>
          <w:color w:val="auto"/>
          <w:kern w:val="0"/>
          <w:sz w:val="24"/>
          <w:szCs w:val="20"/>
          <w:highlight w:val="none"/>
        </w:rPr>
      </w:pPr>
      <w:r>
        <w:rPr>
          <w:rFonts w:ascii="宋体" w:hAnsi="宋体" w:eastAsia="宋体" w:cs="Times New Roman"/>
          <w:color w:val="auto"/>
          <w:kern w:val="0"/>
          <w:sz w:val="24"/>
          <w:szCs w:val="20"/>
          <w:highlight w:val="none"/>
        </w:rPr>
        <w:t>3</w:t>
      </w:r>
      <w:r>
        <w:rPr>
          <w:rFonts w:hint="eastAsia" w:ascii="宋体" w:hAnsi="宋体" w:eastAsia="宋体" w:cs="Times New Roman"/>
          <w:color w:val="auto"/>
          <w:kern w:val="0"/>
          <w:sz w:val="24"/>
          <w:szCs w:val="20"/>
          <w:highlight w:val="none"/>
        </w:rPr>
        <w:t>3.</w:t>
      </w:r>
      <w:r>
        <w:rPr>
          <w:rFonts w:ascii="宋体" w:hAnsi="宋体" w:eastAsia="宋体" w:cs="Times New Roman"/>
          <w:color w:val="auto"/>
          <w:kern w:val="0"/>
          <w:sz w:val="24"/>
          <w:szCs w:val="20"/>
          <w:highlight w:val="none"/>
        </w:rPr>
        <w:t>2</w:t>
      </w:r>
      <w:r>
        <w:rPr>
          <w:rFonts w:hint="eastAsia" w:ascii="宋体" w:hAnsi="宋体" w:eastAsia="宋体" w:cs="Times New Roman"/>
          <w:color w:val="auto"/>
          <w:kern w:val="0"/>
          <w:sz w:val="24"/>
          <w:szCs w:val="20"/>
          <w:highlight w:val="none"/>
        </w:rPr>
        <w:t>如果投标人被认定在本招标竞争中有腐败或欺诈行为，则会被取消投标资格。</w:t>
      </w:r>
    </w:p>
    <w:p w14:paraId="671A3161">
      <w:pPr>
        <w:spacing w:line="360" w:lineRule="auto"/>
        <w:ind w:firstLine="480" w:firstLineChars="200"/>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33.3投标人如在本项目中存在串通投标、弄虚作假骗取中标、行贿情形的，中标无效，行政监督部门将对其违法行为进行政处罚。</w:t>
      </w:r>
    </w:p>
    <w:p w14:paraId="24473EC0">
      <w:pPr>
        <w:spacing w:line="360" w:lineRule="auto"/>
        <w:ind w:firstLine="482" w:firstLineChars="200"/>
        <w:rPr>
          <w:rFonts w:ascii="宋体" w:hAnsi="宋体" w:eastAsia="宋体" w:cs="Times New Roman"/>
          <w:color w:val="auto"/>
          <w:sz w:val="24"/>
          <w:highlight w:val="none"/>
        </w:rPr>
      </w:pPr>
      <w:r>
        <w:rPr>
          <w:rFonts w:hint="eastAsia" w:ascii="宋体" w:hAnsi="宋体" w:eastAsia="宋体" w:cs="Times New Roman"/>
          <w:b/>
          <w:bCs/>
          <w:color w:val="auto"/>
          <w:sz w:val="24"/>
          <w:highlight w:val="none"/>
        </w:rPr>
        <w:t>34.其它费用</w:t>
      </w:r>
      <w:bookmarkEnd w:id="9"/>
    </w:p>
    <w:p w14:paraId="39FD008C">
      <w:pPr>
        <w:keepNext/>
        <w:keepLines/>
        <w:spacing w:line="360" w:lineRule="auto"/>
        <w:jc w:val="center"/>
        <w:outlineLvl w:val="0"/>
        <w:rPr>
          <w:rFonts w:ascii="宋体" w:hAnsi="宋体" w:eastAsia="宋体" w:cs="宋体"/>
          <w:b/>
          <w:color w:val="auto"/>
          <w:kern w:val="44"/>
          <w:sz w:val="28"/>
          <w:szCs w:val="28"/>
          <w:highlight w:val="none"/>
        </w:rPr>
      </w:pPr>
      <w:r>
        <w:rPr>
          <w:rFonts w:hint="eastAsia" w:ascii="宋体" w:hAnsi="宋体" w:eastAsia="宋体" w:cs="宋体"/>
          <w:color w:val="auto"/>
          <w:kern w:val="44"/>
          <w:sz w:val="28"/>
          <w:szCs w:val="28"/>
          <w:highlight w:val="none"/>
        </w:rPr>
        <w:br w:type="page"/>
      </w:r>
      <w:bookmarkStart w:id="16" w:name="_Toc202907285"/>
      <w:r>
        <w:rPr>
          <w:rFonts w:hint="eastAsia" w:ascii="宋体" w:hAnsi="宋体" w:eastAsia="宋体" w:cs="宋体"/>
          <w:b/>
          <w:color w:val="auto"/>
          <w:kern w:val="44"/>
          <w:sz w:val="28"/>
          <w:szCs w:val="28"/>
          <w:highlight w:val="none"/>
        </w:rPr>
        <w:t>第二章 开标、评标及定标办法</w:t>
      </w:r>
      <w:bookmarkEnd w:id="16"/>
    </w:p>
    <w:p w14:paraId="6D2C78CB">
      <w:pPr>
        <w:keepNext/>
        <w:keepLines/>
        <w:numPr>
          <w:ilvl w:val="1"/>
          <w:numId w:val="0"/>
        </w:numPr>
        <w:spacing w:line="360" w:lineRule="auto"/>
        <w:jc w:val="center"/>
        <w:outlineLvl w:val="1"/>
        <w:rPr>
          <w:rFonts w:ascii="宋体" w:hAnsi="宋体" w:eastAsia="宋体" w:cs="宋体"/>
          <w:b/>
          <w:color w:val="auto"/>
          <w:kern w:val="0"/>
          <w:sz w:val="24"/>
          <w:szCs w:val="24"/>
          <w:highlight w:val="none"/>
        </w:rPr>
      </w:pPr>
      <w:bookmarkStart w:id="17" w:name="_Toc202907286"/>
      <w:bookmarkStart w:id="18" w:name="_Toc21525499"/>
      <w:r>
        <w:rPr>
          <w:rFonts w:hint="eastAsia" w:ascii="宋体" w:hAnsi="宋体" w:eastAsia="宋体" w:cs="宋体"/>
          <w:b/>
          <w:color w:val="auto"/>
          <w:kern w:val="0"/>
          <w:sz w:val="28"/>
          <w:szCs w:val="28"/>
          <w:highlight w:val="none"/>
        </w:rPr>
        <w:t>一、</w:t>
      </w:r>
      <w:r>
        <w:rPr>
          <w:rFonts w:hint="eastAsia" w:ascii="宋体" w:hAnsi="宋体" w:eastAsia="宋体" w:cs="宋体"/>
          <w:b/>
          <w:color w:val="auto"/>
          <w:kern w:val="0"/>
          <w:sz w:val="24"/>
          <w:szCs w:val="24"/>
          <w:highlight w:val="none"/>
        </w:rPr>
        <w:t>开标、评标及定标办法修改表</w:t>
      </w:r>
      <w:bookmarkEnd w:id="17"/>
      <w:bookmarkEnd w:id="18"/>
    </w:p>
    <w:p w14:paraId="53C34EE3">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rPr>
        <w:t>声明：本开标、评标及定标办法使用GZJTZB2025-3招标文件范本的开标、评标及定标办法通用条款，与该通用条款不同之处，均在本表中列明，并以现文为准，原文不再有效。</w:t>
      </w:r>
    </w:p>
    <w:p w14:paraId="04683A2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条款号：3</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.11                       修改类型：增加</w:t>
      </w:r>
    </w:p>
    <w:p w14:paraId="687AD58D">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
          <w:color w:val="auto"/>
          <w:szCs w:val="21"/>
          <w:highlight w:val="none"/>
          <w:u w:val="single"/>
        </w:rPr>
        <w:t>3</w:t>
      </w:r>
      <w:r>
        <w:rPr>
          <w:rFonts w:hint="eastAsia" w:ascii="宋体" w:hAnsi="宋体" w:eastAsia="宋体" w:cs="宋体"/>
          <w:b/>
          <w:color w:val="auto"/>
          <w:szCs w:val="21"/>
          <w:highlight w:val="none"/>
          <w:u w:val="single"/>
          <w:lang w:val="en-US" w:eastAsia="zh-CN"/>
        </w:rPr>
        <w:t>5</w:t>
      </w:r>
      <w:r>
        <w:rPr>
          <w:rFonts w:hint="eastAsia" w:ascii="宋体" w:hAnsi="宋体" w:eastAsia="宋体" w:cs="宋体"/>
          <w:b/>
          <w:color w:val="auto"/>
          <w:szCs w:val="21"/>
          <w:highlight w:val="none"/>
          <w:u w:val="single"/>
        </w:rPr>
        <w:t>.11《广州开发区建设和交通局 广州市黄埔区住房和城乡建设局关于印发工程建设项目“评定分离”工作指引（试行）的通知》（穗开建〔2025〕40号）。</w:t>
      </w:r>
    </w:p>
    <w:p w14:paraId="2493DA26">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条款号： </w:t>
      </w:r>
      <w:r>
        <w:rPr>
          <w:rFonts w:hint="eastAsia" w:ascii="宋体" w:hAnsi="宋体" w:eastAsia="宋体" w:cs="宋体"/>
          <w:b/>
          <w:color w:val="auto"/>
          <w:sz w:val="21"/>
          <w:szCs w:val="21"/>
          <w:highlight w:val="none"/>
          <w:lang w:val="en-US" w:eastAsia="zh-CN"/>
        </w:rPr>
        <w:t>35.12</w:t>
      </w:r>
      <w:r>
        <w:rPr>
          <w:rFonts w:hint="eastAsia" w:ascii="宋体" w:hAnsi="宋体" w:eastAsia="宋体" w:cs="宋体"/>
          <w:b/>
          <w:color w:val="auto"/>
          <w:sz w:val="21"/>
          <w:szCs w:val="21"/>
          <w:highlight w:val="none"/>
        </w:rPr>
        <w:t xml:space="preserve">            修改类型：增加</w:t>
      </w:r>
    </w:p>
    <w:p w14:paraId="4374239A">
      <w:pPr>
        <w:pStyle w:val="48"/>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color w:val="auto"/>
          <w:sz w:val="21"/>
          <w:szCs w:val="21"/>
          <w:highlight w:val="none"/>
        </w:rPr>
        <w:t>现文：</w:t>
      </w:r>
      <w:r>
        <w:rPr>
          <w:rFonts w:hint="eastAsia" w:ascii="宋体" w:hAnsi="宋体" w:eastAsia="宋体" w:cs="宋体"/>
          <w:b/>
          <w:bCs/>
          <w:color w:val="auto"/>
          <w:sz w:val="21"/>
          <w:szCs w:val="21"/>
          <w:highlight w:val="none"/>
          <w:u w:val="single"/>
        </w:rPr>
        <w:t>35.1</w:t>
      </w:r>
      <w:r>
        <w:rPr>
          <w:rFonts w:hint="eastAsia" w:ascii="宋体" w:hAnsi="宋体" w:eastAsia="宋体" w:cs="宋体"/>
          <w:b/>
          <w:bCs/>
          <w:color w:val="auto"/>
          <w:sz w:val="21"/>
          <w:szCs w:val="21"/>
          <w:highlight w:val="none"/>
          <w:u w:val="single"/>
          <w:lang w:val="en-US" w:eastAsia="zh-CN"/>
        </w:rPr>
        <w:t>2</w:t>
      </w:r>
      <w:r>
        <w:rPr>
          <w:rFonts w:hint="eastAsia" w:ascii="宋体" w:hAnsi="宋体" w:eastAsia="宋体" w:cs="宋体"/>
          <w:b/>
          <w:bCs/>
          <w:color w:val="auto"/>
          <w:sz w:val="21"/>
          <w:szCs w:val="21"/>
          <w:highlight w:val="none"/>
          <w:u w:val="single"/>
        </w:rPr>
        <w:t>采用评定分离定标办法</w:t>
      </w:r>
    </w:p>
    <w:p w14:paraId="1D22AE29">
      <w:pPr>
        <w:pStyle w:val="48"/>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rPr>
        <w:t>35.1</w:t>
      </w:r>
      <w:r>
        <w:rPr>
          <w:rFonts w:hint="eastAsia" w:ascii="宋体" w:hAnsi="宋体" w:eastAsia="宋体" w:cs="宋体"/>
          <w:b/>
          <w:bCs/>
          <w:color w:val="auto"/>
          <w:sz w:val="21"/>
          <w:szCs w:val="21"/>
          <w:highlight w:val="none"/>
          <w:u w:val="single"/>
          <w:lang w:val="en-US" w:eastAsia="zh-CN"/>
        </w:rPr>
        <w:t>2.1 评标采用“有限数量制”推荐合格中标候选人。推荐3-7名合格中标候选人，投标报价低于成本警示价的投标人及投标报价不低于成本警示价的投标人推荐方式如下：</w:t>
      </w:r>
    </w:p>
    <w:p w14:paraId="00FFC2EE">
      <w:pPr>
        <w:pStyle w:val="48"/>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（1）对于投标报价低于成本警示价的投标人推荐方式：</w:t>
      </w:r>
    </w:p>
    <w:p w14:paraId="73A8CD53">
      <w:pPr>
        <w:pStyle w:val="48"/>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①投标报价低于成本警示价的有效投标人，均推荐为合格中标候选人进入定标阶段（适用于通过经济标有效性审查且投标报价低于成本警示价的有效投标人家数在[1,2]家的）。</w:t>
      </w:r>
    </w:p>
    <w:p w14:paraId="1724FF00">
      <w:pPr>
        <w:pStyle w:val="48"/>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②投标报价低于成本警示价的有效投标人，推荐前2名为合格中标候选人进入定标阶段（适用于通过经济标有效性审查且投标报价低于成本警示价的有效投标人家数在大于2家的）。</w:t>
      </w:r>
    </w:p>
    <w:p w14:paraId="16679740">
      <w:pPr>
        <w:pStyle w:val="48"/>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（2）对于投标报价不低于成本警示价的投标人推荐方式：</w:t>
      </w:r>
    </w:p>
    <w:p w14:paraId="0441FC9A">
      <w:pPr>
        <w:pStyle w:val="48"/>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①投标报价不低于成本警示价的有效投标人，均推荐为合格中标候选人进入定标阶段（适用于通过经济标有效性审查且报价不低于成本警示价的有效投标人家数在小于等于5家的）。</w:t>
      </w:r>
    </w:p>
    <w:p w14:paraId="53FB2F7F">
      <w:pPr>
        <w:pStyle w:val="48"/>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②投标报价不低于成本警示价的投标人，推荐前5名为合格中标候选人进入定标阶段（适用于通过经济标有效性审查且报价不低于成本警示价的有效投标人家数在大于5家的）。</w:t>
      </w:r>
    </w:p>
    <w:p w14:paraId="7A6D0473">
      <w:pPr>
        <w:pStyle w:val="48"/>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合格中标候选人不排序，按统一社会信用代码后4位（除校验码外）大小排位，如统一社会信用代码后4位出现字母情况的，字母以“0”进行代替大小排位；如出现后4位（除校验码外）大小一致的，则随机排位。如联合体投标的，以主办方为准。】</w:t>
      </w:r>
    </w:p>
    <w:p w14:paraId="64E268AE">
      <w:pPr>
        <w:pStyle w:val="48"/>
        <w:keepNext w:val="0"/>
        <w:keepLines w:val="0"/>
        <w:pageBreakBefore w:val="0"/>
        <w:kinsoku/>
        <w:wordWrap/>
        <w:overflowPunct/>
        <w:topLinePunct w:val="0"/>
        <w:autoSpaceDE/>
        <w:autoSpaceDN/>
        <w:bidi w:val="0"/>
        <w:spacing w:line="360" w:lineRule="auto"/>
        <w:ind w:firstLine="422" w:firstLineChars="200"/>
        <w:textAlignment w:val="auto"/>
        <w:rPr>
          <w:rFonts w:hint="default"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rPr>
        <w:t>35.1</w:t>
      </w:r>
      <w:r>
        <w:rPr>
          <w:rFonts w:hint="eastAsia" w:ascii="宋体" w:hAnsi="宋体" w:eastAsia="宋体" w:cs="宋体"/>
          <w:b/>
          <w:bCs/>
          <w:color w:val="auto"/>
          <w:sz w:val="21"/>
          <w:szCs w:val="21"/>
          <w:highlight w:val="none"/>
          <w:u w:val="single"/>
          <w:lang w:val="en-US" w:eastAsia="zh-CN"/>
        </w:rPr>
        <w:t>2.2当合格中标候选人小于3名时，招标人应重新招标。</w:t>
      </w:r>
    </w:p>
    <w:p w14:paraId="4EA47057">
      <w:pPr>
        <w:spacing w:line="360" w:lineRule="auto"/>
        <w:ind w:firstLine="422" w:firstLineChars="200"/>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rPr>
        <w:t>35.1</w:t>
      </w:r>
      <w:r>
        <w:rPr>
          <w:rFonts w:hint="eastAsia" w:ascii="宋体" w:hAnsi="宋体" w:eastAsia="宋体" w:cs="宋体"/>
          <w:b/>
          <w:bCs/>
          <w:color w:val="auto"/>
          <w:sz w:val="21"/>
          <w:szCs w:val="21"/>
          <w:highlight w:val="none"/>
          <w:u w:val="single"/>
          <w:lang w:val="en-US" w:eastAsia="zh-CN"/>
        </w:rPr>
        <w:t>2.3定标采用“评分法”，定标委员会从评标委员会推荐的合格中标候选人中，依据 《定标因素表》（附件八）的标准，对合格中标候选人提交的定标文件进行评审，评分选出得分最高的候选人，确定为中标人。定标因素包括“方案因素”和“价格因素”，总得分（100分）=方案因素得分（100分）×方案因素权重（70%）+价格因素得分（100分）×价格因素权重（30%）。</w:t>
      </w:r>
    </w:p>
    <w:p w14:paraId="11A43679">
      <w:pPr>
        <w:spacing w:line="360" w:lineRule="auto"/>
        <w:ind w:firstLine="422" w:firstLineChars="200"/>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定标因素为：（1）方案因素：对合格中标候选人定标方案进行评审：①团队配置、②施工管理措施、③成本控制措施、④资金管理措施。（2）价格因素：定标委员会对合格中标候选人投标报价进行打分，以合格中标候选人中投标总报价高于成本警示价的最低投标报价为定标基准价（如合格中标候选人的投标报价均低于或等于成本警示价,则成本警示价为定标基准价），投标总报价等于定标基准价时得100分。投标总报价比定标基准价每高1%扣1.5分；每低1%扣1.0分，扣至0分为止。得出价格因素得分，分数出现小数点时，保留小数点后二位，第三位小数四舍五入。</w:t>
      </w:r>
    </w:p>
    <w:p w14:paraId="67CC6230">
      <w:pPr>
        <w:spacing w:line="360" w:lineRule="auto"/>
        <w:ind w:firstLine="422" w:firstLineChars="200"/>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注：若合格中标候选人总得分相同且影响定标排序的，以方案因素得分高的排前；若方案因素得分仍相同的，以投标报价低的排前，若投标报价仍相同的，由定标委员会投票确定排序。</w:t>
      </w:r>
    </w:p>
    <w:p w14:paraId="6EDD9562">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条款号：36.1             修改类型：修改</w:t>
      </w:r>
    </w:p>
    <w:p w14:paraId="167134D9">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36.1 招标人按投标须知前附表第18项所规定的时间和地点通过电子招标投标交易平台公开开标，并邀请所有投标人参加，投标人可选择在开标室参加开标或准时在线参加开标，也可以不参加开标，均不影响开标程序。投标人不派代表参加开标会，则视其为放弃参与开标的权利，认可开标结果。截标后，开标开始时间因故推迟的，相关评标信息仍以原定的开标开始时间的信息为准。</w:t>
      </w:r>
    </w:p>
    <w:p w14:paraId="1A1E735F">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36.1 招标人按投标须知前附表第18项所规定的时间和地点通过</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电子招标投标交易平台公开开标，并邀请所有投标人参加，投标人可选择在开标室参加开标或准时在线参加开标，也可以不参加开标，均不影响开标程序。投标人不派代表参加开标会，则视其为放弃参与开标的权利，认可开标结果。截标后，开标开始时间因故推迟的，相关评标信息仍以原定的开标开始时间的信息为准。</w:t>
      </w:r>
      <w:r>
        <w:rPr>
          <w:rFonts w:hint="eastAsia" w:ascii="宋体" w:hAnsi="宋体" w:eastAsia="宋体" w:cs="宋体"/>
          <w:b/>
          <w:bCs/>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r>
        <w:rPr>
          <w:rFonts w:hint="eastAsia" w:ascii="宋体" w:hAnsi="宋体" w:eastAsia="宋体" w:cs="宋体"/>
          <w:color w:val="auto"/>
          <w:szCs w:val="21"/>
          <w:highlight w:val="none"/>
        </w:rPr>
        <w:t>。</w:t>
      </w:r>
    </w:p>
    <w:p w14:paraId="1337E218">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条款号：36.3                        修改类型：删除</w:t>
      </w:r>
    </w:p>
    <w:p w14:paraId="7A6541AB">
      <w:pPr>
        <w:pBdr>
          <w:bottom w:val="single" w:color="auto" w:sz="6" w:space="1"/>
        </w:pBd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strike/>
          <w:color w:val="auto"/>
          <w:szCs w:val="21"/>
          <w:highlight w:val="none"/>
        </w:rPr>
        <w:t>36.3根据投标须知前附表第19项，如需抽取某一种评标办法供评标时使用的，可在开标时（唱标工作完成后）抽取。首先对招标文件中约定的若干种评标方法进行编号，再随机抽取某一编号，该编号所对应的评标办法供评标时使用。</w:t>
      </w:r>
    </w:p>
    <w:p w14:paraId="306DB1CF">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条款号：36.4                        修改类型：修改</w:t>
      </w:r>
    </w:p>
    <w:p w14:paraId="4D90572C">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36.4若递交投标文件的投标人不足3家，则重新组织招标。（当N个标段同时招标且不允许兼中时，若有效投标人不足N+2家，则重新组织招标）</w:t>
      </w:r>
    </w:p>
    <w:p w14:paraId="4B35B8CF">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36.4若递交投标文件的投标人不足3家，则重新组织招标。</w:t>
      </w:r>
      <w:r>
        <w:rPr>
          <w:rFonts w:hint="eastAsia" w:ascii="宋体" w:hAnsi="宋体" w:eastAsia="宋体" w:cs="宋体"/>
          <w:strike/>
          <w:color w:val="auto"/>
          <w:szCs w:val="21"/>
          <w:highlight w:val="none"/>
        </w:rPr>
        <w:t>（当N个标段同时招标且不允许兼中时，若有效投标人不足N+2家，则重新组织招标）</w:t>
      </w:r>
    </w:p>
    <w:p w14:paraId="1FECEC9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条款号：36.5.1                      修改类型：修改</w:t>
      </w:r>
    </w:p>
    <w:p w14:paraId="2DB3570B">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36.5.1在投标截止时间后</w:t>
      </w:r>
      <w:r>
        <w:rPr>
          <w:rFonts w:hint="eastAsia" w:ascii="宋体" w:hAnsi="宋体" w:eastAsia="宋体" w:cs="宋体"/>
          <w:color w:val="auto"/>
          <w:szCs w:val="21"/>
          <w:highlight w:val="none"/>
          <w:u w:val="single"/>
        </w:rPr>
        <w:t>1</w:t>
      </w:r>
      <w:r>
        <w:rPr>
          <w:rFonts w:hint="eastAsia" w:ascii="宋体" w:hAnsi="宋体" w:eastAsia="宋体" w:cs="宋体"/>
          <w:color w:val="auto"/>
          <w:szCs w:val="21"/>
          <w:highlight w:val="none"/>
        </w:rPr>
        <w:t>小时内，投标人通过交易平台对已递交的电子投标文件进行解密。投标人完成解密后，再由招标人进行解密。解密完成后，公布招标项目名称、投标人名称、投标保证金的递交情况、投标报价、工期及其他内容；</w:t>
      </w:r>
    </w:p>
    <w:p w14:paraId="185511C9">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36.5.1在投标截止时间后</w:t>
      </w:r>
      <w:r>
        <w:rPr>
          <w:rFonts w:hint="eastAsia" w:ascii="宋体" w:hAnsi="宋体" w:eastAsia="宋体" w:cs="宋体"/>
          <w:color w:val="auto"/>
          <w:szCs w:val="21"/>
          <w:highlight w:val="none"/>
          <w:u w:val="single"/>
        </w:rPr>
        <w:t>1</w:t>
      </w:r>
      <w:r>
        <w:rPr>
          <w:rFonts w:hint="eastAsia" w:ascii="宋体" w:hAnsi="宋体" w:eastAsia="宋体" w:cs="宋体"/>
          <w:color w:val="auto"/>
          <w:szCs w:val="21"/>
          <w:highlight w:val="none"/>
        </w:rPr>
        <w:t>个小时内，投标人通过</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交易平台对已递交的电子投标文件进行解密。投标人完成解密后，再由招标人</w:t>
      </w:r>
      <w:r>
        <w:rPr>
          <w:rFonts w:hint="eastAsia" w:ascii="宋体" w:hAnsi="宋体" w:eastAsia="宋体" w:cs="宋体"/>
          <w:b/>
          <w:bCs/>
          <w:color w:val="auto"/>
          <w:szCs w:val="21"/>
          <w:highlight w:val="none"/>
          <w:u w:val="single"/>
        </w:rPr>
        <w:t>或招标代理</w:t>
      </w:r>
      <w:r>
        <w:rPr>
          <w:rFonts w:hint="eastAsia" w:ascii="宋体" w:hAnsi="宋体" w:eastAsia="宋体" w:cs="宋体"/>
          <w:color w:val="auto"/>
          <w:szCs w:val="21"/>
          <w:highlight w:val="none"/>
        </w:rPr>
        <w:t>进行解密。解密完成后，公布招标项目名称、投标人名称、投标保证金的递交情况、投标报价、工期及其他内容；</w:t>
      </w:r>
    </w:p>
    <w:p w14:paraId="0BC65E5A">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条款号：36.5.2             修改类型：修改</w:t>
      </w:r>
    </w:p>
    <w:p w14:paraId="5793993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36.5.2备用光盘的读取按投标须知前附表第35项的规定执行；</w:t>
      </w:r>
    </w:p>
    <w:p w14:paraId="63AF848A">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36.5.2备用光盘</w:t>
      </w:r>
      <w:r>
        <w:rPr>
          <w:rFonts w:hint="eastAsia" w:ascii="宋体" w:hAnsi="宋体" w:eastAsia="宋体" w:cs="宋体"/>
          <w:b/>
          <w:color w:val="auto"/>
          <w:szCs w:val="21"/>
          <w:highlight w:val="none"/>
          <w:u w:val="single"/>
        </w:rPr>
        <w:t>（或U盘）</w:t>
      </w:r>
      <w:r>
        <w:rPr>
          <w:rFonts w:hint="eastAsia" w:ascii="宋体" w:hAnsi="宋体" w:eastAsia="宋体" w:cs="宋体"/>
          <w:color w:val="auto"/>
          <w:szCs w:val="21"/>
          <w:highlight w:val="none"/>
        </w:rPr>
        <w:t>的读取按投标须知前附表</w:t>
      </w:r>
      <w:r>
        <w:rPr>
          <w:rFonts w:hint="eastAsia" w:ascii="宋体" w:hAnsi="宋体" w:eastAsia="宋体" w:cs="宋体"/>
          <w:b/>
          <w:bCs/>
          <w:color w:val="auto"/>
          <w:szCs w:val="21"/>
          <w:highlight w:val="none"/>
          <w:u w:val="single"/>
        </w:rPr>
        <w:t>第37项</w:t>
      </w:r>
      <w:r>
        <w:rPr>
          <w:rFonts w:hint="eastAsia" w:ascii="宋体" w:hAnsi="宋体" w:eastAsia="宋体" w:cs="宋体"/>
          <w:color w:val="auto"/>
          <w:szCs w:val="21"/>
          <w:highlight w:val="none"/>
        </w:rPr>
        <w:t>的规定执行；</w:t>
      </w:r>
    </w:p>
    <w:p w14:paraId="1359C5C8">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条款号：36.5.3                      修改类型：修改</w:t>
      </w:r>
    </w:p>
    <w:p w14:paraId="2C9CE726">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36.5.3投标人代表、招标人代表、监标人、记录人等有关人员在开标记录上签字确认；若有关人员不签字的，不影响开标程序；</w:t>
      </w:r>
    </w:p>
    <w:p w14:paraId="634C3C2E">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36.5.3投标人代表、招标人代表、监标人、记录人等有关人员在开标记录上签字确认；若有关人员不签字的，不影响开标程序；</w:t>
      </w:r>
      <w:r>
        <w:rPr>
          <w:rFonts w:hint="eastAsia" w:ascii="宋体" w:hAnsi="宋体" w:eastAsia="宋体" w:cs="宋体"/>
          <w:b/>
          <w:bCs/>
          <w:color w:val="auto"/>
          <w:szCs w:val="21"/>
          <w:highlight w:val="none"/>
          <w:u w:val="single"/>
        </w:rPr>
        <w:t>若投标人不参加开标会的，或不签字确认的，视同该投标人认可开标结果；</w:t>
      </w:r>
    </w:p>
    <w:p w14:paraId="33EF4D11">
      <w:pPr>
        <w:shd w:val="clear" w:color="auto" w:fill="auto"/>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条款号：36.6                        修改类型：修改</w:t>
      </w:r>
    </w:p>
    <w:p w14:paraId="48844F3F">
      <w:pPr>
        <w:shd w:val="clear" w:color="auto" w:fill="auto"/>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2BA0687">
      <w:pPr>
        <w:pBdr>
          <w:bottom w:val="single" w:color="auto" w:sz="6" w:space="1"/>
        </w:pBdr>
        <w:shd w:val="clear" w:color="auto" w:fill="auto"/>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36.6投标截止时间前未完成投标文件传输的或因投标人之外的原因造成投标文件未解密且未按要求递交备用光盘</w:t>
      </w:r>
      <w:r>
        <w:rPr>
          <w:rFonts w:hint="eastAsia" w:ascii="宋体" w:hAnsi="宋体" w:eastAsia="宋体" w:cs="宋体"/>
          <w:b/>
          <w:color w:val="auto"/>
          <w:szCs w:val="21"/>
          <w:highlight w:val="none"/>
          <w:u w:val="single"/>
        </w:rPr>
        <w:t>（或U盘）</w:t>
      </w:r>
      <w:r>
        <w:rPr>
          <w:rFonts w:hint="eastAsia" w:ascii="宋体" w:hAnsi="宋体" w:eastAsia="宋体" w:cs="宋体"/>
          <w:color w:val="auto"/>
          <w:szCs w:val="21"/>
          <w:highlight w:val="none"/>
        </w:rPr>
        <w:t>的，视为投标人撤回投标文件。因投标人原因造成投标文件未解密或未在规定的时间内解密的，视为撤销其投标文件。</w:t>
      </w:r>
    </w:p>
    <w:p w14:paraId="6661E42D">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条款号：37.                         修改类型：修改</w:t>
      </w:r>
    </w:p>
    <w:p w14:paraId="1F630401">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37.评标</w:t>
      </w:r>
    </w:p>
    <w:p w14:paraId="5281B50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37.1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p>
    <w:p w14:paraId="0CB5157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37.2评标委员会成员有下列情形之一的，应当回避：</w:t>
      </w:r>
    </w:p>
    <w:p w14:paraId="2BBDBB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（1）招标人或投标人的主要负责人的近亲属；</w:t>
      </w:r>
    </w:p>
    <w:p w14:paraId="52D628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（2）项目主管部门或者行政监督部门的人员；</w:t>
      </w:r>
    </w:p>
    <w:p w14:paraId="47CDB25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（3）招标人或投标人的工作人员、退休或离职未满3年的人员；</w:t>
      </w:r>
    </w:p>
    <w:p w14:paraId="2BE7291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（4）与投标人有经济利益关系，可能影响对投标公正评审的；</w:t>
      </w:r>
    </w:p>
    <w:p w14:paraId="34B92B6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（5）曾因在招标、评标以及其他与招标投标有关活动中从事违法行为而受过行政处罚或刑事处罚的。</w:t>
      </w:r>
    </w:p>
    <w:p w14:paraId="7555B63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（6）与投标人有其他利害关系。</w:t>
      </w:r>
    </w:p>
    <w:p w14:paraId="04ACF63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37.3评标委员会的职责及守则：</w:t>
      </w:r>
    </w:p>
    <w:p w14:paraId="767AC92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37.3.1根据评标细则，对投标文件进行认真评审，完成评审报告；</w:t>
      </w:r>
    </w:p>
    <w:p w14:paraId="482A712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37.3.2向招标人报告评审意见，推荐合格的中标候选人。</w:t>
      </w:r>
    </w:p>
    <w:p w14:paraId="2F12A2B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37.3.3 所有参加评标人员必须遵守国家、地方政府制定的有关工程招标投标的法则、规定，遵守有关工程招标投标的保密制度；如有违反者，给予行政处分；情节严重，构成犯罪的，由司法机关依法追究其刑事责任。</w:t>
      </w:r>
    </w:p>
    <w:p w14:paraId="30B21FF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37.3.4全体参与评标人员：</w:t>
      </w:r>
    </w:p>
    <w:p w14:paraId="31C0CA5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37.3.4.1 必须遵守评标纪律、不得泄密；</w:t>
      </w:r>
    </w:p>
    <w:p w14:paraId="4B00932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37.3.4.2 必须公正、不得循私；</w:t>
      </w:r>
    </w:p>
    <w:p w14:paraId="3F1F7E4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37.3.4.3 必须科学、不得草率；</w:t>
      </w:r>
    </w:p>
    <w:p w14:paraId="580A618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37.3.4.4 必须客观、不得带有成见；</w:t>
      </w:r>
    </w:p>
    <w:p w14:paraId="574163F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37.3.4.5 必须平等、不得强加于人；</w:t>
      </w:r>
    </w:p>
    <w:p w14:paraId="33A6D91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37.3.4.6 必须严谨、不得随意马虎。</w:t>
      </w:r>
    </w:p>
    <w:p w14:paraId="7F40DD6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2EF2C55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37.5评标委员会按照第二章“开标、评标及定标办法”规定的方法、评审因素、标准和程序对投标文件进行评审。第二章“开标、评标及定标办法”没有规定的方法、评审因素和标准，不作为评标依据。</w:t>
      </w:r>
    </w:p>
    <w:p w14:paraId="4924D7F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37.6评标结束后，评标委员会递交评标报告并依法推荐中标候选人。</w:t>
      </w:r>
    </w:p>
    <w:p w14:paraId="66CCF250">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37.评标</w:t>
      </w:r>
    </w:p>
    <w:p w14:paraId="5C4A9AA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37.1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p>
    <w:p w14:paraId="7378AB3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37.2</w:t>
      </w:r>
      <w:r>
        <w:rPr>
          <w:rFonts w:hint="eastAsia" w:ascii="宋体" w:hAnsi="宋体" w:eastAsia="宋体" w:cs="宋体"/>
          <w:b/>
          <w:bCs/>
          <w:color w:val="auto"/>
          <w:szCs w:val="21"/>
          <w:highlight w:val="none"/>
          <w:u w:val="single"/>
        </w:rPr>
        <w:t>评标委员会在开始评标前，应了解评标专家的职责及守则，认真阅读《评标委员会成员声明》的内容并签名，签字后方可进行评标；</w:t>
      </w:r>
      <w:r>
        <w:rPr>
          <w:rFonts w:hint="eastAsia" w:ascii="宋体" w:hAnsi="宋体" w:eastAsia="宋体" w:cs="宋体"/>
          <w:color w:val="auto"/>
          <w:szCs w:val="21"/>
          <w:highlight w:val="none"/>
        </w:rPr>
        <w:t>评标委员会成员有下列情形之一的，应当回避：</w:t>
      </w:r>
    </w:p>
    <w:p w14:paraId="1F9053E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（1）招标人或投标人的主要负责人的近亲属；</w:t>
      </w:r>
    </w:p>
    <w:p w14:paraId="7E3219D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（2）项目主管部门或者行政监督部门的人员；</w:t>
      </w:r>
    </w:p>
    <w:p w14:paraId="306B69A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（3）招标人或投标人的工作人员、退休或离职未满3年的人员；</w:t>
      </w:r>
    </w:p>
    <w:p w14:paraId="056B5EE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（4）与投标人有经济利益关系，可能影响对投标公正评审的；</w:t>
      </w:r>
    </w:p>
    <w:p w14:paraId="25F61BD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（5）曾因在招标、评标以及其他与招标投标有关活动中从事违法行为而受过行政处罚或刑事处罚的。</w:t>
      </w:r>
    </w:p>
    <w:p w14:paraId="62C0841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（6）与投标人有其他利害关系。</w:t>
      </w:r>
    </w:p>
    <w:p w14:paraId="62BFCD8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37.3评标委员会的职责及守则：</w:t>
      </w:r>
    </w:p>
    <w:p w14:paraId="104F3D4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37.3.1根据评标细则，对投标文件进行认真评审，完成评审报告；</w:t>
      </w:r>
    </w:p>
    <w:p w14:paraId="70EC0D63">
      <w:pPr>
        <w:spacing w:line="360" w:lineRule="auto"/>
        <w:ind w:firstLine="420" w:firstLineChars="200"/>
        <w:rPr>
          <w:rFonts w:ascii="宋体" w:hAnsi="宋体" w:eastAsia="宋体" w:cs="宋体"/>
          <w:b/>
          <w:color w:val="auto"/>
          <w:kern w:val="0"/>
          <w:szCs w:val="21"/>
          <w:highlight w:val="none"/>
          <w:u w:val="single"/>
        </w:rPr>
      </w:pPr>
      <w:r>
        <w:rPr>
          <w:rFonts w:hint="eastAsia" w:ascii="宋体" w:hAnsi="宋体" w:eastAsia="宋体" w:cs="宋体"/>
          <w:color w:val="auto"/>
          <w:szCs w:val="21"/>
          <w:highlight w:val="none"/>
        </w:rPr>
        <w:t>37.3.2向招标人报告评审意见，</w:t>
      </w:r>
      <w:r>
        <w:rPr>
          <w:rFonts w:hint="eastAsia" w:ascii="宋体" w:hAnsi="宋体" w:eastAsia="宋体" w:cs="宋体"/>
          <w:b/>
          <w:bCs/>
          <w:color w:val="auto"/>
          <w:szCs w:val="21"/>
          <w:highlight w:val="none"/>
          <w:u w:val="single"/>
        </w:rPr>
        <w:t>按投标须知前附表第20项规定推荐合格中标候选人。</w:t>
      </w:r>
    </w:p>
    <w:p w14:paraId="4F5D20E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37.3.3所有参加评标人员必须遵守国家、地方政府制定的有关工程招标投标的法则、规定，遵守有关工程招标投标的保密制度；如有违反者，给予行政处分；情节严重，构成犯罪的，由司法机关依法追究其刑事责任；</w:t>
      </w:r>
    </w:p>
    <w:p w14:paraId="4C57A83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37.3.4全体参与评标人员：</w:t>
      </w:r>
    </w:p>
    <w:p w14:paraId="543C369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37.3.4.1 必须遵守评标纪律、不得泄密；</w:t>
      </w:r>
    </w:p>
    <w:p w14:paraId="68687C1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37.3.4.2 必须公正、不得循私；</w:t>
      </w:r>
    </w:p>
    <w:p w14:paraId="446238D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37.3.4.3 必须科学、不得草率；</w:t>
      </w:r>
    </w:p>
    <w:p w14:paraId="2BF188B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37.3.4.4 必须客观、不得带有成见；</w:t>
      </w:r>
    </w:p>
    <w:p w14:paraId="77138D1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37.3.4.5 必须平等、不得强加于人；</w:t>
      </w:r>
    </w:p>
    <w:p w14:paraId="046A5E9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37.3.4.6 必须严谨、不得随意马虎。</w:t>
      </w:r>
    </w:p>
    <w:p w14:paraId="3042A877">
      <w:pPr>
        <w:pBdr>
          <w:bottom w:val="single" w:color="auto" w:sz="6" w:space="1"/>
        </w:pBd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37.4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001E1D50">
      <w:pPr>
        <w:pBdr>
          <w:bottom w:val="single" w:color="auto" w:sz="6" w:space="1"/>
        </w:pBd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37.5评标委员会按照第二章“开标、评标及定标办法”规定的方法、评审因素、标准和程序对投标文件进行评审。第二章“开标、评标及定标办法”没有规定的方法、评审因素和标准，不作为评标依据。</w:t>
      </w:r>
    </w:p>
    <w:p w14:paraId="44982A7A">
      <w:pPr>
        <w:pBdr>
          <w:bottom w:val="single" w:color="auto" w:sz="6" w:space="1"/>
        </w:pBd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37.6</w:t>
      </w:r>
      <w:r>
        <w:rPr>
          <w:rFonts w:hint="eastAsia" w:ascii="宋体" w:hAnsi="宋体" w:eastAsia="宋体" w:cs="宋体"/>
          <w:b/>
          <w:bCs/>
          <w:color w:val="auto"/>
          <w:szCs w:val="21"/>
          <w:highlight w:val="none"/>
          <w:u w:val="single"/>
        </w:rPr>
        <w:t>评标结束后，评标委员会递交资格审查报告和评标报告并依法推荐合格中标候选人进入定标阶段。</w:t>
      </w:r>
    </w:p>
    <w:p w14:paraId="6CC3863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条款号：38.1                               修改类型：修改</w:t>
      </w:r>
    </w:p>
    <w:p w14:paraId="02581882">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对同类问题表述不一致，有明显格式或文字、计算错误的内容作出澄清。</w:t>
      </w:r>
    </w:p>
    <w:p w14:paraId="390530C6">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38.1为有助于投标文件的审查、评价和比较，评标期间，经评标委员会或评标委员会专业评审组中两人以上（含两人）</w:t>
      </w:r>
      <w:r>
        <w:rPr>
          <w:rFonts w:hint="eastAsia" w:ascii="宋体" w:hAnsi="宋体" w:eastAsia="宋体" w:cs="宋体"/>
          <w:b/>
          <w:bCs/>
          <w:color w:val="auto"/>
          <w:szCs w:val="21"/>
          <w:highlight w:val="none"/>
          <w:u w:val="single"/>
        </w:rPr>
        <w:t>的成员</w:t>
      </w:r>
      <w:r>
        <w:rPr>
          <w:rFonts w:hint="eastAsia" w:ascii="宋体" w:hAnsi="宋体" w:eastAsia="宋体" w:cs="宋体"/>
          <w:color w:val="auto"/>
          <w:szCs w:val="21"/>
          <w:highlight w:val="none"/>
        </w:rPr>
        <w:t>以书面形式提出动议，评标委员会或评标委员会专业评审组应当书面发出澄清通知，要求投标人对投标文件含义不明确、对同类问题表述不一致</w:t>
      </w:r>
      <w:r>
        <w:rPr>
          <w:rFonts w:hint="eastAsia" w:ascii="宋体" w:hAnsi="宋体" w:eastAsia="宋体" w:cs="宋体"/>
          <w:b/>
          <w:bCs/>
          <w:color w:val="auto"/>
          <w:szCs w:val="21"/>
          <w:highlight w:val="none"/>
          <w:u w:val="single"/>
        </w:rPr>
        <w:t>、有明显文字和计算错误的内容以及细微偏差</w:t>
      </w:r>
      <w:r>
        <w:rPr>
          <w:rFonts w:hint="eastAsia" w:ascii="宋体" w:hAnsi="宋体" w:eastAsia="宋体" w:cs="宋体"/>
          <w:color w:val="auto"/>
          <w:szCs w:val="21"/>
          <w:highlight w:val="none"/>
        </w:rPr>
        <w:t>的内容作出澄清。</w:t>
      </w:r>
    </w:p>
    <w:p w14:paraId="3EEE1FF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条款号：38.5                               修改类型：修改</w:t>
      </w:r>
    </w:p>
    <w:p w14:paraId="21D51F1B">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依法重新招标。</w:t>
      </w:r>
    </w:p>
    <w:p w14:paraId="7CF7F53A">
      <w:pPr>
        <w:pBdr>
          <w:bottom w:val="single" w:color="auto" w:sz="6" w:space="1"/>
        </w:pBd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38.5投标人如在本项目中存在串通投标、弄虚作假、行贿情形且在评标</w:t>
      </w:r>
      <w:r>
        <w:rPr>
          <w:rFonts w:hint="eastAsia" w:ascii="宋体" w:hAnsi="宋体" w:eastAsia="宋体" w:cs="宋体"/>
          <w:b/>
          <w:bCs/>
          <w:color w:val="auto"/>
          <w:szCs w:val="21"/>
          <w:highlight w:val="none"/>
          <w:u w:val="single"/>
        </w:rPr>
        <w:t>或定标</w:t>
      </w:r>
      <w:r>
        <w:rPr>
          <w:rFonts w:hint="eastAsia" w:ascii="宋体" w:hAnsi="宋体" w:eastAsia="宋体" w:cs="宋体"/>
          <w:color w:val="auto"/>
          <w:szCs w:val="21"/>
          <w:highlight w:val="none"/>
        </w:rPr>
        <w:t>过程中未被发现的，该投标不改变本项目评标结果排序，</w:t>
      </w:r>
      <w:r>
        <w:rPr>
          <w:rFonts w:hint="eastAsia" w:ascii="宋体" w:hAnsi="宋体" w:eastAsia="宋体" w:cs="宋体"/>
          <w:b/>
          <w:bCs/>
          <w:color w:val="auto"/>
          <w:szCs w:val="21"/>
          <w:highlight w:val="none"/>
          <w:u w:val="single"/>
        </w:rPr>
        <w:t>若在定标过程中被确定为中标人，</w:t>
      </w:r>
      <w:r>
        <w:rPr>
          <w:rFonts w:hint="eastAsia" w:ascii="宋体" w:hAnsi="宋体" w:eastAsia="宋体" w:cs="宋体"/>
          <w:color w:val="auto"/>
          <w:szCs w:val="21"/>
          <w:highlight w:val="none"/>
        </w:rPr>
        <w:t>其中标无效。</w:t>
      </w:r>
      <w:r>
        <w:rPr>
          <w:rFonts w:hint="eastAsia" w:ascii="宋体" w:hAnsi="宋体" w:eastAsia="宋体" w:cs="宋体"/>
          <w:b/>
          <w:bCs/>
          <w:color w:val="auto"/>
          <w:szCs w:val="21"/>
          <w:highlight w:val="none"/>
          <w:u w:val="single"/>
        </w:rPr>
        <w:t>招标人可从其他合格中标候选人中采用原定标办法，由原定标委员会重新确定中标人，也可以重新招标。</w:t>
      </w:r>
    </w:p>
    <w:p w14:paraId="711FB99B">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条款号：39.定标                             修改类型：修改</w:t>
      </w:r>
    </w:p>
    <w:p w14:paraId="6D92B7B6">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39.定标</w:t>
      </w:r>
    </w:p>
    <w:p w14:paraId="6CA86C2F">
      <w:pPr>
        <w:pBdr>
          <w:bottom w:val="single" w:color="auto" w:sz="6" w:space="1"/>
        </w:pBd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39.1 招标人根据评标委员会递交的评标报告，最终审定中标人。</w:t>
      </w:r>
    </w:p>
    <w:p w14:paraId="79A07460">
      <w:pPr>
        <w:pBdr>
          <w:bottom w:val="single" w:color="auto" w:sz="6" w:space="1"/>
        </w:pBd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39.2 依法必须进行公开招标的项目，招标人应当确定排名第一的中标候选人为中标人。采用评定分离方式确定中标人的从其规定。若发现委派的项目负责人已在其他在建项目中任职，不符合任职数量规定时，招标人可以确定排名第二的中标候选人为中标人。</w:t>
      </w:r>
    </w:p>
    <w:p w14:paraId="6A3AACE7">
      <w:pPr>
        <w:pBdr>
          <w:bottom w:val="single" w:color="auto" w:sz="6" w:space="1"/>
        </w:pBd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39.3排名第一的中标候选人放弃中标、或因不可抗力提出不能履行合同，或者招标文件规定应当提交履约担保而在规定的期限内未能提交的，或经核查发现委派的项目负责人已在其他在建项目中任职，不符合任职数量规定时，招标人可以确定排名第二的中标候选人为中标人。</w:t>
      </w:r>
    </w:p>
    <w:p w14:paraId="042B0D4F">
      <w:pPr>
        <w:pBdr>
          <w:bottom w:val="single" w:color="auto" w:sz="6" w:space="1"/>
        </w:pBd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609EC977">
      <w:pPr>
        <w:pBdr>
          <w:bottom w:val="single" w:color="auto" w:sz="6" w:space="1"/>
        </w:pBd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39.5 重新评标的，评标信息（含业绩、奖项等）仍以投标截止时投标人的信息为准。因特殊原因需要延长投标有效期，投标人拒绝延长投标有效期的，仍参与评标，但不被推荐为中标候选人。</w:t>
      </w:r>
    </w:p>
    <w:p w14:paraId="1F30A8BA">
      <w:pPr>
        <w:pBdr>
          <w:bottom w:val="single" w:color="auto" w:sz="6" w:space="1"/>
        </w:pBd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39.6有效投标不足3个的，评标委员会应当对投标是否明显缺乏竞争和是否需要否决全部投标进行充分论证，并在评标报告中记载论证过程和结果。</w:t>
      </w:r>
    </w:p>
    <w:p w14:paraId="1C1425FC">
      <w:pPr>
        <w:pBdr>
          <w:bottom w:val="single" w:color="auto" w:sz="6" w:space="1"/>
        </w:pBd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注：采用评定分离方式的，招标人应在招标文件中明确定标方式。</w:t>
      </w:r>
    </w:p>
    <w:p w14:paraId="5D53F0FB">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
          <w:color w:val="auto"/>
          <w:szCs w:val="21"/>
          <w:highlight w:val="none"/>
          <w:u w:val="single"/>
        </w:rPr>
        <w:t>具体定标条款详见本章</w:t>
      </w:r>
      <w:r>
        <w:rPr>
          <w:rFonts w:hint="eastAsia" w:ascii="宋体" w:hAnsi="宋体" w:eastAsia="宋体" w:cs="宋体"/>
          <w:b/>
          <w:color w:val="auto"/>
          <w:szCs w:val="21"/>
          <w:highlight w:val="none"/>
          <w:u w:val="single"/>
          <w:lang w:eastAsia="zh-CN"/>
        </w:rPr>
        <w:t>5</w:t>
      </w:r>
      <w:r>
        <w:rPr>
          <w:rFonts w:hint="eastAsia" w:ascii="宋体" w:hAnsi="宋体" w:eastAsia="宋体" w:cs="宋体"/>
          <w:b/>
          <w:color w:val="auto"/>
          <w:szCs w:val="21"/>
          <w:highlight w:val="none"/>
          <w:u w:val="single"/>
          <w:lang w:val="en-US" w:eastAsia="zh-CN"/>
        </w:rPr>
        <w:t>1</w:t>
      </w:r>
      <w:r>
        <w:rPr>
          <w:rFonts w:hint="eastAsia" w:ascii="宋体" w:hAnsi="宋体" w:eastAsia="宋体" w:cs="宋体"/>
          <w:b/>
          <w:color w:val="auto"/>
          <w:szCs w:val="21"/>
          <w:highlight w:val="none"/>
          <w:u w:val="single"/>
        </w:rPr>
        <w:t>.定标详细规定</w:t>
      </w:r>
      <w:r>
        <w:rPr>
          <w:rFonts w:hint="eastAsia" w:ascii="宋体" w:hAnsi="宋体" w:eastAsia="宋体" w:cs="宋体"/>
          <w:color w:val="auto"/>
          <w:szCs w:val="21"/>
          <w:highlight w:val="none"/>
          <w:u w:val="single"/>
        </w:rPr>
        <w:t>。</w:t>
      </w:r>
    </w:p>
    <w:p w14:paraId="2E545B51">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color w:val="auto"/>
          <w:szCs w:val="21"/>
          <w:highlight w:val="none"/>
        </w:rPr>
        <w:t>可选办法一（适合综合评分法一，技术标与经济标先后分别开启）</w:t>
      </w:r>
      <w:r>
        <w:rPr>
          <w:rFonts w:hint="eastAsia" w:ascii="宋体" w:hAnsi="宋体" w:eastAsia="宋体" w:cs="宋体"/>
          <w:b/>
          <w:color w:val="auto"/>
          <w:szCs w:val="21"/>
          <w:highlight w:val="none"/>
        </w:rPr>
        <w:t xml:space="preserve"> 修改类型：删除</w:t>
      </w:r>
    </w:p>
    <w:p w14:paraId="128ABF58">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详见</w:t>
      </w:r>
      <w:r>
        <w:rPr>
          <w:rFonts w:hint="eastAsia" w:ascii="宋体" w:hAnsi="宋体" w:eastAsia="宋体" w:cs="宋体"/>
          <w:bCs/>
          <w:color w:val="auto"/>
          <w:szCs w:val="21"/>
          <w:highlight w:val="none"/>
        </w:rPr>
        <w:t>最新版广州市城市道路及轨道交通建设工程施工公开招标项目招标文件示范文本（适用于资格后审电子化施工招标投标项目）GZJTZB2025-3</w:t>
      </w:r>
      <w:r>
        <w:rPr>
          <w:rFonts w:hint="eastAsia" w:ascii="宋体" w:hAnsi="宋体" w:eastAsia="宋体" w:cs="宋体"/>
          <w:color w:val="auto"/>
          <w:szCs w:val="21"/>
          <w:highlight w:val="none"/>
        </w:rPr>
        <w:t>。</w:t>
      </w:r>
    </w:p>
    <w:p w14:paraId="563F566A">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color w:val="auto"/>
          <w:szCs w:val="21"/>
          <w:highlight w:val="none"/>
        </w:rPr>
        <w:t>可选办法二（适合综合评分法一，技术标与经济标同时开启）</w:t>
      </w:r>
      <w:r>
        <w:rPr>
          <w:rFonts w:hint="eastAsia" w:ascii="宋体" w:hAnsi="宋体" w:eastAsia="宋体" w:cs="宋体"/>
          <w:b/>
          <w:color w:val="auto"/>
          <w:szCs w:val="21"/>
          <w:highlight w:val="none"/>
        </w:rPr>
        <w:t xml:space="preserve">      修改类型：删除</w:t>
      </w:r>
    </w:p>
    <w:p w14:paraId="012C5198">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详见</w:t>
      </w:r>
      <w:r>
        <w:rPr>
          <w:rFonts w:hint="eastAsia" w:ascii="宋体" w:hAnsi="宋体" w:eastAsia="宋体" w:cs="宋体"/>
          <w:bCs/>
          <w:color w:val="auto"/>
          <w:szCs w:val="21"/>
          <w:highlight w:val="none"/>
        </w:rPr>
        <w:t>最新版广州市城市道路及轨道交通建设工程施工公开招标项目招标文件示范文本（适用于资格后审电子化施工招标投标项目）GZJTZB2025-3</w:t>
      </w:r>
      <w:r>
        <w:rPr>
          <w:rFonts w:hint="eastAsia" w:ascii="宋体" w:hAnsi="宋体" w:eastAsia="宋体" w:cs="宋体"/>
          <w:color w:val="auto"/>
          <w:szCs w:val="21"/>
          <w:highlight w:val="none"/>
        </w:rPr>
        <w:t>。</w:t>
      </w:r>
    </w:p>
    <w:p w14:paraId="4FDEC212">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color w:val="auto"/>
          <w:szCs w:val="21"/>
          <w:highlight w:val="none"/>
        </w:rPr>
        <w:t>可选办法三（适合综合评分法二，技术标与经济标先后分别开启）</w:t>
      </w:r>
      <w:r>
        <w:rPr>
          <w:rFonts w:hint="eastAsia" w:ascii="宋体" w:hAnsi="宋体" w:eastAsia="宋体" w:cs="宋体"/>
          <w:b/>
          <w:color w:val="auto"/>
          <w:szCs w:val="21"/>
          <w:highlight w:val="none"/>
        </w:rPr>
        <w:t xml:space="preserve">  修改类型：删除</w:t>
      </w:r>
    </w:p>
    <w:p w14:paraId="61C4C45C">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详见</w:t>
      </w:r>
      <w:r>
        <w:rPr>
          <w:rFonts w:hint="eastAsia" w:ascii="宋体" w:hAnsi="宋体" w:eastAsia="宋体" w:cs="宋体"/>
          <w:bCs/>
          <w:color w:val="auto"/>
          <w:szCs w:val="21"/>
          <w:highlight w:val="none"/>
        </w:rPr>
        <w:t>最新版广州市城市道路及轨道交通建设工程施工公开招标项目招标文件示范文本（适用于资格后审电子化施工招标投标项目）GZJTZB2025-3</w:t>
      </w:r>
      <w:r>
        <w:rPr>
          <w:rFonts w:hint="eastAsia" w:ascii="宋体" w:hAnsi="宋体" w:eastAsia="宋体" w:cs="宋体"/>
          <w:color w:val="auto"/>
          <w:szCs w:val="21"/>
          <w:highlight w:val="none"/>
        </w:rPr>
        <w:t>。</w:t>
      </w:r>
    </w:p>
    <w:p w14:paraId="134F9514">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color w:val="auto"/>
          <w:szCs w:val="21"/>
          <w:highlight w:val="none"/>
        </w:rPr>
        <w:t>可选办法四（适合综合评分法二，技术标与经济标同时开启）</w:t>
      </w:r>
      <w:r>
        <w:rPr>
          <w:rFonts w:hint="eastAsia" w:ascii="宋体" w:hAnsi="宋体" w:eastAsia="宋体" w:cs="宋体"/>
          <w:b/>
          <w:color w:val="auto"/>
          <w:szCs w:val="21"/>
          <w:highlight w:val="none"/>
        </w:rPr>
        <w:t xml:space="preserve">      修改类型：删除</w:t>
      </w:r>
    </w:p>
    <w:p w14:paraId="2DC16FDF">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详见</w:t>
      </w:r>
      <w:r>
        <w:rPr>
          <w:rFonts w:hint="eastAsia" w:ascii="宋体" w:hAnsi="宋体" w:eastAsia="宋体" w:cs="宋体"/>
          <w:bCs/>
          <w:color w:val="auto"/>
          <w:szCs w:val="21"/>
          <w:highlight w:val="none"/>
        </w:rPr>
        <w:t>最新版广州市城市道路及轨道交通建设工程施工公开招标项目招标文件示范文本（适用于资格后审电子化施工招标投标项目）GZJTZB2025-3</w:t>
      </w:r>
      <w:r>
        <w:rPr>
          <w:rFonts w:hint="eastAsia" w:ascii="宋体" w:hAnsi="宋体" w:eastAsia="宋体" w:cs="宋体"/>
          <w:color w:val="auto"/>
          <w:szCs w:val="21"/>
          <w:highlight w:val="none"/>
        </w:rPr>
        <w:t>。</w:t>
      </w:r>
    </w:p>
    <w:p w14:paraId="3BF7D447">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color w:val="auto"/>
          <w:szCs w:val="21"/>
          <w:highlight w:val="none"/>
        </w:rPr>
        <w:t xml:space="preserve">可选办法五（适合综合评分法三，技术标与经济标先后分别开启） </w:t>
      </w:r>
      <w:r>
        <w:rPr>
          <w:rFonts w:hint="eastAsia" w:ascii="宋体" w:hAnsi="宋体" w:eastAsia="宋体" w:cs="宋体"/>
          <w:b/>
          <w:color w:val="auto"/>
          <w:szCs w:val="21"/>
          <w:highlight w:val="none"/>
        </w:rPr>
        <w:t xml:space="preserve"> 修改类型：删除</w:t>
      </w:r>
    </w:p>
    <w:p w14:paraId="786D929D">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详见</w:t>
      </w:r>
      <w:r>
        <w:rPr>
          <w:rFonts w:hint="eastAsia" w:ascii="宋体" w:hAnsi="宋体" w:eastAsia="宋体" w:cs="宋体"/>
          <w:bCs/>
          <w:color w:val="auto"/>
          <w:szCs w:val="21"/>
          <w:highlight w:val="none"/>
        </w:rPr>
        <w:t>最新版广州市城市道路及轨道交通建设工程施工公开招标项目招标文件示范文本（适用于资格后审电子化施工招标投标项目）GZJTZB2025-3</w:t>
      </w:r>
      <w:r>
        <w:rPr>
          <w:rFonts w:hint="eastAsia" w:ascii="宋体" w:hAnsi="宋体" w:eastAsia="宋体" w:cs="宋体"/>
          <w:color w:val="auto"/>
          <w:szCs w:val="21"/>
          <w:highlight w:val="none"/>
        </w:rPr>
        <w:t>。</w:t>
      </w:r>
    </w:p>
    <w:p w14:paraId="6360573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Cs/>
          <w:color w:val="auto"/>
          <w:szCs w:val="21"/>
          <w:highlight w:val="none"/>
        </w:rPr>
        <w:t>可选办法六（适合综合评分法三，技术标与经济标同时开启）</w:t>
      </w:r>
      <w:r>
        <w:rPr>
          <w:rFonts w:hint="eastAsia" w:ascii="宋体" w:hAnsi="宋体" w:eastAsia="宋体" w:cs="宋体"/>
          <w:b/>
          <w:color w:val="auto"/>
          <w:szCs w:val="21"/>
          <w:highlight w:val="none"/>
        </w:rPr>
        <w:t xml:space="preserve">      修改类型：删除</w:t>
      </w:r>
    </w:p>
    <w:p w14:paraId="2B94C87B">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详见最新版广州市城市道路及轨道交通建设工程施工公开招标项目招标文件示范文本（适用于资格后审电子化施工招标投标项目）GZJTZB2025-3</w:t>
      </w:r>
    </w:p>
    <w:p w14:paraId="234B564D">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color w:val="auto"/>
          <w:szCs w:val="21"/>
          <w:highlight w:val="none"/>
        </w:rPr>
        <w:t>可选办法七（适合综合评分法四，技术标与经济标同时开启）</w:t>
      </w:r>
      <w:r>
        <w:rPr>
          <w:rFonts w:hint="eastAsia" w:ascii="宋体" w:hAnsi="宋体" w:eastAsia="宋体" w:cs="宋体"/>
          <w:b/>
          <w:color w:val="auto"/>
          <w:szCs w:val="21"/>
          <w:highlight w:val="none"/>
        </w:rPr>
        <w:t xml:space="preserve">      修改类型：</w:t>
      </w:r>
      <w:r>
        <w:rPr>
          <w:rFonts w:hint="eastAsia" w:ascii="宋体" w:hAnsi="宋体" w:eastAsia="宋体" w:cs="宋体"/>
          <w:b/>
          <w:color w:val="auto"/>
          <w:szCs w:val="21"/>
          <w:highlight w:val="none"/>
          <w:lang w:val="en-US" w:eastAsia="zh-CN"/>
        </w:rPr>
        <w:t>修改</w:t>
      </w:r>
    </w:p>
    <w:p w14:paraId="7CA2549A">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详见</w:t>
      </w:r>
      <w:r>
        <w:rPr>
          <w:rFonts w:hint="eastAsia" w:ascii="宋体" w:hAnsi="宋体" w:eastAsia="宋体" w:cs="宋体"/>
          <w:bCs/>
          <w:color w:val="auto"/>
          <w:szCs w:val="21"/>
          <w:highlight w:val="none"/>
        </w:rPr>
        <w:t>最新版广州市城市道路及轨道交通建设工程施工公开招标项目招标文件示范文本（适用于资格后审电子化施工招标投标项目）GZJTZB2025-3</w:t>
      </w:r>
      <w:r>
        <w:rPr>
          <w:rFonts w:hint="eastAsia" w:ascii="宋体" w:hAnsi="宋体" w:eastAsia="宋体" w:cs="宋体"/>
          <w:color w:val="auto"/>
          <w:szCs w:val="21"/>
          <w:highlight w:val="none"/>
        </w:rPr>
        <w:t>。</w:t>
      </w:r>
    </w:p>
    <w:p w14:paraId="5ACD8913">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
          <w:color w:val="auto"/>
          <w:szCs w:val="21"/>
          <w:highlight w:val="none"/>
          <w:u w:val="single"/>
        </w:rPr>
        <w:t>评定分离评标定标办法</w:t>
      </w:r>
      <w:r>
        <w:rPr>
          <w:rFonts w:hint="eastAsia" w:ascii="宋体" w:hAnsi="宋体" w:eastAsia="宋体" w:cs="宋体"/>
          <w:b/>
          <w:color w:val="auto"/>
          <w:szCs w:val="21"/>
          <w:highlight w:val="none"/>
        </w:rPr>
        <w:t>。</w:t>
      </w:r>
    </w:p>
    <w:p w14:paraId="74979361">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Cs/>
          <w:color w:val="auto"/>
          <w:szCs w:val="21"/>
          <w:highlight w:val="none"/>
        </w:rPr>
        <w:t>可选办法八（适合经评审的最低投标价法，技术标与经济标同时开启）</w:t>
      </w:r>
      <w:r>
        <w:rPr>
          <w:rFonts w:hint="eastAsia" w:ascii="宋体" w:hAnsi="宋体" w:eastAsia="宋体" w:cs="宋体"/>
          <w:b/>
          <w:color w:val="auto"/>
          <w:szCs w:val="21"/>
          <w:highlight w:val="none"/>
        </w:rPr>
        <w:t xml:space="preserve">  修改类型：删除</w:t>
      </w:r>
    </w:p>
    <w:p w14:paraId="1D8AE247">
      <w:pPr>
        <w:pBdr>
          <w:bottom w:val="single" w:color="auto" w:sz="6" w:space="1"/>
        </w:pBdr>
        <w:spacing w:line="360" w:lineRule="auto"/>
        <w:ind w:firstLine="422" w:firstLineChars="200"/>
        <w:rPr>
          <w:rFonts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详见最新版广州市城市道路及轨道交通建设工程施工公开招标项目招标文件示范文本（适用于资格后审电子化施工招标投标项目）GZJTZB2025-3</w:t>
      </w:r>
    </w:p>
    <w:p w14:paraId="1A7BC066">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color w:val="auto"/>
          <w:spacing w:val="-6"/>
          <w:szCs w:val="21"/>
          <w:highlight w:val="none"/>
        </w:rPr>
        <w:t xml:space="preserve">可选办法九（适用于规模较小的一般项目）                            </w:t>
      </w:r>
      <w:r>
        <w:rPr>
          <w:rFonts w:hint="eastAsia" w:ascii="宋体" w:hAnsi="宋体" w:eastAsia="宋体" w:cs="宋体"/>
          <w:b/>
          <w:color w:val="auto"/>
          <w:spacing w:val="-6"/>
          <w:szCs w:val="21"/>
          <w:highlight w:val="none"/>
        </w:rPr>
        <w:t>修改类型：删除</w:t>
      </w:r>
    </w:p>
    <w:p w14:paraId="07C36FD0">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详见</w:t>
      </w:r>
      <w:r>
        <w:rPr>
          <w:rFonts w:hint="eastAsia" w:ascii="宋体" w:hAnsi="宋体" w:eastAsia="宋体" w:cs="宋体"/>
          <w:bCs/>
          <w:color w:val="auto"/>
          <w:szCs w:val="21"/>
          <w:highlight w:val="none"/>
        </w:rPr>
        <w:t>最新版广州市城市道路及轨道交通建设工程施工公开招标项目招标文件示范文本（适用于资格后审电子化施工招标投标项目）GZJTZB2025-3</w:t>
      </w:r>
      <w:r>
        <w:rPr>
          <w:rFonts w:hint="eastAsia" w:ascii="宋体" w:hAnsi="宋体" w:eastAsia="宋体" w:cs="宋体"/>
          <w:color w:val="auto"/>
          <w:szCs w:val="21"/>
          <w:highlight w:val="none"/>
        </w:rPr>
        <w:t>。</w:t>
      </w:r>
    </w:p>
    <w:p w14:paraId="28FD9703">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条款号：40                                                           修改类型：修改</w:t>
      </w:r>
    </w:p>
    <w:p w14:paraId="3BB0E86F">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40．开标和评标程序</w:t>
      </w:r>
    </w:p>
    <w:p w14:paraId="0CD1AC31">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40．开标和评标程序</w:t>
      </w:r>
    </w:p>
    <w:p w14:paraId="62C77A50">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40.1投标人递交技术标、经济标投标文件；</w:t>
      </w:r>
    </w:p>
    <w:p w14:paraId="19AC36D7">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40.2技术标（含资格审查文件）与经济标投标文件同时公开开标；</w:t>
      </w:r>
    </w:p>
    <w:p w14:paraId="7EC09F88">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40.3由招标人随机抽取确定该工程计算评标参考价的等分点值X（适用于区间抽取法）；</w:t>
      </w:r>
    </w:p>
    <w:p w14:paraId="3EB524E9">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40.4由评标委员会对所有已公开开标的投标人进行资格审查；</w:t>
      </w:r>
    </w:p>
    <w:p w14:paraId="4655C5E7">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40.5技术标投标文件有效性审查；</w:t>
      </w:r>
    </w:p>
    <w:p w14:paraId="6395FECA">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40.6技术标详细审查评分；</w:t>
      </w:r>
    </w:p>
    <w:p w14:paraId="0C5C7D5A">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40.7经济标的算术校核；</w:t>
      </w:r>
    </w:p>
    <w:p w14:paraId="5341A3BC">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 xml:space="preserve">40.8经济标详细审查评分； </w:t>
      </w:r>
    </w:p>
    <w:p w14:paraId="18334C6D">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40.9评标委员会按照投标人总得分由高至低排序；</w:t>
      </w:r>
    </w:p>
    <w:p w14:paraId="03079F02">
      <w:pPr>
        <w:spacing w:line="360" w:lineRule="auto"/>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40.10经济标投标文件有效性审查；</w:t>
      </w:r>
    </w:p>
    <w:p w14:paraId="566BC60C">
      <w:pPr>
        <w:spacing w:line="360" w:lineRule="auto"/>
        <w:ind w:firstLine="420" w:firstLineChars="200"/>
        <w:rPr>
          <w:rFonts w:hint="eastAsia" w:ascii="宋体" w:hAnsi="宋体" w:eastAsia="宋体" w:cs="宋体"/>
          <w:bCs/>
          <w:color w:val="auto"/>
          <w:szCs w:val="21"/>
          <w:highlight w:val="none"/>
        </w:rPr>
      </w:pPr>
      <w:r>
        <w:rPr>
          <w:rFonts w:ascii="宋体" w:hAnsi="宋体" w:eastAsia="宋体" w:cs="宋体"/>
          <w:color w:val="auto"/>
          <w:szCs w:val="21"/>
          <w:highlight w:val="none"/>
        </w:rPr>
        <w:t>40.11评标委员会按排序向招标人推荐中标候选人名单，并递交资格审查报告及评标报告。</w:t>
      </w:r>
    </w:p>
    <w:p w14:paraId="7F99AEA6">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40．开标和评标程序</w:t>
      </w:r>
    </w:p>
    <w:p w14:paraId="45CE03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 开标和评标程序</w:t>
      </w:r>
    </w:p>
    <w:p w14:paraId="0B6B0B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40.1投标人递交技术标</w:t>
      </w:r>
      <w:r>
        <w:rPr>
          <w:rFonts w:hint="eastAsia" w:ascii="宋体" w:hAnsi="宋体" w:eastAsia="宋体" w:cs="宋体"/>
          <w:b/>
          <w:bCs/>
          <w:color w:val="auto"/>
          <w:szCs w:val="21"/>
          <w:highlight w:val="none"/>
          <w:u w:val="single"/>
        </w:rPr>
        <w:t>（含资格审查文件)</w:t>
      </w:r>
      <w:r>
        <w:rPr>
          <w:rFonts w:hint="eastAsia" w:ascii="宋体" w:hAnsi="宋体" w:eastAsia="宋体" w:cs="宋体"/>
          <w:color w:val="auto"/>
          <w:szCs w:val="21"/>
          <w:highlight w:val="none"/>
        </w:rPr>
        <w:t>、经济标投标文件；</w:t>
      </w:r>
    </w:p>
    <w:p w14:paraId="24AF4C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40.2</w:t>
      </w:r>
      <w:r>
        <w:rPr>
          <w:rFonts w:hint="eastAsia" w:ascii="宋体" w:hAnsi="宋体" w:eastAsia="宋体" w:cs="宋体"/>
          <w:b/>
          <w:color w:val="auto"/>
          <w:szCs w:val="21"/>
          <w:highlight w:val="none"/>
          <w:u w:val="single"/>
        </w:rPr>
        <w:t>技术标（含资格审查文件）</w:t>
      </w:r>
      <w:r>
        <w:rPr>
          <w:rFonts w:hint="eastAsia" w:ascii="宋体" w:hAnsi="宋体" w:eastAsia="宋体" w:cs="宋体"/>
          <w:color w:val="auto"/>
          <w:szCs w:val="21"/>
          <w:highlight w:val="none"/>
        </w:rPr>
        <w:t>与经济标投标文件同时公开开标；</w:t>
      </w:r>
    </w:p>
    <w:p w14:paraId="7410CC9E">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u w:val="single"/>
        </w:rPr>
        <w:t>40.3</w:t>
      </w:r>
      <w:r>
        <w:rPr>
          <w:rFonts w:hint="eastAsia" w:ascii="宋体" w:hAnsi="宋体" w:eastAsia="宋体" w:cs="宋体"/>
          <w:color w:val="auto"/>
          <w:szCs w:val="21"/>
          <w:highlight w:val="none"/>
        </w:rPr>
        <w:t>由评标委员会对所有已公开开标的投标人进行资格审查</w:t>
      </w:r>
      <w:r>
        <w:rPr>
          <w:rFonts w:hint="eastAsia" w:ascii="宋体" w:hAnsi="宋体" w:eastAsia="宋体" w:cs="宋体"/>
          <w:b/>
          <w:color w:val="auto"/>
          <w:szCs w:val="21"/>
          <w:highlight w:val="none"/>
          <w:u w:val="single"/>
        </w:rPr>
        <w:t>，并编写资格审查报告</w:t>
      </w:r>
      <w:r>
        <w:rPr>
          <w:rFonts w:hint="eastAsia" w:ascii="宋体" w:hAnsi="宋体" w:eastAsia="宋体" w:cs="宋体"/>
          <w:color w:val="auto"/>
          <w:szCs w:val="21"/>
          <w:highlight w:val="none"/>
        </w:rPr>
        <w:t>；</w:t>
      </w:r>
    </w:p>
    <w:p w14:paraId="4386C4E1">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u w:val="single"/>
        </w:rPr>
        <w:t>40.4</w:t>
      </w:r>
      <w:r>
        <w:rPr>
          <w:rFonts w:hint="eastAsia" w:ascii="宋体" w:hAnsi="宋体" w:eastAsia="宋体" w:cs="宋体"/>
          <w:color w:val="auto"/>
          <w:szCs w:val="21"/>
          <w:highlight w:val="none"/>
        </w:rPr>
        <w:t>技术标投标文件有效性审查；</w:t>
      </w:r>
    </w:p>
    <w:p w14:paraId="243BD2C4">
      <w:pPr>
        <w:spacing w:line="360" w:lineRule="auto"/>
        <w:ind w:firstLine="422" w:firstLineChars="200"/>
        <w:rPr>
          <w:rFonts w:hint="eastAsia" w:ascii="宋体" w:hAnsi="宋体" w:eastAsia="宋体" w:cs="宋体"/>
          <w:color w:val="auto"/>
          <w:szCs w:val="21"/>
          <w:highlight w:val="none"/>
        </w:rPr>
      </w:pPr>
      <w:r>
        <w:rPr>
          <w:rFonts w:ascii="宋体" w:hAnsi="宋体" w:eastAsia="宋体" w:cs="宋体"/>
          <w:b/>
          <w:color w:val="auto"/>
          <w:szCs w:val="21"/>
          <w:highlight w:val="none"/>
          <w:u w:val="single"/>
        </w:rPr>
        <w:t>40.5</w:t>
      </w:r>
      <w:r>
        <w:rPr>
          <w:rFonts w:ascii="宋体" w:hAnsi="宋体" w:eastAsia="宋体" w:cs="宋体"/>
          <w:color w:val="auto"/>
          <w:szCs w:val="21"/>
          <w:highlight w:val="none"/>
        </w:rPr>
        <w:t>技术标详细审查评分；</w:t>
      </w:r>
    </w:p>
    <w:p w14:paraId="261179AE">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u w:val="single"/>
        </w:rPr>
        <w:t>40.6</w:t>
      </w:r>
      <w:r>
        <w:rPr>
          <w:rFonts w:hint="eastAsia" w:ascii="宋体" w:hAnsi="宋体" w:eastAsia="宋体" w:cs="宋体"/>
          <w:color w:val="auto"/>
          <w:szCs w:val="21"/>
          <w:highlight w:val="none"/>
        </w:rPr>
        <w:t>经济标的算术校核；</w:t>
      </w:r>
    </w:p>
    <w:p w14:paraId="0775BED6">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u w:val="single"/>
        </w:rPr>
        <w:t>40.7</w:t>
      </w:r>
      <w:r>
        <w:rPr>
          <w:rFonts w:hint="eastAsia" w:ascii="宋体" w:hAnsi="宋体" w:eastAsia="宋体" w:cs="宋体"/>
          <w:color w:val="auto"/>
          <w:szCs w:val="21"/>
          <w:highlight w:val="none"/>
        </w:rPr>
        <w:t>经济标详细审查评分；</w:t>
      </w:r>
    </w:p>
    <w:p w14:paraId="4B26DB2D">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u w:val="single"/>
        </w:rPr>
        <w:t>40.8</w:t>
      </w:r>
      <w:r>
        <w:rPr>
          <w:rFonts w:hint="eastAsia" w:ascii="宋体" w:hAnsi="宋体" w:eastAsia="宋体" w:cs="宋体"/>
          <w:b/>
          <w:bCs/>
          <w:color w:val="auto"/>
          <w:szCs w:val="21"/>
          <w:highlight w:val="none"/>
          <w:u w:val="single"/>
        </w:rPr>
        <w:t>计算投标人总得分，并按总得分从高到低；</w:t>
      </w:r>
    </w:p>
    <w:p w14:paraId="2CB33978">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color w:val="auto"/>
          <w:szCs w:val="21"/>
          <w:highlight w:val="none"/>
          <w:u w:val="single"/>
        </w:rPr>
        <w:t>40.9按</w:t>
      </w:r>
      <w:r>
        <w:rPr>
          <w:rFonts w:hint="eastAsia" w:ascii="宋体" w:hAnsi="宋体" w:eastAsia="宋体" w:cs="宋体"/>
          <w:b/>
          <w:bCs/>
          <w:color w:val="auto"/>
          <w:szCs w:val="21"/>
          <w:highlight w:val="none"/>
          <w:u w:val="single"/>
        </w:rPr>
        <w:t>排序对经济标投标文件进行有效性审查，按投标须知前附表第20项规定推荐合格中标候选人；</w:t>
      </w:r>
    </w:p>
    <w:p w14:paraId="2C2C7C61">
      <w:pPr>
        <w:pBdr>
          <w:bottom w:val="single" w:color="auto" w:sz="6" w:space="1"/>
        </w:pBd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bCs/>
          <w:color w:val="auto"/>
          <w:szCs w:val="21"/>
          <w:highlight w:val="none"/>
          <w:u w:val="single"/>
        </w:rPr>
        <w:t>40.10评标委员会递交资格审查报告和评标报告并依法推荐合格中标候选人进入定标阶段。</w:t>
      </w:r>
    </w:p>
    <w:p w14:paraId="38175394">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条款号：41.1                        修改类型：修改</w:t>
      </w:r>
    </w:p>
    <w:p w14:paraId="509308C5">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41.1开标由招标人主持。</w:t>
      </w:r>
    </w:p>
    <w:p w14:paraId="477E9426">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41.1开标由招标人</w:t>
      </w:r>
      <w:r>
        <w:rPr>
          <w:rFonts w:hint="eastAsia" w:ascii="宋体" w:hAnsi="宋体" w:eastAsia="宋体" w:cs="宋体"/>
          <w:b/>
          <w:bCs/>
          <w:color w:val="auto"/>
          <w:szCs w:val="21"/>
          <w:highlight w:val="none"/>
          <w:u w:val="single"/>
        </w:rPr>
        <w:t>或招标代理</w:t>
      </w:r>
      <w:r>
        <w:rPr>
          <w:rFonts w:hint="eastAsia" w:ascii="宋体" w:hAnsi="宋体" w:eastAsia="宋体" w:cs="宋体"/>
          <w:color w:val="auto"/>
          <w:szCs w:val="21"/>
          <w:highlight w:val="none"/>
        </w:rPr>
        <w:t>主持。</w:t>
      </w:r>
    </w:p>
    <w:p w14:paraId="03AD155B">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条款号：41</w:t>
      </w:r>
      <w:r>
        <w:rPr>
          <w:rFonts w:ascii="宋体" w:hAnsi="宋体" w:eastAsia="宋体" w:cs="宋体"/>
          <w:b/>
          <w:color w:val="auto"/>
          <w:szCs w:val="21"/>
          <w:highlight w:val="none"/>
        </w:rPr>
        <w:t>.2</w:t>
      </w:r>
      <w:r>
        <w:rPr>
          <w:rFonts w:hint="eastAsia" w:ascii="宋体" w:hAnsi="宋体" w:eastAsia="宋体" w:cs="宋体"/>
          <w:b/>
          <w:color w:val="auto"/>
          <w:szCs w:val="21"/>
          <w:highlight w:val="none"/>
        </w:rPr>
        <w:t>.1                      修改类型：修改</w:t>
      </w:r>
    </w:p>
    <w:p w14:paraId="1E534607">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Times New Roman"/>
          <w:color w:val="auto"/>
          <w:szCs w:val="21"/>
          <w:highlight w:val="none"/>
        </w:rPr>
        <w:t>41.2.1投标截止期前，各投标人递交投标文件（包括技术标投标文件、经济标投标文件）至</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交易平台。有关投标文件提交的事项详见第一章投标须知。</w:t>
      </w:r>
    </w:p>
    <w:p w14:paraId="21BB3AE9">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Times New Roman"/>
          <w:color w:val="auto"/>
          <w:szCs w:val="21"/>
          <w:highlight w:val="none"/>
        </w:rPr>
        <w:t>41.2.1投标截止期前，各投标人递交投标文件（包括技术标投标文件、经济标投标文件</w:t>
      </w:r>
      <w:r>
        <w:rPr>
          <w:rFonts w:hint="eastAsia" w:ascii="宋体" w:hAnsi="宋体" w:eastAsia="宋体" w:cs="Times New Roman"/>
          <w:b/>
          <w:color w:val="auto"/>
          <w:szCs w:val="21"/>
          <w:highlight w:val="none"/>
          <w:u w:val="single"/>
        </w:rPr>
        <w:t>、定标文件</w:t>
      </w:r>
      <w:r>
        <w:rPr>
          <w:rFonts w:hint="eastAsia" w:ascii="宋体" w:hAnsi="宋体" w:eastAsia="宋体" w:cs="Times New Roman"/>
          <w:color w:val="auto"/>
          <w:szCs w:val="21"/>
          <w:highlight w:val="none"/>
        </w:rPr>
        <w:t>）至</w:t>
      </w:r>
      <w:r>
        <w:rPr>
          <w:rFonts w:hint="eastAsia" w:ascii="宋体" w:hAnsi="宋体" w:eastAsia="宋体" w:cs="宋体"/>
          <w:b/>
          <w:bCs/>
          <w:color w:val="auto"/>
          <w:szCs w:val="21"/>
          <w:highlight w:val="none"/>
          <w:u w:val="single"/>
        </w:rPr>
        <w:t>广州交易集团有限公司（广州公共资源交易中心）</w:t>
      </w:r>
      <w:r>
        <w:rPr>
          <w:rFonts w:hint="eastAsia" w:ascii="宋体" w:hAnsi="宋体" w:eastAsia="宋体" w:cs="Times New Roman"/>
          <w:color w:val="auto"/>
          <w:szCs w:val="21"/>
          <w:highlight w:val="none"/>
        </w:rPr>
        <w:t>交易平台。有关投标文件提交的事项详见第一章投标须知。</w:t>
      </w:r>
    </w:p>
    <w:p w14:paraId="5ABC66D9">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条款号：41</w:t>
      </w:r>
      <w:r>
        <w:rPr>
          <w:rFonts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2.</w:t>
      </w:r>
      <w:r>
        <w:rPr>
          <w:rFonts w:ascii="宋体" w:hAnsi="宋体" w:eastAsia="宋体" w:cs="宋体"/>
          <w:b/>
          <w:color w:val="auto"/>
          <w:szCs w:val="21"/>
          <w:highlight w:val="none"/>
        </w:rPr>
        <w:t>3</w:t>
      </w:r>
      <w:r>
        <w:rPr>
          <w:rFonts w:hint="eastAsia" w:ascii="宋体" w:hAnsi="宋体" w:eastAsia="宋体" w:cs="宋体"/>
          <w:b/>
          <w:color w:val="auto"/>
          <w:szCs w:val="21"/>
          <w:highlight w:val="none"/>
        </w:rPr>
        <w:t>.1                      修改类型：修改</w:t>
      </w:r>
    </w:p>
    <w:p w14:paraId="148CF8CC">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Times New Roman"/>
          <w:color w:val="auto"/>
          <w:szCs w:val="21"/>
          <w:highlight w:val="none"/>
        </w:rPr>
        <w:t>41.</w:t>
      </w:r>
      <w:r>
        <w:rPr>
          <w:rFonts w:hint="eastAsia" w:ascii="宋体" w:hAnsi="宋体" w:eastAsia="宋体" w:cs="Times New Roman"/>
          <w:color w:val="auto"/>
          <w:szCs w:val="21"/>
          <w:highlight w:val="none"/>
          <w:lang w:val="en-US" w:eastAsia="zh-CN"/>
        </w:rPr>
        <w:t>2.</w:t>
      </w:r>
      <w:r>
        <w:rPr>
          <w:rFonts w:ascii="宋体" w:hAnsi="宋体" w:eastAsia="宋体" w:cs="Times New Roman"/>
          <w:color w:val="auto"/>
          <w:szCs w:val="21"/>
          <w:highlight w:val="none"/>
        </w:rPr>
        <w:t>3.1开标时，公布：a、投标人名称；b、投标文件递交情况c、投标文件解密情况；d、法定代表人证明及授权委托；e、投标保证金；f、项目经理（负责人）名称；f、投标报价等主要内容及开标记录表中的其他必要内容。投标报价以数字和文字两种方式表述的，应公布文字表述的投标报价。</w:t>
      </w:r>
    </w:p>
    <w:p w14:paraId="101C3B4D">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Times New Roman"/>
          <w:color w:val="auto"/>
          <w:szCs w:val="21"/>
          <w:highlight w:val="none"/>
        </w:rPr>
        <w:t>41.</w:t>
      </w:r>
      <w:r>
        <w:rPr>
          <w:rFonts w:hint="eastAsia" w:ascii="宋体" w:hAnsi="宋体" w:eastAsia="宋体" w:cs="Times New Roman"/>
          <w:color w:val="auto"/>
          <w:szCs w:val="21"/>
          <w:highlight w:val="none"/>
          <w:lang w:val="en-US" w:eastAsia="zh-CN"/>
        </w:rPr>
        <w:t>2.</w:t>
      </w:r>
      <w:r>
        <w:rPr>
          <w:rFonts w:ascii="宋体" w:hAnsi="宋体" w:eastAsia="宋体" w:cs="Times New Roman"/>
          <w:color w:val="auto"/>
          <w:szCs w:val="21"/>
          <w:highlight w:val="none"/>
        </w:rPr>
        <w:t>3.1开标时，公布：a、投标人名称；b、投标文件递交情况c、投标文件解密情况；d、法定代表人证明及授权委托；</w:t>
      </w:r>
      <w:r>
        <w:rPr>
          <w:rFonts w:ascii="宋体" w:hAnsi="宋体" w:eastAsia="宋体" w:cs="Times New Roman"/>
          <w:strike/>
          <w:color w:val="auto"/>
          <w:szCs w:val="21"/>
          <w:highlight w:val="none"/>
        </w:rPr>
        <w:t>e、投标保证金</w:t>
      </w:r>
      <w:r>
        <w:rPr>
          <w:rFonts w:ascii="宋体" w:hAnsi="宋体" w:eastAsia="宋体" w:cs="Times New Roman"/>
          <w:color w:val="auto"/>
          <w:szCs w:val="21"/>
          <w:highlight w:val="none"/>
        </w:rPr>
        <w:t>；f、项目经理（负责人）名称；f、投标报价等主要内容及开标记录表中的其他必要内容。投标报价以数字和文字两种方式表述的，应公布文字表述的投标报价。</w:t>
      </w:r>
    </w:p>
    <w:p w14:paraId="5E7F7E50">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41.</w:t>
      </w:r>
      <w:r>
        <w:rPr>
          <w:rFonts w:hint="eastAsia" w:ascii="宋体" w:hAnsi="宋体" w:eastAsia="宋体" w:cs="宋体"/>
          <w:b/>
          <w:color w:val="auto"/>
          <w:szCs w:val="21"/>
          <w:highlight w:val="none"/>
          <w:lang w:val="en-US" w:eastAsia="zh-CN"/>
        </w:rPr>
        <w:t>2.</w:t>
      </w:r>
      <w:r>
        <w:rPr>
          <w:rFonts w:ascii="宋体" w:hAnsi="宋体" w:eastAsia="宋体" w:cs="宋体"/>
          <w:b/>
          <w:color w:val="auto"/>
          <w:szCs w:val="21"/>
          <w:highlight w:val="none"/>
        </w:rPr>
        <w:t>3.2</w:t>
      </w:r>
      <w:r>
        <w:rPr>
          <w:rFonts w:hint="eastAsia" w:ascii="宋体" w:hAnsi="宋体" w:eastAsia="宋体" w:cs="宋体"/>
          <w:b/>
          <w:color w:val="auto"/>
          <w:szCs w:val="21"/>
          <w:highlight w:val="none"/>
        </w:rPr>
        <w:t xml:space="preserve">     　                         修改类型：删除</w:t>
      </w:r>
    </w:p>
    <w:p w14:paraId="057A5A4F">
      <w:pPr>
        <w:widowControl/>
        <w:pBdr>
          <w:bottom w:val="single" w:color="auto" w:sz="6" w:space="1"/>
        </w:pBdr>
        <w:spacing w:line="360" w:lineRule="auto"/>
        <w:ind w:firstLine="422" w:firstLineChars="200"/>
        <w:jc w:val="left"/>
        <w:rPr>
          <w:rFonts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bCs/>
          <w:color w:val="auto"/>
          <w:szCs w:val="21"/>
          <w:highlight w:val="none"/>
        </w:rPr>
        <w:t>41.</w:t>
      </w:r>
      <w:r>
        <w:rPr>
          <w:rFonts w:hint="eastAsia" w:ascii="宋体" w:hAnsi="宋体" w:eastAsia="宋体" w:cs="宋体"/>
          <w:bCs/>
          <w:color w:val="auto"/>
          <w:szCs w:val="21"/>
          <w:highlight w:val="none"/>
          <w:lang w:val="en-US" w:eastAsia="zh-CN"/>
        </w:rPr>
        <w:t>2.</w:t>
      </w:r>
      <w:r>
        <w:rPr>
          <w:rFonts w:ascii="宋体" w:hAnsi="宋体" w:eastAsia="宋体" w:cs="宋体"/>
          <w:bCs/>
          <w:color w:val="auto"/>
          <w:szCs w:val="21"/>
          <w:highlight w:val="none"/>
        </w:rPr>
        <w:t>3.2由招标人随机抽取确定该工程计算评标参考价的等分点值X。</w:t>
      </w:r>
    </w:p>
    <w:p w14:paraId="07556285">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条款号：41.</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 xml:space="preserve">                        修改类型：修改</w:t>
      </w:r>
    </w:p>
    <w:p w14:paraId="2DE4D0E7">
      <w:pPr>
        <w:pBdr>
          <w:bottom w:val="single" w:color="auto" w:sz="6" w:space="1"/>
        </w:pBdr>
        <w:spacing w:line="360" w:lineRule="auto"/>
        <w:ind w:firstLine="422" w:firstLineChars="200"/>
        <w:rPr>
          <w:rFonts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 w:val="0"/>
          <w:bCs/>
          <w:color w:val="auto"/>
          <w:szCs w:val="21"/>
          <w:highlight w:val="none"/>
        </w:rPr>
        <w:t>41.3招标人对开标过程进行记录，并存档备查。</w:t>
      </w:r>
    </w:p>
    <w:p w14:paraId="350B8FF7">
      <w:pPr>
        <w:pBdr>
          <w:bottom w:val="single" w:color="auto" w:sz="6" w:space="1"/>
        </w:pBd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41.</w:t>
      </w:r>
      <w:r>
        <w:rPr>
          <w:rFonts w:hint="eastAsia" w:ascii="宋体" w:hAnsi="宋体" w:eastAsia="宋体" w:cs="宋体"/>
          <w:color w:val="auto"/>
          <w:szCs w:val="21"/>
          <w:highlight w:val="none"/>
          <w:lang w:val="en-US" w:eastAsia="zh-CN"/>
        </w:rPr>
        <w:t>3</w:t>
      </w:r>
      <w:r>
        <w:rPr>
          <w:rFonts w:hint="eastAsia" w:ascii="宋体" w:hAnsi="宋体" w:eastAsia="宋体" w:cs="宋体"/>
          <w:b w:val="0"/>
          <w:bCs/>
          <w:color w:val="auto"/>
          <w:szCs w:val="21"/>
          <w:highlight w:val="none"/>
        </w:rPr>
        <w:t>招标人</w:t>
      </w:r>
      <w:r>
        <w:rPr>
          <w:rFonts w:hint="eastAsia" w:ascii="宋体" w:hAnsi="宋体" w:eastAsia="宋体" w:cs="宋体"/>
          <w:b/>
          <w:bCs w:val="0"/>
          <w:color w:val="auto"/>
          <w:szCs w:val="21"/>
          <w:highlight w:val="none"/>
          <w:lang w:val="en-US" w:eastAsia="zh-CN"/>
        </w:rPr>
        <w:t>或招标代理</w:t>
      </w:r>
      <w:r>
        <w:rPr>
          <w:rFonts w:hint="eastAsia" w:ascii="宋体" w:hAnsi="宋体" w:eastAsia="宋体" w:cs="宋体"/>
          <w:b w:val="0"/>
          <w:bCs/>
          <w:color w:val="auto"/>
          <w:szCs w:val="21"/>
          <w:highlight w:val="none"/>
        </w:rPr>
        <w:t>对开标过程进行记录，并存档备查。</w:t>
      </w:r>
    </w:p>
    <w:p w14:paraId="208B2A0B">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条款号：41.</w:t>
      </w:r>
      <w:r>
        <w:rPr>
          <w:rFonts w:ascii="宋体" w:hAnsi="宋体" w:eastAsia="宋体" w:cs="宋体"/>
          <w:b/>
          <w:color w:val="auto"/>
          <w:szCs w:val="21"/>
          <w:highlight w:val="none"/>
        </w:rPr>
        <w:t>4</w:t>
      </w:r>
      <w:r>
        <w:rPr>
          <w:rFonts w:hint="eastAsia" w:ascii="宋体" w:hAnsi="宋体" w:eastAsia="宋体" w:cs="宋体"/>
          <w:b/>
          <w:color w:val="auto"/>
          <w:szCs w:val="21"/>
          <w:highlight w:val="none"/>
        </w:rPr>
        <w:t xml:space="preserve">                        修改类型：修改</w:t>
      </w:r>
    </w:p>
    <w:p w14:paraId="609B1A35">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41.4</w:t>
      </w:r>
      <w:r>
        <w:rPr>
          <w:rFonts w:hint="eastAsia" w:ascii="宋体" w:hAnsi="宋体" w:eastAsia="宋体" w:cs="宋体"/>
          <w:color w:val="auto"/>
          <w:szCs w:val="21"/>
          <w:highlight w:val="none"/>
        </w:rPr>
        <w:t>招标人将上述符合要求的投标文件，送至评标委员会进行评审。</w:t>
      </w:r>
    </w:p>
    <w:p w14:paraId="3CBE9F69">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41.4招标人</w:t>
      </w:r>
      <w:r>
        <w:rPr>
          <w:rFonts w:hint="eastAsia" w:ascii="宋体" w:hAnsi="宋体" w:eastAsia="宋体" w:cs="宋体"/>
          <w:b/>
          <w:bCs/>
          <w:color w:val="auto"/>
          <w:szCs w:val="21"/>
          <w:highlight w:val="none"/>
          <w:lang w:val="en-US" w:eastAsia="zh-CN"/>
        </w:rPr>
        <w:t>或招标代理</w:t>
      </w:r>
      <w:r>
        <w:rPr>
          <w:rFonts w:hint="eastAsia" w:ascii="宋体" w:hAnsi="宋体" w:eastAsia="宋体" w:cs="宋体"/>
          <w:color w:val="auto"/>
          <w:szCs w:val="21"/>
          <w:highlight w:val="none"/>
        </w:rPr>
        <w:t>将上述符合要求的投标文件，送至评标委员会进行评审。</w:t>
      </w:r>
    </w:p>
    <w:p w14:paraId="2D05B1A2">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条款号：4</w:t>
      </w:r>
      <w:r>
        <w:rPr>
          <w:rFonts w:ascii="宋体" w:hAnsi="宋体" w:eastAsia="宋体" w:cs="宋体"/>
          <w:b/>
          <w:color w:val="auto"/>
          <w:szCs w:val="21"/>
          <w:highlight w:val="none"/>
        </w:rPr>
        <w:t>2</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 xml:space="preserve">                       修改类型：修改</w:t>
      </w:r>
    </w:p>
    <w:p w14:paraId="6D72CFA8">
      <w:pPr>
        <w:spacing w:line="360" w:lineRule="auto"/>
        <w:ind w:firstLine="422" w:firstLineChars="200"/>
        <w:rPr>
          <w:rFonts w:ascii="宋体" w:hAnsi="宋体" w:eastAsia="宋体" w:cs="Times New Roman"/>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Times New Roman"/>
          <w:color w:val="auto"/>
          <w:szCs w:val="21"/>
          <w:highlight w:val="none"/>
        </w:rPr>
        <w:t>42.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评标委员会的组成：方式</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p>
    <w:p w14:paraId="25770D2B">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方式一：评标委员会为综合评标委员会，负责评标工作。</w:t>
      </w:r>
    </w:p>
    <w:p w14:paraId="6AE6FCF5">
      <w:pPr>
        <w:pBdr>
          <w:bottom w:val="single" w:color="auto" w:sz="6" w:space="1"/>
        </w:pBdr>
        <w:spacing w:line="360" w:lineRule="auto"/>
        <w:ind w:firstLine="420" w:firstLineChars="200"/>
        <w:rPr>
          <w:rFonts w:ascii="宋体" w:hAnsi="宋体" w:eastAsia="宋体" w:cs="宋体"/>
          <w:color w:val="auto"/>
          <w:szCs w:val="21"/>
          <w:highlight w:val="none"/>
        </w:rPr>
      </w:pPr>
      <w:r>
        <w:rPr>
          <w:rFonts w:hint="eastAsia" w:ascii="宋体" w:hAnsi="宋体" w:eastAsia="宋体" w:cs="Times New Roman"/>
          <w:color w:val="auto"/>
          <w:szCs w:val="21"/>
          <w:highlight w:val="none"/>
        </w:rPr>
        <w:t>方式二：评标委员会由技术评审组和经济评审组组成。其中：资格审查、技术评审由技术评标组负责，经济评审由经济评审组负责。</w:t>
      </w:r>
    </w:p>
    <w:p w14:paraId="052BF374">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Times New Roman"/>
          <w:color w:val="auto"/>
          <w:szCs w:val="21"/>
          <w:highlight w:val="none"/>
        </w:rPr>
        <w:t>42.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评标委员会的组成：</w:t>
      </w:r>
      <w:r>
        <w:rPr>
          <w:rFonts w:hint="eastAsia" w:ascii="宋体" w:hAnsi="宋体" w:eastAsia="宋体" w:cs="宋体"/>
          <w:b/>
          <w:color w:val="auto"/>
          <w:szCs w:val="21"/>
          <w:highlight w:val="none"/>
          <w:u w:val="single"/>
        </w:rPr>
        <w:t>评标委员会由招标人依法组建。</w:t>
      </w:r>
    </w:p>
    <w:p w14:paraId="507C1D36">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.6</w:t>
      </w:r>
      <w:r>
        <w:rPr>
          <w:rFonts w:hint="eastAsia" w:ascii="宋体" w:hAnsi="宋体" w:eastAsia="宋体" w:cs="宋体"/>
          <w:b/>
          <w:color w:val="auto"/>
          <w:szCs w:val="21"/>
          <w:highlight w:val="none"/>
        </w:rPr>
        <w:t xml:space="preserve">                     修改类型：修改</w:t>
      </w:r>
    </w:p>
    <w:p w14:paraId="546D017E">
      <w:pPr>
        <w:tabs>
          <w:tab w:val="left" w:pos="7380"/>
        </w:tabs>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kern w:val="0"/>
          <w:highlight w:val="none"/>
        </w:rPr>
        <w:t>原文：</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6资格审查合格的投标人少于3名的（当N个标段同时招标且不允许兼中时，资格审查合格的投标人少于N+2名），则本项目招标失败，由招标人依法重新招标。</w:t>
      </w:r>
    </w:p>
    <w:p w14:paraId="53750FDF">
      <w:pPr>
        <w:pBdr>
          <w:bottom w:val="single" w:color="auto" w:sz="6" w:space="1"/>
        </w:pBdr>
        <w:spacing w:line="360" w:lineRule="auto"/>
        <w:ind w:firstLine="422" w:firstLineChars="200"/>
        <w:rPr>
          <w:rFonts w:ascii="宋体" w:hAnsi="宋体" w:eastAsia="宋体" w:cs="宋体"/>
          <w:b/>
          <w:bCs/>
          <w:color w:val="auto"/>
          <w:szCs w:val="21"/>
          <w:highlight w:val="none"/>
          <w:u w:val="single"/>
        </w:rPr>
      </w:pPr>
      <w:r>
        <w:rPr>
          <w:rFonts w:hint="eastAsia" w:ascii="宋体" w:hAnsi="宋体" w:eastAsia="宋体" w:cs="宋体"/>
          <w:b/>
          <w:color w:val="auto"/>
          <w:highlight w:val="none"/>
        </w:rPr>
        <w:t>现文：</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6资格审查合格的投标人少于3名的</w:t>
      </w:r>
      <w:r>
        <w:rPr>
          <w:rFonts w:hint="eastAsia" w:ascii="宋体" w:hAnsi="宋体" w:eastAsia="宋体" w:cs="宋体"/>
          <w:strike/>
          <w:color w:val="auto"/>
          <w:szCs w:val="21"/>
          <w:highlight w:val="none"/>
        </w:rPr>
        <w:t>（当N个标段同时招标且不允许兼中时，资格审查合格的投标人少于N+2名）</w:t>
      </w:r>
      <w:r>
        <w:rPr>
          <w:rFonts w:hint="eastAsia" w:ascii="宋体" w:hAnsi="宋体" w:eastAsia="宋体" w:cs="宋体"/>
          <w:color w:val="auto"/>
          <w:szCs w:val="21"/>
          <w:highlight w:val="none"/>
        </w:rPr>
        <w:t>，则本项目招标失败，由招标人依法重新招标。</w:t>
      </w:r>
    </w:p>
    <w:p w14:paraId="359D50C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w:t>
      </w:r>
      <w:r>
        <w:rPr>
          <w:rFonts w:ascii="宋体" w:hAnsi="宋体" w:eastAsia="宋体" w:cs="宋体"/>
          <w:b/>
          <w:color w:val="auto"/>
          <w:szCs w:val="21"/>
          <w:highlight w:val="none"/>
        </w:rPr>
        <w:t>4.1</w:t>
      </w:r>
      <w:r>
        <w:rPr>
          <w:rFonts w:hint="eastAsia" w:ascii="宋体" w:hAnsi="宋体" w:eastAsia="宋体" w:cs="宋体"/>
          <w:b/>
          <w:color w:val="auto"/>
          <w:szCs w:val="21"/>
          <w:highlight w:val="none"/>
        </w:rPr>
        <w:t xml:space="preserve">     　    </w:t>
      </w:r>
      <w:r>
        <w:rPr>
          <w:rFonts w:ascii="宋体" w:hAnsi="宋体" w:eastAsia="宋体" w:cs="宋体"/>
          <w:b/>
          <w:color w:val="auto"/>
          <w:szCs w:val="21"/>
          <w:highlight w:val="none"/>
        </w:rPr>
        <w:t xml:space="preserve">  </w:t>
      </w:r>
      <w:r>
        <w:rPr>
          <w:rFonts w:hint="eastAsia" w:ascii="宋体" w:hAnsi="宋体" w:eastAsia="宋体" w:cs="宋体"/>
          <w:b/>
          <w:color w:val="auto"/>
          <w:szCs w:val="21"/>
          <w:highlight w:val="none"/>
        </w:rPr>
        <w:t xml:space="preserve">                     修改类型：修改</w:t>
      </w:r>
    </w:p>
    <w:p w14:paraId="6F3070FA">
      <w:pPr>
        <w:widowControl/>
        <w:spacing w:line="360" w:lineRule="auto"/>
        <w:ind w:firstLine="422" w:firstLineChars="200"/>
        <w:jc w:val="lef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bCs/>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本项目招标失败（当N个标段同时招标且不允许兼中时，通过技术标有效性审查投标人应≥N+2），由招标人依法重新招标。评委发现投标文件中含义不明确、对同类问题表述不一致、有明显文字和计</w:t>
      </w:r>
      <w:r>
        <w:rPr>
          <w:rFonts w:hint="eastAsia" w:ascii="宋体" w:hAnsi="宋体" w:eastAsia="宋体" w:cs="宋体"/>
          <w:bCs/>
          <w:color w:val="auto"/>
          <w:szCs w:val="21"/>
          <w:highlight w:val="none"/>
        </w:rPr>
        <w:t>算错误的，应当要求投标人作必要的澄清、说明后再判定投标人是否通过有效性审查，不得直接否决投标。</w:t>
      </w:r>
    </w:p>
    <w:p w14:paraId="306B17BD">
      <w:pPr>
        <w:pBdr>
          <w:bottom w:val="single" w:color="auto" w:sz="6" w:space="1"/>
        </w:pBd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本项目招标失败</w:t>
      </w:r>
      <w:r>
        <w:rPr>
          <w:rFonts w:ascii="宋体" w:hAnsi="宋体" w:eastAsia="宋体" w:cs="宋体"/>
          <w:strike/>
          <w:color w:val="auto"/>
          <w:szCs w:val="21"/>
          <w:highlight w:val="none"/>
        </w:rPr>
        <w:t>（当N个标段同时招标且不允许兼中时，通过技术标有效性审查投标人应≥N+2）</w:t>
      </w:r>
      <w:r>
        <w:rPr>
          <w:rFonts w:ascii="宋体" w:hAnsi="宋体" w:eastAsia="宋体" w:cs="宋体"/>
          <w:color w:val="auto"/>
          <w:szCs w:val="21"/>
          <w:highlight w:val="none"/>
        </w:rPr>
        <w:t>，由招标人依法重新招标。评委发现投标文件中含义不明确、对同类问题表述不一致、有明显文字和计</w:t>
      </w:r>
      <w:r>
        <w:rPr>
          <w:rFonts w:hint="eastAsia" w:ascii="宋体" w:hAnsi="宋体" w:eastAsia="宋体" w:cs="宋体"/>
          <w:color w:val="auto"/>
          <w:szCs w:val="21"/>
          <w:highlight w:val="none"/>
        </w:rPr>
        <w:t>算错误的，应当要求投标人作必要的澄清、说明后再判定投标人是否通过有效性审查，不得直接否决投标。</w:t>
      </w:r>
    </w:p>
    <w:p w14:paraId="177A7D50">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条款号：</w:t>
      </w:r>
      <w:r>
        <w:rPr>
          <w:rFonts w:ascii="宋体" w:hAnsi="宋体" w:eastAsia="宋体" w:cs="Times New Roman"/>
          <w:b/>
          <w:color w:val="auto"/>
          <w:szCs w:val="21"/>
          <w:highlight w:val="none"/>
        </w:rPr>
        <w:t>45.5                          修改类型：修改</w:t>
      </w:r>
    </w:p>
    <w:p w14:paraId="51261CC2">
      <w:pPr>
        <w:spacing w:line="360" w:lineRule="auto"/>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原文：</w:t>
      </w:r>
      <w:r>
        <w:rPr>
          <w:rFonts w:ascii="宋体" w:hAnsi="宋体" w:eastAsia="宋体" w:cs="Times New Roman"/>
          <w:color w:val="auto"/>
          <w:szCs w:val="21"/>
          <w:highlight w:val="none"/>
        </w:rPr>
        <w:t>45.5如果投标人的有关规费、暂列金额、暂估价、绿色施工安全防护措施费等未按招标文件规定的金额填写的，由评标委员会按照招标文件规定的金额进行修正；</w:t>
      </w:r>
    </w:p>
    <w:p w14:paraId="3E2A2F3E">
      <w:pPr>
        <w:pBdr>
          <w:bottom w:val="single" w:color="auto" w:sz="6" w:space="1"/>
        </w:pBdr>
        <w:spacing w:line="360" w:lineRule="auto"/>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现文：</w:t>
      </w:r>
      <w:r>
        <w:rPr>
          <w:rFonts w:ascii="宋体" w:hAnsi="宋体" w:eastAsia="宋体" w:cs="Times New Roman"/>
          <w:color w:val="auto"/>
          <w:szCs w:val="21"/>
          <w:highlight w:val="none"/>
        </w:rPr>
        <w:t>45.5如果投标人的有关规费、暂列金额、暂估价、</w:t>
      </w:r>
      <w:r>
        <w:rPr>
          <w:rFonts w:hint="eastAsia" w:ascii="宋体" w:hAnsi="宋体" w:eastAsia="宋体" w:cs="Times New Roman"/>
          <w:b/>
          <w:color w:val="auto"/>
          <w:szCs w:val="21"/>
          <w:highlight w:val="none"/>
          <w:u w:val="single"/>
        </w:rPr>
        <w:t>安全生产措施费</w:t>
      </w:r>
      <w:r>
        <w:rPr>
          <w:rFonts w:ascii="宋体" w:hAnsi="宋体" w:eastAsia="宋体" w:cs="Times New Roman"/>
          <w:color w:val="auto"/>
          <w:szCs w:val="21"/>
          <w:highlight w:val="none"/>
        </w:rPr>
        <w:t xml:space="preserve">等未按招标文件规定的金额填写的，由评标委员会按照招标文件规定的金额进行修正； </w:t>
      </w:r>
    </w:p>
    <w:p w14:paraId="7363458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w:t>
      </w:r>
      <w:r>
        <w:rPr>
          <w:rFonts w:ascii="宋体" w:hAnsi="宋体" w:eastAsia="宋体" w:cs="宋体"/>
          <w:b/>
          <w:color w:val="auto"/>
          <w:szCs w:val="21"/>
          <w:highlight w:val="none"/>
        </w:rPr>
        <w:t>5</w:t>
      </w:r>
      <w:r>
        <w:rPr>
          <w:rFonts w:hint="eastAsia" w:ascii="宋体" w:hAnsi="宋体" w:eastAsia="宋体" w:cs="宋体"/>
          <w:b/>
          <w:color w:val="auto"/>
          <w:szCs w:val="21"/>
          <w:highlight w:val="none"/>
        </w:rPr>
        <w:t>.8                               修改类型：修改</w:t>
      </w:r>
    </w:p>
    <w:p w14:paraId="426F0404">
      <w:pPr>
        <w:pStyle w:val="48"/>
        <w:tabs>
          <w:tab w:val="left" w:pos="7380"/>
        </w:tabs>
        <w:spacing w:after="0"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原文：</w:t>
      </w:r>
      <w:r>
        <w:rPr>
          <w:rFonts w:ascii="宋体" w:hAnsi="宋体" w:cs="宋体"/>
          <w:bCs/>
          <w:color w:val="auto"/>
          <w:sz w:val="21"/>
          <w:szCs w:val="21"/>
          <w:highlight w:val="none"/>
        </w:rPr>
        <w:t>45.8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并且其投标保证金也将不予退还。</w:t>
      </w:r>
    </w:p>
    <w:p w14:paraId="37F9DB4E">
      <w:pPr>
        <w:pBdr>
          <w:bottom w:val="single" w:color="auto" w:sz="6" w:space="1"/>
        </w:pBd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bCs/>
          <w:color w:val="auto"/>
          <w:szCs w:val="21"/>
          <w:highlight w:val="none"/>
        </w:rPr>
        <w:t>45.8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w:t>
      </w:r>
      <w:r>
        <w:rPr>
          <w:rFonts w:ascii="宋体" w:hAnsi="宋体" w:eastAsia="宋体" w:cs="宋体"/>
          <w:bCs/>
          <w:strike/>
          <w:color w:val="auto"/>
          <w:szCs w:val="21"/>
          <w:highlight w:val="none"/>
        </w:rPr>
        <w:t>，并且其投标保证金也将不予退还</w:t>
      </w:r>
      <w:r>
        <w:rPr>
          <w:rFonts w:ascii="宋体" w:hAnsi="宋体" w:eastAsia="宋体" w:cs="宋体"/>
          <w:bCs/>
          <w:color w:val="auto"/>
          <w:szCs w:val="21"/>
          <w:highlight w:val="none"/>
        </w:rPr>
        <w:t>。</w:t>
      </w:r>
    </w:p>
    <w:p w14:paraId="075F0E9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w:t>
      </w:r>
      <w:r>
        <w:rPr>
          <w:rFonts w:ascii="宋体" w:hAnsi="宋体" w:eastAsia="宋体" w:cs="宋体"/>
          <w:b/>
          <w:color w:val="auto"/>
          <w:szCs w:val="21"/>
          <w:highlight w:val="none"/>
        </w:rPr>
        <w:t>6.2</w:t>
      </w:r>
      <w:r>
        <w:rPr>
          <w:rFonts w:hint="eastAsia" w:ascii="宋体" w:hAnsi="宋体" w:eastAsia="宋体" w:cs="宋体"/>
          <w:b/>
          <w:color w:val="auto"/>
          <w:szCs w:val="21"/>
          <w:highlight w:val="none"/>
        </w:rPr>
        <w:t>-46.4                                  修改类型：修改</w:t>
      </w:r>
    </w:p>
    <w:p w14:paraId="64C05741">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46.2按以下方法计算评标参考价：</w:t>
      </w:r>
    </w:p>
    <w:p w14:paraId="41E0379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区间抽取法</w:t>
      </w:r>
    </w:p>
    <w:p w14:paraId="51C2B4E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设立入围合格分数线（技术标或技术标加企业信用评价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35A25869">
      <w:pPr>
        <w:spacing w:line="360" w:lineRule="auto"/>
        <w:ind w:firstLine="420" w:firstLineChars="200"/>
        <w:rPr>
          <w:rFonts w:hint="eastAsia" w:ascii="宋体" w:hAnsi="宋体" w:eastAsia="宋体" w:cs="宋体"/>
          <w:bCs/>
          <w:color w:val="auto"/>
          <w:szCs w:val="21"/>
          <w:highlight w:val="none"/>
          <w:vertAlign w:val="subscript"/>
        </w:rPr>
      </w:pPr>
      <w:r>
        <w:rPr>
          <w:rFonts w:hint="eastAsia" w:ascii="宋体" w:hAnsi="宋体" w:eastAsia="宋体" w:cs="宋体"/>
          <w:bCs/>
          <w:color w:val="auto"/>
          <w:szCs w:val="21"/>
          <w:highlight w:val="none"/>
        </w:rPr>
        <w:t>评标参考价</w:t>
      </w:r>
      <w:r>
        <w:rPr>
          <w:rFonts w:ascii="宋体" w:hAnsi="宋体" w:eastAsia="宋体" w:cs="宋体"/>
          <w:bCs/>
          <w:color w:val="auto"/>
          <w:szCs w:val="21"/>
          <w:highlight w:val="none"/>
        </w:rPr>
        <w:t>=</w:t>
      </w: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Q</w:t>
      </w:r>
      <w:r>
        <w:rPr>
          <w:rFonts w:hint="eastAsia" w:ascii="宋体" w:hAnsi="宋体" w:eastAsia="宋体" w:cs="宋体"/>
          <w:bCs/>
          <w:color w:val="auto"/>
          <w:szCs w:val="21"/>
          <w:highlight w:val="none"/>
          <w:vertAlign w:val="subscript"/>
        </w:rPr>
        <w:t>高</w:t>
      </w:r>
      <w:r>
        <w:rPr>
          <w:rFonts w:ascii="宋体" w:hAnsi="宋体" w:eastAsia="宋体" w:cs="宋体"/>
          <w:bCs/>
          <w:color w:val="auto"/>
          <w:szCs w:val="21"/>
          <w:highlight w:val="none"/>
        </w:rPr>
        <w:t>-Q</w:t>
      </w:r>
      <w:r>
        <w:rPr>
          <w:rFonts w:hint="eastAsia" w:ascii="宋体" w:hAnsi="宋体" w:eastAsia="宋体" w:cs="宋体"/>
          <w:bCs/>
          <w:color w:val="auto"/>
          <w:szCs w:val="21"/>
          <w:highlight w:val="none"/>
          <w:vertAlign w:val="subscript"/>
        </w:rPr>
        <w:t>低</w:t>
      </w: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/100*</w:t>
      </w:r>
      <w:r>
        <w:rPr>
          <w:rFonts w:hint="eastAsia" w:ascii="宋体" w:hAnsi="宋体" w:eastAsia="宋体" w:cs="宋体"/>
          <w:bCs/>
          <w:color w:val="auto"/>
          <w:szCs w:val="21"/>
          <w:highlight w:val="none"/>
        </w:rPr>
        <w:t>Ｘ</w:t>
      </w:r>
      <w:r>
        <w:rPr>
          <w:rFonts w:ascii="宋体" w:hAnsi="宋体" w:eastAsia="宋体" w:cs="宋体"/>
          <w:bCs/>
          <w:color w:val="auto"/>
          <w:szCs w:val="21"/>
          <w:highlight w:val="none"/>
        </w:rPr>
        <w:t>+Q</w:t>
      </w:r>
      <w:r>
        <w:rPr>
          <w:rFonts w:hint="eastAsia" w:ascii="宋体" w:hAnsi="宋体" w:eastAsia="宋体" w:cs="宋体"/>
          <w:bCs/>
          <w:color w:val="auto"/>
          <w:szCs w:val="21"/>
          <w:highlight w:val="none"/>
          <w:vertAlign w:val="subscript"/>
        </w:rPr>
        <w:t>低</w:t>
      </w:r>
    </w:p>
    <w:p w14:paraId="302675DC">
      <w:pPr>
        <w:spacing w:line="360" w:lineRule="auto"/>
        <w:ind w:firstLine="420" w:firstLineChars="200"/>
        <w:rPr>
          <w:rFonts w:hint="eastAsia" w:ascii="宋体" w:hAnsi="宋体" w:eastAsia="宋体" w:cs="宋体"/>
          <w:bCs/>
          <w:color w:val="auto"/>
          <w:szCs w:val="21"/>
          <w:highlight w:val="none"/>
        </w:rPr>
      </w:pPr>
      <w:r>
        <w:rPr>
          <w:rFonts w:ascii="宋体" w:hAnsi="宋体" w:eastAsia="宋体" w:cs="宋体"/>
          <w:bCs/>
          <w:color w:val="auto"/>
          <w:szCs w:val="21"/>
          <w:highlight w:val="none"/>
        </w:rPr>
        <w:t>Q</w:t>
      </w:r>
      <w:r>
        <w:rPr>
          <w:rFonts w:hint="eastAsia" w:ascii="宋体" w:hAnsi="宋体" w:eastAsia="宋体" w:cs="宋体"/>
          <w:bCs/>
          <w:color w:val="auto"/>
          <w:szCs w:val="21"/>
          <w:highlight w:val="none"/>
          <w:vertAlign w:val="subscript"/>
        </w:rPr>
        <w:t>低</w:t>
      </w:r>
      <w:r>
        <w:rPr>
          <w:rFonts w:hint="eastAsia" w:ascii="宋体" w:hAnsi="宋体" w:eastAsia="宋体" w:cs="宋体"/>
          <w:bCs/>
          <w:color w:val="auto"/>
          <w:szCs w:val="21"/>
          <w:highlight w:val="none"/>
        </w:rPr>
        <w:t>：为达到或超过技术标及格分数线的投标人最低报价与工程成本警示价两者中的较高值；</w:t>
      </w:r>
    </w:p>
    <w:p w14:paraId="4E8437DC">
      <w:pPr>
        <w:spacing w:line="360" w:lineRule="auto"/>
        <w:ind w:firstLine="420" w:firstLineChars="200"/>
        <w:rPr>
          <w:rFonts w:hint="eastAsia" w:ascii="宋体" w:hAnsi="宋体" w:eastAsia="宋体" w:cs="宋体"/>
          <w:bCs/>
          <w:color w:val="auto"/>
          <w:szCs w:val="21"/>
          <w:highlight w:val="none"/>
        </w:rPr>
      </w:pPr>
      <w:r>
        <w:rPr>
          <w:rFonts w:ascii="宋体" w:hAnsi="宋体" w:eastAsia="宋体" w:cs="宋体"/>
          <w:bCs/>
          <w:color w:val="auto"/>
          <w:szCs w:val="21"/>
          <w:highlight w:val="none"/>
        </w:rPr>
        <w:t>Q</w:t>
      </w:r>
      <w:r>
        <w:rPr>
          <w:rFonts w:hint="eastAsia" w:ascii="宋体" w:hAnsi="宋体" w:eastAsia="宋体" w:cs="宋体"/>
          <w:bCs/>
          <w:color w:val="auto"/>
          <w:szCs w:val="21"/>
          <w:highlight w:val="none"/>
          <w:vertAlign w:val="subscript"/>
        </w:rPr>
        <w:t>高</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u w:val="single"/>
        </w:rPr>
        <w:t>为最高投标限价*D%（政府投资项目，D的取值范围为[94-100],由招标人自主确定；非政府投资项目由招标人自主确定取值范围），具体金额为               元。</w:t>
      </w:r>
    </w:p>
    <w:p w14:paraId="415FE2F1">
      <w:pPr>
        <w:spacing w:line="360" w:lineRule="auto"/>
        <w:ind w:firstLine="420" w:firstLineChars="200"/>
        <w:rPr>
          <w:rFonts w:hint="eastAsia" w:ascii="宋体" w:hAnsi="宋体" w:eastAsia="宋体" w:cs="宋体"/>
          <w:bCs/>
          <w:color w:val="auto"/>
          <w:szCs w:val="21"/>
          <w:highlight w:val="none"/>
        </w:rPr>
      </w:pPr>
      <w:r>
        <w:rPr>
          <w:rFonts w:ascii="宋体" w:hAnsi="宋体" w:eastAsia="宋体" w:cs="宋体"/>
          <w:bCs/>
          <w:color w:val="auto"/>
          <w:szCs w:val="21"/>
          <w:highlight w:val="none"/>
        </w:rPr>
        <w:t>X:</w:t>
      </w:r>
      <w:r>
        <w:rPr>
          <w:rFonts w:hint="eastAsia" w:ascii="宋体" w:hAnsi="宋体" w:eastAsia="宋体" w:cs="宋体"/>
          <w:bCs/>
          <w:color w:val="auto"/>
          <w:szCs w:val="21"/>
          <w:highlight w:val="none"/>
        </w:rPr>
        <w:t>为等分点值，在开标前从</w:t>
      </w:r>
      <w:r>
        <w:rPr>
          <w:rFonts w:ascii="宋体" w:hAnsi="宋体" w:eastAsia="宋体" w:cs="宋体"/>
          <w:bCs/>
          <w:color w:val="auto"/>
          <w:szCs w:val="21"/>
          <w:highlight w:val="none"/>
        </w:rPr>
        <w:t>[0,100]</w:t>
      </w:r>
      <w:r>
        <w:rPr>
          <w:rFonts w:hint="eastAsia" w:ascii="宋体" w:hAnsi="宋体" w:eastAsia="宋体" w:cs="宋体"/>
          <w:bCs/>
          <w:color w:val="auto"/>
          <w:szCs w:val="21"/>
          <w:highlight w:val="none"/>
        </w:rPr>
        <w:t>整数中随机抽取</w:t>
      </w:r>
    </w:p>
    <w:p w14:paraId="1692003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46.3当标价等于评标参考价时得</w:t>
      </w:r>
      <w:r>
        <w:rPr>
          <w:rFonts w:ascii="宋体" w:hAnsi="宋体" w:eastAsia="宋体" w:cs="宋体"/>
          <w:bCs/>
          <w:color w:val="auto"/>
          <w:szCs w:val="21"/>
          <w:highlight w:val="none"/>
        </w:rPr>
        <w:t>100</w:t>
      </w:r>
      <w:r>
        <w:rPr>
          <w:rFonts w:hint="eastAsia" w:ascii="宋体" w:hAnsi="宋体" w:eastAsia="宋体" w:cs="宋体"/>
          <w:bCs/>
          <w:color w:val="auto"/>
          <w:szCs w:val="21"/>
          <w:highlight w:val="none"/>
        </w:rPr>
        <w:t>分，标价每高于评标参考价</w:t>
      </w:r>
      <w:r>
        <w:rPr>
          <w:rFonts w:ascii="宋体" w:hAnsi="宋体" w:eastAsia="宋体" w:cs="宋体"/>
          <w:bCs/>
          <w:color w:val="auto"/>
          <w:szCs w:val="21"/>
          <w:highlight w:val="none"/>
        </w:rPr>
        <w:t>1%</w:t>
      </w:r>
      <w:r>
        <w:rPr>
          <w:rFonts w:hint="eastAsia" w:ascii="宋体" w:hAnsi="宋体" w:eastAsia="宋体" w:cs="宋体"/>
          <w:bCs/>
          <w:color w:val="auto"/>
          <w:szCs w:val="21"/>
          <w:highlight w:val="none"/>
        </w:rPr>
        <w:t>，扣</w:t>
      </w:r>
      <w:r>
        <w:rPr>
          <w:rFonts w:ascii="宋体" w:hAnsi="宋体" w:eastAsia="宋体" w:cs="宋体"/>
          <w:bCs/>
          <w:color w:val="auto"/>
          <w:szCs w:val="21"/>
          <w:highlight w:val="none"/>
        </w:rPr>
        <w:t>1.5</w:t>
      </w:r>
      <w:r>
        <w:rPr>
          <w:rFonts w:hint="eastAsia" w:ascii="宋体" w:hAnsi="宋体" w:eastAsia="宋体" w:cs="宋体"/>
          <w:bCs/>
          <w:color w:val="auto"/>
          <w:szCs w:val="21"/>
          <w:highlight w:val="none"/>
        </w:rPr>
        <w:t>分，每低于评标参考价</w:t>
      </w:r>
      <w:r>
        <w:rPr>
          <w:rFonts w:ascii="宋体" w:hAnsi="宋体" w:eastAsia="宋体" w:cs="宋体"/>
          <w:bCs/>
          <w:color w:val="auto"/>
          <w:szCs w:val="21"/>
          <w:highlight w:val="none"/>
        </w:rPr>
        <w:t>1%</w:t>
      </w:r>
      <w:r>
        <w:rPr>
          <w:rFonts w:hint="eastAsia" w:ascii="宋体" w:hAnsi="宋体" w:eastAsia="宋体" w:cs="宋体"/>
          <w:bCs/>
          <w:color w:val="auto"/>
          <w:szCs w:val="21"/>
          <w:highlight w:val="none"/>
        </w:rPr>
        <w:t>，扣</w:t>
      </w:r>
      <w:r>
        <w:rPr>
          <w:rFonts w:ascii="宋体" w:hAnsi="宋体" w:eastAsia="宋体" w:cs="宋体"/>
          <w:bCs/>
          <w:color w:val="auto"/>
          <w:szCs w:val="21"/>
          <w:highlight w:val="none"/>
        </w:rPr>
        <w:t>1</w:t>
      </w:r>
      <w:r>
        <w:rPr>
          <w:rFonts w:hint="eastAsia" w:ascii="宋体" w:hAnsi="宋体" w:eastAsia="宋体" w:cs="宋体"/>
          <w:bCs/>
          <w:color w:val="auto"/>
          <w:szCs w:val="21"/>
          <w:highlight w:val="none"/>
        </w:rPr>
        <w:t>分，扣至</w:t>
      </w:r>
      <w:r>
        <w:rPr>
          <w:rFonts w:ascii="宋体" w:hAnsi="宋体" w:eastAsia="宋体" w:cs="宋体"/>
          <w:bCs/>
          <w:color w:val="auto"/>
          <w:szCs w:val="21"/>
          <w:highlight w:val="none"/>
        </w:rPr>
        <w:t>0</w:t>
      </w:r>
      <w:r>
        <w:rPr>
          <w:rFonts w:hint="eastAsia" w:ascii="宋体" w:hAnsi="宋体" w:eastAsia="宋体" w:cs="宋体"/>
          <w:bCs/>
          <w:color w:val="auto"/>
          <w:szCs w:val="21"/>
          <w:highlight w:val="none"/>
        </w:rPr>
        <w:t>分为止，得出经济分，精确到小数点后两位。</w:t>
      </w:r>
    </w:p>
    <w:p w14:paraId="7A1FB89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46.4</w:t>
      </w:r>
      <w:r>
        <w:rPr>
          <w:rFonts w:hint="eastAsia" w:ascii="宋体" w:hAnsi="宋体" w:eastAsia="宋体" w:cs="宋体"/>
          <w:bCs/>
          <w:color w:val="auto"/>
          <w:szCs w:val="21"/>
          <w:highlight w:val="none"/>
          <w:u w:val="single"/>
        </w:rPr>
        <w:t>计算通过技术标有效性审查的投标人总得分。投标人总得分=（技术得分×  %（技术得分权重）＋经济得分×  %（经济得分权重）×（1-信用评价分数权重）＋信用评价得分×  %（企业信用评价得分权重，招标人可在[10%-20%]范围内自主确定）。</w:t>
      </w:r>
      <w:r>
        <w:rPr>
          <w:rFonts w:hint="eastAsia" w:ascii="宋体" w:hAnsi="宋体" w:eastAsia="宋体" w:cs="宋体"/>
          <w:bCs/>
          <w:color w:val="auto"/>
          <w:szCs w:val="21"/>
          <w:highlight w:val="none"/>
        </w:rPr>
        <w:t>技术、经济得分权重按投标须知前附表的规定执行。总得分四舍五入保留两位小数。</w:t>
      </w:r>
    </w:p>
    <w:p w14:paraId="2DFA4F6E">
      <w:pPr>
        <w:pBdr>
          <w:bottom w:val="single" w:color="auto" w:sz="6" w:space="1"/>
        </w:pBd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46.2按以下方法计算评标参考价</w:t>
      </w:r>
      <w:r>
        <w:rPr>
          <w:rFonts w:ascii="宋体" w:hAnsi="宋体" w:eastAsia="宋体" w:cs="宋体"/>
          <w:b/>
          <w:color w:val="auto"/>
          <w:szCs w:val="21"/>
          <w:highlight w:val="none"/>
          <w:u w:val="single"/>
        </w:rPr>
        <w:t>（投标报价低于成本警示价的投标人不参加经济标的评分）：</w:t>
      </w:r>
    </w:p>
    <w:p w14:paraId="76C5F41E">
      <w:pPr>
        <w:pBdr>
          <w:bottom w:val="single" w:color="auto" w:sz="6" w:space="1"/>
        </w:pBd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设在</w:t>
      </w:r>
      <w:r>
        <w:rPr>
          <w:rFonts w:ascii="宋体" w:hAnsi="宋体" w:eastAsia="宋体" w:cs="宋体"/>
          <w:b/>
          <w:color w:val="auto"/>
          <w:szCs w:val="21"/>
          <w:highlight w:val="none"/>
          <w:u w:val="single"/>
        </w:rPr>
        <w:t>[成本警示价，最高投标限价×95%]区间的投标报价数量为G，上述G个投标人的技术标得分由高至低排序，将技术标得分前H名的投标报价的算术平均值作为评标参考价（如G≥10，则H=10；如1≤G&lt;10，则H=G）；若G=0的，则采用成本警示价与“最高投标限价×95%”的算术平均值为评标参考价。</w:t>
      </w:r>
    </w:p>
    <w:p w14:paraId="233315D7">
      <w:pPr>
        <w:pBdr>
          <w:bottom w:val="single" w:color="auto" w:sz="6" w:space="1"/>
        </w:pBd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注：若投标人的技术标得分相同的，以投标总报价较低的排前；若投标总报价仍相同的，由评标委员会采用记名投票方式确定排序。</w:t>
      </w:r>
    </w:p>
    <w:p w14:paraId="79D9A528">
      <w:pPr>
        <w:pBdr>
          <w:bottom w:val="single" w:color="auto" w:sz="6" w:space="1"/>
        </w:pBd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记名投票方式确定排序的具体操作步骤为：由评标委员会对出现该情况的投标人采取记名投票的方式确定，按得票数从高到低排列先后次序，以得票数高的排前，根据得票数高低确定排序。</w:t>
      </w:r>
    </w:p>
    <w:p w14:paraId="2DA1D762">
      <w:pPr>
        <w:pBdr>
          <w:bottom w:val="single" w:color="auto" w:sz="6" w:space="1"/>
        </w:pBdr>
        <w:spacing w:line="360" w:lineRule="auto"/>
        <w:ind w:firstLine="420" w:firstLineChars="200"/>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46.3当标价等于评标参考价时得100分，标价每高于评标参考价1%，扣1.5分，每低于评标参考价1%，扣1分，扣至0分为止，</w:t>
      </w:r>
      <w:r>
        <w:rPr>
          <w:rFonts w:hint="eastAsia" w:ascii="宋体" w:hAnsi="宋体" w:eastAsia="宋体" w:cs="宋体"/>
          <w:b/>
          <w:color w:val="auto"/>
          <w:szCs w:val="21"/>
          <w:highlight w:val="none"/>
          <w:u w:val="single"/>
        </w:rPr>
        <w:t>根据第一章“投标人须知前附表”第44项规定实施经济标评审优惠政策(如有)；</w:t>
      </w:r>
      <w:r>
        <w:rPr>
          <w:rFonts w:hint="eastAsia" w:ascii="宋体" w:hAnsi="宋体" w:eastAsia="宋体" w:cs="宋体"/>
          <w:color w:val="auto"/>
          <w:szCs w:val="21"/>
          <w:highlight w:val="none"/>
        </w:rPr>
        <w:t>得出经济分，精确到小数点后两位。</w:t>
      </w:r>
    </w:p>
    <w:p w14:paraId="34D09B27">
      <w:pPr>
        <w:pBdr>
          <w:bottom w:val="single" w:color="auto" w:sz="6" w:space="1"/>
        </w:pBd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bCs/>
          <w:color w:val="auto"/>
          <w:szCs w:val="21"/>
          <w:highlight w:val="none"/>
          <w:u w:val="single"/>
        </w:rPr>
        <w:t>注：投标报价不低于成本警示价的投标单位实施经济标评审优惠政策。</w:t>
      </w:r>
    </w:p>
    <w:p w14:paraId="598BB432">
      <w:pPr>
        <w:pBdr>
          <w:bottom w:val="single" w:color="auto" w:sz="6" w:space="1"/>
        </w:pBd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46.4</w:t>
      </w:r>
      <w:r>
        <w:rPr>
          <w:rFonts w:hint="eastAsia" w:ascii="宋体" w:hAnsi="宋体" w:eastAsia="宋体" w:cs="宋体"/>
          <w:b/>
          <w:bCs/>
          <w:color w:val="auto"/>
          <w:szCs w:val="21"/>
          <w:highlight w:val="none"/>
          <w:u w:val="single"/>
        </w:rPr>
        <w:t>计算通过技术标有效性审查的投标人总得分。技术、经济得分权重按投标须知前附表的规定执行。总得分四舍五入保留两位小数。</w:t>
      </w:r>
    </w:p>
    <w:p w14:paraId="5F8CC53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w:t>
      </w:r>
      <w:r>
        <w:rPr>
          <w:rFonts w:ascii="宋体" w:hAnsi="宋体" w:eastAsia="宋体" w:cs="宋体"/>
          <w:b/>
          <w:color w:val="auto"/>
          <w:szCs w:val="21"/>
          <w:highlight w:val="none"/>
        </w:rPr>
        <w:t>8</w:t>
      </w:r>
      <w:r>
        <w:rPr>
          <w:rFonts w:hint="eastAsia" w:ascii="宋体" w:hAnsi="宋体" w:eastAsia="宋体" w:cs="宋体"/>
          <w:b/>
          <w:color w:val="auto"/>
          <w:szCs w:val="21"/>
          <w:highlight w:val="none"/>
        </w:rPr>
        <w:t xml:space="preserve">     　                           修改类型：修改</w:t>
      </w:r>
    </w:p>
    <w:p w14:paraId="3676D42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48.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07B4C737">
      <w:pPr>
        <w:pBdr>
          <w:bottom w:val="single" w:color="auto" w:sz="6" w:space="1"/>
        </w:pBd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48. 评标委员会按只有通过有效性审查的投标人的投标文件方可进入下一阶段评审的评审原则，根据有效性审查结果，取消被否决投标的投标人的排序，其余通过有效性审查的投标人的排序依次上升替补确定，以此类推。</w:t>
      </w:r>
      <w:r>
        <w:rPr>
          <w:rFonts w:hint="eastAsia" w:ascii="宋体" w:hAnsi="宋体" w:eastAsia="宋体" w:cs="宋体"/>
          <w:b/>
          <w:bCs/>
          <w:color w:val="auto"/>
          <w:szCs w:val="21"/>
          <w:highlight w:val="none"/>
          <w:u w:val="single"/>
        </w:rPr>
        <w:t>直至评出规定数量的合格中标候选人</w:t>
      </w:r>
      <w:r>
        <w:rPr>
          <w:rFonts w:hint="eastAsia" w:ascii="宋体" w:hAnsi="宋体" w:eastAsia="宋体" w:cs="Times New Roman"/>
          <w:color w:val="auto"/>
          <w:szCs w:val="21"/>
          <w:highlight w:val="none"/>
        </w:rPr>
        <w:t>，经济标有效性审查结束。</w:t>
      </w:r>
    </w:p>
    <w:p w14:paraId="3D4B388F">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w:t>
      </w:r>
      <w:r>
        <w:rPr>
          <w:rFonts w:ascii="宋体" w:hAnsi="宋体" w:eastAsia="宋体" w:cs="宋体"/>
          <w:b/>
          <w:color w:val="auto"/>
          <w:szCs w:val="21"/>
          <w:highlight w:val="none"/>
        </w:rPr>
        <w:t>9</w:t>
      </w:r>
      <w:r>
        <w:rPr>
          <w:rFonts w:hint="eastAsia" w:ascii="宋体" w:hAnsi="宋体" w:eastAsia="宋体" w:cs="宋体"/>
          <w:b/>
          <w:color w:val="auto"/>
          <w:szCs w:val="21"/>
          <w:highlight w:val="none"/>
        </w:rPr>
        <w:t xml:space="preserve">                      修改类型：修改</w:t>
      </w:r>
    </w:p>
    <w:p w14:paraId="09C5ACE8">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49.评标委员会应在通过投标文件经济标有效性审查的投标人中，按步骤45.4确定的投标人第二阶段排序，推荐前3名依次为第一中标候选人至第三中标候选人,并编制评标报告。</w:t>
      </w:r>
    </w:p>
    <w:p w14:paraId="7F86E36B">
      <w:pPr>
        <w:pBdr>
          <w:bottom w:val="single" w:color="auto" w:sz="6" w:space="1"/>
        </w:pBd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rPr>
        <w:t>49.评标委员会应在通过投标文件经济标有效性审查的投标人中，按步骤46.4确定的投标人总得分排序，</w:t>
      </w:r>
      <w:r>
        <w:rPr>
          <w:rFonts w:hint="eastAsia" w:ascii="宋体" w:hAnsi="宋体" w:eastAsia="宋体" w:cs="宋体"/>
          <w:b/>
          <w:bCs/>
          <w:color w:val="auto"/>
          <w:szCs w:val="21"/>
          <w:highlight w:val="none"/>
          <w:u w:val="single"/>
        </w:rPr>
        <w:t>按投标须知前附表第20项规定推荐合格中标候选人，进入定标阶段，并编制评标报告。</w:t>
      </w:r>
    </w:p>
    <w:p w14:paraId="74CF875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50 </w:t>
      </w:r>
      <w:r>
        <w:rPr>
          <w:rFonts w:hint="eastAsia" w:ascii="宋体" w:hAnsi="宋体" w:eastAsia="宋体" w:cs="宋体"/>
          <w:b/>
          <w:color w:val="auto"/>
          <w:szCs w:val="21"/>
          <w:highlight w:val="none"/>
        </w:rPr>
        <w:t xml:space="preserve">                       修改类型：修改</w:t>
      </w:r>
    </w:p>
    <w:p w14:paraId="5887FE0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50.若通过经济标有效性审查的投标人不足三家，则本项目招标失败，由招标人依法重新招标（当N个标段同时招标且不允许兼中时，有效投标人应≥N+2家）。</w:t>
      </w:r>
    </w:p>
    <w:p w14:paraId="74294242">
      <w:pPr>
        <w:pBdr>
          <w:bottom w:val="single" w:color="auto" w:sz="6" w:space="1"/>
        </w:pBd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50.若通过经济标有效性审查的投标人不足三家，则本项目招标失败，由招标人依法重新招标</w:t>
      </w:r>
      <w:r>
        <w:rPr>
          <w:rFonts w:ascii="宋体" w:hAnsi="宋体" w:eastAsia="宋体" w:cs="宋体"/>
          <w:strike/>
          <w:color w:val="auto"/>
          <w:szCs w:val="21"/>
          <w:highlight w:val="none"/>
        </w:rPr>
        <w:t>（当N个标段同时招标且不允许兼中时，有效投标人应≥N+2家）</w:t>
      </w:r>
      <w:r>
        <w:rPr>
          <w:rFonts w:ascii="宋体" w:hAnsi="宋体" w:eastAsia="宋体" w:cs="宋体"/>
          <w:color w:val="auto"/>
          <w:szCs w:val="21"/>
          <w:highlight w:val="none"/>
        </w:rPr>
        <w:t>。</w:t>
      </w:r>
    </w:p>
    <w:p w14:paraId="6DDFD78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kern w:val="0"/>
          <w:szCs w:val="21"/>
          <w:highlight w:val="none"/>
        </w:rPr>
        <w:t xml:space="preserve">51 </w:t>
      </w:r>
      <w:r>
        <w:rPr>
          <w:rFonts w:hint="eastAsia" w:ascii="宋体" w:hAnsi="宋体" w:eastAsia="宋体" w:cs="宋体"/>
          <w:color w:val="auto"/>
          <w:kern w:val="0"/>
          <w:szCs w:val="21"/>
          <w:highlight w:val="none"/>
        </w:rPr>
        <w:t xml:space="preserve">                         </w:t>
      </w:r>
      <w:r>
        <w:rPr>
          <w:rFonts w:hint="eastAsia" w:ascii="宋体" w:hAnsi="宋体" w:eastAsia="宋体" w:cs="宋体"/>
          <w:b/>
          <w:color w:val="auto"/>
          <w:szCs w:val="21"/>
          <w:highlight w:val="none"/>
        </w:rPr>
        <w:t>修改类型：增加</w:t>
      </w:r>
    </w:p>
    <w:p w14:paraId="3F5B880B">
      <w:pPr>
        <w:tabs>
          <w:tab w:val="left" w:pos="7380"/>
        </w:tabs>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现文：</w:t>
      </w:r>
    </w:p>
    <w:p w14:paraId="357EE48A">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51.定标</w:t>
      </w:r>
    </w:p>
    <w:p w14:paraId="6012541A">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如评标委员会推荐的合格中标候选人不足三家，招标人应当依法重新招标，不再进行定标工作。</w:t>
      </w:r>
    </w:p>
    <w:p w14:paraId="3A315EB5">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51.1定标时间和地点</w:t>
      </w:r>
    </w:p>
    <w:p w14:paraId="130B29DC">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招标人在合格中标候选人公示结束后5个工作日内在广州交易集团有限公司（广州公共资源交易中心）开展定标工作，招标人按规定程序完成定标工作。</w:t>
      </w:r>
    </w:p>
    <w:p w14:paraId="2E51AA2D">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51.2定标委员会：成员数量为5人，由招标人组建。</w:t>
      </w:r>
    </w:p>
    <w:p w14:paraId="0DFA3E3E">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51.3监督小组：成员数量为2人，由招标人组建。</w:t>
      </w:r>
    </w:p>
    <w:p w14:paraId="54328559">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51.4定标办法：定标采用评分法，定标委员会从评标委员会推荐的合格中标候选人中，依据评分法选出得分最高的候选人，确定为中标人。</w:t>
      </w:r>
    </w:p>
    <w:p w14:paraId="31328358">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本次定标采用“方案因素”＋“价格因素”，具体公式为“总得分（100分）=方案因素得分（100分）</w:t>
      </w:r>
      <w:r>
        <w:rPr>
          <w:rFonts w:ascii="宋体" w:hAnsi="宋体" w:eastAsia="宋体" w:cs="Arial"/>
          <w:b/>
          <w:bCs/>
          <w:color w:val="auto"/>
          <w:szCs w:val="21"/>
          <w:highlight w:val="none"/>
          <w:u w:val="single"/>
        </w:rPr>
        <w:t>×</w:t>
      </w:r>
      <w:r>
        <w:rPr>
          <w:rFonts w:hint="eastAsia" w:ascii="宋体" w:hAnsi="宋体" w:eastAsia="宋体" w:cs="宋体"/>
          <w:b/>
          <w:bCs/>
          <w:color w:val="auto"/>
          <w:szCs w:val="21"/>
          <w:highlight w:val="none"/>
          <w:u w:val="single"/>
        </w:rPr>
        <w:t>方案因素权重（70%）+价格因素得分（100分）</w:t>
      </w:r>
      <w:r>
        <w:rPr>
          <w:rFonts w:ascii="宋体" w:hAnsi="宋体" w:eastAsia="宋体" w:cs="Arial"/>
          <w:b/>
          <w:bCs/>
          <w:color w:val="auto"/>
          <w:szCs w:val="21"/>
          <w:highlight w:val="none"/>
          <w:u w:val="single"/>
        </w:rPr>
        <w:t>×</w:t>
      </w:r>
      <w:r>
        <w:rPr>
          <w:rFonts w:hint="eastAsia" w:ascii="宋体" w:hAnsi="宋体" w:eastAsia="宋体" w:cs="宋体"/>
          <w:b/>
          <w:bCs/>
          <w:color w:val="auto"/>
          <w:szCs w:val="21"/>
          <w:highlight w:val="none"/>
          <w:u w:val="single"/>
        </w:rPr>
        <w:t>价格因素权重（30%）”</w:t>
      </w:r>
    </w:p>
    <w:p w14:paraId="79E5A2E7">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51.5定标因素：</w:t>
      </w:r>
    </w:p>
    <w:p w14:paraId="79A7733F">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（1）方案因素：内容包括①团队配置②施工管理措施③成本控制措施④资金管理措施等内容。</w:t>
      </w:r>
    </w:p>
    <w:p w14:paraId="27FD377E">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2）价格因素：定标委员会对合格中标候选人投标报价进行打分，以合格中标候选人中投标总报价高于成本警示价的最低投标报价为定标基准价（如合格中标候选人的投标报价均低于或等于成本警示价,则成本警示价为定标基准价），投标总报价等于定标基准价时得100分。投标总报价比定标基准价每高1%扣1.5分；每低1%扣1.0分，扣至0分为止。得出价格因素得分，分数出现小数点时，保留小数点后二位，第三位小数四舍五入。</w:t>
      </w:r>
    </w:p>
    <w:p w14:paraId="38469D23">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51.6定标程序</w:t>
      </w:r>
    </w:p>
    <w:p w14:paraId="080722AE">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招标人或其委托的招标代理机构应安排1名熟悉情况的工作人员在定标会场担任招标项目负责人，按程序组织定标工作：</w:t>
      </w:r>
    </w:p>
    <w:p w14:paraId="14CA3452">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51.6.1招标项目负责人宣读定标委员会组建情况及成员名单，宣读定标纪律，签订廉政责任书。</w:t>
      </w:r>
    </w:p>
    <w:p w14:paraId="2C45EFBA">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51.6.</w:t>
      </w:r>
      <w:r>
        <w:rPr>
          <w:rFonts w:ascii="宋体" w:hAnsi="宋体" w:eastAsia="宋体" w:cs="宋体"/>
          <w:b/>
          <w:bCs/>
          <w:color w:val="auto"/>
          <w:szCs w:val="21"/>
          <w:highlight w:val="none"/>
          <w:u w:val="single"/>
        </w:rPr>
        <w:t>2</w:t>
      </w:r>
      <w:r>
        <w:rPr>
          <w:rFonts w:hint="eastAsia" w:ascii="宋体" w:hAnsi="宋体" w:eastAsia="宋体" w:cs="宋体"/>
          <w:b/>
          <w:bCs/>
          <w:color w:val="auto"/>
          <w:szCs w:val="21"/>
          <w:highlight w:val="none"/>
          <w:u w:val="single"/>
        </w:rPr>
        <w:t>发放定标辅助资料：招标文件、合格中标候选人提交的定标文件。</w:t>
      </w:r>
    </w:p>
    <w:p w14:paraId="120A866B">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51.6.</w:t>
      </w:r>
      <w:r>
        <w:rPr>
          <w:rFonts w:ascii="宋体" w:hAnsi="宋体" w:eastAsia="宋体" w:cs="宋体"/>
          <w:b/>
          <w:bCs/>
          <w:color w:val="auto"/>
          <w:szCs w:val="21"/>
          <w:highlight w:val="none"/>
          <w:u w:val="single"/>
        </w:rPr>
        <w:t>3</w:t>
      </w:r>
      <w:r>
        <w:rPr>
          <w:rFonts w:hint="eastAsia" w:ascii="宋体" w:hAnsi="宋体" w:eastAsia="宋体" w:cs="宋体"/>
          <w:b/>
          <w:bCs/>
          <w:color w:val="auto"/>
          <w:szCs w:val="21"/>
          <w:highlight w:val="none"/>
          <w:u w:val="single"/>
        </w:rPr>
        <w:t>定标委员会根据各定标文件，按照定标因素的标准进行评审。</w:t>
      </w:r>
    </w:p>
    <w:p w14:paraId="38D3742A">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51.6.</w:t>
      </w:r>
      <w:r>
        <w:rPr>
          <w:rFonts w:ascii="宋体" w:hAnsi="宋体" w:eastAsia="宋体" w:cs="宋体"/>
          <w:b/>
          <w:bCs/>
          <w:color w:val="auto"/>
          <w:szCs w:val="21"/>
          <w:highlight w:val="none"/>
          <w:u w:val="single"/>
        </w:rPr>
        <w:t>4</w:t>
      </w:r>
      <w:r>
        <w:rPr>
          <w:rFonts w:hint="eastAsia" w:ascii="宋体" w:hAnsi="宋体" w:eastAsia="宋体" w:cs="宋体"/>
          <w:b/>
          <w:bCs/>
          <w:color w:val="auto"/>
          <w:szCs w:val="21"/>
          <w:highlight w:val="none"/>
          <w:u w:val="single"/>
        </w:rPr>
        <w:t>将所有定标委员会成员对同一投标人的评分进行相加【总得分（</w:t>
      </w:r>
      <w:r>
        <w:rPr>
          <w:rFonts w:ascii="宋体" w:hAnsi="宋体" w:eastAsia="宋体" w:cs="宋体"/>
          <w:b/>
          <w:bCs/>
          <w:color w:val="auto"/>
          <w:szCs w:val="21"/>
          <w:highlight w:val="none"/>
          <w:u w:val="single"/>
        </w:rPr>
        <w:t>100分）=方案因素得分（100分）×方案因素权重（70%）+价格因素得分（100分）×价格因素权重（30%）】，总分由高至低排序，总分最高的为中标人；其中，合格中标候选人方案因素得分为所有定标委员会成员对同一投标人评分相加去掉一个最高分和一个最低分后的算术平均值</w:t>
      </w:r>
      <w:r>
        <w:rPr>
          <w:rFonts w:hint="eastAsia" w:ascii="宋体" w:hAnsi="宋体" w:eastAsia="宋体" w:cs="宋体"/>
          <w:b/>
          <w:bCs/>
          <w:color w:val="auto"/>
          <w:szCs w:val="21"/>
          <w:highlight w:val="none"/>
          <w:u w:val="single"/>
        </w:rPr>
        <w:t>（分数出现小数点时，保留小数点后二位，第三位小数四舍五入）</w:t>
      </w:r>
      <w:r>
        <w:rPr>
          <w:rFonts w:ascii="宋体" w:hAnsi="宋体" w:eastAsia="宋体" w:cs="宋体"/>
          <w:b/>
          <w:bCs/>
          <w:color w:val="auto"/>
          <w:szCs w:val="21"/>
          <w:highlight w:val="none"/>
          <w:u w:val="single"/>
        </w:rPr>
        <w:t>。</w:t>
      </w:r>
    </w:p>
    <w:p w14:paraId="231C3910">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注：若合格中标候选人总得分相同且影响定标排序的，以方案因素得分高的排前；若方案因素得分仍相同的，以投标报价低的排前，若投标报价仍相同的，由定标委员会投票确定排序。</w:t>
      </w:r>
    </w:p>
    <w:p w14:paraId="20CBE1E7">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51.6.</w:t>
      </w:r>
      <w:r>
        <w:rPr>
          <w:rFonts w:ascii="宋体" w:hAnsi="宋体" w:eastAsia="宋体" w:cs="宋体"/>
          <w:b/>
          <w:bCs/>
          <w:color w:val="auto"/>
          <w:szCs w:val="21"/>
          <w:highlight w:val="none"/>
          <w:u w:val="single"/>
        </w:rPr>
        <w:t>5</w:t>
      </w:r>
      <w:r>
        <w:rPr>
          <w:rFonts w:hint="eastAsia" w:ascii="宋体" w:hAnsi="宋体" w:eastAsia="宋体" w:cs="宋体"/>
          <w:b/>
          <w:bCs/>
          <w:color w:val="auto"/>
          <w:szCs w:val="21"/>
          <w:highlight w:val="none"/>
          <w:u w:val="single"/>
        </w:rPr>
        <w:t>定标委员会根据评分情况及定标原则确定中标人。</w:t>
      </w:r>
    </w:p>
    <w:p w14:paraId="48A625B2">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51.6.</w:t>
      </w:r>
      <w:r>
        <w:rPr>
          <w:rFonts w:ascii="宋体" w:hAnsi="宋体" w:eastAsia="宋体" w:cs="宋体"/>
          <w:b/>
          <w:bCs/>
          <w:color w:val="auto"/>
          <w:szCs w:val="21"/>
          <w:highlight w:val="none"/>
          <w:u w:val="single"/>
        </w:rPr>
        <w:t>5</w:t>
      </w:r>
      <w:r>
        <w:rPr>
          <w:rFonts w:hint="eastAsia" w:ascii="宋体" w:hAnsi="宋体" w:eastAsia="宋体" w:cs="宋体"/>
          <w:b/>
          <w:bCs/>
          <w:color w:val="auto"/>
          <w:szCs w:val="21"/>
          <w:highlight w:val="none"/>
          <w:u w:val="single"/>
        </w:rPr>
        <w:t>.1编写定标报告，定标委员会全体确认后签署定标报告。</w:t>
      </w:r>
    </w:p>
    <w:p w14:paraId="29010225">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51.7招标人应当在定标工作完成后3日内公示中标结果。</w:t>
      </w:r>
    </w:p>
    <w:p w14:paraId="26BC0F2C">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51.8（1）重新评标或定标的，评标信息（含业绩、奖项等）、定标信息仍以投标截止时投标人的信息为准。因特殊原因需要延长投标有效期，投标人拒绝延长投标有效期的，仍参与评标、定标，但不被推荐为合格中标候选人。</w:t>
      </w:r>
    </w:p>
    <w:p w14:paraId="179EDAA3">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2）在合格中标候选人公示期间或在定标前，如有合格中标候选人放弃中标候选人资格或者被查实存在影响中标候选人资格的违法行为等情形，且合格中标候选人至少有1名的，招标人不再递补其他合格中标候选人，可以继续定标或依法重新招标；如没有合格中标候选人的，则依法重新招标。</w:t>
      </w:r>
    </w:p>
    <w:p w14:paraId="443655EA">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3）如在中标结果公示前出现合格中标候选人放弃其中标候选人资格的情形，招标人有权确定总得分排名第二名的合格中标候选人为中标人，如此类推，招标人也可以重新招标。如所有的合格中标候选人均放弃其中标候选人资格的，为招标失败，招标人依法重新招标。</w:t>
      </w:r>
    </w:p>
    <w:p w14:paraId="738ABC69">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u w:val="single"/>
        </w:rPr>
        <w:t>51.9如中标人放弃中标、或因不可抗力提出不能履行合同，或者招标文件规定应当提交履约担保而在规定的期限内未能提交的，或经核查发现委派的项目负责人已在其他在建项目中担任本职务的，招标人有权取消其中标人资格或解除合同，从其他合格中标候选人中采用上述办法，确定总得分排名第二名的合格中标候选人为中标人，如此类推，招标人也可以重新招标。</w:t>
      </w:r>
    </w:p>
    <w:p w14:paraId="18F21828">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条款号：附表一《资格审查表》                   修改类型：修改</w:t>
      </w:r>
    </w:p>
    <w:p w14:paraId="33185D74">
      <w:pPr>
        <w:spacing w:line="360" w:lineRule="auto"/>
        <w:ind w:firstLine="422" w:firstLineChars="200"/>
        <w:rPr>
          <w:rFonts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详见最新版广州市城市道路及轨道交通建设工程施工公开招标项目招标文件示范文本（适用于资格后审电子化施工招标投标项目）GZJTZB2025-3</w:t>
      </w:r>
    </w:p>
    <w:p w14:paraId="575EAFDB">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详见本招标文件第二章附表一《资格审查表》</w:t>
      </w:r>
    </w:p>
    <w:p w14:paraId="6CF31F6A">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条款号：附表二 《技术标有效性审查表》          修改类型：修改</w:t>
      </w:r>
    </w:p>
    <w:p w14:paraId="4AA3A55C">
      <w:pPr>
        <w:spacing w:line="360" w:lineRule="auto"/>
        <w:ind w:firstLine="422" w:firstLineChars="200"/>
        <w:rPr>
          <w:rFonts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详见最新版广州市城市道路及轨道交通建设工程施工公开招标项目招标文件示范文本（适用于资格后审电子化施工招标投标项目）GZJTZB2025-3</w:t>
      </w:r>
    </w:p>
    <w:p w14:paraId="35D829F9">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详见本招标文件第二章附表二《技术标有效性审查表》</w:t>
      </w:r>
    </w:p>
    <w:p w14:paraId="1B26ABF7">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条款号：附表三《经济标有效性审查表》           修改类型：修改</w:t>
      </w:r>
    </w:p>
    <w:p w14:paraId="255423D2">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详见最新版广州市城市道路及轨道交通建设工程施工公开招标项目招标文件示范文本（适用于资格后审电子化施工招标投标项目）GZJTZB2025-3</w:t>
      </w:r>
    </w:p>
    <w:p w14:paraId="2FD4EB6D">
      <w:pPr>
        <w:pBdr>
          <w:bottom w:val="single" w:color="auto" w:sz="6" w:space="1"/>
        </w:pBd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详见本招标文件第二章附表三《经济标有效性审查表》</w:t>
      </w:r>
    </w:p>
    <w:p w14:paraId="439F582F">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条款号：附表四《技术标详细审查评分表》         修改类型：修改</w:t>
      </w:r>
    </w:p>
    <w:p w14:paraId="66CFC2A1">
      <w:pPr>
        <w:pBdr>
          <w:bottom w:val="single" w:color="auto" w:sz="6" w:space="1"/>
        </w:pBdr>
        <w:spacing w:line="360" w:lineRule="auto"/>
        <w:ind w:firstLine="422" w:firstLineChars="200"/>
        <w:rPr>
          <w:rFonts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详见最新版广州市城市道路及轨道交通建设工程施工公开招标项目招标文件示范文本（适用于资格后审电子化施工招标投标项目）GZJTZB2025-3</w:t>
      </w:r>
    </w:p>
    <w:p w14:paraId="4EF7B470">
      <w:pPr>
        <w:pBdr>
          <w:bottom w:val="single" w:color="auto" w:sz="6" w:space="1"/>
        </w:pBdr>
        <w:spacing w:line="360" w:lineRule="auto"/>
        <w:ind w:firstLine="422" w:firstLineChars="200"/>
        <w:rPr>
          <w:rFonts w:ascii="宋体" w:hAnsi="宋体" w:eastAsia="宋体" w:cs="宋体"/>
          <w:bCs/>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详见本招标文件第二章附表四《技术标详细审查评分表》</w:t>
      </w:r>
    </w:p>
    <w:p w14:paraId="751C6987">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条款号：附表五《经济标评分表》                 修改类型：修改</w:t>
      </w:r>
    </w:p>
    <w:p w14:paraId="16F45A08">
      <w:pPr>
        <w:pBdr>
          <w:bottom w:val="single" w:color="auto" w:sz="6" w:space="1"/>
        </w:pBdr>
        <w:spacing w:line="360" w:lineRule="auto"/>
        <w:ind w:firstLine="422" w:firstLineChars="200"/>
        <w:rPr>
          <w:rFonts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详见最新版广州市城市道路及轨道交通建设工程施工公开招标项目招标文件示范文本（适用于资格后审电子化施工招标投标项目）GZJTZB2025-3</w:t>
      </w:r>
    </w:p>
    <w:p w14:paraId="3B49D92D">
      <w:pPr>
        <w:pBdr>
          <w:bottom w:val="single" w:color="auto" w:sz="6" w:space="1"/>
        </w:pBdr>
        <w:spacing w:line="360" w:lineRule="auto"/>
        <w:ind w:firstLine="422" w:firstLineChars="200"/>
        <w:rPr>
          <w:rFonts w:ascii="宋体" w:hAnsi="宋体" w:eastAsia="宋体" w:cs="宋体"/>
          <w:bCs/>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详见本招标文件第二章附表五《经济标评分表》</w:t>
      </w:r>
    </w:p>
    <w:p w14:paraId="283074D0">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条款号：条款号：附表八至附表十五               修改类型：增加</w:t>
      </w:r>
    </w:p>
    <w:p w14:paraId="4E0E411A">
      <w:pPr>
        <w:pBdr>
          <w:bottom w:val="single" w:color="auto" w:sz="6" w:space="1"/>
        </w:pBd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b/>
          <w:color w:val="auto"/>
          <w:szCs w:val="21"/>
          <w:highlight w:val="none"/>
          <w:u w:val="single"/>
        </w:rPr>
        <w:t>具体详见招标文件正文附表。</w:t>
      </w:r>
    </w:p>
    <w:p w14:paraId="6BE80DE1">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（以下无正文）</w:t>
      </w:r>
    </w:p>
    <w:p w14:paraId="720875A7">
      <w:pPr>
        <w:spacing w:line="360" w:lineRule="auto"/>
        <w:ind w:firstLine="420"/>
        <w:rPr>
          <w:rFonts w:ascii="宋体" w:hAnsi="宋体" w:eastAsia="宋体" w:cs="宋体"/>
          <w:color w:val="auto"/>
          <w:szCs w:val="20"/>
          <w:highlight w:val="none"/>
        </w:rPr>
      </w:pPr>
      <w:r>
        <w:rPr>
          <w:rFonts w:hint="eastAsia" w:ascii="宋体" w:hAnsi="宋体" w:eastAsia="宋体" w:cs="宋体"/>
          <w:color w:val="auto"/>
          <w:szCs w:val="20"/>
          <w:highlight w:val="none"/>
        </w:rPr>
        <w:br w:type="page"/>
      </w:r>
    </w:p>
    <w:p w14:paraId="2582627E">
      <w:pPr>
        <w:keepNext/>
        <w:keepLines/>
        <w:numPr>
          <w:ilvl w:val="1"/>
          <w:numId w:val="0"/>
        </w:numPr>
        <w:spacing w:line="360" w:lineRule="auto"/>
        <w:jc w:val="center"/>
        <w:outlineLvl w:val="1"/>
        <w:rPr>
          <w:rFonts w:ascii="宋体" w:hAnsi="宋体" w:eastAsia="宋体" w:cs="Times New Roman"/>
          <w:b/>
          <w:color w:val="auto"/>
          <w:kern w:val="0"/>
          <w:sz w:val="24"/>
          <w:szCs w:val="24"/>
          <w:highlight w:val="none"/>
        </w:rPr>
      </w:pPr>
      <w:bookmarkStart w:id="19" w:name="_Toc2272556"/>
      <w:bookmarkStart w:id="20" w:name="_Toc202907287"/>
      <w:bookmarkStart w:id="21" w:name="_Toc22241"/>
      <w:bookmarkStart w:id="22" w:name="_Toc9828"/>
      <w:bookmarkStart w:id="23" w:name="_Toc21525500"/>
      <w:r>
        <w:rPr>
          <w:rFonts w:hint="eastAsia" w:ascii="宋体" w:hAnsi="宋体" w:eastAsia="宋体" w:cs="Times New Roman"/>
          <w:b/>
          <w:color w:val="auto"/>
          <w:kern w:val="0"/>
          <w:sz w:val="24"/>
          <w:szCs w:val="24"/>
          <w:highlight w:val="none"/>
        </w:rPr>
        <w:t>二、开标、评标及定标办法通用条款</w:t>
      </w:r>
      <w:bookmarkEnd w:id="19"/>
      <w:bookmarkEnd w:id="20"/>
      <w:bookmarkEnd w:id="21"/>
      <w:bookmarkEnd w:id="22"/>
    </w:p>
    <w:p w14:paraId="324DB4D7">
      <w:pPr>
        <w:widowControl/>
        <w:spacing w:line="360" w:lineRule="auto"/>
        <w:ind w:firstLine="480" w:firstLineChars="200"/>
        <w:jc w:val="left"/>
        <w:outlineLvl w:val="2"/>
        <w:rPr>
          <w:rFonts w:ascii="宋体" w:hAnsi="宋体" w:eastAsia="宋体" w:cs="Times New Roman"/>
          <w:color w:val="auto"/>
          <w:kern w:val="0"/>
          <w:sz w:val="24"/>
          <w:szCs w:val="24"/>
          <w:highlight w:val="none"/>
        </w:rPr>
      </w:pPr>
      <w:bookmarkStart w:id="24" w:name="_Toc202907288"/>
      <w:r>
        <w:rPr>
          <w:rFonts w:hint="eastAsia" w:ascii="宋体" w:hAnsi="宋体" w:eastAsia="宋体" w:cs="Times New Roman"/>
          <w:color w:val="auto"/>
          <w:kern w:val="0"/>
          <w:sz w:val="24"/>
          <w:szCs w:val="24"/>
          <w:highlight w:val="none"/>
        </w:rPr>
        <w:t>（一）总则</w:t>
      </w:r>
      <w:bookmarkEnd w:id="24"/>
    </w:p>
    <w:p w14:paraId="66F9DE26">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35.开标、评标及定标所依据的规则</w:t>
      </w:r>
    </w:p>
    <w:p w14:paraId="2ED5539C">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35.1《中华人民共和国招标投标法》；</w:t>
      </w:r>
    </w:p>
    <w:p w14:paraId="2FCE0000">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《中华人民共和国招标投标法实施条例》；</w:t>
      </w:r>
    </w:p>
    <w:p w14:paraId="5EB2E347">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35</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《评标委员会和评标方法暂行规定》（七部委第</w:t>
      </w:r>
      <w:r>
        <w:rPr>
          <w:rFonts w:ascii="宋体" w:hAnsi="宋体" w:eastAsia="宋体" w:cs="Times New Roman"/>
          <w:color w:val="auto"/>
          <w:sz w:val="24"/>
          <w:szCs w:val="24"/>
          <w:highlight w:val="none"/>
        </w:rPr>
        <w:t>12</w:t>
      </w:r>
      <w:r>
        <w:rPr>
          <w:rFonts w:hint="eastAsia" w:ascii="宋体" w:hAnsi="宋体" w:eastAsia="宋体" w:cs="Times New Roman"/>
          <w:color w:val="auto"/>
          <w:sz w:val="24"/>
          <w:szCs w:val="24"/>
          <w:highlight w:val="none"/>
        </w:rPr>
        <w:t>号令）；</w:t>
      </w:r>
    </w:p>
    <w:p w14:paraId="0E608A93">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35</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《工程建设项目施工招标投标办法》（七部委</w:t>
      </w:r>
      <w:r>
        <w:rPr>
          <w:rFonts w:ascii="宋体" w:hAnsi="宋体" w:eastAsia="宋体" w:cs="Times New Roman"/>
          <w:color w:val="auto"/>
          <w:sz w:val="24"/>
          <w:szCs w:val="24"/>
          <w:highlight w:val="none"/>
        </w:rPr>
        <w:t>2003</w:t>
      </w:r>
      <w:r>
        <w:rPr>
          <w:rFonts w:hint="eastAsia" w:ascii="宋体" w:hAnsi="宋体" w:eastAsia="宋体" w:cs="Times New Roman"/>
          <w:color w:val="auto"/>
          <w:sz w:val="24"/>
          <w:szCs w:val="24"/>
          <w:highlight w:val="none"/>
        </w:rPr>
        <w:t>年第</w:t>
      </w:r>
      <w:r>
        <w:rPr>
          <w:rFonts w:ascii="宋体" w:hAnsi="宋体" w:eastAsia="宋体" w:cs="Times New Roman"/>
          <w:color w:val="auto"/>
          <w:sz w:val="24"/>
          <w:szCs w:val="24"/>
          <w:highlight w:val="none"/>
        </w:rPr>
        <w:t>30</w:t>
      </w:r>
      <w:r>
        <w:rPr>
          <w:rFonts w:hint="eastAsia" w:ascii="宋体" w:hAnsi="宋体" w:eastAsia="宋体" w:cs="Times New Roman"/>
          <w:color w:val="auto"/>
          <w:sz w:val="24"/>
          <w:szCs w:val="24"/>
          <w:highlight w:val="none"/>
        </w:rPr>
        <w:t>号令）；</w:t>
      </w:r>
    </w:p>
    <w:p w14:paraId="5A7BB9AC">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35</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《电子招标投标办法》；</w:t>
      </w:r>
    </w:p>
    <w:p w14:paraId="0725A4A7">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35.6《广东省实施〈中华人民共和国招标投标法〉办法》；</w:t>
      </w:r>
    </w:p>
    <w:p w14:paraId="7A67E0B5">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35</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7《房屋建筑和市政基础设施工程施工招标投标管理办法》（建设部令第</w:t>
      </w:r>
      <w:r>
        <w:rPr>
          <w:rFonts w:ascii="宋体" w:hAnsi="宋体" w:eastAsia="宋体" w:cs="Times New Roman"/>
          <w:color w:val="auto"/>
          <w:sz w:val="24"/>
          <w:szCs w:val="24"/>
          <w:highlight w:val="none"/>
        </w:rPr>
        <w:t>89</w:t>
      </w:r>
      <w:r>
        <w:rPr>
          <w:rFonts w:hint="eastAsia" w:ascii="宋体" w:hAnsi="宋体" w:eastAsia="宋体" w:cs="Times New Roman"/>
          <w:color w:val="auto"/>
          <w:sz w:val="24"/>
          <w:szCs w:val="24"/>
          <w:highlight w:val="none"/>
        </w:rPr>
        <w:t>号）；</w:t>
      </w:r>
    </w:p>
    <w:p w14:paraId="5167540F">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35</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8《广东省加强建设工程招标投标监督管理的若干规定》（粤发[2004]4号）；</w:t>
      </w:r>
    </w:p>
    <w:p w14:paraId="02C68B48">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35</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9《广州市工程建设项目招标投标管理办法》（穗建规字〔</w:t>
      </w:r>
      <w:r>
        <w:rPr>
          <w:rFonts w:ascii="宋体" w:hAnsi="宋体" w:eastAsia="宋体" w:cs="Times New Roman"/>
          <w:color w:val="auto"/>
          <w:sz w:val="24"/>
          <w:szCs w:val="24"/>
          <w:highlight w:val="none"/>
        </w:rPr>
        <w:t>2023</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12</w:t>
      </w:r>
      <w:r>
        <w:rPr>
          <w:rFonts w:hint="eastAsia" w:ascii="宋体" w:hAnsi="宋体" w:eastAsia="宋体" w:cs="Times New Roman"/>
          <w:color w:val="auto"/>
          <w:sz w:val="24"/>
          <w:szCs w:val="24"/>
          <w:highlight w:val="none"/>
        </w:rPr>
        <w:t>号）。</w:t>
      </w:r>
    </w:p>
    <w:p w14:paraId="568AC920">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35.10本项目招标文件。</w:t>
      </w:r>
    </w:p>
    <w:p w14:paraId="40184308">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36．开标</w:t>
      </w:r>
    </w:p>
    <w:p w14:paraId="73D2C9BF">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36.1 招标人按投标须知前附表第18项所规定的时间和地点通过电子招标投标交易平台公开开标，并邀请所有投标人参加，投标人可选择在开标室参加开标或准时在线参加开标，也可以不参加开标，均不影响开标程序。</w:t>
      </w:r>
      <w:r>
        <w:rPr>
          <w:rFonts w:hint="eastAsia" w:ascii="宋体" w:hAnsi="宋体" w:eastAsia="宋体" w:cs="Times New Roman"/>
          <w:color w:val="auto"/>
          <w:sz w:val="24"/>
          <w:highlight w:val="none"/>
        </w:rPr>
        <w:t>投标人不派代表参加开标会，则视其为放弃参与开标的权利，认可开标结果。</w:t>
      </w:r>
      <w:r>
        <w:rPr>
          <w:rFonts w:hint="eastAsia" w:ascii="宋体" w:hAnsi="宋体" w:eastAsia="宋体" w:cs="Times New Roman"/>
          <w:color w:val="auto"/>
          <w:sz w:val="24"/>
          <w:szCs w:val="24"/>
          <w:highlight w:val="none"/>
        </w:rPr>
        <w:t>截标后，开标开始时间因故推迟的，相关评标信息仍以原定的开标开始时间的信息为准。</w:t>
      </w:r>
    </w:p>
    <w:p w14:paraId="088CC6EC">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36.2</w:t>
      </w:r>
      <w:r>
        <w:rPr>
          <w:rFonts w:hint="eastAsia" w:ascii="宋体" w:hAnsi="宋体" w:eastAsia="宋体" w:cs="Times New Roman"/>
          <w:color w:val="auto"/>
          <w:sz w:val="24"/>
          <w:szCs w:val="24"/>
          <w:highlight w:val="none"/>
        </w:rPr>
        <w:t xml:space="preserve"> 招标人在招标文件要求提交投标文件的截止时间前收到的投标文件，开标时都当众予以解密、公布。</w:t>
      </w:r>
    </w:p>
    <w:p w14:paraId="02028D6B">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36.3根据投标须知前附表第19项，如需抽取某一种评标办法供评标时使用的，可在开标时（唱标工作完成后）抽取。首先对招标文件中约定的若干种评标方法进行编号，再随机抽取某一编号，该编号所对应的评标办法供评标时使用。</w:t>
      </w:r>
    </w:p>
    <w:p w14:paraId="355D0F2A">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36.4若递交投标文件的投标人不足3家，则重新组织招标。（当</w:t>
      </w:r>
      <w:r>
        <w:rPr>
          <w:rFonts w:ascii="宋体" w:hAnsi="宋体" w:eastAsia="宋体" w:cs="Times New Roman"/>
          <w:color w:val="auto"/>
          <w:sz w:val="24"/>
          <w:szCs w:val="24"/>
          <w:highlight w:val="none"/>
        </w:rPr>
        <w:t>N</w:t>
      </w:r>
      <w:r>
        <w:rPr>
          <w:rFonts w:hint="eastAsia" w:ascii="宋体" w:hAnsi="宋体" w:eastAsia="宋体" w:cs="Times New Roman"/>
          <w:color w:val="auto"/>
          <w:sz w:val="24"/>
          <w:szCs w:val="24"/>
          <w:highlight w:val="none"/>
        </w:rPr>
        <w:t>个标段同时招标且不允许兼中时，若有效投标人不足</w:t>
      </w:r>
      <w:r>
        <w:rPr>
          <w:rFonts w:ascii="宋体" w:hAnsi="宋体" w:eastAsia="宋体" w:cs="Times New Roman"/>
          <w:color w:val="auto"/>
          <w:sz w:val="24"/>
          <w:szCs w:val="24"/>
          <w:highlight w:val="none"/>
        </w:rPr>
        <w:t>N+</w:t>
      </w:r>
      <w:r>
        <w:rPr>
          <w:rFonts w:hint="eastAsia" w:ascii="宋体" w:hAnsi="宋体" w:eastAsia="宋体" w:cs="Times New Roman"/>
          <w:color w:val="auto"/>
          <w:sz w:val="24"/>
          <w:szCs w:val="24"/>
          <w:highlight w:val="none"/>
        </w:rPr>
        <w:t>2家，则重新组织招标）。</w:t>
      </w:r>
    </w:p>
    <w:p w14:paraId="21556DCA">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36.5按下列程序进行开标：</w:t>
      </w:r>
    </w:p>
    <w:p w14:paraId="13512E94">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36.5.1在投标截止时间后</w:t>
      </w:r>
      <w:r>
        <w:rPr>
          <w:rFonts w:hint="eastAsia" w:ascii="宋体" w:hAnsi="宋体" w:eastAsia="宋体" w:cs="Times New Roman"/>
          <w:color w:val="auto"/>
          <w:sz w:val="24"/>
          <w:highlight w:val="none"/>
          <w:u w:val="single"/>
        </w:rPr>
        <w:t>1</w:t>
      </w:r>
      <w:r>
        <w:rPr>
          <w:rFonts w:hint="eastAsia" w:ascii="宋体" w:hAnsi="宋体" w:eastAsia="宋体" w:cs="Times New Roman"/>
          <w:color w:val="auto"/>
          <w:sz w:val="24"/>
          <w:highlight w:val="none"/>
        </w:rPr>
        <w:t>小时内，投标人通过交易平台对已递交的电子投标文件进行解密。投标人完成解密后，再由招标人进行解密。解密完成后，公布招标项目名称、投标人名称、投标保证金的递交情况、投标报价、工期及其他内容；</w:t>
      </w:r>
    </w:p>
    <w:p w14:paraId="1BE82AC5">
      <w:pPr>
        <w:tabs>
          <w:tab w:val="left" w:pos="105"/>
        </w:tabs>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36.5.2备用光盘的读取按投标须知前附表第35项的规定执行；</w:t>
      </w:r>
    </w:p>
    <w:p w14:paraId="2EF9BD1B">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36.5.3投标人代表、招标人代表、监标人、记录人等有关人员在开标记录上签字确认；若有关人员不签字的，不影响开标程序；</w:t>
      </w:r>
    </w:p>
    <w:p w14:paraId="20D03EDD">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36.5.6开标结束。</w:t>
      </w:r>
    </w:p>
    <w:p w14:paraId="118DA7FF">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0F16D331">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36.7开标时，两个（含两个）以上的投标人加密打包投标文件电脑机器特征码一致的，由评标委员会否决其投标。</w:t>
      </w:r>
    </w:p>
    <w:p w14:paraId="629F2D6D">
      <w:pPr>
        <w:ind w:firstLine="480"/>
        <w:rPr>
          <w:rFonts w:ascii="宋体" w:hAnsi="宋体" w:eastAsia="宋体" w:cs="Courier New"/>
          <w:color w:val="auto"/>
          <w:sz w:val="24"/>
          <w:highlight w:val="none"/>
        </w:rPr>
      </w:pPr>
      <w:r>
        <w:rPr>
          <w:rFonts w:hint="eastAsia" w:ascii="宋体" w:hAnsi="宋体" w:eastAsia="宋体" w:cs="Courier New"/>
          <w:color w:val="auto"/>
          <w:sz w:val="24"/>
          <w:highlight w:val="none"/>
        </w:rPr>
        <w:t>36.8开标异议</w:t>
      </w:r>
    </w:p>
    <w:p w14:paraId="54CEA3F5">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36.8.1参加现场开标的投标人对开标结果有异议的，应当在开标现场提出，该投标人代表须同时出示本人身份证原件，招标人应当当场作出答复，并制作记录。</w:t>
      </w:r>
    </w:p>
    <w:p w14:paraId="07DACA77">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36.8.2参加在线开标的投标人对开标结果有异议的，应当在唱标结束后的规定时间内、使用单位数字证书登录电子招标投标交易平台后通过电子招标投标交易平台提出。招标人授权招标代理机构工作人员使用招标代理机构数字证书登录电子招标投标交易平台答复异议，异议答复是招标人真实意思表示。未答复的，开标程序不得结束。</w:t>
      </w:r>
    </w:p>
    <w:p w14:paraId="2E434459">
      <w:pPr>
        <w:spacing w:line="360" w:lineRule="auto"/>
        <w:ind w:firstLine="480"/>
        <w:rPr>
          <w:rFonts w:ascii="宋体" w:hAnsi="宋体" w:eastAsia="宋体" w:cs="Courier New"/>
          <w:color w:val="auto"/>
          <w:sz w:val="24"/>
          <w:highlight w:val="none"/>
        </w:rPr>
      </w:pPr>
      <w:r>
        <w:rPr>
          <w:rFonts w:hint="eastAsia" w:ascii="宋体" w:hAnsi="宋体" w:eastAsia="宋体" w:cs="Times New Roman"/>
          <w:color w:val="auto"/>
          <w:sz w:val="24"/>
          <w:highlight w:val="none"/>
        </w:rPr>
        <w:t>36.8.3</w:t>
      </w:r>
      <w:r>
        <w:rPr>
          <w:rFonts w:hint="eastAsia" w:ascii="宋体" w:hAnsi="宋体" w:eastAsia="宋体" w:cs="宋体"/>
          <w:color w:val="auto"/>
          <w:kern w:val="0"/>
          <w:sz w:val="24"/>
          <w:szCs w:val="24"/>
          <w:highlight w:val="none"/>
        </w:rPr>
        <w:t>对开标的异议，招标人应当当场作出答复并予以书面记录，异议成立的，招标人应当及时采取纠正措施，或者提交评标委员会评审确认；异议不成立的，招标人应当当场给予解释说明。</w:t>
      </w:r>
      <w:r>
        <w:rPr>
          <w:rFonts w:hint="eastAsia" w:ascii="宋体" w:hAnsi="宋体" w:eastAsia="宋体" w:cs="Courier New"/>
          <w:color w:val="auto"/>
          <w:sz w:val="24"/>
          <w:highlight w:val="none"/>
        </w:rPr>
        <w:t>投标人未参加开标或在规定的时间内未提出异议的，视为对开标无异议。</w:t>
      </w:r>
    </w:p>
    <w:p w14:paraId="12D8F579">
      <w:pPr>
        <w:spacing w:line="360" w:lineRule="auto"/>
        <w:ind w:firstLine="480"/>
        <w:rPr>
          <w:rFonts w:ascii="宋体" w:hAnsi="宋体" w:eastAsia="宋体" w:cs="宋体"/>
          <w:color w:val="auto"/>
          <w:kern w:val="0"/>
          <w:sz w:val="24"/>
          <w:szCs w:val="24"/>
          <w:highlight w:val="none"/>
        </w:rPr>
      </w:pPr>
      <w:r>
        <w:rPr>
          <w:rFonts w:hint="eastAsia" w:ascii="宋体" w:hAnsi="宋体" w:eastAsia="宋体" w:cs="Courier New"/>
          <w:color w:val="auto"/>
          <w:sz w:val="24"/>
          <w:highlight w:val="none"/>
        </w:rPr>
        <w:t>36.8.4</w:t>
      </w:r>
      <w:r>
        <w:rPr>
          <w:rFonts w:hint="eastAsia" w:ascii="宋体" w:hAnsi="宋体" w:eastAsia="宋体" w:cs="宋体"/>
          <w:color w:val="auto"/>
          <w:kern w:val="0"/>
          <w:sz w:val="24"/>
          <w:szCs w:val="24"/>
          <w:highlight w:val="none"/>
        </w:rPr>
        <w:t>招标人应当按照同一异议提起人一份记录的方式，对异议事项的处理应逐条进行书面记录，并由异议提起人、招标人签名确认。书面记录含义应清晰而明确，包括但不限于纠正的措施、解释说明的内容、相关依据等。</w:t>
      </w:r>
    </w:p>
    <w:p w14:paraId="227C3D55">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37</w:t>
      </w:r>
      <w:r>
        <w:rPr>
          <w:rFonts w:hint="eastAsia" w:ascii="宋体" w:hAnsi="宋体" w:eastAsia="宋体" w:cs="Times New Roman"/>
          <w:color w:val="auto"/>
          <w:sz w:val="24"/>
          <w:szCs w:val="24"/>
          <w:highlight w:val="none"/>
        </w:rPr>
        <w:t>．评标</w:t>
      </w:r>
    </w:p>
    <w:p w14:paraId="5F66BF65">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37.1</w:t>
      </w:r>
      <w:r>
        <w:rPr>
          <w:rFonts w:hint="eastAsia" w:ascii="宋体" w:hAnsi="宋体" w:eastAsia="宋体" w:cs="Times New Roman"/>
          <w:color w:val="auto"/>
          <w:sz w:val="24"/>
          <w:highlight w:val="none"/>
        </w:rPr>
        <w:t>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r>
        <w:rPr>
          <w:rFonts w:hint="eastAsia" w:ascii="宋体" w:hAnsi="宋体" w:eastAsia="宋体" w:cs="Times New Roman"/>
          <w:color w:val="auto"/>
          <w:sz w:val="24"/>
          <w:szCs w:val="24"/>
          <w:highlight w:val="none"/>
        </w:rPr>
        <w:t>。</w:t>
      </w:r>
    </w:p>
    <w:p w14:paraId="798518C3">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37.2评标委员会成员有下列情形之一的，应当回避：</w:t>
      </w:r>
    </w:p>
    <w:p w14:paraId="2F63E620">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（1）招标人或投标人的主要负责人的近亲属；</w:t>
      </w:r>
    </w:p>
    <w:p w14:paraId="58759A19">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（2）项目主管部门或者行政监督部门的人员；</w:t>
      </w:r>
    </w:p>
    <w:p w14:paraId="428BEC50">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（3）招标人或投标人的工作人员、退休或离职未满3年的人员；</w:t>
      </w:r>
    </w:p>
    <w:p w14:paraId="705CF622">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（4）与投标人有经济利益关系，可能影响对投标公正评审的；</w:t>
      </w:r>
    </w:p>
    <w:p w14:paraId="36882A83">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（5）曾因在招标、评标以及其他与招标投标有关活动中从事违法行为而受过行政处罚或刑事处罚的。</w:t>
      </w:r>
    </w:p>
    <w:p w14:paraId="27AB50F4">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（6）与投标人有其他利害关系。</w:t>
      </w:r>
    </w:p>
    <w:p w14:paraId="5457352A">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37.</w:t>
      </w:r>
      <w:r>
        <w:rPr>
          <w:rFonts w:hint="eastAsia" w:ascii="宋体" w:hAnsi="宋体" w:eastAsia="宋体" w:cs="Times New Roman"/>
          <w:color w:val="auto"/>
          <w:sz w:val="24"/>
          <w:szCs w:val="24"/>
          <w:highlight w:val="none"/>
        </w:rPr>
        <w:t>3评标委员会的职责及守则：</w:t>
      </w:r>
    </w:p>
    <w:p w14:paraId="5CCB5EC2">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37.</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根据评标细则，对</w:t>
      </w:r>
      <w:r>
        <w:rPr>
          <w:rFonts w:hint="eastAsia" w:ascii="宋体" w:hAnsi="宋体" w:eastAsia="宋体" w:cs="Times New Roman"/>
          <w:color w:val="auto"/>
          <w:sz w:val="24"/>
          <w:highlight w:val="none"/>
        </w:rPr>
        <w:t>投标文件</w:t>
      </w:r>
      <w:r>
        <w:rPr>
          <w:rFonts w:hint="eastAsia" w:ascii="宋体" w:hAnsi="宋体" w:eastAsia="宋体" w:cs="Times New Roman"/>
          <w:color w:val="auto"/>
          <w:sz w:val="24"/>
          <w:szCs w:val="24"/>
          <w:highlight w:val="none"/>
        </w:rPr>
        <w:t>进行认真评审，完成评审报告；</w:t>
      </w:r>
    </w:p>
    <w:p w14:paraId="3826F850">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37.</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向招标人报告评审意见，推荐合格的中标候选人。</w:t>
      </w:r>
    </w:p>
    <w:p w14:paraId="38DEBA12">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bCs/>
          <w:color w:val="auto"/>
          <w:sz w:val="24"/>
          <w:szCs w:val="24"/>
          <w:highlight w:val="none"/>
        </w:rPr>
        <w:t>37.</w:t>
      </w:r>
      <w:r>
        <w:rPr>
          <w:rFonts w:hint="eastAsia" w:ascii="宋体" w:hAnsi="宋体" w:eastAsia="宋体" w:cs="Times New Roman"/>
          <w:bCs/>
          <w:color w:val="auto"/>
          <w:sz w:val="24"/>
          <w:szCs w:val="24"/>
          <w:highlight w:val="none"/>
        </w:rPr>
        <w:t>3</w:t>
      </w:r>
      <w:r>
        <w:rPr>
          <w:rFonts w:ascii="宋体" w:hAnsi="宋体" w:eastAsia="宋体" w:cs="Times New Roman"/>
          <w:bCs/>
          <w:color w:val="auto"/>
          <w:sz w:val="24"/>
          <w:szCs w:val="24"/>
          <w:highlight w:val="none"/>
        </w:rPr>
        <w:t>.3</w:t>
      </w:r>
      <w:r>
        <w:rPr>
          <w:rFonts w:ascii="宋体" w:hAnsi="宋体" w:eastAsia="宋体" w:cs="Times New Roman"/>
          <w:b/>
          <w:bCs/>
          <w:color w:val="auto"/>
          <w:sz w:val="24"/>
          <w:szCs w:val="24"/>
          <w:highlight w:val="none"/>
        </w:rPr>
        <w:t xml:space="preserve"> </w:t>
      </w:r>
      <w:r>
        <w:rPr>
          <w:rFonts w:hint="eastAsia" w:ascii="宋体" w:hAnsi="宋体" w:eastAsia="宋体" w:cs="Times New Roman"/>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1140B730">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37.</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全体参与评标人员：</w:t>
      </w:r>
    </w:p>
    <w:p w14:paraId="5DAD385F">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37.</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 xml:space="preserve">.4.1 </w:t>
      </w:r>
      <w:r>
        <w:rPr>
          <w:rFonts w:hint="eastAsia" w:ascii="宋体" w:hAnsi="宋体" w:eastAsia="宋体" w:cs="Times New Roman"/>
          <w:color w:val="auto"/>
          <w:sz w:val="24"/>
          <w:szCs w:val="24"/>
          <w:highlight w:val="none"/>
        </w:rPr>
        <w:t>必须遵守评标纪律、不得泄密；</w:t>
      </w:r>
    </w:p>
    <w:p w14:paraId="2E5E7A91">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37.</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 xml:space="preserve">.4.2 </w:t>
      </w:r>
      <w:r>
        <w:rPr>
          <w:rFonts w:hint="eastAsia" w:ascii="宋体" w:hAnsi="宋体" w:eastAsia="宋体" w:cs="Times New Roman"/>
          <w:color w:val="auto"/>
          <w:sz w:val="24"/>
          <w:szCs w:val="24"/>
          <w:highlight w:val="none"/>
        </w:rPr>
        <w:t>必须公正、不得循私；</w:t>
      </w:r>
    </w:p>
    <w:p w14:paraId="580D070B">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37.</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 xml:space="preserve">.4.3 </w:t>
      </w:r>
      <w:r>
        <w:rPr>
          <w:rFonts w:hint="eastAsia" w:ascii="宋体" w:hAnsi="宋体" w:eastAsia="宋体" w:cs="Times New Roman"/>
          <w:color w:val="auto"/>
          <w:sz w:val="24"/>
          <w:szCs w:val="24"/>
          <w:highlight w:val="none"/>
        </w:rPr>
        <w:t>必须科学、不得草率；</w:t>
      </w:r>
    </w:p>
    <w:p w14:paraId="58C33691">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37.</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 xml:space="preserve">.4.4 </w:t>
      </w:r>
      <w:r>
        <w:rPr>
          <w:rFonts w:hint="eastAsia" w:ascii="宋体" w:hAnsi="宋体" w:eastAsia="宋体" w:cs="Times New Roman"/>
          <w:color w:val="auto"/>
          <w:sz w:val="24"/>
          <w:szCs w:val="24"/>
          <w:highlight w:val="none"/>
        </w:rPr>
        <w:t>必须客观、不得带有成见；</w:t>
      </w:r>
    </w:p>
    <w:p w14:paraId="35758191">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37.</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 xml:space="preserve">.4.5 </w:t>
      </w:r>
      <w:r>
        <w:rPr>
          <w:rFonts w:hint="eastAsia" w:ascii="宋体" w:hAnsi="宋体" w:eastAsia="宋体" w:cs="Times New Roman"/>
          <w:color w:val="auto"/>
          <w:sz w:val="24"/>
          <w:szCs w:val="24"/>
          <w:highlight w:val="none"/>
        </w:rPr>
        <w:t>必须平等、不得强加于人；</w:t>
      </w:r>
    </w:p>
    <w:p w14:paraId="07E03E8E">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37.</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 xml:space="preserve">.4.6 </w:t>
      </w:r>
      <w:r>
        <w:rPr>
          <w:rFonts w:hint="eastAsia" w:ascii="宋体" w:hAnsi="宋体" w:eastAsia="宋体" w:cs="Times New Roman"/>
          <w:color w:val="auto"/>
          <w:sz w:val="24"/>
          <w:szCs w:val="24"/>
          <w:highlight w:val="none"/>
        </w:rPr>
        <w:t>必须严谨、不得随意马虎。</w:t>
      </w:r>
    </w:p>
    <w:p w14:paraId="5CAF8442">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75E43628">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szCs w:val="24"/>
          <w:highlight w:val="none"/>
        </w:rPr>
        <w:t>37.5</w:t>
      </w:r>
      <w:r>
        <w:rPr>
          <w:rFonts w:hint="eastAsia" w:ascii="宋体" w:hAnsi="宋体" w:eastAsia="宋体" w:cs="Times New Roman"/>
          <w:color w:val="auto"/>
          <w:sz w:val="24"/>
          <w:highlight w:val="none"/>
        </w:rPr>
        <w:t>评标委员会按照第二章“开标、评标及定标办法”规定的方法、评审因素、标准和程序对投标文件进行评审。第三章“开标、评标及定标办法”没有规定的方法、评审因素和标准，不作为评标依据。</w:t>
      </w:r>
    </w:p>
    <w:p w14:paraId="6E3FDACC">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highlight w:val="none"/>
        </w:rPr>
        <w:t>37.6</w:t>
      </w:r>
      <w:r>
        <w:rPr>
          <w:rFonts w:hint="eastAsia" w:ascii="宋体" w:hAnsi="宋体" w:eastAsia="宋体" w:cs="Times New Roman"/>
          <w:color w:val="auto"/>
          <w:sz w:val="24"/>
          <w:szCs w:val="24"/>
          <w:highlight w:val="none"/>
        </w:rPr>
        <w:t>评标结束后，评标委员会递交评标报告并依法推荐中标候选人。</w:t>
      </w:r>
    </w:p>
    <w:p w14:paraId="32049C65">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38．投标文件的澄清</w:t>
      </w:r>
    </w:p>
    <w:p w14:paraId="6FB665F4">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38.1</w:t>
      </w:r>
      <w:r>
        <w:rPr>
          <w:rFonts w:hint="eastAsia" w:ascii="宋体" w:hAnsi="宋体" w:eastAsia="宋体" w:cs="Times New Roman"/>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对同类问题表述不一致，有明显格式或文字、计算错误的内容作出澄清。</w:t>
      </w:r>
    </w:p>
    <w:p w14:paraId="213C296D">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38.2 </w:t>
      </w:r>
      <w:r>
        <w:rPr>
          <w:rFonts w:hint="eastAsia" w:ascii="宋体" w:hAnsi="宋体" w:eastAsia="宋体" w:cs="Times New Roman"/>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58BDB051">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38.3 </w:t>
      </w:r>
      <w:r>
        <w:rPr>
          <w:rFonts w:hint="eastAsia" w:ascii="宋体" w:hAnsi="宋体" w:eastAsia="宋体" w:cs="Times New Roman"/>
          <w:color w:val="auto"/>
          <w:sz w:val="24"/>
          <w:szCs w:val="24"/>
          <w:highlight w:val="none"/>
        </w:rPr>
        <w:t>评标委员会或评标委员会专业评审组成员均应当阅读投标人的澄清，但应独立参考澄清对投标文件进行评审。</w:t>
      </w:r>
    </w:p>
    <w:p w14:paraId="501C2F5A">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38.4</w:t>
      </w:r>
      <w:r>
        <w:rPr>
          <w:rFonts w:hint="eastAsia" w:ascii="宋体" w:hAnsi="宋体" w:eastAsia="宋体" w:cs="Times New Roman"/>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14:paraId="2181CAFC">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依法重新招标。</w:t>
      </w:r>
    </w:p>
    <w:p w14:paraId="62F9E79C">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39</w:t>
      </w:r>
      <w:r>
        <w:rPr>
          <w:rFonts w:hint="eastAsia" w:ascii="宋体" w:hAnsi="宋体" w:eastAsia="宋体" w:cs="Times New Roman"/>
          <w:color w:val="auto"/>
          <w:sz w:val="24"/>
          <w:szCs w:val="24"/>
          <w:highlight w:val="none"/>
        </w:rPr>
        <w:t>．定标</w:t>
      </w:r>
    </w:p>
    <w:p w14:paraId="45F4ABBE">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39.1 </w:t>
      </w:r>
      <w:r>
        <w:rPr>
          <w:rFonts w:hint="eastAsia" w:ascii="宋体" w:hAnsi="宋体" w:eastAsia="宋体" w:cs="Times New Roman"/>
          <w:color w:val="auto"/>
          <w:sz w:val="24"/>
          <w:szCs w:val="24"/>
          <w:highlight w:val="none"/>
        </w:rPr>
        <w:t>招标人根据评标委员会递交的评标报告，最终审定中标人。</w:t>
      </w:r>
    </w:p>
    <w:p w14:paraId="38C0EFE2">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39.2 </w:t>
      </w:r>
      <w:r>
        <w:rPr>
          <w:rFonts w:hint="eastAsia" w:ascii="宋体" w:hAnsi="宋体" w:eastAsia="宋体" w:cs="Times New Roman"/>
          <w:color w:val="auto"/>
          <w:sz w:val="24"/>
          <w:szCs w:val="24"/>
          <w:highlight w:val="none"/>
        </w:rPr>
        <w:t>依法必须进行公开招标的项目，招标人应当确定排名第一的中标候选人为中标人。采用评定分离方式确定中标人的从其规定。若发现委派的项目负责人已在其他在建项目中任职，不符合任职数量规定时，招标人可以确定排名第二的中标候选人为中标人。</w:t>
      </w:r>
    </w:p>
    <w:p w14:paraId="3C3828E2">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39.3</w:t>
      </w:r>
      <w:r>
        <w:rPr>
          <w:rFonts w:hint="eastAsia" w:ascii="宋体" w:hAnsi="宋体" w:eastAsia="宋体" w:cs="Times New Roman"/>
          <w:color w:val="auto"/>
          <w:sz w:val="24"/>
          <w:szCs w:val="24"/>
          <w:highlight w:val="none"/>
        </w:rPr>
        <w:t>排名第一的中标候选人放弃中标、或因不可抗力提出不能履行合同，或者招标文件规定应当提交履约担保而在规定的期限内未能提交的，或经核查发现委派的项目负责人已在其他在建项目中任职，不符合任职数量规定时，招标人可以确定排名第二的中标候选人为中标人。</w:t>
      </w:r>
    </w:p>
    <w:p w14:paraId="1BA1E901">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39.4</w:t>
      </w:r>
      <w:r>
        <w:rPr>
          <w:rFonts w:hint="eastAsia" w:ascii="宋体" w:hAnsi="宋体" w:eastAsia="宋体" w:cs="Times New Roman"/>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14:paraId="6BAA57DB">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7A2FFDD2">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39.6有效投标不足3个的，评标委员会应当对投标是否明显缺乏竞争和是否需要否决全部投标进行充分论证，并在评标报告中记载论证过程和结果。</w:t>
      </w:r>
    </w:p>
    <w:p w14:paraId="7984F6C6">
      <w:pPr>
        <w:spacing w:line="360" w:lineRule="auto"/>
        <w:rPr>
          <w:rFonts w:ascii="宋体" w:hAnsi="宋体" w:eastAsia="宋体" w:cs="Courier New"/>
          <w:color w:val="auto"/>
          <w:sz w:val="24"/>
          <w:szCs w:val="24"/>
          <w:highlight w:val="none"/>
        </w:rPr>
      </w:pPr>
      <w:r>
        <w:rPr>
          <w:rFonts w:hint="eastAsia" w:ascii="宋体" w:hAnsi="宋体" w:eastAsia="宋体" w:cs="Courier New"/>
          <w:color w:val="auto"/>
          <w:sz w:val="24"/>
          <w:szCs w:val="24"/>
          <w:highlight w:val="none"/>
        </w:rPr>
        <w:t xml:space="preserve">    </w:t>
      </w:r>
      <w:r>
        <w:rPr>
          <w:rFonts w:hint="eastAsia" w:ascii="宋体" w:hAnsi="宋体" w:eastAsia="宋体" w:cs="楷体"/>
          <w:color w:val="auto"/>
          <w:sz w:val="24"/>
          <w:szCs w:val="24"/>
          <w:highlight w:val="none"/>
        </w:rPr>
        <w:t>注：采用评定分离方式的，招标人应在招标文件中明确定标方式。</w:t>
      </w:r>
    </w:p>
    <w:p w14:paraId="010E3673">
      <w:pPr>
        <w:widowControl/>
        <w:spacing w:line="360" w:lineRule="auto"/>
        <w:ind w:firstLine="480" w:firstLineChars="200"/>
        <w:jc w:val="left"/>
        <w:outlineLvl w:val="2"/>
        <w:rPr>
          <w:rFonts w:ascii="宋体" w:hAnsi="宋体" w:eastAsia="宋体" w:cs="Times New Roman"/>
          <w:color w:val="auto"/>
          <w:kern w:val="0"/>
          <w:sz w:val="24"/>
          <w:szCs w:val="24"/>
          <w:highlight w:val="none"/>
        </w:rPr>
      </w:pPr>
      <w:bookmarkStart w:id="25" w:name="_Toc202907289"/>
      <w:r>
        <w:rPr>
          <w:rFonts w:hint="eastAsia" w:ascii="宋体" w:hAnsi="宋体" w:eastAsia="宋体" w:cs="Times New Roman"/>
          <w:color w:val="auto"/>
          <w:kern w:val="0"/>
          <w:sz w:val="24"/>
          <w:szCs w:val="24"/>
          <w:highlight w:val="none"/>
        </w:rPr>
        <w:t>（二）开标评标办法程序和细则</w:t>
      </w:r>
      <w:bookmarkEnd w:id="25"/>
    </w:p>
    <w:p w14:paraId="37FA6788">
      <w:pPr>
        <w:spacing w:line="360" w:lineRule="auto"/>
        <w:ind w:firstLine="482" w:firstLineChars="200"/>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可选办法七（适合综合评分法四，技术标与经济标同时开启）</w:t>
      </w:r>
    </w:p>
    <w:p w14:paraId="1C628E0C">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40．开标和评标程序</w:t>
      </w:r>
    </w:p>
    <w:p w14:paraId="0BF01A56">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40.1投标人递交技术标、经济标投标文件；</w:t>
      </w:r>
    </w:p>
    <w:p w14:paraId="152EFCA8">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40.2技术标（含资格审查文件）与经济标投标文件同时公开开标；</w:t>
      </w:r>
    </w:p>
    <w:p w14:paraId="469F8156">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40.3由招标人随机抽取确定该工程计算评标参考价的等分点值X（适用于区间抽取法）；</w:t>
      </w:r>
    </w:p>
    <w:p w14:paraId="7031A4F1">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40.4由评标委员会对所有已公开开标的投标人进行资格审查；</w:t>
      </w:r>
    </w:p>
    <w:p w14:paraId="3B91B68D">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40.5技术标投标文件有效性审查；</w:t>
      </w:r>
    </w:p>
    <w:p w14:paraId="60150295">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40.6技术标详细审查评分；</w:t>
      </w:r>
    </w:p>
    <w:p w14:paraId="2110F349">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40.7经济标的算术校核；</w:t>
      </w:r>
    </w:p>
    <w:p w14:paraId="2251F33D">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40.8经济标详细审查评分；</w:t>
      </w:r>
      <w:r>
        <w:rPr>
          <w:rFonts w:ascii="宋体" w:hAnsi="宋体" w:eastAsia="宋体" w:cs="Times New Roman"/>
          <w:color w:val="auto"/>
          <w:sz w:val="24"/>
          <w:szCs w:val="24"/>
          <w:highlight w:val="none"/>
        </w:rPr>
        <w:t xml:space="preserve"> </w:t>
      </w:r>
    </w:p>
    <w:p w14:paraId="3CED3C15">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40.9评标委员会按照投标人总得分由高至低排序；</w:t>
      </w:r>
    </w:p>
    <w:p w14:paraId="7426D20F">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40.10经济标投标文件有效性审查；</w:t>
      </w:r>
    </w:p>
    <w:p w14:paraId="105580E3">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40.11评标委员会按排序向招标人推荐中标候选人名单，并递交资格审查报告及评标报告。</w:t>
      </w:r>
    </w:p>
    <w:p w14:paraId="3B3E4C9F">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41．开标细则</w:t>
      </w:r>
    </w:p>
    <w:p w14:paraId="600E4687">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41.1开标由招标人主持。</w:t>
      </w:r>
    </w:p>
    <w:p w14:paraId="1EB48FEC">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41.2 细则</w:t>
      </w:r>
    </w:p>
    <w:p w14:paraId="10021346">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41.2.1投标截止期前，各投标人递交投标文件（包括技术标投标文件、经济标投标文件）至</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交易平台。有关投标文件提交的事项详见第一章投标须知。 </w:t>
      </w:r>
    </w:p>
    <w:p w14:paraId="3AAA234C">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2C18DD4C">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41.2.3按36.5.1的规定完成解密后，公布下列内容，并予以记录，记录提交评标委员会评审： </w:t>
      </w:r>
    </w:p>
    <w:p w14:paraId="50EE7969">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41.2.3.1开标时，公布：a、投标人名称；</w:t>
      </w: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、投标文件递交情况</w:t>
      </w: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、投标文件解密情况；</w:t>
      </w: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、法定代表人证明及授权委托；</w:t>
      </w:r>
      <w:r>
        <w:rPr>
          <w:rFonts w:ascii="宋体" w:hAnsi="宋体" w:eastAsia="宋体" w:cs="Times New Roman"/>
          <w:color w:val="auto"/>
          <w:sz w:val="24"/>
          <w:szCs w:val="24"/>
          <w:highlight w:val="none"/>
        </w:rPr>
        <w:t>e</w:t>
      </w:r>
      <w:r>
        <w:rPr>
          <w:rFonts w:hint="eastAsia" w:ascii="宋体" w:hAnsi="宋体" w:eastAsia="宋体" w:cs="Times New Roman"/>
          <w:color w:val="auto"/>
          <w:sz w:val="24"/>
          <w:szCs w:val="24"/>
          <w:highlight w:val="none"/>
        </w:rPr>
        <w:t>、投标保证金；f、项目经理（负责人）名称；</w:t>
      </w:r>
      <w:r>
        <w:rPr>
          <w:rFonts w:ascii="宋体" w:hAnsi="宋体" w:eastAsia="宋体" w:cs="Times New Roman"/>
          <w:color w:val="auto"/>
          <w:sz w:val="24"/>
          <w:szCs w:val="24"/>
          <w:highlight w:val="none"/>
        </w:rPr>
        <w:t>f</w:t>
      </w:r>
      <w:r>
        <w:rPr>
          <w:rFonts w:hint="eastAsia" w:ascii="宋体" w:hAnsi="宋体" w:eastAsia="宋体" w:cs="Times New Roman"/>
          <w:color w:val="auto"/>
          <w:sz w:val="24"/>
          <w:szCs w:val="24"/>
          <w:highlight w:val="none"/>
        </w:rPr>
        <w:t>、投标报价等主要内容及开标记录表中的其他必要内容。投标报价以数字和文字两种方式表述的，应公布文字表述的投标报价。</w:t>
      </w:r>
    </w:p>
    <w:p w14:paraId="67B491F3">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41.2.3.2由招标人随机抽取确定该工程计算评标参考价的等分点值X。</w:t>
      </w:r>
    </w:p>
    <w:p w14:paraId="15500B32">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41.3招标人对开标过程进行记录，并存档备查。</w:t>
      </w:r>
    </w:p>
    <w:p w14:paraId="3ACA3091">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41.4 招标人将上述符合要求的投标文件，送至评标委员会进行评审。</w:t>
      </w:r>
    </w:p>
    <w:p w14:paraId="79B5F560">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42. 资格审查及评标细则</w:t>
      </w:r>
    </w:p>
    <w:p w14:paraId="549367BF">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42.1资格审查及评标均由招标人依法组建的评标委员会负责。</w:t>
      </w:r>
    </w:p>
    <w:p w14:paraId="35FFFE9A">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42.2评标委员会的组成：方式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38D72938">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方式一：评标委员会为综合评标委员会，负责资格审查及评标工作。</w:t>
      </w:r>
    </w:p>
    <w:p w14:paraId="315529ED">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方式二：评标委员会由技术评审组和经济评审组组成。其中：资格审查及技术评审由技术评标组负责，经济评审由经济评审组负责。</w:t>
      </w:r>
    </w:p>
    <w:p w14:paraId="2B36481C">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43．投标人资格审查</w:t>
      </w:r>
    </w:p>
    <w:p w14:paraId="5C7919EF">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2CE4D5C5">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43.2汇总资格审查情况，编写资格审查报告。</w:t>
      </w:r>
    </w:p>
    <w:p w14:paraId="61E9A847">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43.3资格审查不合格的投标文件不参加下一阶段的评标，不参与评标参考价的计算。</w:t>
      </w:r>
    </w:p>
    <w:p w14:paraId="5BE99118">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2A7035BD">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43.5资审合格后，投标人的资格发生变化而不满足投标人合格条件，在发出中标通知书前，资格问题仍未解决的，招标人将取消其中标资格。</w:t>
      </w:r>
    </w:p>
    <w:p w14:paraId="2DCA5C58">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43.6资格审查合格的投标人少于3名的（当N个标段同时招标且不允许兼中时，资格审查合格的投标人少于N+2名），则本项目招标失败，由招标人依法重新招标。</w:t>
      </w:r>
    </w:p>
    <w:p w14:paraId="474556CA">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44．技术标评审</w:t>
      </w:r>
    </w:p>
    <w:p w14:paraId="4A1F4D69">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本项目招标失败（当N个标段同时招标且不允许兼中时，通过技术标有效性审查投标人应≥N+2），由招标人依法重新招标。评委发现投标文件中含义不明确、对同类问题表述不一致、有明显文字和计算错误的，应当要求投标人作必要的澄清、说明后再判定投标人是否通过有效性审查，不得直接否决投标。</w:t>
      </w:r>
    </w:p>
    <w:p w14:paraId="2DE9A0AB">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76C58CB2">
      <w:pPr>
        <w:spacing w:line="360" w:lineRule="auto"/>
        <w:ind w:firstLine="480" w:firstLineChars="20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5.经济标的算术校核。评标委员会对进行经济标有效性审查的投标文件投标报价按照就低不就高的原则进行算术校核，具体标准如下：</w:t>
      </w:r>
    </w:p>
    <w:p w14:paraId="13B37AEF">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45.1如果数字表示的金额和用文字表示的金额不一致时，应以文字表示的金额为准；</w:t>
      </w:r>
    </w:p>
    <w:p w14:paraId="677FD673">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45.2经算术复核的投标人报价与其投标报价不一致时，按就低不就高原则确定其最终报价；</w:t>
      </w:r>
    </w:p>
    <w:p w14:paraId="2E52D963">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B6A7C1D">
      <w:pPr>
        <w:spacing w:line="360" w:lineRule="auto"/>
        <w:ind w:firstLine="480" w:firstLineChars="20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当合价、金额累加错误时，按就低不就高原则，如果累加修正值小于原累加值，则按累加修正值；如果累加修正值大于原累加值，则按原累加值；</w:t>
      </w:r>
    </w:p>
    <w:p w14:paraId="7F283382">
      <w:pPr>
        <w:spacing w:line="360" w:lineRule="auto"/>
        <w:ind w:firstLine="480" w:firstLineChars="20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如果投标人的有关规费、暂列金额、暂估价、绿色施工安全防护措施费等未按招标文件规定的金额填写的，由评标委员会按照招标文件规定的金额进行修正；</w:t>
      </w:r>
    </w:p>
    <w:p w14:paraId="444CED4D">
      <w:pPr>
        <w:spacing w:line="360" w:lineRule="auto"/>
        <w:ind w:firstLine="480" w:firstLineChars="20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56386C2D">
      <w:pPr>
        <w:spacing w:line="360" w:lineRule="auto"/>
        <w:ind w:firstLine="480" w:firstLineChars="20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14:paraId="4D9AE5F2">
      <w:pPr>
        <w:spacing w:line="360" w:lineRule="auto"/>
        <w:ind w:firstLine="480" w:firstLineChars="20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8</w:t>
      </w:r>
      <w:r>
        <w:rPr>
          <w:rFonts w:hint="eastAsia" w:ascii="宋体" w:hAnsi="宋体" w:eastAsia="宋体" w:cs="Times New Roman"/>
          <w:color w:val="auto"/>
          <w:sz w:val="24"/>
          <w:szCs w:val="24"/>
          <w:highlight w:val="none"/>
        </w:rPr>
        <w:t>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并且其投标保证金也将不予退还。</w:t>
      </w:r>
    </w:p>
    <w:p w14:paraId="4A744875">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46．经济标评审和得分汇总</w:t>
      </w:r>
    </w:p>
    <w:p w14:paraId="6A0C9EA5">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46.1若通过技术标有效性审查的投标人中所有投标报价均大于等于最高投标限价，则本项目招标失败，由招标人依法重新招标。</w:t>
      </w:r>
    </w:p>
    <w:p w14:paraId="012F2099">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46.2按以下方法计算评标参考价：</w:t>
      </w:r>
    </w:p>
    <w:p w14:paraId="08023C57">
      <w:pPr>
        <w:spacing w:line="360" w:lineRule="auto"/>
        <w:ind w:firstLine="482" w:firstLineChars="200"/>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区间抽取法</w:t>
      </w:r>
    </w:p>
    <w:p w14:paraId="58D19645">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设立入围合格分数线（技术标或技术标加企业信用评价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7B7EB10A">
      <w:pPr>
        <w:spacing w:line="360" w:lineRule="auto"/>
        <w:ind w:firstLine="480" w:firstLineChars="200"/>
        <w:rPr>
          <w:rFonts w:hint="eastAsia" w:ascii="宋体" w:hAnsi="宋体" w:eastAsia="宋体" w:cs="Times New Roman"/>
          <w:color w:val="auto"/>
          <w:sz w:val="24"/>
          <w:szCs w:val="24"/>
          <w:highlight w:val="none"/>
          <w:vertAlign w:val="subscript"/>
        </w:rPr>
      </w:pPr>
      <w:r>
        <w:rPr>
          <w:rFonts w:hint="eastAsia" w:ascii="宋体" w:hAnsi="宋体" w:eastAsia="宋体" w:cs="Times New Roman"/>
          <w:color w:val="auto"/>
          <w:sz w:val="24"/>
          <w:szCs w:val="24"/>
          <w:highlight w:val="none"/>
        </w:rPr>
        <w:t>评标参考价</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Q</w:t>
      </w:r>
      <w:r>
        <w:rPr>
          <w:rFonts w:hint="eastAsia" w:ascii="宋体" w:hAnsi="宋体" w:eastAsia="宋体" w:cs="Times New Roman"/>
          <w:color w:val="auto"/>
          <w:sz w:val="24"/>
          <w:szCs w:val="24"/>
          <w:highlight w:val="none"/>
          <w:vertAlign w:val="subscript"/>
        </w:rPr>
        <w:t>高</w:t>
      </w:r>
      <w:r>
        <w:rPr>
          <w:rFonts w:ascii="宋体" w:hAnsi="宋体" w:eastAsia="宋体" w:cs="Times New Roman"/>
          <w:color w:val="auto"/>
          <w:sz w:val="24"/>
          <w:szCs w:val="24"/>
          <w:highlight w:val="none"/>
        </w:rPr>
        <w:t>-Q</w:t>
      </w:r>
      <w:r>
        <w:rPr>
          <w:rFonts w:hint="eastAsia" w:ascii="宋体" w:hAnsi="宋体" w:eastAsia="宋体" w:cs="Times New Roman"/>
          <w:color w:val="auto"/>
          <w:sz w:val="24"/>
          <w:szCs w:val="24"/>
          <w:highlight w:val="none"/>
          <w:vertAlign w:val="subscript"/>
        </w:rPr>
        <w:t>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/100*</w:t>
      </w:r>
      <w:r>
        <w:rPr>
          <w:rFonts w:hint="eastAsia" w:ascii="宋体" w:hAnsi="宋体" w:eastAsia="宋体" w:cs="Times New Roman"/>
          <w:color w:val="auto"/>
          <w:sz w:val="24"/>
          <w:szCs w:val="24"/>
          <w:highlight w:val="none"/>
        </w:rPr>
        <w:t>Ｘ</w:t>
      </w:r>
      <w:r>
        <w:rPr>
          <w:rFonts w:ascii="宋体" w:hAnsi="宋体" w:eastAsia="宋体" w:cs="Times New Roman"/>
          <w:color w:val="auto"/>
          <w:sz w:val="24"/>
          <w:szCs w:val="24"/>
          <w:highlight w:val="none"/>
        </w:rPr>
        <w:t>+Q</w:t>
      </w:r>
      <w:r>
        <w:rPr>
          <w:rFonts w:hint="eastAsia" w:ascii="宋体" w:hAnsi="宋体" w:eastAsia="宋体" w:cs="Times New Roman"/>
          <w:color w:val="auto"/>
          <w:sz w:val="24"/>
          <w:szCs w:val="24"/>
          <w:highlight w:val="none"/>
          <w:vertAlign w:val="subscript"/>
        </w:rPr>
        <w:t>低</w:t>
      </w:r>
    </w:p>
    <w:p w14:paraId="465AB83B">
      <w:pPr>
        <w:spacing w:line="360" w:lineRule="auto"/>
        <w:ind w:firstLine="480" w:firstLineChars="20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Q</w:t>
      </w:r>
      <w:r>
        <w:rPr>
          <w:rFonts w:hint="eastAsia" w:ascii="宋体" w:hAnsi="宋体" w:eastAsia="宋体" w:cs="Times New Roman"/>
          <w:color w:val="auto"/>
          <w:sz w:val="24"/>
          <w:szCs w:val="24"/>
          <w:highlight w:val="none"/>
          <w:vertAlign w:val="subscript"/>
        </w:rPr>
        <w:t>低</w:t>
      </w:r>
      <w:r>
        <w:rPr>
          <w:rFonts w:hint="eastAsia" w:ascii="宋体" w:hAnsi="宋体" w:eastAsia="宋体" w:cs="Times New Roman"/>
          <w:color w:val="auto"/>
          <w:sz w:val="24"/>
          <w:szCs w:val="24"/>
          <w:highlight w:val="none"/>
        </w:rPr>
        <w:t>：为达到或超过技术标及格分数线的投标人最低报价与工程成本警示价两者中的较高值；</w:t>
      </w:r>
    </w:p>
    <w:p w14:paraId="215A82FB">
      <w:pPr>
        <w:spacing w:line="360" w:lineRule="auto"/>
        <w:ind w:firstLine="480" w:firstLineChars="20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Q</w:t>
      </w:r>
      <w:r>
        <w:rPr>
          <w:rFonts w:hint="eastAsia" w:ascii="宋体" w:hAnsi="宋体" w:eastAsia="宋体" w:cs="Times New Roman"/>
          <w:color w:val="auto"/>
          <w:sz w:val="24"/>
          <w:szCs w:val="24"/>
          <w:highlight w:val="none"/>
          <w:vertAlign w:val="subscript"/>
        </w:rPr>
        <w:t>高</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为最高投标限价*D%（政府投资项目，D的取值范围为[94-100],由招标人自主确定；非政府投资项目由招标人自主确定取值范围），具体金额为               元。</w:t>
      </w:r>
    </w:p>
    <w:p w14:paraId="285F9EF7">
      <w:pPr>
        <w:spacing w:line="360" w:lineRule="auto"/>
        <w:ind w:firstLine="480" w:firstLineChars="20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X:</w:t>
      </w:r>
      <w:r>
        <w:rPr>
          <w:rFonts w:hint="eastAsia" w:ascii="宋体" w:hAnsi="宋体" w:eastAsia="宋体" w:cs="Times New Roman"/>
          <w:color w:val="auto"/>
          <w:sz w:val="24"/>
          <w:szCs w:val="24"/>
          <w:highlight w:val="none"/>
        </w:rPr>
        <w:t>为等分点值，在开标前从</w:t>
      </w:r>
      <w:r>
        <w:rPr>
          <w:rFonts w:ascii="宋体" w:hAnsi="宋体" w:eastAsia="宋体" w:cs="Times New Roman"/>
          <w:color w:val="auto"/>
          <w:sz w:val="24"/>
          <w:szCs w:val="24"/>
          <w:highlight w:val="none"/>
        </w:rPr>
        <w:t>[0,100]</w:t>
      </w:r>
      <w:r>
        <w:rPr>
          <w:rFonts w:hint="eastAsia" w:ascii="宋体" w:hAnsi="宋体" w:eastAsia="宋体" w:cs="Times New Roman"/>
          <w:color w:val="auto"/>
          <w:sz w:val="24"/>
          <w:szCs w:val="24"/>
          <w:highlight w:val="none"/>
        </w:rPr>
        <w:t>整数中随机抽取</w:t>
      </w:r>
    </w:p>
    <w:p w14:paraId="77624404">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46.3当标价等于评标参考价时得</w:t>
      </w:r>
      <w:r>
        <w:rPr>
          <w:rFonts w:ascii="宋体" w:hAnsi="宋体" w:eastAsia="宋体" w:cs="Times New Roman"/>
          <w:color w:val="auto"/>
          <w:sz w:val="24"/>
          <w:szCs w:val="24"/>
          <w:highlight w:val="none"/>
        </w:rPr>
        <w:t>100</w:t>
      </w:r>
      <w:r>
        <w:rPr>
          <w:rFonts w:hint="eastAsia" w:ascii="宋体" w:hAnsi="宋体" w:eastAsia="宋体" w:cs="Times New Roman"/>
          <w:color w:val="auto"/>
          <w:sz w:val="24"/>
          <w:szCs w:val="24"/>
          <w:highlight w:val="none"/>
        </w:rPr>
        <w:t>分，标价每高于评标参考价</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，扣</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分，每低于评标参考价</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，扣</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分，扣至</w:t>
      </w:r>
      <w:r>
        <w:rPr>
          <w:rFonts w:ascii="宋体" w:hAnsi="宋体" w:eastAsia="宋体" w:cs="Times New Roman"/>
          <w:color w:val="auto"/>
          <w:sz w:val="24"/>
          <w:szCs w:val="24"/>
          <w:highlight w:val="none"/>
        </w:rPr>
        <w:t>0</w:t>
      </w:r>
      <w:r>
        <w:rPr>
          <w:rFonts w:hint="eastAsia" w:ascii="宋体" w:hAnsi="宋体" w:eastAsia="宋体" w:cs="Times New Roman"/>
          <w:color w:val="auto"/>
          <w:sz w:val="24"/>
          <w:szCs w:val="24"/>
          <w:highlight w:val="none"/>
        </w:rPr>
        <w:t>分为止，得出经济分，精确到小数点后两位。</w:t>
      </w:r>
    </w:p>
    <w:p w14:paraId="0FD848F0">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46.4</w:t>
      </w:r>
      <w:r>
        <w:rPr>
          <w:rFonts w:hint="eastAsia" w:ascii="宋体" w:hAnsi="宋体" w:eastAsia="宋体" w:cs="Times New Roman"/>
          <w:color w:val="auto"/>
          <w:sz w:val="24"/>
          <w:szCs w:val="24"/>
          <w:highlight w:val="none"/>
          <w:u w:val="single"/>
        </w:rPr>
        <w:t>计算通过技术标有效性审查的投标人总得分。投标人总得分=（技术得分×  %（技术得分权重）＋经济得分×  %（经济得分权重）×（1-信用评价分数权重）＋信用评价得分×  %（企业信用评价得分权重，招标人可在[10%-20%]范围内自主确定）。</w:t>
      </w:r>
      <w:r>
        <w:rPr>
          <w:rFonts w:hint="eastAsia" w:ascii="宋体" w:hAnsi="宋体" w:eastAsia="宋体" w:cs="Times New Roman"/>
          <w:color w:val="auto"/>
          <w:sz w:val="24"/>
          <w:szCs w:val="24"/>
          <w:highlight w:val="none"/>
        </w:rPr>
        <w:t>技术、经济得分权重按投标须知前附表的规定执行。总得分四舍五入保留两位小数。</w:t>
      </w:r>
    </w:p>
    <w:p w14:paraId="7772DFD9">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47.经济标的有效性审查</w:t>
      </w:r>
    </w:p>
    <w:p w14:paraId="0D027EAC">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47.1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属于经济标算术校核范围的不得作为否决投标的情形。</w:t>
      </w:r>
    </w:p>
    <w:p w14:paraId="33C24342">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48.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3E9B0C59">
      <w:pPr>
        <w:spacing w:line="360" w:lineRule="auto"/>
        <w:ind w:firstLine="480" w:firstLineChars="20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9.评标委员会应在通过投标文件经济标有效性审查的投标人中，按步骤45.4确定的投标人第二阶段排序，推荐前</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名依次为第一中标候选人至第三中标候选人</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并编制评标报告。</w:t>
      </w:r>
    </w:p>
    <w:p w14:paraId="5D359636">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50.若通过经济标有效性审查的投标人不足三家，则本项目招标失败，由招标人依法重新招标（当</w:t>
      </w:r>
      <w:r>
        <w:rPr>
          <w:rFonts w:ascii="宋体" w:hAnsi="宋体" w:eastAsia="宋体" w:cs="Times New Roman"/>
          <w:color w:val="auto"/>
          <w:sz w:val="24"/>
          <w:szCs w:val="24"/>
          <w:highlight w:val="none"/>
        </w:rPr>
        <w:t>N</w:t>
      </w:r>
      <w:r>
        <w:rPr>
          <w:rFonts w:hint="eastAsia" w:ascii="宋体" w:hAnsi="宋体" w:eastAsia="宋体" w:cs="Times New Roman"/>
          <w:color w:val="auto"/>
          <w:sz w:val="24"/>
          <w:szCs w:val="24"/>
          <w:highlight w:val="none"/>
        </w:rPr>
        <w:t>个标段同时招标且不允许兼中时，有效投标人应≥</w:t>
      </w:r>
      <w:r>
        <w:rPr>
          <w:rFonts w:ascii="宋体" w:hAnsi="宋体" w:eastAsia="宋体" w:cs="Times New Roman"/>
          <w:color w:val="auto"/>
          <w:sz w:val="24"/>
          <w:szCs w:val="24"/>
          <w:highlight w:val="none"/>
        </w:rPr>
        <w:t>N+2</w:t>
      </w:r>
      <w:r>
        <w:rPr>
          <w:rFonts w:hint="eastAsia" w:ascii="宋体" w:hAnsi="宋体" w:eastAsia="宋体" w:cs="Times New Roman"/>
          <w:color w:val="auto"/>
          <w:sz w:val="24"/>
          <w:szCs w:val="24"/>
          <w:highlight w:val="none"/>
        </w:rPr>
        <w:t>家）。</w:t>
      </w:r>
    </w:p>
    <w:bookmarkEnd w:id="23"/>
    <w:p w14:paraId="2EAA1A23">
      <w:pPr>
        <w:widowControl/>
        <w:spacing w:line="360" w:lineRule="auto"/>
        <w:jc w:val="left"/>
        <w:outlineLvl w:val="2"/>
        <w:rPr>
          <w:rFonts w:hint="eastAsia" w:ascii="宋体" w:hAnsi="宋体" w:eastAsia="宋体" w:cs="宋体"/>
          <w:color w:val="auto"/>
          <w:kern w:val="0"/>
          <w:sz w:val="24"/>
          <w:szCs w:val="24"/>
          <w:highlight w:val="none"/>
        </w:rPr>
        <w:sectPr>
          <w:footerReference r:id="rId7" w:type="first"/>
          <w:footerReference r:id="rId6" w:type="default"/>
          <w:endnotePr>
            <w:numFmt w:val="decimal"/>
          </w:endnotePr>
          <w:pgSz w:w="11906" w:h="16838"/>
          <w:pgMar w:top="1440" w:right="1440" w:bottom="1440" w:left="1440" w:header="851" w:footer="992" w:gutter="0"/>
          <w:pgNumType w:fmt="decimal" w:start="1"/>
          <w:cols w:space="720" w:num="1"/>
          <w:docGrid w:type="lines" w:linePitch="318" w:charSpace="0"/>
        </w:sectPr>
      </w:pPr>
      <w:bookmarkStart w:id="26" w:name="_Toc202907290"/>
      <w:bookmarkStart w:id="27" w:name="_Toc152532505"/>
    </w:p>
    <w:p w14:paraId="246B5CEE">
      <w:pPr>
        <w:widowControl/>
        <w:spacing w:line="360" w:lineRule="auto"/>
        <w:jc w:val="left"/>
        <w:outlineLvl w:val="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附表一：</w:t>
      </w:r>
      <w:bookmarkEnd w:id="26"/>
      <w:bookmarkEnd w:id="27"/>
    </w:p>
    <w:p w14:paraId="43E6A4B7">
      <w:pPr>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资格审查表</w:t>
      </w:r>
    </w:p>
    <w:p w14:paraId="29ED2996">
      <w:pPr>
        <w:rPr>
          <w:rFonts w:ascii="宋体" w:hAnsi="宋体" w:eastAsia="宋体" w:cs="宋体"/>
          <w:color w:val="auto"/>
          <w:szCs w:val="21"/>
          <w:highlight w:val="none"/>
        </w:rPr>
      </w:pPr>
      <w:r>
        <w:rPr>
          <w:rFonts w:hint="eastAsia" w:ascii="宋体" w:hAnsi="宋体" w:eastAsia="宋体" w:cs="宋体"/>
          <w:color w:val="auto"/>
          <w:szCs w:val="21"/>
          <w:highlight w:val="none"/>
        </w:rPr>
        <w:t>招标项目名称：</w:t>
      </w:r>
    </w:p>
    <w:p w14:paraId="2650B004">
      <w:pPr>
        <w:rPr>
          <w:rFonts w:ascii="宋体" w:hAnsi="宋体" w:eastAsia="宋体" w:cs="宋体"/>
          <w:color w:val="auto"/>
          <w:szCs w:val="21"/>
          <w:highlight w:val="none"/>
        </w:rPr>
      </w:pPr>
      <w:r>
        <w:rPr>
          <w:rFonts w:hint="eastAsia" w:ascii="宋体" w:hAnsi="宋体" w:eastAsia="宋体" w:cs="宋体"/>
          <w:color w:val="auto"/>
          <w:szCs w:val="21"/>
          <w:highlight w:val="none"/>
        </w:rPr>
        <w:t>投标人名称：</w:t>
      </w:r>
    </w:p>
    <w:tbl>
      <w:tblPr>
        <w:tblStyle w:val="50"/>
        <w:tblW w:w="5000" w:type="pct"/>
        <w:jc w:val="center"/>
        <w:tblLayout w:type="autofit"/>
        <w:tblCellMar>
          <w:top w:w="0" w:type="dxa"/>
          <w:left w:w="108" w:type="dxa"/>
          <w:bottom w:w="0" w:type="dxa"/>
          <w:right w:w="108" w:type="dxa"/>
        </w:tblCellMar>
      </w:tblPr>
      <w:tblGrid>
        <w:gridCol w:w="1012"/>
        <w:gridCol w:w="5576"/>
        <w:gridCol w:w="6486"/>
        <w:gridCol w:w="1100"/>
      </w:tblGrid>
      <w:tr w14:paraId="5C7C2549">
        <w:tblPrEx>
          <w:tblCellMar>
            <w:top w:w="0" w:type="dxa"/>
            <w:left w:w="108" w:type="dxa"/>
            <w:bottom w:w="0" w:type="dxa"/>
            <w:right w:w="108" w:type="dxa"/>
          </w:tblCellMar>
        </w:tblPrEx>
        <w:trPr>
          <w:trHeight w:val="20" w:hRule="atLeast"/>
          <w:jc w:val="center"/>
        </w:trPr>
        <w:tc>
          <w:tcPr>
            <w:tcW w:w="357" w:type="pct"/>
            <w:tcBorders>
              <w:top w:val="single" w:color="000000" w:sz="8" w:space="0"/>
              <w:left w:val="single" w:color="000000" w:sz="8" w:space="0"/>
              <w:bottom w:val="single" w:color="000000" w:sz="8" w:space="0"/>
              <w:right w:val="single" w:color="000000" w:sz="8" w:space="0"/>
            </w:tcBorders>
            <w:vAlign w:val="center"/>
          </w:tcPr>
          <w:p w14:paraId="34E6711C">
            <w:pPr>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967" w:type="pct"/>
            <w:tcBorders>
              <w:top w:val="single" w:color="000000" w:sz="8" w:space="0"/>
              <w:left w:val="nil"/>
              <w:bottom w:val="single" w:color="000000" w:sz="8" w:space="0"/>
              <w:right w:val="single" w:color="000000" w:sz="8" w:space="0"/>
            </w:tcBorders>
            <w:vAlign w:val="center"/>
          </w:tcPr>
          <w:p w14:paraId="427303C7">
            <w:pPr>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审查项目</w:t>
            </w:r>
          </w:p>
        </w:tc>
        <w:tc>
          <w:tcPr>
            <w:tcW w:w="2288" w:type="pct"/>
            <w:tcBorders>
              <w:top w:val="single" w:color="000000" w:sz="8" w:space="0"/>
              <w:left w:val="nil"/>
              <w:bottom w:val="single" w:color="000000" w:sz="8" w:space="0"/>
              <w:right w:val="single" w:color="000000" w:sz="8" w:space="0"/>
            </w:tcBorders>
            <w:vAlign w:val="center"/>
          </w:tcPr>
          <w:p w14:paraId="33B7112C">
            <w:pPr>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须审查的资料</w:t>
            </w:r>
          </w:p>
        </w:tc>
        <w:tc>
          <w:tcPr>
            <w:tcW w:w="389" w:type="pct"/>
            <w:tcBorders>
              <w:top w:val="single" w:color="000000" w:sz="8" w:space="0"/>
              <w:left w:val="nil"/>
              <w:bottom w:val="single" w:color="000000" w:sz="8" w:space="0"/>
              <w:right w:val="single" w:color="000000" w:sz="8" w:space="0"/>
            </w:tcBorders>
            <w:vAlign w:val="center"/>
          </w:tcPr>
          <w:p w14:paraId="16557946">
            <w:pPr>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审查结果</w:t>
            </w:r>
          </w:p>
        </w:tc>
      </w:tr>
      <w:tr w14:paraId="0934B375">
        <w:tblPrEx>
          <w:tblCellMar>
            <w:top w:w="0" w:type="dxa"/>
            <w:left w:w="108" w:type="dxa"/>
            <w:bottom w:w="0" w:type="dxa"/>
            <w:right w:w="108" w:type="dxa"/>
          </w:tblCellMar>
        </w:tblPrEx>
        <w:trPr>
          <w:trHeight w:val="20" w:hRule="atLeast"/>
          <w:jc w:val="center"/>
        </w:trPr>
        <w:tc>
          <w:tcPr>
            <w:tcW w:w="357" w:type="pct"/>
            <w:tcBorders>
              <w:top w:val="single" w:color="000000" w:sz="8" w:space="0"/>
              <w:left w:val="single" w:color="000000" w:sz="8" w:space="0"/>
              <w:bottom w:val="single" w:color="000000" w:sz="8" w:space="0"/>
              <w:right w:val="single" w:color="000000" w:sz="8" w:space="0"/>
            </w:tcBorders>
            <w:vAlign w:val="center"/>
          </w:tcPr>
          <w:p w14:paraId="02CFBE88">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967" w:type="pct"/>
            <w:tcBorders>
              <w:top w:val="single" w:color="000000" w:sz="8" w:space="0"/>
              <w:left w:val="nil"/>
              <w:bottom w:val="single" w:color="000000" w:sz="8" w:space="0"/>
              <w:right w:val="single" w:color="000000" w:sz="8" w:space="0"/>
            </w:tcBorders>
            <w:vAlign w:val="center"/>
          </w:tcPr>
          <w:p w14:paraId="3086CC41">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（若为联合体投标，指联合体各方）</w:t>
            </w:r>
            <w:r>
              <w:rPr>
                <w:rFonts w:hint="eastAsia" w:ascii="宋体" w:hAnsi="宋体" w:eastAsia="宋体" w:cs="宋体"/>
                <w:color w:val="auto"/>
                <w:szCs w:val="21"/>
                <w:highlight w:val="none"/>
              </w:rPr>
              <w:t>参加投标的意思表达清楚，投标人代表被授权有效</w:t>
            </w:r>
            <w:r>
              <w:rPr>
                <w:rFonts w:hint="eastAsia" w:ascii="宋体" w:hAnsi="宋体" w:eastAsia="宋体" w:cs="宋体"/>
                <w:bCs/>
                <w:color w:val="auto"/>
                <w:szCs w:val="21"/>
                <w:highlight w:val="none"/>
                <w:u w:val="single"/>
              </w:rPr>
              <w:t>（若为联合体投标，由联合体主办方提供）</w:t>
            </w:r>
            <w:r>
              <w:rPr>
                <w:rFonts w:hint="eastAsia" w:ascii="宋体" w:hAnsi="宋体" w:eastAsia="宋体" w:cs="宋体"/>
                <w:color w:val="auto"/>
                <w:szCs w:val="21"/>
                <w:highlight w:val="none"/>
              </w:rPr>
              <w:t>。</w:t>
            </w:r>
          </w:p>
        </w:tc>
        <w:tc>
          <w:tcPr>
            <w:tcW w:w="2288" w:type="pct"/>
            <w:tcBorders>
              <w:top w:val="single" w:color="000000" w:sz="8" w:space="0"/>
              <w:left w:val="nil"/>
              <w:bottom w:val="single" w:color="000000" w:sz="8" w:space="0"/>
              <w:right w:val="single" w:color="000000" w:sz="8" w:space="0"/>
            </w:tcBorders>
            <w:vAlign w:val="center"/>
          </w:tcPr>
          <w:p w14:paraId="09A6682D">
            <w:pPr>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《投标人声明（适用于独立投标或联合体主办方）》</w:t>
            </w:r>
            <w:r>
              <w:rPr>
                <w:rFonts w:hint="eastAsia" w:ascii="宋体" w:hAnsi="宋体" w:eastAsia="宋体" w:cs="宋体"/>
                <w:bCs/>
                <w:color w:val="auto"/>
                <w:szCs w:val="21"/>
                <w:highlight w:val="none"/>
                <w:u w:val="single"/>
              </w:rPr>
              <w:t>扫描件及《投标人声明（适用于联合体成员方）》扫描件（若为联合体投标，成员方需提供；若为独立投标人，无需提供）</w:t>
            </w:r>
            <w:r>
              <w:rPr>
                <w:rFonts w:hint="eastAsia" w:ascii="宋体" w:hAnsi="宋体" w:eastAsia="宋体" w:cs="宋体"/>
                <w:color w:val="auto"/>
                <w:szCs w:val="21"/>
                <w:highlight w:val="none"/>
                <w:u w:val="single"/>
              </w:rPr>
              <w:t>、</w:t>
            </w:r>
            <w:r>
              <w:rPr>
                <w:rFonts w:hint="eastAsia" w:ascii="宋体" w:hAnsi="宋体" w:eastAsia="宋体" w:cs="Times New Roman"/>
                <w:color w:val="auto"/>
                <w:szCs w:val="21"/>
                <w:highlight w:val="none"/>
                <w:u w:val="single"/>
              </w:rPr>
              <w:t>法定代表人证明书扫描件</w:t>
            </w:r>
            <w:r>
              <w:rPr>
                <w:rFonts w:hint="eastAsia" w:ascii="宋体" w:hAnsi="宋体" w:eastAsia="宋体" w:cs="宋体"/>
                <w:bCs/>
                <w:color w:val="auto"/>
                <w:szCs w:val="21"/>
                <w:highlight w:val="none"/>
                <w:u w:val="single"/>
              </w:rPr>
              <w:t>、有效的法定代表人身份证</w:t>
            </w:r>
            <w:r>
              <w:rPr>
                <w:rFonts w:hint="eastAsia" w:ascii="宋体" w:hAnsi="宋体" w:eastAsia="宋体" w:cs="宋体"/>
                <w:bCs/>
                <w:color w:val="auto"/>
                <w:szCs w:val="21"/>
                <w:highlight w:val="none"/>
                <w:u w:val="single"/>
                <w:lang w:val="en-US" w:eastAsia="zh-CN"/>
              </w:rPr>
              <w:t>正反面</w:t>
            </w:r>
            <w:r>
              <w:rPr>
                <w:rFonts w:hint="eastAsia" w:ascii="宋体" w:hAnsi="宋体" w:eastAsia="宋体" w:cs="宋体"/>
                <w:bCs/>
                <w:color w:val="auto"/>
                <w:szCs w:val="21"/>
                <w:highlight w:val="none"/>
                <w:u w:val="single"/>
              </w:rPr>
              <w:t>扫描件（若为联合体投标，由联合体主办方提供）、</w:t>
            </w:r>
            <w:r>
              <w:rPr>
                <w:rFonts w:hint="eastAsia" w:ascii="宋体" w:hAnsi="宋体" w:eastAsia="宋体" w:cs="Times New Roman"/>
                <w:color w:val="auto"/>
                <w:szCs w:val="21"/>
                <w:highlight w:val="none"/>
                <w:u w:val="single"/>
              </w:rPr>
              <w:t>委托投标的还应提供法人授权委托证明书扫描件</w:t>
            </w:r>
            <w:r>
              <w:rPr>
                <w:rFonts w:hint="eastAsia" w:ascii="宋体" w:hAnsi="宋体" w:eastAsia="宋体" w:cs="宋体"/>
                <w:bCs/>
                <w:color w:val="auto"/>
                <w:szCs w:val="21"/>
                <w:highlight w:val="none"/>
                <w:u w:val="single"/>
              </w:rPr>
              <w:t>及有效的被授权人身份证</w:t>
            </w:r>
            <w:r>
              <w:rPr>
                <w:rFonts w:hint="eastAsia" w:ascii="宋体" w:hAnsi="宋体" w:eastAsia="宋体" w:cs="宋体"/>
                <w:bCs/>
                <w:color w:val="auto"/>
                <w:szCs w:val="21"/>
                <w:highlight w:val="none"/>
                <w:u w:val="single"/>
                <w:lang w:val="en-US" w:eastAsia="zh-CN"/>
              </w:rPr>
              <w:t>正反面扫描件</w:t>
            </w:r>
            <w:r>
              <w:rPr>
                <w:rFonts w:hint="eastAsia" w:ascii="宋体" w:hAnsi="宋体" w:eastAsia="宋体" w:cs="宋体"/>
                <w:b/>
                <w:bCs/>
                <w:color w:val="auto"/>
                <w:sz w:val="21"/>
                <w:szCs w:val="21"/>
                <w:highlight w:val="none"/>
                <w:u w:val="none"/>
              </w:rPr>
              <w:t>及被授权人</w:t>
            </w:r>
            <w:r>
              <w:rPr>
                <w:rFonts w:hint="eastAsia" w:ascii="宋体" w:hAnsi="宋体" w:eastAsia="宋体" w:cs="宋体"/>
                <w:b/>
                <w:bCs/>
                <w:color w:val="auto"/>
                <w:sz w:val="21"/>
                <w:szCs w:val="21"/>
                <w:highlight w:val="none"/>
                <w:u w:val="none"/>
                <w:lang w:val="en-US" w:eastAsia="zh-CN"/>
              </w:rPr>
              <w:t>2026年2月或2026年3月</w:t>
            </w:r>
            <w:r>
              <w:rPr>
                <w:rFonts w:hint="eastAsia" w:ascii="宋体" w:hAnsi="宋体" w:eastAsia="宋体" w:cs="宋体"/>
                <w:b/>
                <w:bCs/>
                <w:color w:val="auto"/>
                <w:sz w:val="21"/>
                <w:szCs w:val="21"/>
                <w:highlight w:val="none"/>
                <w:u w:val="none"/>
              </w:rPr>
              <w:t>在本单位缴纳的有效社保证明材料扫描件</w:t>
            </w:r>
            <w:r>
              <w:rPr>
                <w:rFonts w:hint="eastAsia" w:ascii="宋体" w:hAnsi="宋体" w:eastAsia="宋体" w:cs="宋体"/>
                <w:bCs/>
                <w:color w:val="auto"/>
                <w:szCs w:val="21"/>
                <w:highlight w:val="none"/>
                <w:u w:val="single"/>
              </w:rPr>
              <w:t>（若为联合体投标，由联合体主办方提供）</w:t>
            </w:r>
            <w:r>
              <w:rPr>
                <w:rFonts w:hint="eastAsia" w:ascii="宋体" w:hAnsi="宋体" w:eastAsia="宋体" w:cs="Times New Roman"/>
                <w:color w:val="auto"/>
                <w:szCs w:val="21"/>
                <w:highlight w:val="none"/>
                <w:u w:val="single"/>
              </w:rPr>
              <w:t>。</w:t>
            </w:r>
          </w:p>
        </w:tc>
        <w:tc>
          <w:tcPr>
            <w:tcW w:w="389" w:type="pct"/>
            <w:tcBorders>
              <w:top w:val="single" w:color="000000" w:sz="8" w:space="0"/>
              <w:left w:val="nil"/>
              <w:bottom w:val="single" w:color="000000" w:sz="8" w:space="0"/>
              <w:right w:val="single" w:color="000000" w:sz="8" w:space="0"/>
            </w:tcBorders>
            <w:vAlign w:val="center"/>
          </w:tcPr>
          <w:p w14:paraId="7CB8A5C5">
            <w:pPr>
              <w:spacing w:line="276" w:lineRule="auto"/>
              <w:jc w:val="center"/>
              <w:rPr>
                <w:rFonts w:ascii="宋体" w:hAnsi="宋体" w:eastAsia="宋体" w:cs="宋体"/>
                <w:color w:val="auto"/>
                <w:szCs w:val="21"/>
                <w:highlight w:val="none"/>
              </w:rPr>
            </w:pPr>
          </w:p>
        </w:tc>
      </w:tr>
      <w:tr w14:paraId="7208B5E0">
        <w:tblPrEx>
          <w:tblCellMar>
            <w:top w:w="0" w:type="dxa"/>
            <w:left w:w="108" w:type="dxa"/>
            <w:bottom w:w="0" w:type="dxa"/>
            <w:right w:w="108" w:type="dxa"/>
          </w:tblCellMar>
        </w:tblPrEx>
        <w:trPr>
          <w:trHeight w:val="20" w:hRule="atLeast"/>
          <w:jc w:val="center"/>
        </w:trPr>
        <w:tc>
          <w:tcPr>
            <w:tcW w:w="357" w:type="pct"/>
            <w:tcBorders>
              <w:top w:val="single" w:color="000000" w:sz="8" w:space="0"/>
              <w:left w:val="single" w:color="000000" w:sz="8" w:space="0"/>
              <w:bottom w:val="single" w:color="000000" w:sz="8" w:space="0"/>
              <w:right w:val="single" w:color="000000" w:sz="8" w:space="0"/>
            </w:tcBorders>
            <w:vAlign w:val="center"/>
          </w:tcPr>
          <w:p w14:paraId="400877C8">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967" w:type="pct"/>
            <w:tcBorders>
              <w:top w:val="single" w:color="000000" w:sz="8" w:space="0"/>
              <w:left w:val="nil"/>
              <w:bottom w:val="single" w:color="000000" w:sz="8" w:space="0"/>
              <w:right w:val="single" w:color="000000" w:sz="8" w:space="0"/>
            </w:tcBorders>
            <w:vAlign w:val="center"/>
          </w:tcPr>
          <w:p w14:paraId="547BC231">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bCs/>
                <w:color w:val="auto"/>
                <w:szCs w:val="21"/>
                <w:highlight w:val="none"/>
                <w:u w:val="single"/>
              </w:rPr>
              <w:t>（若为联合体投标，指联合体各方）</w:t>
            </w:r>
            <w:r>
              <w:rPr>
                <w:rFonts w:hint="eastAsia" w:ascii="宋体" w:hAnsi="宋体" w:eastAsia="宋体" w:cs="宋体"/>
                <w:color w:val="auto"/>
                <w:szCs w:val="21"/>
                <w:highlight w:val="none"/>
                <w:u w:val="single"/>
              </w:rPr>
              <w:t>均是法人或其他组织，按国家法律经营。</w:t>
            </w:r>
          </w:p>
        </w:tc>
        <w:tc>
          <w:tcPr>
            <w:tcW w:w="2288" w:type="pct"/>
            <w:tcBorders>
              <w:top w:val="single" w:color="000000" w:sz="8" w:space="0"/>
              <w:left w:val="nil"/>
              <w:bottom w:val="single" w:color="auto" w:sz="4" w:space="0"/>
              <w:right w:val="single" w:color="000000" w:sz="8" w:space="0"/>
            </w:tcBorders>
            <w:vAlign w:val="center"/>
          </w:tcPr>
          <w:p w14:paraId="3322CF7B">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营业执照</w:t>
            </w:r>
            <w:r>
              <w:rPr>
                <w:rFonts w:hint="eastAsia" w:ascii="宋体" w:hAnsi="宋体" w:eastAsia="宋体" w:cs="宋体"/>
                <w:bCs/>
                <w:color w:val="auto"/>
                <w:szCs w:val="21"/>
                <w:highlight w:val="none"/>
                <w:u w:val="single"/>
              </w:rPr>
              <w:t>（在有效期内）扫描件或电子证照；</w:t>
            </w:r>
          </w:p>
        </w:tc>
        <w:tc>
          <w:tcPr>
            <w:tcW w:w="389" w:type="pct"/>
            <w:tcBorders>
              <w:top w:val="single" w:color="000000" w:sz="8" w:space="0"/>
              <w:left w:val="nil"/>
              <w:bottom w:val="single" w:color="000000" w:sz="8" w:space="0"/>
              <w:right w:val="single" w:color="000000" w:sz="8" w:space="0"/>
            </w:tcBorders>
            <w:vAlign w:val="center"/>
          </w:tcPr>
          <w:p w14:paraId="0DB09FC0">
            <w:pPr>
              <w:spacing w:line="276" w:lineRule="auto"/>
              <w:jc w:val="center"/>
              <w:rPr>
                <w:rFonts w:ascii="宋体" w:hAnsi="宋体" w:eastAsia="宋体" w:cs="宋体"/>
                <w:color w:val="auto"/>
                <w:szCs w:val="21"/>
                <w:highlight w:val="none"/>
              </w:rPr>
            </w:pPr>
          </w:p>
        </w:tc>
      </w:tr>
      <w:tr w14:paraId="3007A928">
        <w:tblPrEx>
          <w:tblCellMar>
            <w:top w:w="0" w:type="dxa"/>
            <w:left w:w="108" w:type="dxa"/>
            <w:bottom w:w="0" w:type="dxa"/>
            <w:right w:w="108" w:type="dxa"/>
          </w:tblCellMar>
        </w:tblPrEx>
        <w:trPr>
          <w:trHeight w:val="20" w:hRule="atLeast"/>
          <w:jc w:val="center"/>
        </w:trPr>
        <w:tc>
          <w:tcPr>
            <w:tcW w:w="357" w:type="pct"/>
            <w:tcBorders>
              <w:top w:val="single" w:color="000000" w:sz="8" w:space="0"/>
              <w:left w:val="single" w:color="000000" w:sz="8" w:space="0"/>
              <w:bottom w:val="single" w:color="000000" w:sz="8" w:space="0"/>
              <w:right w:val="single" w:color="000000" w:sz="8" w:space="0"/>
            </w:tcBorders>
            <w:vAlign w:val="center"/>
          </w:tcPr>
          <w:p w14:paraId="46275B71">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967" w:type="pct"/>
            <w:tcBorders>
              <w:top w:val="single" w:color="000000" w:sz="8" w:space="0"/>
              <w:left w:val="nil"/>
              <w:bottom w:val="single" w:color="000000" w:sz="8" w:space="0"/>
              <w:right w:val="single" w:color="auto" w:sz="4" w:space="0"/>
            </w:tcBorders>
            <w:vAlign w:val="center"/>
          </w:tcPr>
          <w:p w14:paraId="38BD3AE1">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（若为联合体投标，指联合体各方）</w:t>
            </w:r>
            <w:r>
              <w:rPr>
                <w:rFonts w:hint="eastAsia" w:ascii="宋体" w:hAnsi="宋体" w:eastAsia="宋体" w:cs="宋体"/>
                <w:color w:val="auto"/>
                <w:szCs w:val="21"/>
                <w:highlight w:val="none"/>
              </w:rPr>
              <w:t>均持有建设行政主管部门颁发的有效期内的企业资质证书及安全生产许可证；投标人</w:t>
            </w:r>
            <w:r>
              <w:rPr>
                <w:rFonts w:hint="eastAsia" w:ascii="宋体" w:hAnsi="宋体" w:eastAsia="宋体" w:cs="宋体"/>
                <w:color w:val="auto"/>
                <w:szCs w:val="21"/>
                <w:highlight w:val="none"/>
                <w:u w:val="single"/>
              </w:rPr>
              <w:t>（若为联合体投标，指联合体各方）</w:t>
            </w:r>
            <w:r>
              <w:rPr>
                <w:rFonts w:hint="eastAsia" w:ascii="宋体" w:hAnsi="宋体" w:eastAsia="宋体" w:cs="宋体"/>
                <w:color w:val="auto"/>
                <w:szCs w:val="21"/>
                <w:highlight w:val="none"/>
              </w:rPr>
              <w:t>资质符合公告要求。</w:t>
            </w:r>
          </w:p>
        </w:tc>
        <w:tc>
          <w:tcPr>
            <w:tcW w:w="2288" w:type="pct"/>
            <w:tcBorders>
              <w:top w:val="single" w:color="auto" w:sz="4" w:space="0"/>
              <w:left w:val="single" w:color="auto" w:sz="4" w:space="0"/>
              <w:bottom w:val="single" w:color="auto" w:sz="4" w:space="0"/>
              <w:right w:val="single" w:color="auto" w:sz="4" w:space="0"/>
            </w:tcBorders>
            <w:vAlign w:val="center"/>
          </w:tcPr>
          <w:p w14:paraId="118D07A5">
            <w:pPr>
              <w:shd w:val="clear" w:color="auto" w:fill="auto"/>
              <w:spacing w:line="240" w:lineRule="auto"/>
              <w:jc w:val="left"/>
              <w:rPr>
                <w:rFonts w:ascii="宋体" w:hAnsi="宋体" w:eastAsia="宋体" w:cs="宋体"/>
                <w:color w:val="auto"/>
                <w:szCs w:val="21"/>
                <w:highlight w:val="none"/>
              </w:rPr>
            </w:pPr>
            <w:r>
              <w:rPr>
                <w:rStyle w:val="166"/>
                <w:rFonts w:hint="eastAsia" w:ascii="宋体" w:hAnsi="宋体" w:eastAsia="宋体" w:cs="宋体"/>
                <w:b w:val="0"/>
                <w:bCs w:val="0"/>
                <w:color w:val="auto"/>
                <w:sz w:val="21"/>
                <w:szCs w:val="21"/>
                <w:highlight w:val="none"/>
                <w:u w:val="single"/>
              </w:rPr>
              <w:t>资质证书</w:t>
            </w:r>
            <w:r>
              <w:rPr>
                <w:rFonts w:hint="eastAsia" w:ascii="宋体" w:hAnsi="宋体" w:eastAsia="宋体" w:cs="宋体"/>
                <w:b w:val="0"/>
                <w:bCs w:val="0"/>
                <w:color w:val="auto"/>
                <w:kern w:val="0"/>
                <w:sz w:val="21"/>
                <w:szCs w:val="21"/>
                <w:highlight w:val="none"/>
                <w:u w:val="single"/>
              </w:rPr>
              <w:t>或办理了资质延期的证明资料（符合招标公告第九条第4款注①的规定）扫描件或电子证照</w:t>
            </w:r>
            <w:r>
              <w:rPr>
                <w:rStyle w:val="166"/>
                <w:rFonts w:hint="eastAsia" w:ascii="宋体" w:hAnsi="宋体" w:eastAsia="宋体" w:cs="宋体"/>
                <w:b w:val="0"/>
                <w:bCs w:val="0"/>
                <w:color w:val="auto"/>
                <w:sz w:val="21"/>
                <w:szCs w:val="21"/>
                <w:highlight w:val="none"/>
                <w:u w:val="single"/>
              </w:rPr>
              <w:t>及安全生产许可证</w:t>
            </w:r>
            <w:r>
              <w:rPr>
                <w:rFonts w:hint="eastAsia" w:ascii="宋体" w:hAnsi="宋体" w:eastAsia="宋体" w:cs="宋体"/>
                <w:b w:val="0"/>
                <w:bCs w:val="0"/>
                <w:color w:val="auto"/>
                <w:sz w:val="21"/>
                <w:szCs w:val="21"/>
                <w:highlight w:val="none"/>
                <w:u w:val="single"/>
                <w:lang w:val="en-US" w:eastAsia="zh-CN"/>
              </w:rPr>
              <w:t>扫描件</w:t>
            </w:r>
            <w:r>
              <w:rPr>
                <w:rFonts w:hint="eastAsia" w:ascii="宋体" w:hAnsi="宋体" w:eastAsia="宋体" w:cs="宋体"/>
                <w:b w:val="0"/>
                <w:bCs w:val="0"/>
                <w:color w:val="auto"/>
                <w:kern w:val="0"/>
                <w:sz w:val="21"/>
                <w:szCs w:val="21"/>
                <w:highlight w:val="none"/>
                <w:u w:val="single"/>
              </w:rPr>
              <w:t>或电子证照</w:t>
            </w:r>
            <w:r>
              <w:rPr>
                <w:rStyle w:val="166"/>
                <w:rFonts w:hint="eastAsia" w:ascii="宋体" w:hAnsi="宋体" w:eastAsia="宋体" w:cs="宋体"/>
                <w:b w:val="0"/>
                <w:bCs w:val="0"/>
                <w:color w:val="auto"/>
                <w:sz w:val="21"/>
                <w:szCs w:val="21"/>
                <w:highlight w:val="none"/>
                <w:u w:val="single"/>
              </w:rPr>
              <w:t>；</w:t>
            </w:r>
          </w:p>
        </w:tc>
        <w:tc>
          <w:tcPr>
            <w:tcW w:w="389" w:type="pct"/>
            <w:tcBorders>
              <w:top w:val="single" w:color="000000" w:sz="8" w:space="0"/>
              <w:left w:val="single" w:color="auto" w:sz="4" w:space="0"/>
              <w:bottom w:val="single" w:color="000000" w:sz="8" w:space="0"/>
              <w:right w:val="single" w:color="000000" w:sz="8" w:space="0"/>
            </w:tcBorders>
            <w:vAlign w:val="center"/>
          </w:tcPr>
          <w:p w14:paraId="005F6D76">
            <w:pPr>
              <w:spacing w:line="276" w:lineRule="auto"/>
              <w:jc w:val="center"/>
              <w:rPr>
                <w:rFonts w:ascii="宋体" w:hAnsi="宋体" w:eastAsia="宋体" w:cs="宋体"/>
                <w:color w:val="auto"/>
                <w:szCs w:val="21"/>
                <w:highlight w:val="none"/>
              </w:rPr>
            </w:pPr>
          </w:p>
        </w:tc>
      </w:tr>
      <w:tr w14:paraId="7E16E685">
        <w:tblPrEx>
          <w:tblCellMar>
            <w:top w:w="0" w:type="dxa"/>
            <w:left w:w="108" w:type="dxa"/>
            <w:bottom w:w="0" w:type="dxa"/>
            <w:right w:w="108" w:type="dxa"/>
          </w:tblCellMar>
        </w:tblPrEx>
        <w:trPr>
          <w:trHeight w:val="20" w:hRule="atLeast"/>
          <w:jc w:val="center"/>
        </w:trPr>
        <w:tc>
          <w:tcPr>
            <w:tcW w:w="357" w:type="pct"/>
            <w:tcBorders>
              <w:top w:val="single" w:color="000000" w:sz="8" w:space="0"/>
              <w:left w:val="single" w:color="000000" w:sz="8" w:space="0"/>
              <w:bottom w:val="single" w:color="000000" w:sz="8" w:space="0"/>
              <w:right w:val="single" w:color="000000" w:sz="8" w:space="0"/>
            </w:tcBorders>
            <w:vAlign w:val="center"/>
          </w:tcPr>
          <w:p w14:paraId="73471236">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967" w:type="pct"/>
            <w:tcBorders>
              <w:top w:val="single" w:color="000000" w:sz="8" w:space="0"/>
              <w:left w:val="nil"/>
              <w:bottom w:val="single" w:color="000000" w:sz="8" w:space="0"/>
              <w:right w:val="single" w:color="000000" w:sz="8" w:space="0"/>
            </w:tcBorders>
            <w:vAlign w:val="center"/>
          </w:tcPr>
          <w:p w14:paraId="5196E845">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（若为联合体投标，由联合体主办方提供）</w:t>
            </w:r>
            <w:r>
              <w:rPr>
                <w:rFonts w:hint="eastAsia" w:ascii="宋体" w:hAnsi="宋体" w:eastAsia="宋体" w:cs="宋体"/>
                <w:color w:val="auto"/>
                <w:szCs w:val="21"/>
                <w:highlight w:val="none"/>
              </w:rPr>
              <w:t>拟担任本工程项目负责人符合公告要求。</w:t>
            </w:r>
          </w:p>
        </w:tc>
        <w:tc>
          <w:tcPr>
            <w:tcW w:w="2288" w:type="pct"/>
            <w:tcBorders>
              <w:top w:val="single" w:color="auto" w:sz="4" w:space="0"/>
              <w:left w:val="nil"/>
              <w:bottom w:val="single" w:color="000000" w:sz="8" w:space="0"/>
              <w:right w:val="single" w:color="000000" w:sz="8" w:space="0"/>
            </w:tcBorders>
            <w:vAlign w:val="center"/>
          </w:tcPr>
          <w:p w14:paraId="33C51574">
            <w:pPr>
              <w:pStyle w:val="7"/>
              <w:ind w:firstLine="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使用有效期内的注册建造师注册证书扫描件或电子证照；</w:t>
            </w:r>
          </w:p>
          <w:p w14:paraId="634F49FB">
            <w:pPr>
              <w:pStyle w:val="7"/>
              <w:rPr>
                <w:rFonts w:ascii="宋体" w:hAnsi="宋体" w:eastAsia="宋体" w:cs="宋体"/>
                <w:color w:val="auto"/>
                <w:szCs w:val="21"/>
                <w:highlight w:val="none"/>
              </w:rPr>
            </w:pPr>
            <w:r>
              <w:rPr>
                <w:rFonts w:hint="eastAsia" w:ascii="宋体" w:hAnsi="宋体" w:eastAsia="宋体" w:cs="宋体"/>
                <w:color w:val="auto"/>
                <w:kern w:val="0"/>
                <w:sz w:val="21"/>
                <w:szCs w:val="21"/>
                <w:highlight w:val="none"/>
                <w:u w:val="single"/>
              </w:rPr>
              <w:t>建造师证书注册证书</w:t>
            </w:r>
            <w:r>
              <w:rPr>
                <w:rFonts w:hint="eastAsia" w:ascii="宋体" w:hAnsi="宋体" w:eastAsia="宋体" w:cs="宋体"/>
                <w:bCs/>
                <w:color w:val="auto"/>
                <w:kern w:val="0"/>
                <w:sz w:val="21"/>
                <w:szCs w:val="21"/>
                <w:highlight w:val="none"/>
                <w:u w:val="single"/>
                <w:lang w:eastAsia="zh-CN"/>
              </w:rPr>
              <w:t>（证书须处于</w:t>
            </w:r>
            <w:r>
              <w:rPr>
                <w:rFonts w:hint="eastAsia" w:ascii="宋体" w:hAnsi="宋体" w:eastAsia="宋体" w:cs="宋体"/>
                <w:bCs/>
                <w:color w:val="auto"/>
                <w:kern w:val="0"/>
                <w:sz w:val="21"/>
                <w:szCs w:val="21"/>
                <w:highlight w:val="none"/>
                <w:u w:val="single"/>
              </w:rPr>
              <w:t>有效</w:t>
            </w:r>
            <w:r>
              <w:rPr>
                <w:rFonts w:hint="eastAsia" w:ascii="宋体" w:hAnsi="宋体" w:eastAsia="宋体" w:cs="宋体"/>
                <w:bCs/>
                <w:color w:val="auto"/>
                <w:kern w:val="0"/>
                <w:sz w:val="21"/>
                <w:szCs w:val="21"/>
                <w:highlight w:val="none"/>
                <w:u w:val="single"/>
                <w:lang w:eastAsia="zh-CN"/>
              </w:rPr>
              <w:t>期内</w:t>
            </w:r>
            <w:r>
              <w:rPr>
                <w:rFonts w:hint="eastAsia" w:ascii="宋体" w:hAnsi="宋体" w:eastAsia="宋体" w:cs="宋体"/>
                <w:bCs/>
                <w:color w:val="auto"/>
                <w:kern w:val="0"/>
                <w:sz w:val="21"/>
                <w:szCs w:val="21"/>
                <w:highlight w:val="none"/>
                <w:u w:val="single"/>
              </w:rPr>
              <w:t>的</w:t>
            </w:r>
            <w:r>
              <w:rPr>
                <w:rFonts w:hint="eastAsia" w:ascii="宋体" w:hAnsi="宋体" w:eastAsia="宋体" w:cs="宋体"/>
                <w:bCs/>
                <w:color w:val="auto"/>
                <w:kern w:val="0"/>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扫描件</w:t>
            </w:r>
            <w:r>
              <w:rPr>
                <w:rFonts w:hint="eastAsia" w:ascii="宋体" w:hAnsi="宋体" w:eastAsia="宋体" w:cs="宋体"/>
                <w:color w:val="auto"/>
                <w:kern w:val="0"/>
                <w:sz w:val="21"/>
                <w:szCs w:val="21"/>
                <w:highlight w:val="none"/>
                <w:u w:val="single"/>
              </w:rPr>
              <w:t>或电子证书</w:t>
            </w:r>
            <w:r>
              <w:rPr>
                <w:rFonts w:hint="eastAsia" w:ascii="宋体" w:hAnsi="宋体" w:eastAsia="宋体" w:cs="宋体"/>
                <w:bCs/>
                <w:color w:val="auto"/>
                <w:kern w:val="0"/>
                <w:sz w:val="21"/>
                <w:szCs w:val="21"/>
                <w:highlight w:val="none"/>
                <w:u w:val="single"/>
              </w:rPr>
              <w:t>（注：递交的注册建造师注册证书须符合招标公告第九条第4款注②的规定。</w:t>
            </w:r>
            <w:r>
              <w:rPr>
                <w:rFonts w:hint="eastAsia" w:ascii="宋体" w:hAnsi="宋体" w:eastAsia="宋体" w:cs="宋体"/>
                <w:bCs/>
                <w:color w:val="auto"/>
                <w:kern w:val="0"/>
                <w:sz w:val="21"/>
                <w:szCs w:val="21"/>
                <w:highlight w:val="none"/>
                <w:u w:val="single"/>
                <w:lang w:eastAsia="zh-CN"/>
              </w:rPr>
              <w:t>）打印建造师电子证书后，在个人签名处手写本人签名再扫描提交。）</w:t>
            </w:r>
          </w:p>
        </w:tc>
        <w:tc>
          <w:tcPr>
            <w:tcW w:w="389" w:type="pct"/>
            <w:tcBorders>
              <w:top w:val="single" w:color="000000" w:sz="8" w:space="0"/>
              <w:left w:val="nil"/>
              <w:bottom w:val="single" w:color="000000" w:sz="8" w:space="0"/>
              <w:right w:val="single" w:color="000000" w:sz="8" w:space="0"/>
            </w:tcBorders>
            <w:vAlign w:val="center"/>
          </w:tcPr>
          <w:p w14:paraId="2ECF4C23">
            <w:pPr>
              <w:spacing w:line="276" w:lineRule="auto"/>
              <w:jc w:val="center"/>
              <w:rPr>
                <w:rFonts w:ascii="宋体" w:hAnsi="宋体" w:eastAsia="宋体" w:cs="宋体"/>
                <w:color w:val="auto"/>
                <w:szCs w:val="21"/>
                <w:highlight w:val="none"/>
              </w:rPr>
            </w:pPr>
          </w:p>
        </w:tc>
      </w:tr>
      <w:tr w14:paraId="62E17327">
        <w:tblPrEx>
          <w:tblCellMar>
            <w:top w:w="0" w:type="dxa"/>
            <w:left w:w="108" w:type="dxa"/>
            <w:bottom w:w="0" w:type="dxa"/>
            <w:right w:w="108" w:type="dxa"/>
          </w:tblCellMar>
        </w:tblPrEx>
        <w:trPr>
          <w:trHeight w:val="20" w:hRule="atLeast"/>
          <w:jc w:val="center"/>
        </w:trPr>
        <w:tc>
          <w:tcPr>
            <w:tcW w:w="357" w:type="pct"/>
            <w:tcBorders>
              <w:top w:val="single" w:color="000000" w:sz="8" w:space="0"/>
              <w:left w:val="single" w:color="000000" w:sz="8" w:space="0"/>
              <w:bottom w:val="single" w:color="000000" w:sz="8" w:space="0"/>
              <w:right w:val="single" w:color="000000" w:sz="8" w:space="0"/>
            </w:tcBorders>
            <w:vAlign w:val="center"/>
          </w:tcPr>
          <w:p w14:paraId="23FE21FE">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967" w:type="pct"/>
            <w:tcBorders>
              <w:top w:val="single" w:color="000000" w:sz="8" w:space="0"/>
              <w:left w:val="nil"/>
              <w:bottom w:val="single" w:color="000000" w:sz="8" w:space="0"/>
              <w:right w:val="single" w:color="000000" w:sz="8" w:space="0"/>
            </w:tcBorders>
            <w:vAlign w:val="center"/>
          </w:tcPr>
          <w:p w14:paraId="2C52F67F">
            <w:pPr>
              <w:spacing w:line="276" w:lineRule="auto"/>
              <w:rPr>
                <w:rFonts w:ascii="宋体" w:hAnsi="宋体" w:eastAsia="宋体" w:cs="宋体"/>
                <w:color w:val="auto"/>
                <w:szCs w:val="21"/>
                <w:highlight w:val="none"/>
              </w:rPr>
            </w:pPr>
            <w:r>
              <w:rPr>
                <w:rFonts w:hint="eastAsia" w:ascii="宋体" w:hAnsi="宋体" w:eastAsia="宋体" w:cs="宋体"/>
                <w:bCs/>
                <w:color w:val="auto"/>
                <w:kern w:val="0"/>
                <w:szCs w:val="21"/>
                <w:highlight w:val="none"/>
              </w:rPr>
              <w:t>持有项目负责人</w:t>
            </w:r>
            <w:r>
              <w:rPr>
                <w:rFonts w:hint="eastAsia" w:ascii="宋体" w:hAnsi="宋体" w:eastAsia="宋体" w:cs="宋体"/>
                <w:color w:val="auto"/>
                <w:szCs w:val="21"/>
                <w:highlight w:val="none"/>
                <w:u w:val="single"/>
              </w:rPr>
              <w:t>（若为联合体投标，由联合体主办方提供）有效期内的</w:t>
            </w:r>
            <w:r>
              <w:rPr>
                <w:rFonts w:hint="eastAsia" w:ascii="宋体" w:hAnsi="宋体" w:eastAsia="宋体" w:cs="宋体"/>
                <w:bCs/>
                <w:color w:val="auto"/>
                <w:kern w:val="0"/>
                <w:szCs w:val="21"/>
                <w:highlight w:val="none"/>
              </w:rPr>
              <w:t>安全生产考核合格证书（B类）或</w:t>
            </w:r>
            <w:r>
              <w:rPr>
                <w:rFonts w:hint="eastAsia" w:ascii="宋体" w:hAnsi="宋体" w:eastAsia="宋体" w:cs="宋体"/>
                <w:color w:val="auto"/>
                <w:kern w:val="0"/>
                <w:szCs w:val="21"/>
                <w:highlight w:val="none"/>
              </w:rPr>
              <w:t>建筑施工企业项目负责人安全生产考核合格证</w:t>
            </w:r>
            <w:r>
              <w:rPr>
                <w:rFonts w:hint="eastAsia" w:ascii="宋体" w:hAnsi="宋体" w:eastAsia="宋体" w:cs="宋体"/>
                <w:bCs/>
                <w:color w:val="auto"/>
                <w:kern w:val="0"/>
                <w:szCs w:val="21"/>
                <w:highlight w:val="none"/>
              </w:rPr>
              <w:t>书。</w:t>
            </w:r>
          </w:p>
        </w:tc>
        <w:tc>
          <w:tcPr>
            <w:tcW w:w="2288" w:type="pct"/>
            <w:tcBorders>
              <w:top w:val="single" w:color="000000" w:sz="8" w:space="0"/>
              <w:left w:val="nil"/>
              <w:bottom w:val="single" w:color="000000" w:sz="8" w:space="0"/>
              <w:right w:val="single" w:color="000000" w:sz="8" w:space="0"/>
            </w:tcBorders>
            <w:vAlign w:val="center"/>
          </w:tcPr>
          <w:p w14:paraId="33960A7C">
            <w:pPr>
              <w:spacing w:line="276"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项目负责人安全生产考核合格证（B类）或建筑施工企业项目负责人安全生产考核合格证</w:t>
            </w:r>
            <w:r>
              <w:rPr>
                <w:rFonts w:hint="eastAsia" w:ascii="宋体" w:hAnsi="宋体" w:eastAsia="宋体" w:cs="宋体"/>
                <w:bCs/>
                <w:color w:val="auto"/>
                <w:szCs w:val="21"/>
                <w:highlight w:val="none"/>
              </w:rPr>
              <w:t>扫描件或电子证书。</w:t>
            </w:r>
            <w:r>
              <w:rPr>
                <w:rFonts w:hint="eastAsia" w:ascii="宋体" w:hAnsi="宋体" w:eastAsia="宋体" w:cs="宋体"/>
                <w:color w:val="auto"/>
                <w:szCs w:val="21"/>
                <w:highlight w:val="none"/>
                <w:u w:val="single"/>
              </w:rPr>
              <w:t>广东省建筑施工企业安全生产管理人员执行《广东省住房和城乡建设厅关于加快推进建筑施工企业安全生产管理人员考核合格证书电子证照办理相关工作的通知》（粤建质函〔2023〕754号），在2023年10月底前完成换证业务，从2023年11月1日起，旧版电子证照停止使用。其他地区建筑施工企业安全生产管理人员执行属地安全生产管理人员考核合格证书电子证照相关规定。</w:t>
            </w:r>
          </w:p>
        </w:tc>
        <w:tc>
          <w:tcPr>
            <w:tcW w:w="389" w:type="pct"/>
            <w:tcBorders>
              <w:top w:val="single" w:color="000000" w:sz="8" w:space="0"/>
              <w:left w:val="nil"/>
              <w:bottom w:val="single" w:color="000000" w:sz="8" w:space="0"/>
              <w:right w:val="single" w:color="000000" w:sz="8" w:space="0"/>
            </w:tcBorders>
            <w:vAlign w:val="center"/>
          </w:tcPr>
          <w:p w14:paraId="555CE2A0">
            <w:pPr>
              <w:spacing w:line="276" w:lineRule="auto"/>
              <w:jc w:val="center"/>
              <w:rPr>
                <w:rFonts w:ascii="宋体" w:hAnsi="宋体" w:eastAsia="宋体" w:cs="宋体"/>
                <w:color w:val="auto"/>
                <w:szCs w:val="21"/>
                <w:highlight w:val="none"/>
              </w:rPr>
            </w:pPr>
          </w:p>
        </w:tc>
      </w:tr>
      <w:tr w14:paraId="18F60E30">
        <w:tblPrEx>
          <w:tblCellMar>
            <w:top w:w="0" w:type="dxa"/>
            <w:left w:w="108" w:type="dxa"/>
            <w:bottom w:w="0" w:type="dxa"/>
            <w:right w:w="108" w:type="dxa"/>
          </w:tblCellMar>
        </w:tblPrEx>
        <w:trPr>
          <w:trHeight w:val="20" w:hRule="atLeast"/>
          <w:jc w:val="center"/>
        </w:trPr>
        <w:tc>
          <w:tcPr>
            <w:tcW w:w="357" w:type="pct"/>
            <w:tcBorders>
              <w:top w:val="single" w:color="000000" w:sz="8" w:space="0"/>
              <w:left w:val="single" w:color="000000" w:sz="8" w:space="0"/>
              <w:bottom w:val="single" w:color="000000" w:sz="8" w:space="0"/>
              <w:right w:val="single" w:color="000000" w:sz="8" w:space="0"/>
            </w:tcBorders>
            <w:vAlign w:val="center"/>
          </w:tcPr>
          <w:p w14:paraId="628B869B">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967" w:type="pct"/>
            <w:tcBorders>
              <w:top w:val="single" w:color="000000" w:sz="8" w:space="0"/>
              <w:left w:val="nil"/>
              <w:bottom w:val="single" w:color="000000" w:sz="8" w:space="0"/>
              <w:right w:val="single" w:color="000000" w:sz="8" w:space="0"/>
            </w:tcBorders>
            <w:vAlign w:val="center"/>
          </w:tcPr>
          <w:p w14:paraId="339FC8D7">
            <w:pPr>
              <w:spacing w:line="276"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拟配备的专职安全员</w:t>
            </w:r>
            <w:r>
              <w:rPr>
                <w:rFonts w:hint="eastAsia" w:ascii="宋体" w:hAnsi="宋体" w:eastAsia="宋体" w:cs="宋体"/>
                <w:color w:val="auto"/>
                <w:szCs w:val="21"/>
                <w:highlight w:val="none"/>
                <w:u w:val="single"/>
              </w:rPr>
              <w:t>（若为联合体投标，由联合体主办方提供）数量满足招标公告要求</w:t>
            </w:r>
            <w:r>
              <w:rPr>
                <w:rFonts w:hint="eastAsia" w:ascii="宋体" w:hAnsi="宋体" w:eastAsia="宋体" w:cs="Times New Roman"/>
                <w:color w:val="auto"/>
                <w:szCs w:val="21"/>
                <w:highlight w:val="none"/>
              </w:rPr>
              <w:t>，专职安全员须具有安全生产考核合格证（C类）或建筑施工企业专职安全生产管理人员安全生产考核合格证书（C3）</w:t>
            </w:r>
          </w:p>
        </w:tc>
        <w:tc>
          <w:tcPr>
            <w:tcW w:w="2288" w:type="pct"/>
            <w:tcBorders>
              <w:top w:val="single" w:color="000000" w:sz="8" w:space="0"/>
              <w:left w:val="nil"/>
              <w:bottom w:val="single" w:color="000000" w:sz="8" w:space="0"/>
              <w:right w:val="single" w:color="000000" w:sz="8" w:space="0"/>
            </w:tcBorders>
            <w:vAlign w:val="center"/>
          </w:tcPr>
          <w:p w14:paraId="73969144">
            <w:pPr>
              <w:spacing w:line="276" w:lineRule="auto"/>
              <w:rPr>
                <w:rFonts w:ascii="宋体" w:hAnsi="宋体" w:eastAsia="宋体" w:cs="宋体"/>
                <w:strike/>
                <w:color w:val="auto"/>
                <w:szCs w:val="21"/>
                <w:highlight w:val="none"/>
              </w:rPr>
            </w:pPr>
            <w:r>
              <w:rPr>
                <w:rFonts w:hint="eastAsia" w:ascii="宋体" w:hAnsi="宋体" w:eastAsia="宋体" w:cs="Times New Roman"/>
                <w:color w:val="auto"/>
                <w:szCs w:val="21"/>
                <w:highlight w:val="none"/>
              </w:rPr>
              <w:t>专职安全员的安全生产考核合格证（</w:t>
            </w:r>
            <w:r>
              <w:rPr>
                <w:rFonts w:ascii="宋体" w:hAnsi="宋体" w:eastAsia="宋体" w:cs="Times New Roman"/>
                <w:color w:val="auto"/>
                <w:szCs w:val="21"/>
                <w:highlight w:val="none"/>
              </w:rPr>
              <w:t>C</w:t>
            </w:r>
            <w:r>
              <w:rPr>
                <w:rFonts w:hint="eastAsia" w:ascii="宋体" w:hAnsi="宋体" w:eastAsia="宋体" w:cs="Times New Roman"/>
                <w:color w:val="auto"/>
                <w:szCs w:val="21"/>
                <w:highlight w:val="none"/>
              </w:rPr>
              <w:t>证）或建筑施工企业专职安全生产管理人员安全生产考核合格证（C3）扫描件或电子证书。</w:t>
            </w:r>
            <w:r>
              <w:rPr>
                <w:rFonts w:hint="eastAsia" w:ascii="宋体" w:hAnsi="宋体" w:eastAsia="宋体" w:cs="宋体"/>
                <w:color w:val="auto"/>
                <w:szCs w:val="21"/>
                <w:highlight w:val="none"/>
                <w:u w:val="single"/>
              </w:rPr>
              <w:t>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广东省建筑施工企业安全生产管理人员执行《广东省住房和城乡建设厅关于加快推进建筑施工企业安全生产管理人员考核合格证书电子证照办理相关工作的通知》（粤建质函〔2023〕754号），在2023年10月底前完成换证业务，从2023年11月1日起，旧版电子证照停止使用。其他地区建筑施工企业安全生产管理人员执行属地安全生产管理人员考核合格证书电子证照相关规定。</w:t>
            </w:r>
          </w:p>
        </w:tc>
        <w:tc>
          <w:tcPr>
            <w:tcW w:w="389" w:type="pct"/>
            <w:tcBorders>
              <w:top w:val="single" w:color="000000" w:sz="8" w:space="0"/>
              <w:left w:val="nil"/>
              <w:bottom w:val="single" w:color="000000" w:sz="8" w:space="0"/>
              <w:right w:val="single" w:color="000000" w:sz="8" w:space="0"/>
            </w:tcBorders>
            <w:vAlign w:val="center"/>
          </w:tcPr>
          <w:p w14:paraId="789F780D">
            <w:pPr>
              <w:spacing w:line="276" w:lineRule="auto"/>
              <w:jc w:val="center"/>
              <w:rPr>
                <w:rFonts w:ascii="宋体" w:hAnsi="宋体" w:eastAsia="宋体" w:cs="宋体"/>
                <w:color w:val="auto"/>
                <w:szCs w:val="21"/>
                <w:highlight w:val="none"/>
              </w:rPr>
            </w:pPr>
          </w:p>
        </w:tc>
      </w:tr>
      <w:tr w14:paraId="09935063">
        <w:tblPrEx>
          <w:tblCellMar>
            <w:top w:w="0" w:type="dxa"/>
            <w:left w:w="108" w:type="dxa"/>
            <w:bottom w:w="0" w:type="dxa"/>
            <w:right w:w="108" w:type="dxa"/>
          </w:tblCellMar>
        </w:tblPrEx>
        <w:trPr>
          <w:trHeight w:val="20" w:hRule="atLeast"/>
          <w:jc w:val="center"/>
        </w:trPr>
        <w:tc>
          <w:tcPr>
            <w:tcW w:w="357" w:type="pct"/>
            <w:tcBorders>
              <w:top w:val="single" w:color="000000" w:sz="8" w:space="0"/>
              <w:left w:val="single" w:color="000000" w:sz="8" w:space="0"/>
              <w:bottom w:val="single" w:color="000000" w:sz="8" w:space="0"/>
              <w:right w:val="single" w:color="000000" w:sz="8" w:space="0"/>
            </w:tcBorders>
            <w:vAlign w:val="center"/>
          </w:tcPr>
          <w:p w14:paraId="1EF95C3A">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967" w:type="pct"/>
            <w:tcBorders>
              <w:top w:val="single" w:color="000000" w:sz="8" w:space="0"/>
              <w:left w:val="nil"/>
              <w:bottom w:val="single" w:color="000000" w:sz="8" w:space="0"/>
              <w:right w:val="single" w:color="000000" w:sz="8" w:space="0"/>
            </w:tcBorders>
            <w:vAlign w:val="center"/>
          </w:tcPr>
          <w:p w14:paraId="7E1563D9">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（若为联合体投标，指联合体各方）</w:t>
            </w:r>
            <w:r>
              <w:rPr>
                <w:rFonts w:hint="eastAsia" w:ascii="宋体" w:hAnsi="宋体" w:eastAsia="宋体" w:cs="宋体"/>
                <w:color w:val="auto"/>
                <w:szCs w:val="21"/>
                <w:highlight w:val="none"/>
              </w:rPr>
              <w:t>提供的投标人声明符合公告要求。</w:t>
            </w:r>
          </w:p>
        </w:tc>
        <w:tc>
          <w:tcPr>
            <w:tcW w:w="2288" w:type="pct"/>
            <w:tcBorders>
              <w:top w:val="single" w:color="000000" w:sz="8" w:space="0"/>
              <w:left w:val="nil"/>
              <w:bottom w:val="single" w:color="000000" w:sz="8" w:space="0"/>
              <w:right w:val="single" w:color="000000" w:sz="8" w:space="0"/>
            </w:tcBorders>
            <w:vAlign w:val="center"/>
          </w:tcPr>
          <w:p w14:paraId="5D09DA4B">
            <w:pPr>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《投标人声明（适用于独立投标或联合体主办方）》</w:t>
            </w:r>
            <w:r>
              <w:rPr>
                <w:rFonts w:hint="eastAsia" w:ascii="宋体" w:hAnsi="宋体" w:eastAsia="宋体" w:cs="宋体"/>
                <w:bCs/>
                <w:color w:val="auto"/>
                <w:szCs w:val="21"/>
                <w:highlight w:val="none"/>
                <w:u w:val="single"/>
              </w:rPr>
              <w:t>扫描件及《投标人声明（适用于联合体成员方）》扫描件（若为联合体投标，成员方需提供；若为独立投标人，无需提供）</w:t>
            </w:r>
          </w:p>
        </w:tc>
        <w:tc>
          <w:tcPr>
            <w:tcW w:w="389" w:type="pct"/>
            <w:tcBorders>
              <w:top w:val="single" w:color="000000" w:sz="8" w:space="0"/>
              <w:left w:val="nil"/>
              <w:bottom w:val="single" w:color="000000" w:sz="8" w:space="0"/>
              <w:right w:val="single" w:color="000000" w:sz="8" w:space="0"/>
            </w:tcBorders>
            <w:vAlign w:val="center"/>
          </w:tcPr>
          <w:p w14:paraId="517682B2">
            <w:pPr>
              <w:spacing w:line="276" w:lineRule="auto"/>
              <w:jc w:val="center"/>
              <w:rPr>
                <w:rFonts w:ascii="宋体" w:hAnsi="宋体" w:eastAsia="宋体" w:cs="宋体"/>
                <w:color w:val="auto"/>
                <w:szCs w:val="21"/>
                <w:highlight w:val="none"/>
              </w:rPr>
            </w:pPr>
          </w:p>
        </w:tc>
      </w:tr>
      <w:tr w14:paraId="038349D9">
        <w:tblPrEx>
          <w:tblCellMar>
            <w:top w:w="0" w:type="dxa"/>
            <w:left w:w="108" w:type="dxa"/>
            <w:bottom w:w="0" w:type="dxa"/>
            <w:right w:w="108" w:type="dxa"/>
          </w:tblCellMar>
        </w:tblPrEx>
        <w:trPr>
          <w:trHeight w:val="20" w:hRule="atLeast"/>
          <w:jc w:val="center"/>
        </w:trPr>
        <w:tc>
          <w:tcPr>
            <w:tcW w:w="357" w:type="pct"/>
            <w:tcBorders>
              <w:top w:val="single" w:color="000000" w:sz="8" w:space="0"/>
              <w:left w:val="single" w:color="000000" w:sz="8" w:space="0"/>
              <w:bottom w:val="single" w:color="000000" w:sz="8" w:space="0"/>
              <w:right w:val="single" w:color="000000" w:sz="8" w:space="0"/>
            </w:tcBorders>
            <w:vAlign w:val="center"/>
          </w:tcPr>
          <w:p w14:paraId="3270BB65">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967" w:type="pct"/>
            <w:tcBorders>
              <w:top w:val="single" w:color="000000" w:sz="8" w:space="0"/>
              <w:left w:val="nil"/>
              <w:bottom w:val="single" w:color="000000" w:sz="8" w:space="0"/>
              <w:right w:val="single" w:color="000000" w:sz="8" w:space="0"/>
            </w:tcBorders>
            <w:vAlign w:val="center"/>
          </w:tcPr>
          <w:p w14:paraId="2533B150">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投标人声明中签字的项目负责人和技术负责人与本项目拟派的项目负责人和技术负责人一致。</w:t>
            </w:r>
            <w:r>
              <w:rPr>
                <w:rFonts w:hint="eastAsia" w:ascii="宋体" w:hAnsi="宋体" w:eastAsia="宋体" w:cs="宋体"/>
                <w:color w:val="auto"/>
                <w:szCs w:val="21"/>
                <w:highlight w:val="none"/>
                <w:u w:val="single"/>
              </w:rPr>
              <w:t>（若为联合体投标，由联合体主办方提供）</w:t>
            </w:r>
          </w:p>
        </w:tc>
        <w:tc>
          <w:tcPr>
            <w:tcW w:w="2288" w:type="pct"/>
            <w:tcBorders>
              <w:top w:val="single" w:color="000000" w:sz="8" w:space="0"/>
              <w:left w:val="nil"/>
              <w:bottom w:val="single" w:color="000000" w:sz="8" w:space="0"/>
              <w:right w:val="single" w:color="000000" w:sz="8" w:space="0"/>
            </w:tcBorders>
            <w:vAlign w:val="center"/>
          </w:tcPr>
          <w:p w14:paraId="488CF8B0">
            <w:pPr>
              <w:spacing w:line="276"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网上投标时选择拟投标的项目负责人、本项目中拟委派的技术负责人及</w:t>
            </w:r>
            <w:r>
              <w:rPr>
                <w:rFonts w:hint="eastAsia" w:ascii="宋体" w:hAnsi="宋体" w:eastAsia="宋体" w:cs="Times New Roman"/>
                <w:color w:val="auto"/>
                <w:szCs w:val="21"/>
                <w:highlight w:val="none"/>
                <w:u w:val="single"/>
              </w:rPr>
              <w:t>《投标人声明（适用于独立投标或联合体主办方）》</w:t>
            </w:r>
            <w:r>
              <w:rPr>
                <w:rFonts w:hint="eastAsia" w:ascii="宋体" w:hAnsi="宋体" w:eastAsia="宋体" w:cs="宋体"/>
                <w:bCs/>
                <w:color w:val="auto"/>
                <w:szCs w:val="21"/>
                <w:highlight w:val="none"/>
                <w:u w:val="single"/>
              </w:rPr>
              <w:t>扫描件</w:t>
            </w:r>
            <w:r>
              <w:rPr>
                <w:rFonts w:hint="eastAsia" w:ascii="宋体" w:hAnsi="宋体" w:eastAsia="宋体" w:cs="Times New Roman"/>
                <w:color w:val="auto"/>
                <w:szCs w:val="21"/>
                <w:highlight w:val="none"/>
                <w:u w:val="single"/>
              </w:rPr>
              <w:t>。</w:t>
            </w:r>
          </w:p>
        </w:tc>
        <w:tc>
          <w:tcPr>
            <w:tcW w:w="389" w:type="pct"/>
            <w:tcBorders>
              <w:top w:val="single" w:color="000000" w:sz="8" w:space="0"/>
              <w:left w:val="nil"/>
              <w:bottom w:val="single" w:color="000000" w:sz="8" w:space="0"/>
              <w:right w:val="single" w:color="000000" w:sz="8" w:space="0"/>
            </w:tcBorders>
            <w:vAlign w:val="center"/>
          </w:tcPr>
          <w:p w14:paraId="633EAFCF">
            <w:pPr>
              <w:spacing w:line="276" w:lineRule="auto"/>
              <w:jc w:val="center"/>
              <w:rPr>
                <w:rFonts w:ascii="宋体" w:hAnsi="宋体" w:eastAsia="宋体" w:cs="宋体"/>
                <w:color w:val="auto"/>
                <w:szCs w:val="21"/>
                <w:highlight w:val="none"/>
              </w:rPr>
            </w:pPr>
          </w:p>
        </w:tc>
      </w:tr>
      <w:tr w14:paraId="0D7A4C49">
        <w:tblPrEx>
          <w:tblCellMar>
            <w:top w:w="0" w:type="dxa"/>
            <w:left w:w="108" w:type="dxa"/>
            <w:bottom w:w="0" w:type="dxa"/>
            <w:right w:w="108" w:type="dxa"/>
          </w:tblCellMar>
        </w:tblPrEx>
        <w:trPr>
          <w:trHeight w:val="20" w:hRule="atLeast"/>
          <w:jc w:val="center"/>
        </w:trPr>
        <w:tc>
          <w:tcPr>
            <w:tcW w:w="357" w:type="pct"/>
            <w:tcBorders>
              <w:top w:val="single" w:color="000000" w:sz="8" w:space="0"/>
              <w:left w:val="single" w:color="000000" w:sz="8" w:space="0"/>
              <w:bottom w:val="single" w:color="000000" w:sz="8" w:space="0"/>
              <w:right w:val="single" w:color="000000" w:sz="8" w:space="0"/>
            </w:tcBorders>
            <w:vAlign w:val="center"/>
          </w:tcPr>
          <w:p w14:paraId="368F0913">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967" w:type="pct"/>
            <w:tcBorders>
              <w:top w:val="single" w:color="000000" w:sz="8" w:space="0"/>
              <w:left w:val="nil"/>
              <w:bottom w:val="single" w:color="000000" w:sz="8" w:space="0"/>
              <w:right w:val="single" w:color="000000" w:sz="8" w:space="0"/>
            </w:tcBorders>
            <w:vAlign w:val="center"/>
          </w:tcPr>
          <w:p w14:paraId="6203F7F6">
            <w:pPr>
              <w:spacing w:line="276" w:lineRule="auto"/>
              <w:rPr>
                <w:rFonts w:ascii="宋体" w:hAnsi="宋体" w:eastAsia="宋体" w:cs="宋体"/>
                <w:strike/>
                <w:color w:val="auto"/>
                <w:szCs w:val="21"/>
                <w:highlight w:val="none"/>
              </w:rPr>
            </w:pPr>
            <w:r>
              <w:rPr>
                <w:rFonts w:hint="eastAsia" w:ascii="宋体" w:hAnsi="宋体" w:eastAsia="宋体" w:cs="宋体"/>
                <w:color w:val="auto"/>
                <w:szCs w:val="21"/>
                <w:highlight w:val="none"/>
                <w:u w:val="single"/>
              </w:rPr>
              <w:t>关于联合体投标：本项目</w:t>
            </w:r>
            <w:r>
              <w:rPr>
                <w:rFonts w:hint="eastAsia" w:ascii="宋体" w:hAnsi="宋体" w:eastAsia="宋体" w:cs="宋体"/>
                <w:b/>
                <w:color w:val="auto"/>
                <w:szCs w:val="21"/>
                <w:highlight w:val="none"/>
                <w:u w:val="single"/>
              </w:rPr>
              <w:t>接受</w:t>
            </w:r>
            <w:r>
              <w:rPr>
                <w:rFonts w:hint="eastAsia" w:ascii="宋体" w:hAnsi="宋体" w:eastAsia="宋体" w:cs="宋体"/>
                <w:color w:val="auto"/>
                <w:szCs w:val="21"/>
                <w:highlight w:val="none"/>
                <w:u w:val="single"/>
              </w:rPr>
              <w:t>联合体投标。</w:t>
            </w:r>
          </w:p>
        </w:tc>
        <w:tc>
          <w:tcPr>
            <w:tcW w:w="2288" w:type="pct"/>
            <w:tcBorders>
              <w:top w:val="single" w:color="000000" w:sz="8" w:space="0"/>
              <w:left w:val="nil"/>
              <w:bottom w:val="single" w:color="000000" w:sz="8" w:space="0"/>
              <w:right w:val="single" w:color="000000" w:sz="8" w:space="0"/>
            </w:tcBorders>
            <w:vAlign w:val="center"/>
          </w:tcPr>
          <w:p w14:paraId="13F7ACBB">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联合体工作协议</w:t>
            </w:r>
            <w:r>
              <w:rPr>
                <w:rFonts w:hint="eastAsia" w:ascii="宋体" w:hAnsi="宋体" w:eastAsia="宋体" w:cs="宋体"/>
                <w:color w:val="auto"/>
                <w:szCs w:val="21"/>
                <w:highlight w:val="none"/>
              </w:rPr>
              <w:t>清晰扫描件，符合招标公告要求。</w:t>
            </w:r>
          </w:p>
        </w:tc>
        <w:tc>
          <w:tcPr>
            <w:tcW w:w="389" w:type="pct"/>
            <w:tcBorders>
              <w:top w:val="single" w:color="000000" w:sz="8" w:space="0"/>
              <w:left w:val="nil"/>
              <w:bottom w:val="single" w:color="000000" w:sz="8" w:space="0"/>
              <w:right w:val="single" w:color="000000" w:sz="8" w:space="0"/>
            </w:tcBorders>
            <w:vAlign w:val="center"/>
          </w:tcPr>
          <w:p w14:paraId="1AA3D149">
            <w:pPr>
              <w:spacing w:line="276" w:lineRule="auto"/>
              <w:jc w:val="center"/>
              <w:rPr>
                <w:rFonts w:ascii="宋体" w:hAnsi="宋体" w:eastAsia="宋体" w:cs="宋体"/>
                <w:color w:val="auto"/>
                <w:szCs w:val="21"/>
                <w:highlight w:val="none"/>
              </w:rPr>
            </w:pPr>
          </w:p>
        </w:tc>
      </w:tr>
      <w:tr w14:paraId="7CE1E77C">
        <w:tblPrEx>
          <w:tblCellMar>
            <w:top w:w="0" w:type="dxa"/>
            <w:left w:w="108" w:type="dxa"/>
            <w:bottom w:w="0" w:type="dxa"/>
            <w:right w:w="108" w:type="dxa"/>
          </w:tblCellMar>
        </w:tblPrEx>
        <w:trPr>
          <w:trHeight w:val="20" w:hRule="atLeast"/>
          <w:jc w:val="center"/>
        </w:trPr>
        <w:tc>
          <w:tcPr>
            <w:tcW w:w="357" w:type="pct"/>
            <w:tcBorders>
              <w:top w:val="single" w:color="000000" w:sz="8" w:space="0"/>
              <w:left w:val="single" w:color="000000" w:sz="8" w:space="0"/>
              <w:bottom w:val="single" w:color="000000" w:sz="8" w:space="0"/>
              <w:right w:val="single" w:color="000000" w:sz="8" w:space="0"/>
            </w:tcBorders>
            <w:vAlign w:val="center"/>
          </w:tcPr>
          <w:p w14:paraId="2AE109C9">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967" w:type="pct"/>
            <w:tcBorders>
              <w:top w:val="single" w:color="000000" w:sz="8" w:space="0"/>
              <w:left w:val="nil"/>
              <w:bottom w:val="single" w:color="000000" w:sz="8" w:space="0"/>
              <w:right w:val="single" w:color="000000" w:sz="8" w:space="0"/>
            </w:tcBorders>
            <w:vAlign w:val="center"/>
          </w:tcPr>
          <w:p w14:paraId="231F0B62">
            <w:pPr>
              <w:spacing w:line="276" w:lineRule="auto"/>
              <w:rPr>
                <w:rFonts w:ascii="宋体" w:hAnsi="宋体" w:eastAsia="宋体" w:cs="宋体"/>
                <w:strike/>
                <w:color w:val="auto"/>
                <w:szCs w:val="21"/>
                <w:highlight w:val="none"/>
              </w:rPr>
            </w:pPr>
            <w:r>
              <w:rPr>
                <w:rFonts w:hint="eastAsia" w:ascii="宋体" w:hAnsi="宋体" w:eastAsia="宋体" w:cs="Times New Roman"/>
                <w:color w:val="auto"/>
                <w:szCs w:val="21"/>
                <w:highlight w:val="none"/>
                <w:lang w:eastAsia="zh-CN"/>
              </w:rPr>
              <w:t>资格审查前</w:t>
            </w:r>
            <w:r>
              <w:rPr>
                <w:rFonts w:hint="eastAsia" w:ascii="宋体" w:hAnsi="宋体" w:eastAsia="宋体" w:cs="Times New Roman"/>
                <w:color w:val="auto"/>
                <w:szCs w:val="21"/>
                <w:highlight w:val="none"/>
              </w:rPr>
              <w:t>，投标人</w:t>
            </w:r>
            <w:r>
              <w:rPr>
                <w:rFonts w:hint="eastAsia" w:ascii="宋体" w:hAnsi="宋体" w:eastAsia="宋体" w:cs="Times New Roman"/>
                <w:color w:val="auto"/>
                <w:szCs w:val="21"/>
                <w:highlight w:val="none"/>
                <w:u w:val="single"/>
              </w:rPr>
              <w:t>（若为联合体投标，指联合体各方）</w:t>
            </w:r>
            <w:r>
              <w:rPr>
                <w:rFonts w:hint="eastAsia" w:ascii="宋体" w:hAnsi="宋体" w:eastAsia="宋体" w:cs="Times New Roman"/>
                <w:color w:val="auto"/>
                <w:szCs w:val="21"/>
                <w:highlight w:val="none"/>
              </w:rPr>
              <w:t>须在广州交易集团有限公司（广州公共资源交易中心）办理企业信息登记及拟担任本工程项目负责人、专职安全员须是本企业在广州交易集团有限公司（广州公共资源交易中心）企业信息登记信息中的在册人员。</w:t>
            </w:r>
          </w:p>
        </w:tc>
        <w:tc>
          <w:tcPr>
            <w:tcW w:w="2288" w:type="pct"/>
            <w:tcBorders>
              <w:top w:val="single" w:color="000000" w:sz="8" w:space="0"/>
              <w:left w:val="nil"/>
              <w:bottom w:val="single" w:color="000000" w:sz="8" w:space="0"/>
              <w:right w:val="single" w:color="000000" w:sz="8" w:space="0"/>
            </w:tcBorders>
            <w:vAlign w:val="center"/>
          </w:tcPr>
          <w:p w14:paraId="1085DC06">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shd w:val="clear" w:color="auto" w:fill="FFFFFF"/>
              </w:rPr>
              <w:t>投标人在广州交易集团有限公司（广州公共资源交易中心）企业信息登记的企业和人员信息</w:t>
            </w:r>
            <w:r>
              <w:rPr>
                <w:rFonts w:hint="eastAsia" w:ascii="宋体" w:hAnsi="宋体" w:eastAsia="宋体" w:cs="宋体"/>
                <w:color w:val="auto"/>
                <w:szCs w:val="21"/>
                <w:highlight w:val="none"/>
                <w:u w:val="single"/>
                <w:shd w:val="clear" w:color="auto" w:fill="FFFFFF"/>
              </w:rPr>
              <w:t>（</w:t>
            </w:r>
            <w:r>
              <w:rPr>
                <w:rFonts w:hint="eastAsia" w:ascii="宋体" w:hAnsi="宋体" w:eastAsia="宋体" w:cs="宋体"/>
                <w:bCs/>
                <w:color w:val="auto"/>
                <w:szCs w:val="21"/>
                <w:highlight w:val="none"/>
                <w:u w:val="single"/>
              </w:rPr>
              <w:t>提供网页信息完整截图</w:t>
            </w:r>
            <w:r>
              <w:rPr>
                <w:rFonts w:hint="eastAsia" w:ascii="宋体" w:hAnsi="宋体" w:eastAsia="宋体" w:cs="宋体"/>
                <w:color w:val="auto"/>
                <w:szCs w:val="21"/>
                <w:highlight w:val="none"/>
                <w:u w:val="single"/>
                <w:shd w:val="clear" w:color="auto" w:fill="FFFFFF"/>
              </w:rPr>
              <w:t>，若为联合体均需提供）</w:t>
            </w:r>
          </w:p>
        </w:tc>
        <w:tc>
          <w:tcPr>
            <w:tcW w:w="389" w:type="pct"/>
            <w:tcBorders>
              <w:top w:val="single" w:color="000000" w:sz="8" w:space="0"/>
              <w:left w:val="nil"/>
              <w:bottom w:val="single" w:color="000000" w:sz="8" w:space="0"/>
              <w:right w:val="single" w:color="000000" w:sz="8" w:space="0"/>
            </w:tcBorders>
            <w:vAlign w:val="center"/>
          </w:tcPr>
          <w:p w14:paraId="2775B8E0">
            <w:pPr>
              <w:spacing w:line="276" w:lineRule="auto"/>
              <w:jc w:val="center"/>
              <w:rPr>
                <w:rFonts w:ascii="宋体" w:hAnsi="宋体" w:eastAsia="宋体" w:cs="宋体"/>
                <w:color w:val="auto"/>
                <w:szCs w:val="21"/>
                <w:highlight w:val="none"/>
              </w:rPr>
            </w:pPr>
          </w:p>
        </w:tc>
      </w:tr>
      <w:tr w14:paraId="48E8DE3C">
        <w:tblPrEx>
          <w:tblCellMar>
            <w:top w:w="0" w:type="dxa"/>
            <w:left w:w="108" w:type="dxa"/>
            <w:bottom w:w="0" w:type="dxa"/>
            <w:right w:w="108" w:type="dxa"/>
          </w:tblCellMar>
        </w:tblPrEx>
        <w:trPr>
          <w:trHeight w:val="20" w:hRule="atLeast"/>
          <w:jc w:val="center"/>
        </w:trPr>
        <w:tc>
          <w:tcPr>
            <w:tcW w:w="357" w:type="pct"/>
            <w:tcBorders>
              <w:top w:val="single" w:color="000000" w:sz="8" w:space="0"/>
              <w:left w:val="single" w:color="000000" w:sz="8" w:space="0"/>
              <w:bottom w:val="single" w:color="000000" w:sz="8" w:space="0"/>
              <w:right w:val="single" w:color="000000" w:sz="8" w:space="0"/>
            </w:tcBorders>
            <w:vAlign w:val="center"/>
          </w:tcPr>
          <w:p w14:paraId="09C582BF">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967" w:type="pct"/>
            <w:tcBorders>
              <w:top w:val="single" w:color="000000" w:sz="8" w:space="0"/>
              <w:left w:val="nil"/>
              <w:bottom w:val="single" w:color="000000" w:sz="8" w:space="0"/>
              <w:right w:val="single" w:color="000000" w:sz="8" w:space="0"/>
            </w:tcBorders>
            <w:vAlign w:val="center"/>
          </w:tcPr>
          <w:p w14:paraId="77B4705A">
            <w:pPr>
              <w:spacing w:line="276" w:lineRule="auto"/>
              <w:rPr>
                <w:rFonts w:ascii="宋体" w:hAnsi="宋体" w:eastAsia="宋体" w:cs="Times New Roman"/>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（若为联合体投标，指联合体各方）</w:t>
            </w:r>
            <w:r>
              <w:rPr>
                <w:rFonts w:hint="eastAsia" w:ascii="宋体" w:hAnsi="宋体" w:eastAsia="宋体" w:cs="宋体"/>
                <w:color w:val="auto"/>
                <w:szCs w:val="21"/>
                <w:highlight w:val="none"/>
              </w:rPr>
              <w:t>未出现以下情形：与其它投标人的单位负责人为同一人或者存在控股、管理关系的【按投标人提供的</w:t>
            </w:r>
            <w:r>
              <w:rPr>
                <w:rFonts w:hint="eastAsia" w:ascii="宋体" w:hAnsi="宋体" w:eastAsia="宋体" w:cs="宋体"/>
                <w:color w:val="auto"/>
                <w:szCs w:val="21"/>
                <w:highlight w:val="none"/>
                <w:lang w:bidi="ar"/>
              </w:rPr>
              <w:t>《投标人声明（适用于独立投标或联合体主办方）》第九条内容和《投标人声明（适用于联合体成员方）》第七条内容（若为联合体投标，成员方需提供；若为独立投标人，无需提供）进行评审</w:t>
            </w:r>
            <w:r>
              <w:rPr>
                <w:rFonts w:hint="eastAsia" w:ascii="宋体" w:hAnsi="宋体" w:eastAsia="宋体" w:cs="宋体"/>
                <w:color w:val="auto"/>
                <w:szCs w:val="21"/>
                <w:highlight w:val="none"/>
              </w:rPr>
              <w:t>】。如不同投标申请人出现单位负责人为同一人或者存在控股、管理关系的情形，则</w:t>
            </w:r>
            <w:r>
              <w:rPr>
                <w:rFonts w:hint="eastAsia" w:ascii="宋体" w:hAnsi="宋体" w:eastAsia="宋体" w:cs="宋体"/>
                <w:color w:val="auto"/>
                <w:szCs w:val="21"/>
                <w:highlight w:val="none"/>
                <w:u w:val="single"/>
              </w:rPr>
              <w:t>均按不符合投标人合格条件处理。</w:t>
            </w:r>
          </w:p>
        </w:tc>
        <w:tc>
          <w:tcPr>
            <w:tcW w:w="2288" w:type="pct"/>
            <w:tcBorders>
              <w:top w:val="single" w:color="000000" w:sz="8" w:space="0"/>
              <w:left w:val="nil"/>
              <w:bottom w:val="single" w:color="000000" w:sz="8" w:space="0"/>
              <w:right w:val="single" w:color="000000" w:sz="8" w:space="0"/>
            </w:tcBorders>
            <w:vAlign w:val="center"/>
          </w:tcPr>
          <w:p w14:paraId="363C74E7">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《投标人声明（适用于独立投标或联合体主办方）》</w:t>
            </w:r>
            <w:r>
              <w:rPr>
                <w:rFonts w:hint="eastAsia" w:ascii="宋体" w:hAnsi="宋体" w:eastAsia="宋体" w:cs="宋体"/>
                <w:bCs/>
                <w:color w:val="auto"/>
                <w:szCs w:val="21"/>
                <w:highlight w:val="none"/>
                <w:u w:val="single"/>
              </w:rPr>
              <w:t>扫描件及《投标人声明（适用于联合体成员方）》扫描件（若为联合体投标，成员方需提供；若为独立投标人，无需提供）</w:t>
            </w:r>
          </w:p>
        </w:tc>
        <w:tc>
          <w:tcPr>
            <w:tcW w:w="389" w:type="pct"/>
            <w:tcBorders>
              <w:top w:val="single" w:color="000000" w:sz="8" w:space="0"/>
              <w:left w:val="nil"/>
              <w:bottom w:val="single" w:color="000000" w:sz="8" w:space="0"/>
              <w:right w:val="single" w:color="000000" w:sz="8" w:space="0"/>
            </w:tcBorders>
            <w:vAlign w:val="center"/>
          </w:tcPr>
          <w:p w14:paraId="56B8654C">
            <w:pPr>
              <w:spacing w:line="276" w:lineRule="auto"/>
              <w:jc w:val="center"/>
              <w:rPr>
                <w:rFonts w:ascii="宋体" w:hAnsi="宋体" w:eastAsia="宋体" w:cs="宋体"/>
                <w:color w:val="auto"/>
                <w:szCs w:val="21"/>
                <w:highlight w:val="none"/>
              </w:rPr>
            </w:pPr>
          </w:p>
        </w:tc>
      </w:tr>
      <w:tr w14:paraId="2B8497E6">
        <w:tblPrEx>
          <w:tblCellMar>
            <w:top w:w="0" w:type="dxa"/>
            <w:left w:w="108" w:type="dxa"/>
            <w:bottom w:w="0" w:type="dxa"/>
            <w:right w:w="108" w:type="dxa"/>
          </w:tblCellMar>
        </w:tblPrEx>
        <w:trPr>
          <w:trHeight w:val="20" w:hRule="atLeast"/>
          <w:jc w:val="center"/>
        </w:trPr>
        <w:tc>
          <w:tcPr>
            <w:tcW w:w="357" w:type="pct"/>
            <w:tcBorders>
              <w:top w:val="single" w:color="000000" w:sz="8" w:space="0"/>
              <w:left w:val="single" w:color="000000" w:sz="8" w:space="0"/>
              <w:bottom w:val="single" w:color="000000" w:sz="8" w:space="0"/>
              <w:right w:val="single" w:color="000000" w:sz="8" w:space="0"/>
            </w:tcBorders>
            <w:vAlign w:val="center"/>
          </w:tcPr>
          <w:p w14:paraId="22CF1DFB">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967" w:type="pct"/>
            <w:tcBorders>
              <w:top w:val="single" w:color="000000" w:sz="8" w:space="0"/>
              <w:left w:val="nil"/>
              <w:bottom w:val="single" w:color="000000" w:sz="8" w:space="0"/>
              <w:right w:val="single" w:color="000000" w:sz="8" w:space="0"/>
            </w:tcBorders>
            <w:vAlign w:val="center"/>
          </w:tcPr>
          <w:p w14:paraId="53426F4C">
            <w:pPr>
              <w:spacing w:line="276" w:lineRule="auto"/>
              <w:rPr>
                <w:rFonts w:ascii="宋体" w:hAnsi="宋体" w:eastAsia="宋体" w:cs="Times New Roman"/>
                <w:color w:val="auto"/>
                <w:szCs w:val="21"/>
                <w:highlight w:val="none"/>
              </w:rPr>
            </w:pPr>
            <w:r>
              <w:rPr>
                <w:rFonts w:hint="eastAsia" w:ascii="宋体" w:hAnsi="宋体" w:eastAsia="宋体" w:cs="宋体"/>
                <w:color w:val="auto"/>
                <w:szCs w:val="21"/>
                <w:highlight w:val="none"/>
              </w:rPr>
              <w:t>在投标截止时间前，投标人</w:t>
            </w:r>
            <w:r>
              <w:rPr>
                <w:rFonts w:hint="eastAsia" w:ascii="宋体" w:hAnsi="宋体" w:eastAsia="宋体" w:cs="宋体"/>
                <w:color w:val="auto"/>
                <w:szCs w:val="21"/>
                <w:highlight w:val="none"/>
                <w:u w:val="single"/>
              </w:rPr>
              <w:t>（若为联合体投标，指联合体各方）</w:t>
            </w:r>
            <w:r>
              <w:rPr>
                <w:rFonts w:hint="eastAsia" w:ascii="宋体" w:hAnsi="宋体" w:eastAsia="宋体" w:cs="宋体"/>
                <w:color w:val="auto"/>
                <w:szCs w:val="21"/>
                <w:highlight w:val="none"/>
              </w:rPr>
              <w:t>未被列入拖欠农民工工资失信联合惩戒对象名单。</w:t>
            </w:r>
          </w:p>
        </w:tc>
        <w:tc>
          <w:tcPr>
            <w:tcW w:w="2288" w:type="pct"/>
            <w:tcBorders>
              <w:top w:val="single" w:color="000000" w:sz="8" w:space="0"/>
              <w:left w:val="nil"/>
              <w:bottom w:val="single" w:color="000000" w:sz="8" w:space="0"/>
              <w:right w:val="single" w:color="000000" w:sz="8" w:space="0"/>
            </w:tcBorders>
            <w:vAlign w:val="center"/>
          </w:tcPr>
          <w:p w14:paraId="62FCD7CF">
            <w:pPr>
              <w:spacing w:line="276" w:lineRule="auto"/>
              <w:rPr>
                <w:rFonts w:ascii="宋体" w:hAnsi="宋体" w:eastAsia="宋体" w:cs="Times New Roman"/>
                <w:color w:val="auto"/>
                <w:szCs w:val="21"/>
                <w:highlight w:val="none"/>
              </w:rPr>
            </w:pPr>
            <w:r>
              <w:rPr>
                <w:rFonts w:hint="eastAsia" w:ascii="宋体" w:hAnsi="宋体" w:eastAsia="宋体" w:cs="宋体"/>
                <w:color w:val="auto"/>
                <w:szCs w:val="21"/>
                <w:highlight w:val="none"/>
              </w:rPr>
              <w:t>投标人无需提供资料，按</w:t>
            </w:r>
            <w:r>
              <w:rPr>
                <w:rFonts w:hint="eastAsia" w:ascii="宋体" w:hAnsi="宋体" w:eastAsia="宋体" w:cs="宋体"/>
                <w:color w:val="auto"/>
                <w:kern w:val="0"/>
                <w:szCs w:val="21"/>
                <w:highlight w:val="none"/>
              </w:rPr>
              <w:t>广州交易集团有限公司（广州公共资源交易中心）</w:t>
            </w:r>
            <w:r>
              <w:rPr>
                <w:rFonts w:hint="eastAsia" w:ascii="宋体" w:hAnsi="宋体" w:eastAsia="宋体" w:cs="宋体"/>
                <w:color w:val="auto"/>
                <w:szCs w:val="21"/>
                <w:highlight w:val="none"/>
              </w:rPr>
              <w:t>交易系统比对的结果进行评审</w:t>
            </w:r>
          </w:p>
        </w:tc>
        <w:tc>
          <w:tcPr>
            <w:tcW w:w="389" w:type="pct"/>
            <w:tcBorders>
              <w:top w:val="single" w:color="000000" w:sz="8" w:space="0"/>
              <w:left w:val="nil"/>
              <w:bottom w:val="single" w:color="000000" w:sz="8" w:space="0"/>
              <w:right w:val="single" w:color="000000" w:sz="8" w:space="0"/>
            </w:tcBorders>
            <w:vAlign w:val="center"/>
          </w:tcPr>
          <w:p w14:paraId="705095CE">
            <w:pPr>
              <w:spacing w:line="276" w:lineRule="auto"/>
              <w:jc w:val="center"/>
              <w:rPr>
                <w:rFonts w:ascii="宋体" w:hAnsi="宋体" w:eastAsia="宋体" w:cs="宋体"/>
                <w:color w:val="auto"/>
                <w:szCs w:val="21"/>
                <w:highlight w:val="none"/>
              </w:rPr>
            </w:pPr>
          </w:p>
        </w:tc>
      </w:tr>
      <w:tr w14:paraId="6B81AFF9">
        <w:tblPrEx>
          <w:tblCellMar>
            <w:top w:w="0" w:type="dxa"/>
            <w:left w:w="108" w:type="dxa"/>
            <w:bottom w:w="0" w:type="dxa"/>
            <w:right w:w="108" w:type="dxa"/>
          </w:tblCellMar>
        </w:tblPrEx>
        <w:trPr>
          <w:trHeight w:val="20" w:hRule="atLeast"/>
          <w:jc w:val="center"/>
        </w:trPr>
        <w:tc>
          <w:tcPr>
            <w:tcW w:w="357" w:type="pct"/>
            <w:tcBorders>
              <w:top w:val="single" w:color="000000" w:sz="8" w:space="0"/>
              <w:left w:val="single" w:color="000000" w:sz="8" w:space="0"/>
              <w:bottom w:val="single" w:color="000000" w:sz="8" w:space="0"/>
              <w:right w:val="single" w:color="000000" w:sz="8" w:space="0"/>
            </w:tcBorders>
            <w:vAlign w:val="center"/>
          </w:tcPr>
          <w:p w14:paraId="62B06C23">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967" w:type="pct"/>
            <w:tcBorders>
              <w:top w:val="single" w:color="000000" w:sz="8" w:space="0"/>
              <w:left w:val="nil"/>
              <w:bottom w:val="single" w:color="000000" w:sz="8" w:space="0"/>
              <w:right w:val="single" w:color="000000" w:sz="8" w:space="0"/>
            </w:tcBorders>
            <w:vAlign w:val="center"/>
          </w:tcPr>
          <w:p w14:paraId="2577E3B8">
            <w:pPr>
              <w:spacing w:line="276"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政府投资项目，在投标截止时间前，投标人</w:t>
            </w:r>
            <w:r>
              <w:rPr>
                <w:rFonts w:hint="eastAsia" w:ascii="宋体" w:hAnsi="宋体" w:eastAsia="宋体" w:cs="Times New Roman"/>
                <w:color w:val="auto"/>
                <w:szCs w:val="21"/>
                <w:highlight w:val="none"/>
                <w:u w:val="single"/>
              </w:rPr>
              <w:t>（若为联合体投标，指联合体各方）</w:t>
            </w:r>
            <w:r>
              <w:rPr>
                <w:rFonts w:hint="eastAsia" w:ascii="宋体" w:hAnsi="宋体" w:eastAsia="宋体" w:cs="Times New Roman"/>
                <w:color w:val="auto"/>
                <w:szCs w:val="21"/>
                <w:highlight w:val="none"/>
              </w:rPr>
              <w:t>未被列入“失信被执行人”名单。</w:t>
            </w:r>
          </w:p>
        </w:tc>
        <w:tc>
          <w:tcPr>
            <w:tcW w:w="2288" w:type="pct"/>
            <w:tcBorders>
              <w:top w:val="single" w:color="000000" w:sz="8" w:space="0"/>
              <w:left w:val="nil"/>
              <w:bottom w:val="single" w:color="000000" w:sz="8" w:space="0"/>
              <w:right w:val="single" w:color="000000" w:sz="8" w:space="0"/>
            </w:tcBorders>
            <w:vAlign w:val="center"/>
          </w:tcPr>
          <w:p w14:paraId="25F39A40">
            <w:pPr>
              <w:spacing w:line="276"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投标人无需提供资料，按</w:t>
            </w:r>
            <w:r>
              <w:rPr>
                <w:rFonts w:hint="eastAsia" w:ascii="宋体" w:hAnsi="宋体" w:eastAsia="宋体" w:cs="宋体"/>
                <w:color w:val="auto"/>
                <w:kern w:val="0"/>
                <w:szCs w:val="21"/>
                <w:highlight w:val="none"/>
              </w:rPr>
              <w:t>广州交易集团有限公司（广州公共资源交易中心）</w:t>
            </w:r>
            <w:r>
              <w:rPr>
                <w:rFonts w:hint="eastAsia" w:ascii="宋体" w:hAnsi="宋体" w:eastAsia="宋体" w:cs="Times New Roman"/>
                <w:color w:val="auto"/>
                <w:szCs w:val="21"/>
                <w:highlight w:val="none"/>
              </w:rPr>
              <w:t>交易系统比对的结果进行评审</w:t>
            </w:r>
          </w:p>
        </w:tc>
        <w:tc>
          <w:tcPr>
            <w:tcW w:w="389" w:type="pct"/>
            <w:tcBorders>
              <w:top w:val="single" w:color="000000" w:sz="8" w:space="0"/>
              <w:left w:val="nil"/>
              <w:bottom w:val="single" w:color="000000" w:sz="8" w:space="0"/>
              <w:right w:val="single" w:color="000000" w:sz="8" w:space="0"/>
            </w:tcBorders>
            <w:vAlign w:val="center"/>
          </w:tcPr>
          <w:p w14:paraId="268B4A10">
            <w:pPr>
              <w:spacing w:line="276" w:lineRule="auto"/>
              <w:jc w:val="center"/>
              <w:rPr>
                <w:rFonts w:ascii="宋体" w:hAnsi="宋体" w:eastAsia="宋体" w:cs="宋体"/>
                <w:color w:val="auto"/>
                <w:szCs w:val="21"/>
                <w:highlight w:val="none"/>
              </w:rPr>
            </w:pPr>
          </w:p>
        </w:tc>
      </w:tr>
      <w:tr w14:paraId="534BB068">
        <w:tblPrEx>
          <w:tblCellMar>
            <w:top w:w="0" w:type="dxa"/>
            <w:left w:w="108" w:type="dxa"/>
            <w:bottom w:w="0" w:type="dxa"/>
            <w:right w:w="108" w:type="dxa"/>
          </w:tblCellMar>
        </w:tblPrEx>
        <w:trPr>
          <w:trHeight w:val="20" w:hRule="atLeast"/>
          <w:jc w:val="center"/>
        </w:trPr>
        <w:tc>
          <w:tcPr>
            <w:tcW w:w="357" w:type="pct"/>
            <w:tcBorders>
              <w:top w:val="single" w:color="000000" w:sz="8" w:space="0"/>
              <w:left w:val="single" w:color="000000" w:sz="8" w:space="0"/>
              <w:bottom w:val="single" w:color="000000" w:sz="8" w:space="0"/>
              <w:right w:val="single" w:color="000000" w:sz="8" w:space="0"/>
            </w:tcBorders>
            <w:vAlign w:val="center"/>
          </w:tcPr>
          <w:p w14:paraId="11C9822E">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1967" w:type="pct"/>
            <w:tcBorders>
              <w:top w:val="single" w:color="000000" w:sz="8" w:space="0"/>
              <w:left w:val="nil"/>
              <w:bottom w:val="single" w:color="000000" w:sz="8" w:space="0"/>
              <w:right w:val="single" w:color="000000" w:sz="8" w:space="0"/>
            </w:tcBorders>
            <w:vAlign w:val="center"/>
          </w:tcPr>
          <w:p w14:paraId="0EFDE45C">
            <w:pPr>
              <w:widowControl/>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（若为联合体投标，指联合体各方）</w:t>
            </w:r>
            <w:r>
              <w:rPr>
                <w:rFonts w:hint="eastAsia" w:ascii="宋体" w:hAnsi="宋体" w:eastAsia="宋体" w:cs="宋体"/>
                <w:color w:val="auto"/>
                <w:szCs w:val="21"/>
                <w:highlight w:val="none"/>
              </w:rPr>
              <w:t>未在以往工程中因不充分履约行为被本项目招标人书面拒绝投标的（在拒绝投标的期限内）。</w:t>
            </w:r>
          </w:p>
        </w:tc>
        <w:tc>
          <w:tcPr>
            <w:tcW w:w="2288" w:type="pct"/>
            <w:tcBorders>
              <w:top w:val="single" w:color="000000" w:sz="8" w:space="0"/>
              <w:left w:val="nil"/>
              <w:bottom w:val="single" w:color="000000" w:sz="8" w:space="0"/>
              <w:right w:val="single" w:color="000000" w:sz="8" w:space="0"/>
            </w:tcBorders>
            <w:vAlign w:val="center"/>
          </w:tcPr>
          <w:p w14:paraId="1425CAB9">
            <w:pPr>
              <w:widowControl/>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被列入招标人拒绝投标名单以招标公告附件三《被招标人拒绝投标的企业名单》为准。</w:t>
            </w:r>
          </w:p>
        </w:tc>
        <w:tc>
          <w:tcPr>
            <w:tcW w:w="389" w:type="pct"/>
            <w:tcBorders>
              <w:top w:val="single" w:color="000000" w:sz="8" w:space="0"/>
              <w:left w:val="nil"/>
              <w:bottom w:val="single" w:color="000000" w:sz="8" w:space="0"/>
              <w:right w:val="single" w:color="000000" w:sz="8" w:space="0"/>
            </w:tcBorders>
            <w:vAlign w:val="center"/>
          </w:tcPr>
          <w:p w14:paraId="65B9B1E6">
            <w:pPr>
              <w:spacing w:line="276" w:lineRule="auto"/>
              <w:jc w:val="center"/>
              <w:rPr>
                <w:rFonts w:ascii="宋体" w:hAnsi="宋体" w:eastAsia="宋体" w:cs="宋体"/>
                <w:color w:val="auto"/>
                <w:szCs w:val="21"/>
                <w:highlight w:val="none"/>
              </w:rPr>
            </w:pPr>
          </w:p>
        </w:tc>
      </w:tr>
    </w:tbl>
    <w:p w14:paraId="71684C00">
      <w:pPr>
        <w:ind w:firstLine="424" w:firstLineChars="202"/>
        <w:jc w:val="left"/>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78A289B7">
      <w:pPr>
        <w:ind w:firstLine="424" w:firstLineChars="202"/>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1、每一项目符合的打“○”，不符合的打“×”； </w:t>
      </w:r>
    </w:p>
    <w:p w14:paraId="4B6EFACB">
      <w:pPr>
        <w:ind w:firstLine="424" w:firstLineChars="202"/>
        <w:jc w:val="left"/>
        <w:rPr>
          <w:rFonts w:ascii="宋体" w:hAnsi="宋体" w:eastAsia="宋体" w:cs="宋体"/>
          <w:color w:val="auto"/>
          <w:szCs w:val="21"/>
          <w:highlight w:val="none"/>
        </w:rPr>
      </w:pPr>
      <w:r>
        <w:rPr>
          <w:rFonts w:hint="eastAsia" w:ascii="宋体" w:hAnsi="宋体" w:eastAsia="宋体" w:cs="宋体"/>
          <w:color w:val="auto"/>
          <w:szCs w:val="21"/>
          <w:highlight w:val="none"/>
        </w:rPr>
        <w:t>2、若评委意见不一致时，则按少数服从多数的原则，作出评审结论。汇总后，出现一个“×”的结论为“不通过”。</w:t>
      </w:r>
    </w:p>
    <w:p w14:paraId="3B6FCB73">
      <w:pPr>
        <w:ind w:firstLine="424" w:firstLineChars="202"/>
        <w:jc w:val="left"/>
        <w:rPr>
          <w:rFonts w:ascii="宋体" w:hAnsi="宋体" w:eastAsia="宋体" w:cs="宋体"/>
          <w:color w:val="auto"/>
          <w:szCs w:val="21"/>
          <w:highlight w:val="none"/>
        </w:rPr>
      </w:pPr>
      <w:r>
        <w:rPr>
          <w:rFonts w:hint="eastAsia" w:ascii="宋体" w:hAnsi="宋体" w:eastAsia="宋体" w:cs="宋体"/>
          <w:color w:val="auto"/>
          <w:szCs w:val="21"/>
          <w:highlight w:val="none"/>
        </w:rPr>
        <w:t>3.不得将文件顺序、明显的格式或文字错误等列为否决投标的情形。评委发现资格审查文件中含义不明确、对同类问题表述不一致、有明显格式或文字、计算错误的，应当要求投标人作必要的澄清、说明后再判定投标人是否通过资格审查，不得直接认定其不通过资格审查。</w:t>
      </w:r>
    </w:p>
    <w:p w14:paraId="68D5CB90">
      <w:pPr>
        <w:widowControl/>
        <w:spacing w:line="360" w:lineRule="auto"/>
        <w:jc w:val="left"/>
        <w:outlineLvl w:val="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bookmarkStart w:id="28" w:name="_Toc152532506"/>
      <w:bookmarkStart w:id="29" w:name="_Toc202907291"/>
      <w:r>
        <w:rPr>
          <w:rFonts w:hint="eastAsia" w:ascii="宋体" w:hAnsi="宋体" w:eastAsia="宋体" w:cs="宋体"/>
          <w:color w:val="auto"/>
          <w:kern w:val="0"/>
          <w:sz w:val="24"/>
          <w:szCs w:val="24"/>
          <w:highlight w:val="none"/>
        </w:rPr>
        <w:t>附表二：</w:t>
      </w:r>
      <w:bookmarkEnd w:id="28"/>
      <w:bookmarkEnd w:id="29"/>
    </w:p>
    <w:p w14:paraId="2FB6D592">
      <w:pPr>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技术标有效性审查表</w:t>
      </w:r>
    </w:p>
    <w:p w14:paraId="10214508">
      <w:pPr>
        <w:rPr>
          <w:rFonts w:ascii="宋体" w:hAnsi="宋体" w:eastAsia="宋体" w:cs="宋体"/>
          <w:color w:val="auto"/>
          <w:szCs w:val="21"/>
          <w:highlight w:val="none"/>
        </w:rPr>
      </w:pPr>
      <w:r>
        <w:rPr>
          <w:rFonts w:hint="eastAsia" w:ascii="宋体" w:hAnsi="宋体" w:eastAsia="宋体" w:cs="宋体"/>
          <w:color w:val="auto"/>
          <w:szCs w:val="21"/>
          <w:highlight w:val="none"/>
        </w:rPr>
        <w:t>招标项目名称：</w:t>
      </w: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9312"/>
        <w:gridCol w:w="763"/>
        <w:gridCol w:w="794"/>
        <w:gridCol w:w="845"/>
        <w:gridCol w:w="890"/>
        <w:gridCol w:w="859"/>
      </w:tblGrid>
      <w:tr w14:paraId="73A2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1" w:type="pct"/>
            <w:tcBorders>
              <w:top w:val="single" w:color="auto" w:sz="4" w:space="0"/>
              <w:left w:val="single" w:color="auto" w:sz="4" w:space="0"/>
              <w:bottom w:val="single" w:color="auto" w:sz="4" w:space="0"/>
              <w:right w:val="single" w:color="auto" w:sz="4" w:space="0"/>
            </w:tcBorders>
            <w:vAlign w:val="center"/>
          </w:tcPr>
          <w:p w14:paraId="5996FEB2">
            <w:pPr>
              <w:spacing w:line="276"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3285" w:type="pct"/>
            <w:tcBorders>
              <w:top w:val="single" w:color="auto" w:sz="4" w:space="0"/>
              <w:left w:val="single" w:color="auto" w:sz="4" w:space="0"/>
              <w:bottom w:val="single" w:color="auto" w:sz="4" w:space="0"/>
              <w:right w:val="single" w:color="auto" w:sz="4" w:space="0"/>
              <w:tl2br w:val="single" w:color="auto" w:sz="4" w:space="0"/>
            </w:tcBorders>
            <w:vAlign w:val="center"/>
          </w:tcPr>
          <w:p w14:paraId="04414E4E">
            <w:pPr>
              <w:spacing w:line="276"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投标人</w:t>
            </w:r>
          </w:p>
          <w:p w14:paraId="205A6906">
            <w:pPr>
              <w:spacing w:line="276"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评审内容</w:t>
            </w:r>
          </w:p>
        </w:tc>
        <w:tc>
          <w:tcPr>
            <w:tcW w:w="269" w:type="pct"/>
            <w:tcBorders>
              <w:top w:val="single" w:color="auto" w:sz="4" w:space="0"/>
              <w:left w:val="single" w:color="auto" w:sz="4" w:space="0"/>
              <w:bottom w:val="single" w:color="auto" w:sz="4" w:space="0"/>
              <w:right w:val="single" w:color="auto" w:sz="4" w:space="0"/>
            </w:tcBorders>
            <w:vAlign w:val="center"/>
          </w:tcPr>
          <w:p w14:paraId="58E16AE5">
            <w:pPr>
              <w:spacing w:line="276" w:lineRule="auto"/>
              <w:rPr>
                <w:rFonts w:ascii="宋体" w:hAnsi="宋体" w:eastAsia="宋体" w:cs="宋体"/>
                <w:color w:val="auto"/>
                <w:szCs w:val="21"/>
                <w:highlight w:val="none"/>
              </w:rPr>
            </w:pPr>
          </w:p>
        </w:tc>
        <w:tc>
          <w:tcPr>
            <w:tcW w:w="280" w:type="pct"/>
            <w:tcBorders>
              <w:top w:val="single" w:color="auto" w:sz="4" w:space="0"/>
              <w:left w:val="single" w:color="auto" w:sz="4" w:space="0"/>
              <w:bottom w:val="single" w:color="auto" w:sz="4" w:space="0"/>
              <w:right w:val="single" w:color="auto" w:sz="4" w:space="0"/>
            </w:tcBorders>
            <w:vAlign w:val="center"/>
          </w:tcPr>
          <w:p w14:paraId="589C8394">
            <w:pPr>
              <w:spacing w:line="276" w:lineRule="auto"/>
              <w:rPr>
                <w:rFonts w:ascii="宋体" w:hAnsi="宋体" w:eastAsia="宋体" w:cs="宋体"/>
                <w:color w:val="auto"/>
                <w:szCs w:val="21"/>
                <w:highlight w:val="none"/>
              </w:rPr>
            </w:pPr>
          </w:p>
        </w:tc>
        <w:tc>
          <w:tcPr>
            <w:tcW w:w="298" w:type="pct"/>
            <w:tcBorders>
              <w:top w:val="single" w:color="auto" w:sz="4" w:space="0"/>
              <w:left w:val="single" w:color="auto" w:sz="4" w:space="0"/>
              <w:bottom w:val="single" w:color="auto" w:sz="4" w:space="0"/>
              <w:right w:val="single" w:color="auto" w:sz="4" w:space="0"/>
            </w:tcBorders>
            <w:vAlign w:val="center"/>
          </w:tcPr>
          <w:p w14:paraId="2707F4B9">
            <w:pPr>
              <w:spacing w:line="276" w:lineRule="auto"/>
              <w:rPr>
                <w:rFonts w:ascii="宋体" w:hAnsi="宋体" w:eastAsia="宋体" w:cs="宋体"/>
                <w:color w:val="auto"/>
                <w:szCs w:val="21"/>
                <w:highlight w:val="none"/>
              </w:rPr>
            </w:pPr>
          </w:p>
        </w:tc>
        <w:tc>
          <w:tcPr>
            <w:tcW w:w="314" w:type="pct"/>
            <w:tcBorders>
              <w:top w:val="single" w:color="auto" w:sz="4" w:space="0"/>
              <w:left w:val="single" w:color="auto" w:sz="4" w:space="0"/>
              <w:bottom w:val="single" w:color="auto" w:sz="4" w:space="0"/>
              <w:right w:val="single" w:color="auto" w:sz="4" w:space="0"/>
            </w:tcBorders>
            <w:vAlign w:val="center"/>
          </w:tcPr>
          <w:p w14:paraId="2833BC0E">
            <w:pPr>
              <w:spacing w:line="276" w:lineRule="auto"/>
              <w:rPr>
                <w:rFonts w:ascii="宋体" w:hAnsi="宋体" w:eastAsia="宋体" w:cs="宋体"/>
                <w:color w:val="auto"/>
                <w:szCs w:val="21"/>
                <w:highlight w:val="none"/>
              </w:rPr>
            </w:pPr>
          </w:p>
        </w:tc>
        <w:tc>
          <w:tcPr>
            <w:tcW w:w="303" w:type="pct"/>
            <w:tcBorders>
              <w:top w:val="single" w:color="auto" w:sz="4" w:space="0"/>
              <w:left w:val="single" w:color="auto" w:sz="4" w:space="0"/>
              <w:bottom w:val="single" w:color="auto" w:sz="4" w:space="0"/>
              <w:right w:val="single" w:color="auto" w:sz="4" w:space="0"/>
            </w:tcBorders>
            <w:vAlign w:val="center"/>
          </w:tcPr>
          <w:p w14:paraId="5FFAC512">
            <w:pPr>
              <w:spacing w:line="276" w:lineRule="auto"/>
              <w:rPr>
                <w:rFonts w:ascii="宋体" w:hAnsi="宋体" w:eastAsia="宋体" w:cs="宋体"/>
                <w:color w:val="auto"/>
                <w:szCs w:val="21"/>
                <w:highlight w:val="none"/>
              </w:rPr>
            </w:pPr>
          </w:p>
        </w:tc>
      </w:tr>
      <w:tr w14:paraId="5018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1" w:type="pct"/>
            <w:tcBorders>
              <w:top w:val="single" w:color="auto" w:sz="4" w:space="0"/>
              <w:left w:val="single" w:color="auto" w:sz="4" w:space="0"/>
              <w:bottom w:val="single" w:color="auto" w:sz="4" w:space="0"/>
              <w:right w:val="single" w:color="auto" w:sz="4" w:space="0"/>
            </w:tcBorders>
            <w:vAlign w:val="center"/>
          </w:tcPr>
          <w:p w14:paraId="15F3DD5A">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285" w:type="pct"/>
            <w:tcBorders>
              <w:top w:val="single" w:color="auto" w:sz="4" w:space="0"/>
              <w:left w:val="single" w:color="auto" w:sz="4" w:space="0"/>
              <w:bottom w:val="single" w:color="auto" w:sz="4" w:space="0"/>
              <w:right w:val="single" w:color="auto" w:sz="4" w:space="0"/>
            </w:tcBorders>
            <w:vAlign w:val="center"/>
          </w:tcPr>
          <w:p w14:paraId="0CD124C7">
            <w:pPr>
              <w:spacing w:line="276" w:lineRule="auto"/>
              <w:rPr>
                <w:rFonts w:ascii="宋体" w:hAnsi="宋体" w:eastAsia="宋体" w:cs="宋体"/>
                <w:color w:val="auto"/>
                <w:szCs w:val="21"/>
                <w:highlight w:val="none"/>
                <w:u w:val="single"/>
              </w:rPr>
            </w:pPr>
            <w:r>
              <w:rPr>
                <w:rFonts w:hint="eastAsia" w:ascii="宋体" w:hAnsi="宋体" w:eastAsia="宋体" w:cs="Times New Roman"/>
                <w:color w:val="auto"/>
                <w:szCs w:val="21"/>
                <w:highlight w:val="none"/>
                <w:u w:val="single"/>
              </w:rPr>
              <w:t>《广州建设工程施工招标投标书》中填报的投标总工期不符合招标文件要求的；</w:t>
            </w:r>
          </w:p>
        </w:tc>
        <w:tc>
          <w:tcPr>
            <w:tcW w:w="269" w:type="pct"/>
            <w:tcBorders>
              <w:top w:val="single" w:color="auto" w:sz="4" w:space="0"/>
              <w:left w:val="single" w:color="auto" w:sz="4" w:space="0"/>
              <w:bottom w:val="single" w:color="auto" w:sz="4" w:space="0"/>
              <w:right w:val="single" w:color="auto" w:sz="4" w:space="0"/>
            </w:tcBorders>
            <w:vAlign w:val="center"/>
          </w:tcPr>
          <w:p w14:paraId="310F6D5F">
            <w:pPr>
              <w:spacing w:line="276" w:lineRule="auto"/>
              <w:rPr>
                <w:rFonts w:ascii="宋体" w:hAnsi="宋体" w:eastAsia="宋体" w:cs="宋体"/>
                <w:color w:val="auto"/>
                <w:szCs w:val="21"/>
                <w:highlight w:val="none"/>
              </w:rPr>
            </w:pPr>
          </w:p>
        </w:tc>
        <w:tc>
          <w:tcPr>
            <w:tcW w:w="280" w:type="pct"/>
            <w:tcBorders>
              <w:top w:val="single" w:color="auto" w:sz="4" w:space="0"/>
              <w:left w:val="single" w:color="auto" w:sz="4" w:space="0"/>
              <w:bottom w:val="single" w:color="auto" w:sz="4" w:space="0"/>
              <w:right w:val="single" w:color="auto" w:sz="4" w:space="0"/>
            </w:tcBorders>
            <w:vAlign w:val="center"/>
          </w:tcPr>
          <w:p w14:paraId="04F036F1">
            <w:pPr>
              <w:spacing w:line="276" w:lineRule="auto"/>
              <w:rPr>
                <w:rFonts w:ascii="宋体" w:hAnsi="宋体" w:eastAsia="宋体" w:cs="宋体"/>
                <w:color w:val="auto"/>
                <w:szCs w:val="21"/>
                <w:highlight w:val="none"/>
              </w:rPr>
            </w:pPr>
          </w:p>
        </w:tc>
        <w:tc>
          <w:tcPr>
            <w:tcW w:w="298" w:type="pct"/>
            <w:tcBorders>
              <w:top w:val="single" w:color="auto" w:sz="4" w:space="0"/>
              <w:left w:val="single" w:color="auto" w:sz="4" w:space="0"/>
              <w:bottom w:val="single" w:color="auto" w:sz="4" w:space="0"/>
              <w:right w:val="single" w:color="auto" w:sz="4" w:space="0"/>
            </w:tcBorders>
            <w:vAlign w:val="center"/>
          </w:tcPr>
          <w:p w14:paraId="43C1867C">
            <w:pPr>
              <w:spacing w:line="276" w:lineRule="auto"/>
              <w:rPr>
                <w:rFonts w:ascii="宋体" w:hAnsi="宋体" w:eastAsia="宋体" w:cs="宋体"/>
                <w:color w:val="auto"/>
                <w:szCs w:val="21"/>
                <w:highlight w:val="none"/>
              </w:rPr>
            </w:pPr>
          </w:p>
        </w:tc>
        <w:tc>
          <w:tcPr>
            <w:tcW w:w="314" w:type="pct"/>
            <w:tcBorders>
              <w:top w:val="single" w:color="auto" w:sz="4" w:space="0"/>
              <w:left w:val="single" w:color="auto" w:sz="4" w:space="0"/>
              <w:bottom w:val="single" w:color="auto" w:sz="4" w:space="0"/>
              <w:right w:val="single" w:color="auto" w:sz="4" w:space="0"/>
            </w:tcBorders>
            <w:vAlign w:val="center"/>
          </w:tcPr>
          <w:p w14:paraId="5BE53519">
            <w:pPr>
              <w:spacing w:line="276" w:lineRule="auto"/>
              <w:rPr>
                <w:rFonts w:ascii="宋体" w:hAnsi="宋体" w:eastAsia="宋体" w:cs="宋体"/>
                <w:color w:val="auto"/>
                <w:szCs w:val="21"/>
                <w:highlight w:val="none"/>
              </w:rPr>
            </w:pPr>
          </w:p>
        </w:tc>
        <w:tc>
          <w:tcPr>
            <w:tcW w:w="303" w:type="pct"/>
            <w:tcBorders>
              <w:top w:val="single" w:color="auto" w:sz="4" w:space="0"/>
              <w:left w:val="single" w:color="auto" w:sz="4" w:space="0"/>
              <w:bottom w:val="single" w:color="auto" w:sz="4" w:space="0"/>
              <w:right w:val="single" w:color="auto" w:sz="4" w:space="0"/>
            </w:tcBorders>
            <w:vAlign w:val="center"/>
          </w:tcPr>
          <w:p w14:paraId="0A66C92F">
            <w:pPr>
              <w:spacing w:line="276" w:lineRule="auto"/>
              <w:rPr>
                <w:rFonts w:ascii="宋体" w:hAnsi="宋体" w:eastAsia="宋体" w:cs="宋体"/>
                <w:color w:val="auto"/>
                <w:szCs w:val="21"/>
                <w:highlight w:val="none"/>
              </w:rPr>
            </w:pPr>
          </w:p>
        </w:tc>
      </w:tr>
      <w:tr w14:paraId="33F0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51" w:type="pct"/>
            <w:tcBorders>
              <w:top w:val="single" w:color="auto" w:sz="4" w:space="0"/>
              <w:left w:val="single" w:color="auto" w:sz="4" w:space="0"/>
              <w:bottom w:val="single" w:color="auto" w:sz="4" w:space="0"/>
              <w:right w:val="single" w:color="auto" w:sz="4" w:space="0"/>
            </w:tcBorders>
            <w:vAlign w:val="center"/>
          </w:tcPr>
          <w:p w14:paraId="08A99844">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285" w:type="pct"/>
            <w:tcBorders>
              <w:top w:val="single" w:color="auto" w:sz="4" w:space="0"/>
              <w:left w:val="single" w:color="auto" w:sz="4" w:space="0"/>
              <w:bottom w:val="single" w:color="auto" w:sz="4" w:space="0"/>
              <w:right w:val="single" w:color="auto" w:sz="4" w:space="0"/>
            </w:tcBorders>
            <w:vAlign w:val="center"/>
          </w:tcPr>
          <w:p w14:paraId="51530DCE">
            <w:pPr>
              <w:spacing w:line="276" w:lineRule="auto"/>
              <w:rPr>
                <w:rFonts w:ascii="宋体" w:hAnsi="宋体" w:eastAsia="宋体" w:cs="宋体"/>
                <w:color w:val="auto"/>
                <w:szCs w:val="21"/>
                <w:highlight w:val="none"/>
                <w:u w:val="single"/>
              </w:rPr>
            </w:pPr>
            <w:r>
              <w:rPr>
                <w:rFonts w:hint="eastAsia" w:ascii="宋体" w:hAnsi="宋体" w:eastAsia="宋体" w:cs="Times New Roman"/>
                <w:color w:val="auto"/>
                <w:szCs w:val="21"/>
                <w:highlight w:val="none"/>
                <w:u w:val="single"/>
              </w:rPr>
              <w:t>《广州建设工程施工招标投标书》中填报的工程质量标准不符合招标文件要求的；</w:t>
            </w:r>
          </w:p>
        </w:tc>
        <w:tc>
          <w:tcPr>
            <w:tcW w:w="269" w:type="pct"/>
            <w:tcBorders>
              <w:top w:val="single" w:color="auto" w:sz="4" w:space="0"/>
              <w:left w:val="single" w:color="auto" w:sz="4" w:space="0"/>
              <w:bottom w:val="single" w:color="auto" w:sz="4" w:space="0"/>
              <w:right w:val="single" w:color="auto" w:sz="4" w:space="0"/>
            </w:tcBorders>
            <w:vAlign w:val="center"/>
          </w:tcPr>
          <w:p w14:paraId="6CB48589">
            <w:pPr>
              <w:spacing w:line="276" w:lineRule="auto"/>
              <w:rPr>
                <w:rFonts w:ascii="宋体" w:hAnsi="宋体" w:eastAsia="宋体" w:cs="宋体"/>
                <w:color w:val="auto"/>
                <w:szCs w:val="21"/>
                <w:highlight w:val="none"/>
              </w:rPr>
            </w:pPr>
          </w:p>
        </w:tc>
        <w:tc>
          <w:tcPr>
            <w:tcW w:w="280" w:type="pct"/>
            <w:tcBorders>
              <w:top w:val="single" w:color="auto" w:sz="4" w:space="0"/>
              <w:left w:val="single" w:color="auto" w:sz="4" w:space="0"/>
              <w:bottom w:val="single" w:color="auto" w:sz="4" w:space="0"/>
              <w:right w:val="single" w:color="auto" w:sz="4" w:space="0"/>
            </w:tcBorders>
            <w:vAlign w:val="center"/>
          </w:tcPr>
          <w:p w14:paraId="5EC4F047">
            <w:pPr>
              <w:spacing w:line="276" w:lineRule="auto"/>
              <w:rPr>
                <w:rFonts w:ascii="宋体" w:hAnsi="宋体" w:eastAsia="宋体" w:cs="宋体"/>
                <w:color w:val="auto"/>
                <w:szCs w:val="21"/>
                <w:highlight w:val="none"/>
              </w:rPr>
            </w:pPr>
          </w:p>
        </w:tc>
        <w:tc>
          <w:tcPr>
            <w:tcW w:w="298" w:type="pct"/>
            <w:tcBorders>
              <w:top w:val="single" w:color="auto" w:sz="4" w:space="0"/>
              <w:left w:val="single" w:color="auto" w:sz="4" w:space="0"/>
              <w:bottom w:val="single" w:color="auto" w:sz="4" w:space="0"/>
              <w:right w:val="single" w:color="auto" w:sz="4" w:space="0"/>
            </w:tcBorders>
            <w:vAlign w:val="center"/>
          </w:tcPr>
          <w:p w14:paraId="76374451">
            <w:pPr>
              <w:spacing w:line="276" w:lineRule="auto"/>
              <w:rPr>
                <w:rFonts w:ascii="宋体" w:hAnsi="宋体" w:eastAsia="宋体" w:cs="宋体"/>
                <w:color w:val="auto"/>
                <w:szCs w:val="21"/>
                <w:highlight w:val="none"/>
              </w:rPr>
            </w:pPr>
          </w:p>
        </w:tc>
        <w:tc>
          <w:tcPr>
            <w:tcW w:w="314" w:type="pct"/>
            <w:tcBorders>
              <w:top w:val="single" w:color="auto" w:sz="4" w:space="0"/>
              <w:left w:val="single" w:color="auto" w:sz="4" w:space="0"/>
              <w:bottom w:val="single" w:color="auto" w:sz="4" w:space="0"/>
              <w:right w:val="single" w:color="auto" w:sz="4" w:space="0"/>
            </w:tcBorders>
            <w:vAlign w:val="center"/>
          </w:tcPr>
          <w:p w14:paraId="6E25D05C">
            <w:pPr>
              <w:spacing w:line="276" w:lineRule="auto"/>
              <w:rPr>
                <w:rFonts w:ascii="宋体" w:hAnsi="宋体" w:eastAsia="宋体" w:cs="宋体"/>
                <w:color w:val="auto"/>
                <w:szCs w:val="21"/>
                <w:highlight w:val="none"/>
              </w:rPr>
            </w:pPr>
          </w:p>
        </w:tc>
        <w:tc>
          <w:tcPr>
            <w:tcW w:w="303" w:type="pct"/>
            <w:tcBorders>
              <w:top w:val="single" w:color="auto" w:sz="4" w:space="0"/>
              <w:left w:val="single" w:color="auto" w:sz="4" w:space="0"/>
              <w:bottom w:val="single" w:color="auto" w:sz="4" w:space="0"/>
              <w:right w:val="single" w:color="auto" w:sz="4" w:space="0"/>
            </w:tcBorders>
            <w:vAlign w:val="center"/>
          </w:tcPr>
          <w:p w14:paraId="2B3E0D1D">
            <w:pPr>
              <w:spacing w:line="276" w:lineRule="auto"/>
              <w:rPr>
                <w:rFonts w:ascii="宋体" w:hAnsi="宋体" w:eastAsia="宋体" w:cs="宋体"/>
                <w:color w:val="auto"/>
                <w:szCs w:val="21"/>
                <w:highlight w:val="none"/>
              </w:rPr>
            </w:pPr>
          </w:p>
        </w:tc>
      </w:tr>
      <w:tr w14:paraId="0159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1" w:type="pct"/>
            <w:tcBorders>
              <w:top w:val="single" w:color="auto" w:sz="4" w:space="0"/>
              <w:left w:val="single" w:color="auto" w:sz="4" w:space="0"/>
              <w:bottom w:val="single" w:color="auto" w:sz="4" w:space="0"/>
              <w:right w:val="single" w:color="auto" w:sz="4" w:space="0"/>
            </w:tcBorders>
            <w:vAlign w:val="center"/>
          </w:tcPr>
          <w:p w14:paraId="2B40808A">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285" w:type="pct"/>
            <w:tcBorders>
              <w:top w:val="single" w:color="auto" w:sz="4" w:space="0"/>
              <w:left w:val="single" w:color="auto" w:sz="4" w:space="0"/>
              <w:bottom w:val="single" w:color="auto" w:sz="4" w:space="0"/>
              <w:right w:val="single" w:color="auto" w:sz="4" w:space="0"/>
            </w:tcBorders>
            <w:vAlign w:val="center"/>
          </w:tcPr>
          <w:p w14:paraId="38640905">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投标文件中没有有效的法定代表人证明书，或由委托代理人签名或盖个人签名章的投标文件中没有法定代表人授权书</w:t>
            </w:r>
            <w:r>
              <w:rPr>
                <w:rFonts w:hint="eastAsia" w:ascii="宋体" w:hAnsi="宋体" w:eastAsia="宋体" w:cs="Times New Roman"/>
                <w:color w:val="auto"/>
                <w:szCs w:val="21"/>
                <w:highlight w:val="none"/>
                <w:u w:val="single"/>
              </w:rPr>
              <w:t>及</w:t>
            </w:r>
            <w:r>
              <w:rPr>
                <w:rFonts w:hint="eastAsia" w:ascii="宋体" w:hAnsi="宋体" w:eastAsia="宋体" w:cs="Times New Roman"/>
                <w:color w:val="auto"/>
                <w:szCs w:val="21"/>
                <w:highlight w:val="none"/>
                <w:u w:val="single"/>
                <w:lang w:val="en-US" w:eastAsia="zh-CN"/>
              </w:rPr>
              <w:t>被</w:t>
            </w:r>
            <w:r>
              <w:rPr>
                <w:rFonts w:hint="eastAsia" w:ascii="宋体" w:hAnsi="宋体" w:eastAsia="宋体" w:cs="宋体"/>
                <w:color w:val="auto"/>
                <w:szCs w:val="21"/>
                <w:highlight w:val="none"/>
                <w:u w:val="single"/>
              </w:rPr>
              <w:t>授权人的离投标截止时间最近的至少1个月（</w:t>
            </w:r>
            <w:r>
              <w:rPr>
                <w:rFonts w:hint="eastAsia" w:ascii="宋体" w:hAnsi="宋体" w:eastAsia="宋体" w:cs="宋体"/>
                <w:color w:val="auto"/>
                <w:szCs w:val="21"/>
                <w:highlight w:val="none"/>
                <w:u w:val="single"/>
                <w:lang w:eastAsia="zh-CN"/>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年</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lang w:eastAsia="zh-CN"/>
              </w:rPr>
              <w:t>月或2026年</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lang w:eastAsia="zh-CN"/>
              </w:rPr>
              <w:t>月</w:t>
            </w:r>
            <w:r>
              <w:rPr>
                <w:rFonts w:hint="eastAsia" w:ascii="宋体" w:hAnsi="宋体" w:eastAsia="宋体" w:cs="宋体"/>
                <w:color w:val="auto"/>
                <w:szCs w:val="21"/>
                <w:highlight w:val="none"/>
                <w:u w:val="single"/>
              </w:rPr>
              <w:t>）在本单位缴纳的社保证明文件的</w:t>
            </w:r>
            <w:r>
              <w:rPr>
                <w:rFonts w:hint="eastAsia" w:ascii="宋体" w:hAnsi="宋体" w:eastAsia="宋体" w:cs="宋体"/>
                <w:color w:val="auto"/>
                <w:szCs w:val="21"/>
                <w:highlight w:val="none"/>
              </w:rPr>
              <w:t>；</w:t>
            </w:r>
          </w:p>
        </w:tc>
        <w:tc>
          <w:tcPr>
            <w:tcW w:w="269" w:type="pct"/>
            <w:tcBorders>
              <w:top w:val="single" w:color="auto" w:sz="4" w:space="0"/>
              <w:left w:val="single" w:color="auto" w:sz="4" w:space="0"/>
              <w:bottom w:val="single" w:color="auto" w:sz="4" w:space="0"/>
              <w:right w:val="single" w:color="auto" w:sz="4" w:space="0"/>
            </w:tcBorders>
            <w:vAlign w:val="center"/>
          </w:tcPr>
          <w:p w14:paraId="7E708C26">
            <w:pPr>
              <w:spacing w:line="276" w:lineRule="auto"/>
              <w:rPr>
                <w:rFonts w:ascii="宋体" w:hAnsi="宋体" w:eastAsia="宋体" w:cs="宋体"/>
                <w:color w:val="auto"/>
                <w:szCs w:val="21"/>
                <w:highlight w:val="none"/>
              </w:rPr>
            </w:pPr>
          </w:p>
        </w:tc>
        <w:tc>
          <w:tcPr>
            <w:tcW w:w="280" w:type="pct"/>
            <w:tcBorders>
              <w:top w:val="single" w:color="auto" w:sz="4" w:space="0"/>
              <w:left w:val="single" w:color="auto" w:sz="4" w:space="0"/>
              <w:bottom w:val="single" w:color="auto" w:sz="4" w:space="0"/>
              <w:right w:val="single" w:color="auto" w:sz="4" w:space="0"/>
            </w:tcBorders>
            <w:vAlign w:val="center"/>
          </w:tcPr>
          <w:p w14:paraId="70411C4B">
            <w:pPr>
              <w:spacing w:line="276" w:lineRule="auto"/>
              <w:rPr>
                <w:rFonts w:ascii="宋体" w:hAnsi="宋体" w:eastAsia="宋体" w:cs="宋体"/>
                <w:color w:val="auto"/>
                <w:szCs w:val="21"/>
                <w:highlight w:val="none"/>
              </w:rPr>
            </w:pPr>
          </w:p>
        </w:tc>
        <w:tc>
          <w:tcPr>
            <w:tcW w:w="298" w:type="pct"/>
            <w:tcBorders>
              <w:top w:val="single" w:color="auto" w:sz="4" w:space="0"/>
              <w:left w:val="single" w:color="auto" w:sz="4" w:space="0"/>
              <w:bottom w:val="single" w:color="auto" w:sz="4" w:space="0"/>
              <w:right w:val="single" w:color="auto" w:sz="4" w:space="0"/>
            </w:tcBorders>
            <w:vAlign w:val="center"/>
          </w:tcPr>
          <w:p w14:paraId="538FFF5F">
            <w:pPr>
              <w:spacing w:line="276" w:lineRule="auto"/>
              <w:rPr>
                <w:rFonts w:ascii="宋体" w:hAnsi="宋体" w:eastAsia="宋体" w:cs="宋体"/>
                <w:color w:val="auto"/>
                <w:szCs w:val="21"/>
                <w:highlight w:val="none"/>
              </w:rPr>
            </w:pPr>
          </w:p>
        </w:tc>
        <w:tc>
          <w:tcPr>
            <w:tcW w:w="314" w:type="pct"/>
            <w:tcBorders>
              <w:top w:val="single" w:color="auto" w:sz="4" w:space="0"/>
              <w:left w:val="single" w:color="auto" w:sz="4" w:space="0"/>
              <w:bottom w:val="single" w:color="auto" w:sz="4" w:space="0"/>
              <w:right w:val="single" w:color="auto" w:sz="4" w:space="0"/>
            </w:tcBorders>
            <w:vAlign w:val="center"/>
          </w:tcPr>
          <w:p w14:paraId="24191824">
            <w:pPr>
              <w:spacing w:line="276" w:lineRule="auto"/>
              <w:rPr>
                <w:rFonts w:ascii="宋体" w:hAnsi="宋体" w:eastAsia="宋体" w:cs="宋体"/>
                <w:color w:val="auto"/>
                <w:szCs w:val="21"/>
                <w:highlight w:val="none"/>
              </w:rPr>
            </w:pPr>
          </w:p>
        </w:tc>
        <w:tc>
          <w:tcPr>
            <w:tcW w:w="303" w:type="pct"/>
            <w:tcBorders>
              <w:top w:val="single" w:color="auto" w:sz="4" w:space="0"/>
              <w:left w:val="single" w:color="auto" w:sz="4" w:space="0"/>
              <w:bottom w:val="single" w:color="auto" w:sz="4" w:space="0"/>
              <w:right w:val="single" w:color="auto" w:sz="4" w:space="0"/>
            </w:tcBorders>
            <w:vAlign w:val="center"/>
          </w:tcPr>
          <w:p w14:paraId="7D93A456">
            <w:pPr>
              <w:spacing w:line="276" w:lineRule="auto"/>
              <w:rPr>
                <w:rFonts w:ascii="宋体" w:hAnsi="宋体" w:eastAsia="宋体" w:cs="宋体"/>
                <w:color w:val="auto"/>
                <w:szCs w:val="21"/>
                <w:highlight w:val="none"/>
              </w:rPr>
            </w:pPr>
          </w:p>
        </w:tc>
      </w:tr>
      <w:tr w14:paraId="3618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1" w:type="pct"/>
            <w:tcBorders>
              <w:top w:val="single" w:color="auto" w:sz="4" w:space="0"/>
              <w:left w:val="single" w:color="auto" w:sz="4" w:space="0"/>
              <w:bottom w:val="single" w:color="auto" w:sz="4" w:space="0"/>
              <w:right w:val="single" w:color="auto" w:sz="4" w:space="0"/>
            </w:tcBorders>
            <w:vAlign w:val="center"/>
          </w:tcPr>
          <w:p w14:paraId="7E7BDA96">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285" w:type="pct"/>
            <w:tcBorders>
              <w:top w:val="single" w:color="auto" w:sz="4" w:space="0"/>
              <w:left w:val="single" w:color="auto" w:sz="4" w:space="0"/>
              <w:bottom w:val="single" w:color="auto" w:sz="4" w:space="0"/>
              <w:right w:val="single" w:color="auto" w:sz="4" w:space="0"/>
            </w:tcBorders>
            <w:vAlign w:val="center"/>
          </w:tcPr>
          <w:p w14:paraId="262E3879">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投标文件未按规定的格式填写</w:t>
            </w:r>
            <w:r>
              <w:rPr>
                <w:rFonts w:hint="eastAsia" w:ascii="宋体" w:hAnsi="宋体" w:eastAsia="宋体" w:cs="宋体"/>
                <w:color w:val="auto"/>
                <w:szCs w:val="21"/>
                <w:highlight w:val="none"/>
                <w:u w:val="single"/>
              </w:rPr>
              <w:t>（指招标文件第四章提供格式的</w:t>
            </w:r>
            <w:r>
              <w:rPr>
                <w:rFonts w:hint="eastAsia" w:ascii="宋体" w:hAnsi="宋体" w:eastAsia="宋体" w:cs="宋体"/>
                <w:b/>
                <w:bCs/>
                <w:color w:val="auto"/>
                <w:szCs w:val="21"/>
                <w:highlight w:val="none"/>
                <w:u w:val="single"/>
              </w:rPr>
              <w:t>《广州建设工程施工招标投标书》《投标函》《投标人廉洁承诺书》《危险性较大的分部分项工程安全管理措施》</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，或主要内容不全，或关键字迹模糊、无法辨认的；</w:t>
            </w:r>
          </w:p>
        </w:tc>
        <w:tc>
          <w:tcPr>
            <w:tcW w:w="269" w:type="pct"/>
            <w:tcBorders>
              <w:top w:val="single" w:color="auto" w:sz="4" w:space="0"/>
              <w:left w:val="single" w:color="auto" w:sz="4" w:space="0"/>
              <w:bottom w:val="single" w:color="auto" w:sz="4" w:space="0"/>
              <w:right w:val="single" w:color="auto" w:sz="4" w:space="0"/>
            </w:tcBorders>
            <w:vAlign w:val="center"/>
          </w:tcPr>
          <w:p w14:paraId="14EB4509">
            <w:pPr>
              <w:spacing w:line="276" w:lineRule="auto"/>
              <w:rPr>
                <w:rFonts w:ascii="宋体" w:hAnsi="宋体" w:eastAsia="宋体" w:cs="宋体"/>
                <w:color w:val="auto"/>
                <w:szCs w:val="21"/>
                <w:highlight w:val="none"/>
              </w:rPr>
            </w:pPr>
          </w:p>
        </w:tc>
        <w:tc>
          <w:tcPr>
            <w:tcW w:w="280" w:type="pct"/>
            <w:tcBorders>
              <w:top w:val="single" w:color="auto" w:sz="4" w:space="0"/>
              <w:left w:val="single" w:color="auto" w:sz="4" w:space="0"/>
              <w:bottom w:val="single" w:color="auto" w:sz="4" w:space="0"/>
              <w:right w:val="single" w:color="auto" w:sz="4" w:space="0"/>
            </w:tcBorders>
            <w:vAlign w:val="center"/>
          </w:tcPr>
          <w:p w14:paraId="1E4FE158">
            <w:pPr>
              <w:spacing w:line="276" w:lineRule="auto"/>
              <w:rPr>
                <w:rFonts w:ascii="宋体" w:hAnsi="宋体" w:eastAsia="宋体" w:cs="宋体"/>
                <w:color w:val="auto"/>
                <w:szCs w:val="21"/>
                <w:highlight w:val="none"/>
              </w:rPr>
            </w:pPr>
          </w:p>
        </w:tc>
        <w:tc>
          <w:tcPr>
            <w:tcW w:w="298" w:type="pct"/>
            <w:tcBorders>
              <w:top w:val="single" w:color="auto" w:sz="4" w:space="0"/>
              <w:left w:val="single" w:color="auto" w:sz="4" w:space="0"/>
              <w:bottom w:val="single" w:color="auto" w:sz="4" w:space="0"/>
              <w:right w:val="single" w:color="auto" w:sz="4" w:space="0"/>
            </w:tcBorders>
            <w:vAlign w:val="center"/>
          </w:tcPr>
          <w:p w14:paraId="430C636F">
            <w:pPr>
              <w:spacing w:line="276" w:lineRule="auto"/>
              <w:rPr>
                <w:rFonts w:ascii="宋体" w:hAnsi="宋体" w:eastAsia="宋体" w:cs="宋体"/>
                <w:color w:val="auto"/>
                <w:szCs w:val="21"/>
                <w:highlight w:val="none"/>
              </w:rPr>
            </w:pPr>
          </w:p>
        </w:tc>
        <w:tc>
          <w:tcPr>
            <w:tcW w:w="314" w:type="pct"/>
            <w:tcBorders>
              <w:top w:val="single" w:color="auto" w:sz="4" w:space="0"/>
              <w:left w:val="single" w:color="auto" w:sz="4" w:space="0"/>
              <w:bottom w:val="single" w:color="auto" w:sz="4" w:space="0"/>
              <w:right w:val="single" w:color="auto" w:sz="4" w:space="0"/>
            </w:tcBorders>
            <w:vAlign w:val="center"/>
          </w:tcPr>
          <w:p w14:paraId="34AC9809">
            <w:pPr>
              <w:spacing w:line="276" w:lineRule="auto"/>
              <w:rPr>
                <w:rFonts w:ascii="宋体" w:hAnsi="宋体" w:eastAsia="宋体" w:cs="宋体"/>
                <w:color w:val="auto"/>
                <w:szCs w:val="21"/>
                <w:highlight w:val="none"/>
              </w:rPr>
            </w:pPr>
          </w:p>
        </w:tc>
        <w:tc>
          <w:tcPr>
            <w:tcW w:w="303" w:type="pct"/>
            <w:tcBorders>
              <w:top w:val="single" w:color="auto" w:sz="4" w:space="0"/>
              <w:left w:val="single" w:color="auto" w:sz="4" w:space="0"/>
              <w:bottom w:val="single" w:color="auto" w:sz="4" w:space="0"/>
              <w:right w:val="single" w:color="auto" w:sz="4" w:space="0"/>
            </w:tcBorders>
            <w:vAlign w:val="center"/>
          </w:tcPr>
          <w:p w14:paraId="1457C7FF">
            <w:pPr>
              <w:spacing w:line="276" w:lineRule="auto"/>
              <w:rPr>
                <w:rFonts w:ascii="宋体" w:hAnsi="宋体" w:eastAsia="宋体" w:cs="宋体"/>
                <w:color w:val="auto"/>
                <w:szCs w:val="21"/>
                <w:highlight w:val="none"/>
              </w:rPr>
            </w:pPr>
          </w:p>
        </w:tc>
      </w:tr>
      <w:tr w14:paraId="1020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 w:type="pct"/>
            <w:tcBorders>
              <w:top w:val="single" w:color="auto" w:sz="4" w:space="0"/>
              <w:left w:val="single" w:color="auto" w:sz="4" w:space="0"/>
              <w:bottom w:val="single" w:color="auto" w:sz="4" w:space="0"/>
              <w:right w:val="single" w:color="auto" w:sz="4" w:space="0"/>
            </w:tcBorders>
            <w:vAlign w:val="center"/>
          </w:tcPr>
          <w:p w14:paraId="5A95625C">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285" w:type="pct"/>
            <w:tcBorders>
              <w:top w:val="single" w:color="auto" w:sz="4" w:space="0"/>
              <w:left w:val="single" w:color="auto" w:sz="4" w:space="0"/>
              <w:bottom w:val="single" w:color="auto" w:sz="4" w:space="0"/>
              <w:right w:val="single" w:color="auto" w:sz="4" w:space="0"/>
            </w:tcBorders>
            <w:vAlign w:val="center"/>
          </w:tcPr>
          <w:p w14:paraId="07F20817">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投标人之间存在《广东省实施&lt;中华人民共和国招标投标法&gt;办法》第十六条所禁止的情形的；</w:t>
            </w:r>
          </w:p>
        </w:tc>
        <w:tc>
          <w:tcPr>
            <w:tcW w:w="269" w:type="pct"/>
            <w:tcBorders>
              <w:top w:val="single" w:color="auto" w:sz="4" w:space="0"/>
              <w:left w:val="single" w:color="auto" w:sz="4" w:space="0"/>
              <w:bottom w:val="single" w:color="auto" w:sz="4" w:space="0"/>
              <w:right w:val="single" w:color="auto" w:sz="4" w:space="0"/>
            </w:tcBorders>
            <w:vAlign w:val="center"/>
          </w:tcPr>
          <w:p w14:paraId="0F5FDD9D">
            <w:pPr>
              <w:spacing w:line="276" w:lineRule="auto"/>
              <w:rPr>
                <w:rFonts w:ascii="宋体" w:hAnsi="宋体" w:eastAsia="宋体" w:cs="宋体"/>
                <w:color w:val="auto"/>
                <w:szCs w:val="21"/>
                <w:highlight w:val="none"/>
                <w:shd w:val="pct10" w:color="auto" w:fill="FFFFFF"/>
              </w:rPr>
            </w:pPr>
          </w:p>
        </w:tc>
        <w:tc>
          <w:tcPr>
            <w:tcW w:w="280" w:type="pct"/>
            <w:tcBorders>
              <w:top w:val="single" w:color="auto" w:sz="4" w:space="0"/>
              <w:left w:val="single" w:color="auto" w:sz="4" w:space="0"/>
              <w:bottom w:val="single" w:color="auto" w:sz="4" w:space="0"/>
              <w:right w:val="single" w:color="auto" w:sz="4" w:space="0"/>
            </w:tcBorders>
            <w:vAlign w:val="center"/>
          </w:tcPr>
          <w:p w14:paraId="11A44165">
            <w:pPr>
              <w:spacing w:line="276" w:lineRule="auto"/>
              <w:rPr>
                <w:rFonts w:ascii="宋体" w:hAnsi="宋体" w:eastAsia="宋体" w:cs="宋体"/>
                <w:color w:val="auto"/>
                <w:szCs w:val="21"/>
                <w:highlight w:val="none"/>
                <w:shd w:val="pct10" w:color="auto" w:fill="FFFFFF"/>
              </w:rPr>
            </w:pPr>
          </w:p>
        </w:tc>
        <w:tc>
          <w:tcPr>
            <w:tcW w:w="298" w:type="pct"/>
            <w:tcBorders>
              <w:top w:val="single" w:color="auto" w:sz="4" w:space="0"/>
              <w:left w:val="single" w:color="auto" w:sz="4" w:space="0"/>
              <w:bottom w:val="single" w:color="auto" w:sz="4" w:space="0"/>
              <w:right w:val="single" w:color="auto" w:sz="4" w:space="0"/>
            </w:tcBorders>
            <w:vAlign w:val="center"/>
          </w:tcPr>
          <w:p w14:paraId="7D91FDB2">
            <w:pPr>
              <w:spacing w:line="276" w:lineRule="auto"/>
              <w:rPr>
                <w:rFonts w:ascii="宋体" w:hAnsi="宋体" w:eastAsia="宋体" w:cs="宋体"/>
                <w:color w:val="auto"/>
                <w:szCs w:val="21"/>
                <w:highlight w:val="none"/>
                <w:shd w:val="pct10" w:color="auto" w:fill="FFFFFF"/>
              </w:rPr>
            </w:pPr>
          </w:p>
        </w:tc>
        <w:tc>
          <w:tcPr>
            <w:tcW w:w="314" w:type="pct"/>
            <w:tcBorders>
              <w:top w:val="single" w:color="auto" w:sz="4" w:space="0"/>
              <w:left w:val="single" w:color="auto" w:sz="4" w:space="0"/>
              <w:bottom w:val="single" w:color="auto" w:sz="4" w:space="0"/>
              <w:right w:val="single" w:color="auto" w:sz="4" w:space="0"/>
            </w:tcBorders>
            <w:vAlign w:val="center"/>
          </w:tcPr>
          <w:p w14:paraId="37B97B49">
            <w:pPr>
              <w:spacing w:line="276" w:lineRule="auto"/>
              <w:rPr>
                <w:rFonts w:ascii="宋体" w:hAnsi="宋体" w:eastAsia="宋体" w:cs="宋体"/>
                <w:color w:val="auto"/>
                <w:szCs w:val="21"/>
                <w:highlight w:val="none"/>
                <w:shd w:val="pct10" w:color="auto" w:fill="FFFFFF"/>
              </w:rPr>
            </w:pPr>
          </w:p>
        </w:tc>
        <w:tc>
          <w:tcPr>
            <w:tcW w:w="303" w:type="pct"/>
            <w:tcBorders>
              <w:top w:val="single" w:color="auto" w:sz="4" w:space="0"/>
              <w:left w:val="single" w:color="auto" w:sz="4" w:space="0"/>
              <w:bottom w:val="single" w:color="auto" w:sz="4" w:space="0"/>
              <w:right w:val="single" w:color="auto" w:sz="4" w:space="0"/>
            </w:tcBorders>
            <w:vAlign w:val="center"/>
          </w:tcPr>
          <w:p w14:paraId="7BAF6CE7">
            <w:pPr>
              <w:spacing w:line="276" w:lineRule="auto"/>
              <w:rPr>
                <w:rFonts w:ascii="宋体" w:hAnsi="宋体" w:eastAsia="宋体" w:cs="宋体"/>
                <w:color w:val="auto"/>
                <w:szCs w:val="21"/>
                <w:highlight w:val="none"/>
                <w:shd w:val="pct10" w:color="auto" w:fill="FFFFFF"/>
              </w:rPr>
            </w:pPr>
          </w:p>
        </w:tc>
      </w:tr>
      <w:tr w14:paraId="5FEC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1" w:type="pct"/>
            <w:tcBorders>
              <w:top w:val="single" w:color="auto" w:sz="4" w:space="0"/>
              <w:left w:val="single" w:color="auto" w:sz="4" w:space="0"/>
              <w:bottom w:val="single" w:color="auto" w:sz="4" w:space="0"/>
              <w:right w:val="single" w:color="auto" w:sz="4" w:space="0"/>
            </w:tcBorders>
            <w:vAlign w:val="center"/>
          </w:tcPr>
          <w:p w14:paraId="51596ADE">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285" w:type="pct"/>
            <w:tcBorders>
              <w:top w:val="single" w:color="auto" w:sz="4" w:space="0"/>
              <w:left w:val="single" w:color="auto" w:sz="4" w:space="0"/>
              <w:bottom w:val="single" w:color="auto" w:sz="4" w:space="0"/>
              <w:right w:val="single" w:color="auto" w:sz="4" w:space="0"/>
            </w:tcBorders>
            <w:vAlign w:val="center"/>
          </w:tcPr>
          <w:p w14:paraId="4ACB553B">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无《参与编制技术标投标文件人员名单》的</w:t>
            </w:r>
            <w:r>
              <w:rPr>
                <w:rFonts w:hint="eastAsia" w:ascii="宋体" w:hAnsi="宋体" w:eastAsia="宋体" w:cs="宋体"/>
                <w:color w:val="auto"/>
                <w:szCs w:val="21"/>
                <w:highlight w:val="none"/>
                <w:u w:val="single"/>
              </w:rPr>
              <w:t>或未提供《</w:t>
            </w:r>
            <w:r>
              <w:rPr>
                <w:rFonts w:hint="eastAsia" w:ascii="宋体" w:hAnsi="宋体" w:eastAsia="宋体" w:cs="宋体"/>
                <w:color w:val="auto"/>
                <w:szCs w:val="21"/>
                <w:highlight w:val="none"/>
              </w:rPr>
              <w:t>参与编制技术标投标文件人员名单</w:t>
            </w:r>
            <w:r>
              <w:rPr>
                <w:rFonts w:hint="eastAsia" w:ascii="宋体" w:hAnsi="宋体" w:eastAsia="宋体" w:cs="宋体"/>
                <w:color w:val="auto"/>
                <w:szCs w:val="21"/>
                <w:highlight w:val="none"/>
                <w:u w:val="single"/>
              </w:rPr>
              <w:t>》表中人员离投标截止时间最近的至少1个月（</w:t>
            </w:r>
            <w:r>
              <w:rPr>
                <w:rFonts w:hint="eastAsia" w:ascii="宋体" w:hAnsi="宋体" w:eastAsia="宋体" w:cs="宋体"/>
                <w:color w:val="auto"/>
                <w:szCs w:val="21"/>
                <w:highlight w:val="none"/>
                <w:u w:val="single"/>
                <w:lang w:eastAsia="zh-CN"/>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年</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lang w:eastAsia="zh-CN"/>
              </w:rPr>
              <w:t>月或2026年</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lang w:eastAsia="zh-CN"/>
              </w:rPr>
              <w:t>月</w:t>
            </w:r>
            <w:r>
              <w:rPr>
                <w:rFonts w:hint="eastAsia" w:ascii="宋体" w:hAnsi="宋体" w:eastAsia="宋体" w:cs="宋体"/>
                <w:color w:val="auto"/>
                <w:szCs w:val="21"/>
                <w:highlight w:val="none"/>
                <w:u w:val="single"/>
              </w:rPr>
              <w:t>）在本单位缴纳的社保证明文件</w:t>
            </w:r>
            <w:r>
              <w:rPr>
                <w:rFonts w:hint="eastAsia" w:ascii="宋体" w:hAnsi="宋体" w:eastAsia="宋体" w:cs="宋体"/>
                <w:color w:val="auto"/>
                <w:szCs w:val="21"/>
                <w:highlight w:val="none"/>
              </w:rPr>
              <w:t>；</w:t>
            </w:r>
          </w:p>
        </w:tc>
        <w:tc>
          <w:tcPr>
            <w:tcW w:w="269" w:type="pct"/>
            <w:tcBorders>
              <w:top w:val="single" w:color="auto" w:sz="4" w:space="0"/>
              <w:left w:val="single" w:color="auto" w:sz="4" w:space="0"/>
              <w:bottom w:val="single" w:color="auto" w:sz="4" w:space="0"/>
              <w:right w:val="single" w:color="auto" w:sz="4" w:space="0"/>
            </w:tcBorders>
            <w:vAlign w:val="center"/>
          </w:tcPr>
          <w:p w14:paraId="4EBFE262">
            <w:pPr>
              <w:spacing w:line="276" w:lineRule="auto"/>
              <w:rPr>
                <w:rFonts w:ascii="宋体" w:hAnsi="宋体" w:eastAsia="宋体" w:cs="宋体"/>
                <w:color w:val="auto"/>
                <w:szCs w:val="21"/>
                <w:highlight w:val="none"/>
              </w:rPr>
            </w:pPr>
          </w:p>
        </w:tc>
        <w:tc>
          <w:tcPr>
            <w:tcW w:w="280" w:type="pct"/>
            <w:tcBorders>
              <w:top w:val="single" w:color="auto" w:sz="4" w:space="0"/>
              <w:left w:val="single" w:color="auto" w:sz="4" w:space="0"/>
              <w:bottom w:val="single" w:color="auto" w:sz="4" w:space="0"/>
              <w:right w:val="single" w:color="auto" w:sz="4" w:space="0"/>
            </w:tcBorders>
            <w:vAlign w:val="center"/>
          </w:tcPr>
          <w:p w14:paraId="5A207922">
            <w:pPr>
              <w:spacing w:line="276" w:lineRule="auto"/>
              <w:rPr>
                <w:rFonts w:ascii="宋体" w:hAnsi="宋体" w:eastAsia="宋体" w:cs="宋体"/>
                <w:color w:val="auto"/>
                <w:szCs w:val="21"/>
                <w:highlight w:val="none"/>
              </w:rPr>
            </w:pPr>
          </w:p>
        </w:tc>
        <w:tc>
          <w:tcPr>
            <w:tcW w:w="298" w:type="pct"/>
            <w:tcBorders>
              <w:top w:val="single" w:color="auto" w:sz="4" w:space="0"/>
              <w:left w:val="single" w:color="auto" w:sz="4" w:space="0"/>
              <w:bottom w:val="single" w:color="auto" w:sz="4" w:space="0"/>
              <w:right w:val="single" w:color="auto" w:sz="4" w:space="0"/>
            </w:tcBorders>
            <w:vAlign w:val="center"/>
          </w:tcPr>
          <w:p w14:paraId="133BB7EB">
            <w:pPr>
              <w:spacing w:line="276" w:lineRule="auto"/>
              <w:rPr>
                <w:rFonts w:ascii="宋体" w:hAnsi="宋体" w:eastAsia="宋体" w:cs="宋体"/>
                <w:color w:val="auto"/>
                <w:szCs w:val="21"/>
                <w:highlight w:val="none"/>
              </w:rPr>
            </w:pPr>
          </w:p>
        </w:tc>
        <w:tc>
          <w:tcPr>
            <w:tcW w:w="314" w:type="pct"/>
            <w:tcBorders>
              <w:top w:val="single" w:color="auto" w:sz="4" w:space="0"/>
              <w:left w:val="single" w:color="auto" w:sz="4" w:space="0"/>
              <w:bottom w:val="single" w:color="auto" w:sz="4" w:space="0"/>
              <w:right w:val="single" w:color="auto" w:sz="4" w:space="0"/>
            </w:tcBorders>
            <w:vAlign w:val="center"/>
          </w:tcPr>
          <w:p w14:paraId="7E11EF18">
            <w:pPr>
              <w:spacing w:line="276" w:lineRule="auto"/>
              <w:rPr>
                <w:rFonts w:ascii="宋体" w:hAnsi="宋体" w:eastAsia="宋体" w:cs="宋体"/>
                <w:color w:val="auto"/>
                <w:szCs w:val="21"/>
                <w:highlight w:val="none"/>
              </w:rPr>
            </w:pPr>
          </w:p>
        </w:tc>
        <w:tc>
          <w:tcPr>
            <w:tcW w:w="303" w:type="pct"/>
            <w:tcBorders>
              <w:top w:val="single" w:color="auto" w:sz="4" w:space="0"/>
              <w:left w:val="single" w:color="auto" w:sz="4" w:space="0"/>
              <w:bottom w:val="single" w:color="auto" w:sz="4" w:space="0"/>
              <w:right w:val="single" w:color="auto" w:sz="4" w:space="0"/>
            </w:tcBorders>
            <w:vAlign w:val="center"/>
          </w:tcPr>
          <w:p w14:paraId="683A4C6E">
            <w:pPr>
              <w:spacing w:line="276" w:lineRule="auto"/>
              <w:rPr>
                <w:rFonts w:ascii="宋体" w:hAnsi="宋体" w:eastAsia="宋体" w:cs="宋体"/>
                <w:color w:val="auto"/>
                <w:szCs w:val="21"/>
                <w:highlight w:val="none"/>
              </w:rPr>
            </w:pPr>
          </w:p>
        </w:tc>
      </w:tr>
      <w:tr w14:paraId="665D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1" w:type="pct"/>
            <w:tcBorders>
              <w:top w:val="single" w:color="auto" w:sz="4" w:space="0"/>
              <w:left w:val="single" w:color="auto" w:sz="4" w:space="0"/>
              <w:bottom w:val="single" w:color="auto" w:sz="4" w:space="0"/>
              <w:right w:val="single" w:color="auto" w:sz="4" w:space="0"/>
            </w:tcBorders>
            <w:vAlign w:val="center"/>
          </w:tcPr>
          <w:p w14:paraId="593E860C">
            <w:pPr>
              <w:spacing w:line="276" w:lineRule="auto"/>
              <w:jc w:val="center"/>
              <w:rPr>
                <w:rFonts w:ascii="宋体" w:hAnsi="宋体" w:eastAsia="宋体" w:cs="宋体"/>
                <w:strike/>
                <w:color w:val="auto"/>
                <w:szCs w:val="21"/>
                <w:highlight w:val="none"/>
              </w:rPr>
            </w:pPr>
            <w:r>
              <w:rPr>
                <w:rFonts w:hint="eastAsia" w:ascii="宋体" w:hAnsi="宋体" w:eastAsia="宋体" w:cs="宋体"/>
                <w:color w:val="auto"/>
                <w:szCs w:val="21"/>
                <w:highlight w:val="none"/>
              </w:rPr>
              <w:t>7</w:t>
            </w:r>
          </w:p>
        </w:tc>
        <w:tc>
          <w:tcPr>
            <w:tcW w:w="3285" w:type="pct"/>
            <w:tcBorders>
              <w:top w:val="single" w:color="auto" w:sz="4" w:space="0"/>
              <w:left w:val="single" w:color="auto" w:sz="4" w:space="0"/>
              <w:bottom w:val="single" w:color="auto" w:sz="4" w:space="0"/>
              <w:right w:val="single" w:color="auto" w:sz="4" w:space="0"/>
            </w:tcBorders>
            <w:vAlign w:val="center"/>
          </w:tcPr>
          <w:p w14:paraId="51A8A403">
            <w:pPr>
              <w:spacing w:line="276"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投标人与本项目其他投标人加密打包投标文件电脑机器特征码一致的(以</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交易平台评标系统的检索信息为准)</w:t>
            </w:r>
            <w:r>
              <w:rPr>
                <w:rFonts w:hint="eastAsia" w:ascii="宋体" w:hAnsi="宋体" w:eastAsia="宋体" w:cs="宋体"/>
                <w:color w:val="auto"/>
                <w:szCs w:val="21"/>
                <w:highlight w:val="none"/>
                <w:lang w:eastAsia="zh-CN"/>
              </w:rPr>
              <w:t>。</w:t>
            </w:r>
          </w:p>
        </w:tc>
        <w:tc>
          <w:tcPr>
            <w:tcW w:w="269" w:type="pct"/>
            <w:tcBorders>
              <w:top w:val="single" w:color="auto" w:sz="4" w:space="0"/>
              <w:left w:val="single" w:color="auto" w:sz="4" w:space="0"/>
              <w:bottom w:val="single" w:color="auto" w:sz="4" w:space="0"/>
              <w:right w:val="single" w:color="auto" w:sz="4" w:space="0"/>
            </w:tcBorders>
            <w:vAlign w:val="center"/>
          </w:tcPr>
          <w:p w14:paraId="09AE2764">
            <w:pPr>
              <w:spacing w:line="276" w:lineRule="auto"/>
              <w:rPr>
                <w:rFonts w:ascii="宋体" w:hAnsi="宋体" w:eastAsia="宋体" w:cs="宋体"/>
                <w:color w:val="auto"/>
                <w:szCs w:val="21"/>
                <w:highlight w:val="none"/>
              </w:rPr>
            </w:pPr>
          </w:p>
        </w:tc>
        <w:tc>
          <w:tcPr>
            <w:tcW w:w="280" w:type="pct"/>
            <w:tcBorders>
              <w:top w:val="single" w:color="auto" w:sz="4" w:space="0"/>
              <w:left w:val="single" w:color="auto" w:sz="4" w:space="0"/>
              <w:bottom w:val="single" w:color="auto" w:sz="4" w:space="0"/>
              <w:right w:val="single" w:color="auto" w:sz="4" w:space="0"/>
            </w:tcBorders>
            <w:vAlign w:val="center"/>
          </w:tcPr>
          <w:p w14:paraId="5E28134D">
            <w:pPr>
              <w:spacing w:line="276" w:lineRule="auto"/>
              <w:rPr>
                <w:rFonts w:ascii="宋体" w:hAnsi="宋体" w:eastAsia="宋体" w:cs="宋体"/>
                <w:color w:val="auto"/>
                <w:szCs w:val="21"/>
                <w:highlight w:val="none"/>
              </w:rPr>
            </w:pPr>
          </w:p>
        </w:tc>
        <w:tc>
          <w:tcPr>
            <w:tcW w:w="298" w:type="pct"/>
            <w:tcBorders>
              <w:top w:val="single" w:color="auto" w:sz="4" w:space="0"/>
              <w:left w:val="single" w:color="auto" w:sz="4" w:space="0"/>
              <w:bottom w:val="single" w:color="auto" w:sz="4" w:space="0"/>
              <w:right w:val="single" w:color="auto" w:sz="4" w:space="0"/>
            </w:tcBorders>
            <w:vAlign w:val="center"/>
          </w:tcPr>
          <w:p w14:paraId="401BCC32">
            <w:pPr>
              <w:spacing w:line="276" w:lineRule="auto"/>
              <w:rPr>
                <w:rFonts w:ascii="宋体" w:hAnsi="宋体" w:eastAsia="宋体" w:cs="宋体"/>
                <w:color w:val="auto"/>
                <w:szCs w:val="21"/>
                <w:highlight w:val="none"/>
              </w:rPr>
            </w:pPr>
          </w:p>
        </w:tc>
        <w:tc>
          <w:tcPr>
            <w:tcW w:w="314" w:type="pct"/>
            <w:tcBorders>
              <w:top w:val="single" w:color="auto" w:sz="4" w:space="0"/>
              <w:left w:val="single" w:color="auto" w:sz="4" w:space="0"/>
              <w:bottom w:val="single" w:color="auto" w:sz="4" w:space="0"/>
              <w:right w:val="single" w:color="auto" w:sz="4" w:space="0"/>
            </w:tcBorders>
            <w:vAlign w:val="center"/>
          </w:tcPr>
          <w:p w14:paraId="3AEA9A49">
            <w:pPr>
              <w:spacing w:line="276" w:lineRule="auto"/>
              <w:rPr>
                <w:rFonts w:ascii="宋体" w:hAnsi="宋体" w:eastAsia="宋体" w:cs="宋体"/>
                <w:color w:val="auto"/>
                <w:szCs w:val="21"/>
                <w:highlight w:val="none"/>
              </w:rPr>
            </w:pPr>
          </w:p>
        </w:tc>
        <w:tc>
          <w:tcPr>
            <w:tcW w:w="303" w:type="pct"/>
            <w:tcBorders>
              <w:top w:val="single" w:color="auto" w:sz="4" w:space="0"/>
              <w:left w:val="single" w:color="auto" w:sz="4" w:space="0"/>
              <w:bottom w:val="single" w:color="auto" w:sz="4" w:space="0"/>
              <w:right w:val="single" w:color="auto" w:sz="4" w:space="0"/>
            </w:tcBorders>
            <w:vAlign w:val="center"/>
          </w:tcPr>
          <w:p w14:paraId="446013FE">
            <w:pPr>
              <w:spacing w:line="276" w:lineRule="auto"/>
              <w:rPr>
                <w:rFonts w:ascii="宋体" w:hAnsi="宋体" w:eastAsia="宋体" w:cs="宋体"/>
                <w:color w:val="auto"/>
                <w:szCs w:val="21"/>
                <w:highlight w:val="none"/>
              </w:rPr>
            </w:pPr>
          </w:p>
        </w:tc>
      </w:tr>
    </w:tbl>
    <w:p w14:paraId="5125FE89">
      <w:pPr>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注：1.本表使用招标文件范本，与范本内容不同之处均以下划线标明。技术标评审中，响应性、承诺性内容不应作为评分因素，可在该表中对上述内容进行符合性审查。审查标准须具备可操作性。</w:t>
      </w:r>
    </w:p>
    <w:p w14:paraId="42D5996A">
      <w:pPr>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不得将文件顺序、明显的文字错误等列为否决投标的情形。评委发现投标文件中含义不明确、对同类问题表述不一致、有明显格式或文字、计算错误的，应当要求投标人作必要的澄清、说明后再判定投标人是否通过有效性审查，不得直接否决投标，若出现评标委员会否决投标的，应在评标报告中载明否决投标的具体情形、原因；</w:t>
      </w:r>
    </w:p>
    <w:p w14:paraId="3F8FC6B3">
      <w:pPr>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3.凡出现以上任何一项情形，结论均为无效，否则就为有效。</w:t>
      </w:r>
    </w:p>
    <w:p w14:paraId="044AC495">
      <w:pPr>
        <w:ind w:firstLine="424" w:firstLineChars="202"/>
        <w:rPr>
          <w:rFonts w:ascii="宋体" w:hAnsi="宋体" w:eastAsia="宋体" w:cs="宋体"/>
          <w:color w:val="auto"/>
          <w:szCs w:val="21"/>
          <w:highlight w:val="none"/>
        </w:rPr>
      </w:pPr>
      <w:r>
        <w:rPr>
          <w:rFonts w:hint="eastAsia" w:ascii="宋体" w:hAnsi="宋体" w:eastAsia="宋体" w:cs="Times New Roman"/>
          <w:color w:val="auto"/>
          <w:szCs w:val="21"/>
          <w:highlight w:val="none"/>
        </w:rPr>
        <w:t>4.如对本表中某种情形的评审意见不一致时，以评标委员会过半数成员的意见作为评标委员会对该情形的认定结论。</w:t>
      </w:r>
    </w:p>
    <w:p w14:paraId="75E44BE7">
      <w:pPr>
        <w:widowControl/>
        <w:spacing w:line="360" w:lineRule="auto"/>
        <w:jc w:val="left"/>
        <w:outlineLvl w:val="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bookmarkStart w:id="30" w:name="_Toc202907292"/>
      <w:bookmarkStart w:id="31" w:name="_Toc152532507"/>
      <w:r>
        <w:rPr>
          <w:rFonts w:hint="eastAsia" w:ascii="宋体" w:hAnsi="宋体" w:eastAsia="宋体" w:cs="宋体"/>
          <w:color w:val="auto"/>
          <w:kern w:val="0"/>
          <w:sz w:val="24"/>
          <w:szCs w:val="24"/>
          <w:highlight w:val="none"/>
        </w:rPr>
        <w:t>附表三：</w:t>
      </w:r>
      <w:bookmarkEnd w:id="30"/>
      <w:bookmarkEnd w:id="31"/>
    </w:p>
    <w:p w14:paraId="10489C70">
      <w:pPr>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经济标有效性审查表</w:t>
      </w:r>
    </w:p>
    <w:p w14:paraId="6814D555">
      <w:pPr>
        <w:rPr>
          <w:rFonts w:ascii="宋体" w:hAnsi="宋体" w:eastAsia="宋体" w:cs="宋体"/>
          <w:color w:val="auto"/>
          <w:szCs w:val="21"/>
          <w:highlight w:val="none"/>
        </w:rPr>
      </w:pPr>
      <w:r>
        <w:rPr>
          <w:rFonts w:hint="eastAsia" w:ascii="宋体" w:hAnsi="宋体" w:eastAsia="宋体" w:cs="宋体"/>
          <w:color w:val="auto"/>
          <w:szCs w:val="21"/>
          <w:highlight w:val="none"/>
        </w:rPr>
        <w:t>招标项目名称：</w:t>
      </w: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1412"/>
        <w:gridCol w:w="649"/>
        <w:gridCol w:w="709"/>
        <w:gridCol w:w="698"/>
      </w:tblGrid>
      <w:tr w14:paraId="77FB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49" w:type="pct"/>
            <w:tcBorders>
              <w:top w:val="single" w:color="auto" w:sz="4" w:space="0"/>
              <w:left w:val="single" w:color="auto" w:sz="4" w:space="0"/>
              <w:bottom w:val="single" w:color="auto" w:sz="4" w:space="0"/>
              <w:right w:val="single" w:color="auto" w:sz="4" w:space="0"/>
            </w:tcBorders>
            <w:vAlign w:val="center"/>
          </w:tcPr>
          <w:p w14:paraId="79029C57">
            <w:pPr>
              <w:spacing w:line="276"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4024" w:type="pct"/>
            <w:tcBorders>
              <w:top w:val="single" w:color="auto" w:sz="4" w:space="0"/>
              <w:left w:val="single" w:color="auto" w:sz="4" w:space="0"/>
              <w:bottom w:val="single" w:color="auto" w:sz="4" w:space="0"/>
              <w:right w:val="single" w:color="auto" w:sz="4" w:space="0"/>
              <w:tl2br w:val="single" w:color="auto" w:sz="4" w:space="0"/>
            </w:tcBorders>
            <w:vAlign w:val="center"/>
          </w:tcPr>
          <w:p w14:paraId="15056CBD">
            <w:pPr>
              <w:spacing w:line="276"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投标人</w:t>
            </w:r>
          </w:p>
          <w:p w14:paraId="351ED7DE">
            <w:pPr>
              <w:spacing w:line="276"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评审内容</w:t>
            </w:r>
          </w:p>
        </w:tc>
        <w:tc>
          <w:tcPr>
            <w:tcW w:w="229" w:type="pct"/>
            <w:tcBorders>
              <w:top w:val="single" w:color="auto" w:sz="4" w:space="0"/>
              <w:left w:val="single" w:color="auto" w:sz="4" w:space="0"/>
              <w:bottom w:val="single" w:color="auto" w:sz="4" w:space="0"/>
              <w:right w:val="single" w:color="auto" w:sz="4" w:space="0"/>
            </w:tcBorders>
            <w:vAlign w:val="center"/>
          </w:tcPr>
          <w:p w14:paraId="41E0AC92">
            <w:pPr>
              <w:spacing w:line="276" w:lineRule="auto"/>
              <w:rPr>
                <w:rFonts w:ascii="宋体" w:hAnsi="宋体" w:eastAsia="宋体" w:cs="宋体"/>
                <w:color w:val="auto"/>
                <w:szCs w:val="21"/>
                <w:highlight w:val="none"/>
              </w:rPr>
            </w:pPr>
          </w:p>
        </w:tc>
        <w:tc>
          <w:tcPr>
            <w:tcW w:w="250" w:type="pct"/>
            <w:tcBorders>
              <w:top w:val="single" w:color="auto" w:sz="4" w:space="0"/>
              <w:left w:val="single" w:color="auto" w:sz="4" w:space="0"/>
              <w:bottom w:val="single" w:color="auto" w:sz="4" w:space="0"/>
              <w:right w:val="single" w:color="auto" w:sz="4" w:space="0"/>
            </w:tcBorders>
            <w:vAlign w:val="center"/>
          </w:tcPr>
          <w:p w14:paraId="30AAD7C6">
            <w:pPr>
              <w:spacing w:line="276" w:lineRule="auto"/>
              <w:rPr>
                <w:rFonts w:ascii="宋体" w:hAnsi="宋体" w:eastAsia="宋体" w:cs="宋体"/>
                <w:color w:val="auto"/>
                <w:szCs w:val="21"/>
                <w:highlight w:val="none"/>
              </w:rPr>
            </w:pPr>
          </w:p>
        </w:tc>
        <w:tc>
          <w:tcPr>
            <w:tcW w:w="246" w:type="pct"/>
            <w:tcBorders>
              <w:top w:val="single" w:color="auto" w:sz="4" w:space="0"/>
              <w:left w:val="single" w:color="auto" w:sz="4" w:space="0"/>
              <w:bottom w:val="single" w:color="auto" w:sz="4" w:space="0"/>
              <w:right w:val="single" w:color="auto" w:sz="4" w:space="0"/>
            </w:tcBorders>
            <w:vAlign w:val="center"/>
          </w:tcPr>
          <w:p w14:paraId="20E02263">
            <w:pPr>
              <w:spacing w:line="276" w:lineRule="auto"/>
              <w:rPr>
                <w:rFonts w:ascii="宋体" w:hAnsi="宋体" w:eastAsia="宋体" w:cs="宋体"/>
                <w:color w:val="auto"/>
                <w:szCs w:val="21"/>
                <w:highlight w:val="none"/>
              </w:rPr>
            </w:pPr>
          </w:p>
        </w:tc>
      </w:tr>
      <w:tr w14:paraId="3EE6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tcBorders>
              <w:top w:val="single" w:color="auto" w:sz="4" w:space="0"/>
              <w:left w:val="single" w:color="auto" w:sz="4" w:space="0"/>
              <w:bottom w:val="single" w:color="auto" w:sz="4" w:space="0"/>
              <w:right w:val="single" w:color="auto" w:sz="4" w:space="0"/>
            </w:tcBorders>
            <w:vAlign w:val="center"/>
          </w:tcPr>
          <w:p w14:paraId="7A390F9F">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024" w:type="pct"/>
            <w:tcBorders>
              <w:top w:val="single" w:color="auto" w:sz="4" w:space="0"/>
              <w:left w:val="single" w:color="auto" w:sz="4" w:space="0"/>
              <w:bottom w:val="single" w:color="auto" w:sz="4" w:space="0"/>
              <w:right w:val="single" w:color="auto" w:sz="4" w:space="0"/>
            </w:tcBorders>
            <w:vAlign w:val="center"/>
          </w:tcPr>
          <w:p w14:paraId="5D60B742">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对同一招标项目出现两个或以上的投标报价，且没有申明哪个有效；</w:t>
            </w:r>
          </w:p>
        </w:tc>
        <w:tc>
          <w:tcPr>
            <w:tcW w:w="229" w:type="pct"/>
            <w:tcBorders>
              <w:top w:val="single" w:color="auto" w:sz="4" w:space="0"/>
              <w:left w:val="single" w:color="auto" w:sz="4" w:space="0"/>
              <w:bottom w:val="single" w:color="auto" w:sz="4" w:space="0"/>
              <w:right w:val="single" w:color="auto" w:sz="4" w:space="0"/>
            </w:tcBorders>
            <w:vAlign w:val="center"/>
          </w:tcPr>
          <w:p w14:paraId="644EF471">
            <w:pPr>
              <w:spacing w:line="276" w:lineRule="auto"/>
              <w:rPr>
                <w:rFonts w:ascii="宋体" w:hAnsi="宋体" w:eastAsia="宋体" w:cs="宋体"/>
                <w:color w:val="auto"/>
                <w:szCs w:val="21"/>
                <w:highlight w:val="none"/>
              </w:rPr>
            </w:pPr>
          </w:p>
        </w:tc>
        <w:tc>
          <w:tcPr>
            <w:tcW w:w="250" w:type="pct"/>
            <w:tcBorders>
              <w:top w:val="single" w:color="auto" w:sz="4" w:space="0"/>
              <w:left w:val="single" w:color="auto" w:sz="4" w:space="0"/>
              <w:bottom w:val="single" w:color="auto" w:sz="4" w:space="0"/>
              <w:right w:val="single" w:color="auto" w:sz="4" w:space="0"/>
            </w:tcBorders>
            <w:vAlign w:val="center"/>
          </w:tcPr>
          <w:p w14:paraId="372AB9AD">
            <w:pPr>
              <w:spacing w:line="276" w:lineRule="auto"/>
              <w:rPr>
                <w:rFonts w:ascii="宋体" w:hAnsi="宋体" w:eastAsia="宋体" w:cs="宋体"/>
                <w:color w:val="auto"/>
                <w:szCs w:val="21"/>
                <w:highlight w:val="none"/>
              </w:rPr>
            </w:pPr>
          </w:p>
        </w:tc>
        <w:tc>
          <w:tcPr>
            <w:tcW w:w="246" w:type="pct"/>
            <w:tcBorders>
              <w:top w:val="single" w:color="auto" w:sz="4" w:space="0"/>
              <w:left w:val="single" w:color="auto" w:sz="4" w:space="0"/>
              <w:bottom w:val="single" w:color="auto" w:sz="4" w:space="0"/>
              <w:right w:val="single" w:color="auto" w:sz="4" w:space="0"/>
            </w:tcBorders>
            <w:vAlign w:val="center"/>
          </w:tcPr>
          <w:p w14:paraId="3BFBC063">
            <w:pPr>
              <w:spacing w:line="276" w:lineRule="auto"/>
              <w:rPr>
                <w:rFonts w:ascii="宋体" w:hAnsi="宋体" w:eastAsia="宋体" w:cs="宋体"/>
                <w:color w:val="auto"/>
                <w:szCs w:val="21"/>
                <w:highlight w:val="none"/>
              </w:rPr>
            </w:pPr>
          </w:p>
        </w:tc>
      </w:tr>
      <w:tr w14:paraId="0B8B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tcBorders>
              <w:top w:val="single" w:color="auto" w:sz="4" w:space="0"/>
              <w:left w:val="single" w:color="auto" w:sz="4" w:space="0"/>
              <w:bottom w:val="single" w:color="auto" w:sz="4" w:space="0"/>
              <w:right w:val="single" w:color="auto" w:sz="4" w:space="0"/>
            </w:tcBorders>
            <w:vAlign w:val="center"/>
          </w:tcPr>
          <w:p w14:paraId="5E895FA3">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024" w:type="pct"/>
            <w:tcBorders>
              <w:top w:val="single" w:color="auto" w:sz="4" w:space="0"/>
              <w:left w:val="single" w:color="auto" w:sz="4" w:space="0"/>
              <w:bottom w:val="single" w:color="auto" w:sz="4" w:space="0"/>
              <w:right w:val="single" w:color="auto" w:sz="4" w:space="0"/>
            </w:tcBorders>
            <w:vAlign w:val="center"/>
          </w:tcPr>
          <w:p w14:paraId="5F1380AB">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投标报价高于最高投标限价的；</w:t>
            </w:r>
          </w:p>
        </w:tc>
        <w:tc>
          <w:tcPr>
            <w:tcW w:w="229" w:type="pct"/>
            <w:tcBorders>
              <w:top w:val="single" w:color="auto" w:sz="4" w:space="0"/>
              <w:left w:val="single" w:color="auto" w:sz="4" w:space="0"/>
              <w:bottom w:val="single" w:color="auto" w:sz="4" w:space="0"/>
              <w:right w:val="single" w:color="auto" w:sz="4" w:space="0"/>
            </w:tcBorders>
            <w:vAlign w:val="center"/>
          </w:tcPr>
          <w:p w14:paraId="4A276302">
            <w:pPr>
              <w:spacing w:line="276" w:lineRule="auto"/>
              <w:rPr>
                <w:rFonts w:ascii="宋体" w:hAnsi="宋体" w:eastAsia="宋体" w:cs="宋体"/>
                <w:color w:val="auto"/>
                <w:szCs w:val="21"/>
                <w:highlight w:val="none"/>
              </w:rPr>
            </w:pPr>
          </w:p>
        </w:tc>
        <w:tc>
          <w:tcPr>
            <w:tcW w:w="250" w:type="pct"/>
            <w:tcBorders>
              <w:top w:val="single" w:color="auto" w:sz="4" w:space="0"/>
              <w:left w:val="single" w:color="auto" w:sz="4" w:space="0"/>
              <w:bottom w:val="single" w:color="auto" w:sz="4" w:space="0"/>
              <w:right w:val="single" w:color="auto" w:sz="4" w:space="0"/>
            </w:tcBorders>
            <w:vAlign w:val="center"/>
          </w:tcPr>
          <w:p w14:paraId="116FDF98">
            <w:pPr>
              <w:spacing w:line="276" w:lineRule="auto"/>
              <w:rPr>
                <w:rFonts w:ascii="宋体" w:hAnsi="宋体" w:eastAsia="宋体" w:cs="宋体"/>
                <w:color w:val="auto"/>
                <w:szCs w:val="21"/>
                <w:highlight w:val="none"/>
              </w:rPr>
            </w:pPr>
          </w:p>
        </w:tc>
        <w:tc>
          <w:tcPr>
            <w:tcW w:w="246" w:type="pct"/>
            <w:tcBorders>
              <w:top w:val="single" w:color="auto" w:sz="4" w:space="0"/>
              <w:left w:val="single" w:color="auto" w:sz="4" w:space="0"/>
              <w:bottom w:val="single" w:color="auto" w:sz="4" w:space="0"/>
              <w:right w:val="single" w:color="auto" w:sz="4" w:space="0"/>
            </w:tcBorders>
            <w:vAlign w:val="center"/>
          </w:tcPr>
          <w:p w14:paraId="668BE490">
            <w:pPr>
              <w:spacing w:line="276" w:lineRule="auto"/>
              <w:rPr>
                <w:rFonts w:ascii="宋体" w:hAnsi="宋体" w:eastAsia="宋体" w:cs="宋体"/>
                <w:color w:val="auto"/>
                <w:szCs w:val="21"/>
                <w:highlight w:val="none"/>
              </w:rPr>
            </w:pPr>
          </w:p>
        </w:tc>
      </w:tr>
      <w:tr w14:paraId="0648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tcBorders>
              <w:top w:val="single" w:color="auto" w:sz="4" w:space="0"/>
              <w:left w:val="single" w:color="auto" w:sz="4" w:space="0"/>
              <w:bottom w:val="single" w:color="auto" w:sz="4" w:space="0"/>
              <w:right w:val="single" w:color="auto" w:sz="4" w:space="0"/>
            </w:tcBorders>
            <w:vAlign w:val="center"/>
          </w:tcPr>
          <w:p w14:paraId="590BE75E">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4024" w:type="pct"/>
            <w:tcBorders>
              <w:top w:val="single" w:color="auto" w:sz="4" w:space="0"/>
              <w:left w:val="single" w:color="auto" w:sz="4" w:space="0"/>
              <w:bottom w:val="single" w:color="auto" w:sz="4" w:space="0"/>
              <w:right w:val="single" w:color="auto" w:sz="4" w:space="0"/>
            </w:tcBorders>
            <w:vAlign w:val="center"/>
          </w:tcPr>
          <w:p w14:paraId="4948273D">
            <w:pPr>
              <w:autoSpaceDE w:val="0"/>
              <w:autoSpaceDN w:val="0"/>
              <w:spacing w:line="276" w:lineRule="auto"/>
              <w:ind w:left="-2" w:leftChars="-1"/>
              <w:jc w:val="left"/>
              <w:rPr>
                <w:rFonts w:ascii="宋体" w:hAnsi="宋体" w:eastAsia="宋体" w:cs="宋体"/>
                <w:color w:val="auto"/>
                <w:szCs w:val="21"/>
                <w:highlight w:val="none"/>
              </w:rPr>
            </w:pPr>
            <w:r>
              <w:rPr>
                <w:rFonts w:hint="eastAsia" w:ascii="宋体" w:hAnsi="宋体" w:eastAsia="宋体" w:cs="宋体"/>
                <w:color w:val="auto"/>
                <w:szCs w:val="21"/>
                <w:highlight w:val="none"/>
                <w:u w:val="single"/>
              </w:rPr>
              <w:t>投标报价低于成本警示价（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w:t>
            </w:r>
          </w:p>
        </w:tc>
        <w:tc>
          <w:tcPr>
            <w:tcW w:w="229" w:type="pct"/>
            <w:tcBorders>
              <w:top w:val="single" w:color="auto" w:sz="4" w:space="0"/>
              <w:left w:val="single" w:color="auto" w:sz="4" w:space="0"/>
              <w:bottom w:val="single" w:color="auto" w:sz="4" w:space="0"/>
              <w:right w:val="single" w:color="auto" w:sz="4" w:space="0"/>
            </w:tcBorders>
            <w:vAlign w:val="center"/>
          </w:tcPr>
          <w:p w14:paraId="58971254">
            <w:pPr>
              <w:spacing w:line="276" w:lineRule="auto"/>
              <w:rPr>
                <w:rFonts w:ascii="宋体" w:hAnsi="宋体" w:eastAsia="宋体" w:cs="宋体"/>
                <w:color w:val="auto"/>
                <w:szCs w:val="21"/>
                <w:highlight w:val="none"/>
              </w:rPr>
            </w:pPr>
          </w:p>
        </w:tc>
        <w:tc>
          <w:tcPr>
            <w:tcW w:w="250" w:type="pct"/>
            <w:tcBorders>
              <w:top w:val="single" w:color="auto" w:sz="4" w:space="0"/>
              <w:left w:val="single" w:color="auto" w:sz="4" w:space="0"/>
              <w:bottom w:val="single" w:color="auto" w:sz="4" w:space="0"/>
              <w:right w:val="single" w:color="auto" w:sz="4" w:space="0"/>
            </w:tcBorders>
            <w:vAlign w:val="center"/>
          </w:tcPr>
          <w:p w14:paraId="232730AF">
            <w:pPr>
              <w:spacing w:line="276" w:lineRule="auto"/>
              <w:rPr>
                <w:rFonts w:ascii="宋体" w:hAnsi="宋体" w:eastAsia="宋体" w:cs="宋体"/>
                <w:color w:val="auto"/>
                <w:szCs w:val="21"/>
                <w:highlight w:val="none"/>
              </w:rPr>
            </w:pPr>
          </w:p>
        </w:tc>
        <w:tc>
          <w:tcPr>
            <w:tcW w:w="246" w:type="pct"/>
            <w:tcBorders>
              <w:top w:val="single" w:color="auto" w:sz="4" w:space="0"/>
              <w:left w:val="single" w:color="auto" w:sz="4" w:space="0"/>
              <w:bottom w:val="single" w:color="auto" w:sz="4" w:space="0"/>
              <w:right w:val="single" w:color="auto" w:sz="4" w:space="0"/>
            </w:tcBorders>
            <w:vAlign w:val="center"/>
          </w:tcPr>
          <w:p w14:paraId="59D5EAE9">
            <w:pPr>
              <w:spacing w:line="276" w:lineRule="auto"/>
              <w:rPr>
                <w:rFonts w:ascii="宋体" w:hAnsi="宋体" w:eastAsia="宋体" w:cs="宋体"/>
                <w:color w:val="auto"/>
                <w:szCs w:val="21"/>
                <w:highlight w:val="none"/>
              </w:rPr>
            </w:pPr>
          </w:p>
        </w:tc>
      </w:tr>
      <w:tr w14:paraId="23F4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tcBorders>
              <w:top w:val="single" w:color="auto" w:sz="4" w:space="0"/>
              <w:left w:val="single" w:color="auto" w:sz="4" w:space="0"/>
              <w:bottom w:val="single" w:color="auto" w:sz="4" w:space="0"/>
              <w:right w:val="single" w:color="auto" w:sz="4" w:space="0"/>
            </w:tcBorders>
            <w:vAlign w:val="center"/>
          </w:tcPr>
          <w:p w14:paraId="6C91AB29">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4024" w:type="pct"/>
            <w:tcBorders>
              <w:top w:val="single" w:color="auto" w:sz="4" w:space="0"/>
              <w:left w:val="single" w:color="auto" w:sz="4" w:space="0"/>
              <w:bottom w:val="single" w:color="auto" w:sz="4" w:space="0"/>
              <w:right w:val="single" w:color="auto" w:sz="4" w:space="0"/>
            </w:tcBorders>
            <w:vAlign w:val="center"/>
          </w:tcPr>
          <w:p w14:paraId="4CC2E75E">
            <w:pPr>
              <w:spacing w:line="276"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投标文件未按规定的格式填写</w:t>
            </w:r>
            <w:r>
              <w:rPr>
                <w:rFonts w:hint="eastAsia" w:ascii="宋体" w:hAnsi="宋体" w:eastAsia="宋体" w:cs="宋体"/>
                <w:color w:val="auto"/>
                <w:szCs w:val="21"/>
                <w:highlight w:val="none"/>
                <w:u w:val="single"/>
              </w:rPr>
              <w:t>（指招标文件第四章提供格式的</w:t>
            </w:r>
            <w:r>
              <w:rPr>
                <w:rFonts w:hint="eastAsia" w:ascii="宋体" w:hAnsi="宋体" w:eastAsia="宋体" w:cs="宋体"/>
                <w:b/>
                <w:bCs/>
                <w:color w:val="auto"/>
                <w:szCs w:val="21"/>
                <w:highlight w:val="none"/>
                <w:u w:val="single"/>
              </w:rPr>
              <w:t>《广州建设工程施工经济标招标投标书》《对投标文件编制的承诺》</w:t>
            </w:r>
            <w:r>
              <w:rPr>
                <w:rFonts w:hint="eastAsia" w:ascii="宋体" w:hAnsi="宋体" w:eastAsia="宋体" w:cs="宋体"/>
                <w:color w:val="auto"/>
                <w:szCs w:val="21"/>
                <w:highlight w:val="none"/>
                <w:u w:val="single"/>
              </w:rPr>
              <w:t>）</w:t>
            </w:r>
            <w:r>
              <w:rPr>
                <w:rFonts w:hint="eastAsia" w:ascii="宋体" w:hAnsi="宋体" w:eastAsia="宋体" w:cs="Times New Roman"/>
                <w:color w:val="auto"/>
                <w:szCs w:val="21"/>
                <w:highlight w:val="none"/>
              </w:rPr>
              <w:t>，或主要内容不全，或关键字迹模糊、无法辨认的；</w:t>
            </w:r>
          </w:p>
        </w:tc>
        <w:tc>
          <w:tcPr>
            <w:tcW w:w="229" w:type="pct"/>
            <w:tcBorders>
              <w:top w:val="single" w:color="auto" w:sz="4" w:space="0"/>
              <w:left w:val="single" w:color="auto" w:sz="4" w:space="0"/>
              <w:bottom w:val="single" w:color="auto" w:sz="4" w:space="0"/>
              <w:right w:val="single" w:color="auto" w:sz="4" w:space="0"/>
            </w:tcBorders>
            <w:vAlign w:val="center"/>
          </w:tcPr>
          <w:p w14:paraId="033F25F8">
            <w:pPr>
              <w:spacing w:line="276" w:lineRule="auto"/>
              <w:rPr>
                <w:rFonts w:ascii="宋体" w:hAnsi="宋体" w:eastAsia="宋体" w:cs="宋体"/>
                <w:color w:val="auto"/>
                <w:szCs w:val="21"/>
                <w:highlight w:val="none"/>
              </w:rPr>
            </w:pPr>
          </w:p>
        </w:tc>
        <w:tc>
          <w:tcPr>
            <w:tcW w:w="250" w:type="pct"/>
            <w:tcBorders>
              <w:top w:val="single" w:color="auto" w:sz="4" w:space="0"/>
              <w:left w:val="single" w:color="auto" w:sz="4" w:space="0"/>
              <w:bottom w:val="single" w:color="auto" w:sz="4" w:space="0"/>
              <w:right w:val="single" w:color="auto" w:sz="4" w:space="0"/>
            </w:tcBorders>
            <w:vAlign w:val="center"/>
          </w:tcPr>
          <w:p w14:paraId="0D31E935">
            <w:pPr>
              <w:spacing w:line="276" w:lineRule="auto"/>
              <w:rPr>
                <w:rFonts w:ascii="宋体" w:hAnsi="宋体" w:eastAsia="宋体" w:cs="宋体"/>
                <w:color w:val="auto"/>
                <w:szCs w:val="21"/>
                <w:highlight w:val="none"/>
              </w:rPr>
            </w:pPr>
          </w:p>
        </w:tc>
        <w:tc>
          <w:tcPr>
            <w:tcW w:w="246" w:type="pct"/>
            <w:tcBorders>
              <w:top w:val="single" w:color="auto" w:sz="4" w:space="0"/>
              <w:left w:val="single" w:color="auto" w:sz="4" w:space="0"/>
              <w:bottom w:val="single" w:color="auto" w:sz="4" w:space="0"/>
              <w:right w:val="single" w:color="auto" w:sz="4" w:space="0"/>
            </w:tcBorders>
            <w:vAlign w:val="center"/>
          </w:tcPr>
          <w:p w14:paraId="182F42ED">
            <w:pPr>
              <w:spacing w:line="276" w:lineRule="auto"/>
              <w:rPr>
                <w:rFonts w:ascii="宋体" w:hAnsi="宋体" w:eastAsia="宋体" w:cs="宋体"/>
                <w:color w:val="auto"/>
                <w:szCs w:val="21"/>
                <w:highlight w:val="none"/>
              </w:rPr>
            </w:pPr>
          </w:p>
        </w:tc>
      </w:tr>
      <w:tr w14:paraId="2E13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tcBorders>
              <w:top w:val="single" w:color="auto" w:sz="4" w:space="0"/>
              <w:left w:val="single" w:color="auto" w:sz="4" w:space="0"/>
              <w:bottom w:val="single" w:color="auto" w:sz="4" w:space="0"/>
              <w:right w:val="single" w:color="auto" w:sz="4" w:space="0"/>
            </w:tcBorders>
            <w:vAlign w:val="center"/>
          </w:tcPr>
          <w:p w14:paraId="0BC36D96">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4024" w:type="pct"/>
            <w:tcBorders>
              <w:top w:val="single" w:color="auto" w:sz="4" w:space="0"/>
              <w:left w:val="single" w:color="auto" w:sz="4" w:space="0"/>
              <w:bottom w:val="single" w:color="auto" w:sz="4" w:space="0"/>
              <w:right w:val="single" w:color="auto" w:sz="4" w:space="0"/>
            </w:tcBorders>
            <w:vAlign w:val="center"/>
          </w:tcPr>
          <w:p w14:paraId="49B46808">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投标人之间存在《广东省实施&lt;中华人民共和国招标投标法&gt;办法》第十六条所禁止的情形的；</w:t>
            </w:r>
          </w:p>
        </w:tc>
        <w:tc>
          <w:tcPr>
            <w:tcW w:w="229" w:type="pct"/>
            <w:tcBorders>
              <w:top w:val="single" w:color="auto" w:sz="4" w:space="0"/>
              <w:left w:val="single" w:color="auto" w:sz="4" w:space="0"/>
              <w:bottom w:val="single" w:color="auto" w:sz="4" w:space="0"/>
              <w:right w:val="single" w:color="auto" w:sz="4" w:space="0"/>
            </w:tcBorders>
            <w:vAlign w:val="center"/>
          </w:tcPr>
          <w:p w14:paraId="2ED57B70">
            <w:pPr>
              <w:spacing w:line="276" w:lineRule="auto"/>
              <w:rPr>
                <w:rFonts w:ascii="宋体" w:hAnsi="宋体" w:eastAsia="宋体" w:cs="宋体"/>
                <w:color w:val="auto"/>
                <w:szCs w:val="21"/>
                <w:highlight w:val="none"/>
              </w:rPr>
            </w:pPr>
          </w:p>
        </w:tc>
        <w:tc>
          <w:tcPr>
            <w:tcW w:w="250" w:type="pct"/>
            <w:tcBorders>
              <w:top w:val="single" w:color="auto" w:sz="4" w:space="0"/>
              <w:left w:val="single" w:color="auto" w:sz="4" w:space="0"/>
              <w:bottom w:val="single" w:color="auto" w:sz="4" w:space="0"/>
              <w:right w:val="single" w:color="auto" w:sz="4" w:space="0"/>
            </w:tcBorders>
            <w:vAlign w:val="center"/>
          </w:tcPr>
          <w:p w14:paraId="09C3B967">
            <w:pPr>
              <w:spacing w:line="276" w:lineRule="auto"/>
              <w:rPr>
                <w:rFonts w:ascii="宋体" w:hAnsi="宋体" w:eastAsia="宋体" w:cs="宋体"/>
                <w:color w:val="auto"/>
                <w:szCs w:val="21"/>
                <w:highlight w:val="none"/>
              </w:rPr>
            </w:pPr>
          </w:p>
        </w:tc>
        <w:tc>
          <w:tcPr>
            <w:tcW w:w="246" w:type="pct"/>
            <w:tcBorders>
              <w:top w:val="single" w:color="auto" w:sz="4" w:space="0"/>
              <w:left w:val="single" w:color="auto" w:sz="4" w:space="0"/>
              <w:bottom w:val="single" w:color="auto" w:sz="4" w:space="0"/>
              <w:right w:val="single" w:color="auto" w:sz="4" w:space="0"/>
            </w:tcBorders>
            <w:vAlign w:val="center"/>
          </w:tcPr>
          <w:p w14:paraId="2DE51171">
            <w:pPr>
              <w:spacing w:line="276" w:lineRule="auto"/>
              <w:rPr>
                <w:rFonts w:ascii="宋体" w:hAnsi="宋体" w:eastAsia="宋体" w:cs="宋体"/>
                <w:color w:val="auto"/>
                <w:szCs w:val="21"/>
                <w:highlight w:val="none"/>
              </w:rPr>
            </w:pPr>
          </w:p>
        </w:tc>
      </w:tr>
      <w:tr w14:paraId="59D6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tcBorders>
              <w:top w:val="single" w:color="auto" w:sz="4" w:space="0"/>
              <w:left w:val="single" w:color="auto" w:sz="4" w:space="0"/>
              <w:bottom w:val="single" w:color="auto" w:sz="4" w:space="0"/>
              <w:right w:val="single" w:color="auto" w:sz="4" w:space="0"/>
            </w:tcBorders>
            <w:vAlign w:val="center"/>
          </w:tcPr>
          <w:p w14:paraId="1391375A">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4024" w:type="pct"/>
            <w:tcBorders>
              <w:top w:val="single" w:color="auto" w:sz="4" w:space="0"/>
              <w:left w:val="single" w:color="auto" w:sz="4" w:space="0"/>
              <w:bottom w:val="single" w:color="auto" w:sz="4" w:space="0"/>
              <w:right w:val="single" w:color="auto" w:sz="4" w:space="0"/>
            </w:tcBorders>
            <w:vAlign w:val="center"/>
          </w:tcPr>
          <w:p w14:paraId="111DC702">
            <w:pPr>
              <w:spacing w:line="276"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无《参与编制经济标投标文件人员名单》的</w:t>
            </w:r>
            <w:r>
              <w:rPr>
                <w:rFonts w:hint="eastAsia" w:ascii="宋体" w:hAnsi="宋体" w:eastAsia="宋体" w:cs="宋体"/>
                <w:color w:val="auto"/>
                <w:szCs w:val="21"/>
                <w:highlight w:val="none"/>
                <w:u w:val="single"/>
              </w:rPr>
              <w:t>或未提供《参与编制经济标投标文件人员名单》表中的人员离投标截止时间最近的至少1个月(</w:t>
            </w:r>
            <w:r>
              <w:rPr>
                <w:rFonts w:hint="eastAsia" w:ascii="宋体" w:hAnsi="宋体" w:eastAsia="宋体" w:cs="宋体"/>
                <w:color w:val="auto"/>
                <w:szCs w:val="21"/>
                <w:highlight w:val="none"/>
                <w:u w:val="single"/>
                <w:lang w:eastAsia="zh-CN"/>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年</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lang w:eastAsia="zh-CN"/>
              </w:rPr>
              <w:t>月或2026年</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lang w:eastAsia="zh-CN"/>
              </w:rPr>
              <w:t>月</w:t>
            </w:r>
            <w:r>
              <w:rPr>
                <w:rFonts w:hint="eastAsia" w:ascii="宋体" w:hAnsi="宋体" w:eastAsia="宋体" w:cs="宋体"/>
                <w:color w:val="auto"/>
                <w:szCs w:val="21"/>
                <w:highlight w:val="none"/>
                <w:u w:val="single"/>
              </w:rPr>
              <w:t>)在本单位(委托编制投标文件报价的，在委托单位)缴纳的社保证明文件</w:t>
            </w:r>
            <w:r>
              <w:rPr>
                <w:rFonts w:hint="eastAsia" w:ascii="宋体" w:hAnsi="宋体" w:eastAsia="宋体" w:cs="Times New Roman"/>
                <w:color w:val="auto"/>
                <w:szCs w:val="21"/>
                <w:highlight w:val="none"/>
              </w:rPr>
              <w:t>；</w:t>
            </w:r>
          </w:p>
        </w:tc>
        <w:tc>
          <w:tcPr>
            <w:tcW w:w="229" w:type="pct"/>
            <w:tcBorders>
              <w:top w:val="single" w:color="auto" w:sz="4" w:space="0"/>
              <w:left w:val="single" w:color="auto" w:sz="4" w:space="0"/>
              <w:bottom w:val="single" w:color="auto" w:sz="4" w:space="0"/>
              <w:right w:val="single" w:color="auto" w:sz="4" w:space="0"/>
            </w:tcBorders>
            <w:vAlign w:val="center"/>
          </w:tcPr>
          <w:p w14:paraId="56A023CC">
            <w:pPr>
              <w:spacing w:line="276" w:lineRule="auto"/>
              <w:rPr>
                <w:rFonts w:ascii="宋体" w:hAnsi="宋体" w:eastAsia="宋体" w:cs="宋体"/>
                <w:color w:val="auto"/>
                <w:szCs w:val="21"/>
                <w:highlight w:val="none"/>
              </w:rPr>
            </w:pPr>
          </w:p>
        </w:tc>
        <w:tc>
          <w:tcPr>
            <w:tcW w:w="250" w:type="pct"/>
            <w:tcBorders>
              <w:top w:val="single" w:color="auto" w:sz="4" w:space="0"/>
              <w:left w:val="single" w:color="auto" w:sz="4" w:space="0"/>
              <w:bottom w:val="single" w:color="auto" w:sz="4" w:space="0"/>
              <w:right w:val="single" w:color="auto" w:sz="4" w:space="0"/>
            </w:tcBorders>
            <w:vAlign w:val="center"/>
          </w:tcPr>
          <w:p w14:paraId="52EBE302">
            <w:pPr>
              <w:spacing w:line="276" w:lineRule="auto"/>
              <w:rPr>
                <w:rFonts w:ascii="宋体" w:hAnsi="宋体" w:eastAsia="宋体" w:cs="宋体"/>
                <w:color w:val="auto"/>
                <w:szCs w:val="21"/>
                <w:highlight w:val="none"/>
              </w:rPr>
            </w:pPr>
          </w:p>
        </w:tc>
        <w:tc>
          <w:tcPr>
            <w:tcW w:w="246" w:type="pct"/>
            <w:tcBorders>
              <w:top w:val="single" w:color="auto" w:sz="4" w:space="0"/>
              <w:left w:val="single" w:color="auto" w:sz="4" w:space="0"/>
              <w:bottom w:val="single" w:color="auto" w:sz="4" w:space="0"/>
              <w:right w:val="single" w:color="auto" w:sz="4" w:space="0"/>
            </w:tcBorders>
            <w:vAlign w:val="center"/>
          </w:tcPr>
          <w:p w14:paraId="5D4084F7">
            <w:pPr>
              <w:spacing w:line="276" w:lineRule="auto"/>
              <w:rPr>
                <w:rFonts w:ascii="宋体" w:hAnsi="宋体" w:eastAsia="宋体" w:cs="宋体"/>
                <w:color w:val="auto"/>
                <w:szCs w:val="21"/>
                <w:highlight w:val="none"/>
              </w:rPr>
            </w:pPr>
          </w:p>
        </w:tc>
      </w:tr>
      <w:tr w14:paraId="6804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tcBorders>
              <w:top w:val="single" w:color="auto" w:sz="4" w:space="0"/>
              <w:left w:val="single" w:color="auto" w:sz="4" w:space="0"/>
              <w:bottom w:val="single" w:color="auto" w:sz="4" w:space="0"/>
              <w:right w:val="single" w:color="auto" w:sz="4" w:space="0"/>
            </w:tcBorders>
            <w:vAlign w:val="center"/>
          </w:tcPr>
          <w:p w14:paraId="31AE0616">
            <w:pPr>
              <w:spacing w:line="276"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4024" w:type="pct"/>
            <w:tcBorders>
              <w:top w:val="single" w:color="auto" w:sz="4" w:space="0"/>
              <w:left w:val="single" w:color="auto" w:sz="4" w:space="0"/>
              <w:bottom w:val="single" w:color="auto" w:sz="4" w:space="0"/>
              <w:right w:val="single" w:color="auto" w:sz="4" w:space="0"/>
            </w:tcBorders>
            <w:vAlign w:val="center"/>
          </w:tcPr>
          <w:p w14:paraId="52978D93">
            <w:pPr>
              <w:spacing w:line="276" w:lineRule="auto"/>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rPr>
              <w:t>投标人与本项目其他投标人的投标文件工程量清单编制机器硬件信息一致的（以</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Times New Roman"/>
                <w:color w:val="auto"/>
                <w:szCs w:val="21"/>
                <w:highlight w:val="none"/>
              </w:rPr>
              <w:t>交易平台评标系统的检索信息为准）</w:t>
            </w:r>
            <w:r>
              <w:rPr>
                <w:rFonts w:hint="eastAsia" w:ascii="宋体" w:hAnsi="宋体" w:eastAsia="宋体" w:cs="Times New Roman"/>
                <w:color w:val="auto"/>
                <w:szCs w:val="21"/>
                <w:highlight w:val="none"/>
                <w:lang w:eastAsia="zh-CN"/>
              </w:rPr>
              <w:t>。</w:t>
            </w:r>
          </w:p>
        </w:tc>
        <w:tc>
          <w:tcPr>
            <w:tcW w:w="229" w:type="pct"/>
            <w:tcBorders>
              <w:top w:val="single" w:color="auto" w:sz="4" w:space="0"/>
              <w:left w:val="single" w:color="auto" w:sz="4" w:space="0"/>
              <w:bottom w:val="single" w:color="auto" w:sz="4" w:space="0"/>
              <w:right w:val="single" w:color="auto" w:sz="4" w:space="0"/>
            </w:tcBorders>
            <w:vAlign w:val="center"/>
          </w:tcPr>
          <w:p w14:paraId="50335FAA">
            <w:pPr>
              <w:spacing w:line="276" w:lineRule="auto"/>
              <w:rPr>
                <w:rFonts w:ascii="宋体" w:hAnsi="宋体" w:eastAsia="宋体" w:cs="宋体"/>
                <w:color w:val="auto"/>
                <w:szCs w:val="21"/>
                <w:highlight w:val="none"/>
              </w:rPr>
            </w:pPr>
          </w:p>
        </w:tc>
        <w:tc>
          <w:tcPr>
            <w:tcW w:w="250" w:type="pct"/>
            <w:tcBorders>
              <w:top w:val="single" w:color="auto" w:sz="4" w:space="0"/>
              <w:left w:val="single" w:color="auto" w:sz="4" w:space="0"/>
              <w:bottom w:val="single" w:color="auto" w:sz="4" w:space="0"/>
              <w:right w:val="single" w:color="auto" w:sz="4" w:space="0"/>
            </w:tcBorders>
            <w:vAlign w:val="center"/>
          </w:tcPr>
          <w:p w14:paraId="42B27913">
            <w:pPr>
              <w:spacing w:line="276" w:lineRule="auto"/>
              <w:rPr>
                <w:rFonts w:ascii="宋体" w:hAnsi="宋体" w:eastAsia="宋体" w:cs="宋体"/>
                <w:color w:val="auto"/>
                <w:szCs w:val="21"/>
                <w:highlight w:val="none"/>
              </w:rPr>
            </w:pPr>
          </w:p>
        </w:tc>
        <w:tc>
          <w:tcPr>
            <w:tcW w:w="246" w:type="pct"/>
            <w:tcBorders>
              <w:top w:val="single" w:color="auto" w:sz="4" w:space="0"/>
              <w:left w:val="single" w:color="auto" w:sz="4" w:space="0"/>
              <w:bottom w:val="single" w:color="auto" w:sz="4" w:space="0"/>
              <w:right w:val="single" w:color="auto" w:sz="4" w:space="0"/>
            </w:tcBorders>
            <w:vAlign w:val="center"/>
          </w:tcPr>
          <w:p w14:paraId="21DE4E7C">
            <w:pPr>
              <w:spacing w:line="276" w:lineRule="auto"/>
              <w:rPr>
                <w:rFonts w:ascii="宋体" w:hAnsi="宋体" w:eastAsia="宋体" w:cs="宋体"/>
                <w:color w:val="auto"/>
                <w:szCs w:val="21"/>
                <w:highlight w:val="none"/>
              </w:rPr>
            </w:pPr>
          </w:p>
        </w:tc>
      </w:tr>
    </w:tbl>
    <w:p w14:paraId="65CAC2A1">
      <w:pPr>
        <w:widowControl/>
        <w:ind w:firstLine="424" w:firstLineChars="202"/>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注：1.本表使用招标文件范本，与范本内容不同之处均以下划线标明。</w:t>
      </w:r>
    </w:p>
    <w:p w14:paraId="74D6E6C2">
      <w:pPr>
        <w:widowControl/>
        <w:ind w:firstLine="424" w:firstLineChars="202"/>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2.凡出现以上任何一项情形，结论均为无效，否则就为有效。</w:t>
      </w:r>
    </w:p>
    <w:p w14:paraId="4D6B7F8C">
      <w:pPr>
        <w:widowControl/>
        <w:ind w:firstLine="424" w:firstLineChars="202"/>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3.如对本表中某种情形的评审意见不一致时，以评标委员会过半数成员的意见作为评标委员会对该情形的认定结论。</w:t>
      </w:r>
    </w:p>
    <w:p w14:paraId="767729E5">
      <w:pPr>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88C2FD2">
      <w:pPr>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评委签名：                                 日期：</w:t>
      </w:r>
    </w:p>
    <w:p w14:paraId="2241DE01">
      <w:pPr>
        <w:ind w:firstLine="484" w:firstLineChars="202"/>
        <w:rPr>
          <w:rFonts w:ascii="宋体" w:hAnsi="宋体" w:eastAsia="宋体" w:cs="宋体"/>
          <w:color w:val="auto"/>
          <w:kern w:val="0"/>
          <w:sz w:val="24"/>
          <w:szCs w:val="24"/>
          <w:highlight w:val="none"/>
        </w:rPr>
        <w:sectPr>
          <w:endnotePr>
            <w:numFmt w:val="decimal"/>
          </w:endnotePr>
          <w:pgSz w:w="16838" w:h="11906" w:orient="landscape"/>
          <w:pgMar w:top="1077" w:right="1440" w:bottom="1077" w:left="1440" w:header="851" w:footer="992" w:gutter="0"/>
          <w:pgNumType w:fmt="decimal"/>
          <w:cols w:space="720" w:num="1"/>
          <w:titlePg/>
          <w:docGrid w:type="lines" w:linePitch="318" w:charSpace="0"/>
        </w:sectPr>
      </w:pPr>
    </w:p>
    <w:p w14:paraId="34A8A910">
      <w:pPr>
        <w:widowControl/>
        <w:jc w:val="left"/>
        <w:rPr>
          <w:rFonts w:ascii="宋体" w:hAnsi="宋体" w:eastAsia="宋体" w:cs="宋体"/>
          <w:color w:val="auto"/>
          <w:kern w:val="0"/>
          <w:sz w:val="24"/>
          <w:szCs w:val="24"/>
          <w:highlight w:val="none"/>
        </w:rPr>
      </w:pPr>
      <w:bookmarkStart w:id="32" w:name="_Toc202907293"/>
      <w:bookmarkStart w:id="33" w:name="_Toc152532508"/>
    </w:p>
    <w:p w14:paraId="6FA990C3">
      <w:pPr>
        <w:widowControl/>
        <w:spacing w:line="360" w:lineRule="auto"/>
        <w:jc w:val="left"/>
        <w:outlineLvl w:val="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附表四：</w:t>
      </w:r>
      <w:bookmarkEnd w:id="32"/>
      <w:bookmarkEnd w:id="33"/>
    </w:p>
    <w:p w14:paraId="53581E64">
      <w:pPr>
        <w:jc w:val="center"/>
        <w:rPr>
          <w:rFonts w:ascii="宋体" w:hAnsi="宋体" w:eastAsia="宋体" w:cs="仿宋"/>
          <w:color w:val="auto"/>
          <w:kern w:val="44"/>
          <w:sz w:val="28"/>
          <w:szCs w:val="28"/>
          <w:highlight w:val="none"/>
        </w:rPr>
      </w:pPr>
      <w:r>
        <w:rPr>
          <w:rFonts w:hint="eastAsia" w:ascii="宋体" w:hAnsi="宋体" w:eastAsia="宋体" w:cs="宋体"/>
          <w:b/>
          <w:color w:val="auto"/>
          <w:sz w:val="36"/>
          <w:szCs w:val="36"/>
          <w:highlight w:val="none"/>
        </w:rPr>
        <w:t>技术标详细审查评分表</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675"/>
        <w:gridCol w:w="855"/>
        <w:gridCol w:w="855"/>
        <w:gridCol w:w="10320"/>
      </w:tblGrid>
      <w:tr w14:paraId="55E4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10BFA6CA">
            <w:pPr>
              <w:pStyle w:val="223"/>
              <w:jc w:val="center"/>
              <w:rPr>
                <w:rFonts w:hint="eastAsia" w:ascii="仿宋" w:hAnsi="仿宋" w:eastAsia="仿宋" w:cs="Times New Roman"/>
                <w:b/>
                <w:bCs/>
                <w:color w:val="auto"/>
                <w:sz w:val="32"/>
                <w:szCs w:val="32"/>
                <w:highlight w:val="none"/>
                <w:vertAlign w:val="baseline"/>
              </w:rPr>
            </w:pPr>
            <w:r>
              <w:rPr>
                <w:rFonts w:hint="eastAsia" w:ascii="宋体" w:hAnsi="宋体" w:eastAsia="宋体" w:cs="宋体"/>
                <w:b/>
                <w:bCs/>
                <w:color w:val="auto"/>
                <w:sz w:val="21"/>
                <w:szCs w:val="21"/>
                <w:highlight w:val="none"/>
              </w:rPr>
              <w:t>评分项目</w:t>
            </w:r>
          </w:p>
        </w:tc>
        <w:tc>
          <w:tcPr>
            <w:tcW w:w="1530" w:type="dxa"/>
            <w:gridSpan w:val="2"/>
            <w:vAlign w:val="center"/>
          </w:tcPr>
          <w:p w14:paraId="04DF731C">
            <w:pPr>
              <w:pStyle w:val="223"/>
              <w:jc w:val="center"/>
              <w:rPr>
                <w:rFonts w:hint="eastAsia" w:ascii="仿宋" w:hAnsi="仿宋" w:eastAsia="仿宋" w:cs="Times New Roman"/>
                <w:b/>
                <w:bCs/>
                <w:color w:val="auto"/>
                <w:sz w:val="32"/>
                <w:szCs w:val="32"/>
                <w:highlight w:val="none"/>
                <w:vertAlign w:val="baseline"/>
              </w:rPr>
            </w:pPr>
            <w:r>
              <w:rPr>
                <w:rFonts w:hint="eastAsia" w:ascii="宋体" w:hAnsi="宋体" w:eastAsia="宋体" w:cs="宋体"/>
                <w:b/>
                <w:bCs/>
                <w:color w:val="auto"/>
                <w:sz w:val="21"/>
                <w:szCs w:val="21"/>
                <w:highlight w:val="none"/>
              </w:rPr>
              <w:t>评分内容</w:t>
            </w:r>
          </w:p>
        </w:tc>
        <w:tc>
          <w:tcPr>
            <w:tcW w:w="855" w:type="dxa"/>
            <w:vAlign w:val="center"/>
          </w:tcPr>
          <w:p w14:paraId="44E5C390">
            <w:pPr>
              <w:pStyle w:val="223"/>
              <w:jc w:val="center"/>
              <w:rPr>
                <w:rFonts w:hint="eastAsia" w:ascii="仿宋" w:hAnsi="仿宋" w:eastAsia="仿宋" w:cs="Times New Roman"/>
                <w:b/>
                <w:bCs/>
                <w:color w:val="auto"/>
                <w:sz w:val="32"/>
                <w:szCs w:val="32"/>
                <w:highlight w:val="none"/>
                <w:vertAlign w:val="baseline"/>
              </w:rPr>
            </w:pPr>
            <w:r>
              <w:rPr>
                <w:rFonts w:hint="eastAsia" w:ascii="宋体" w:hAnsi="宋体" w:eastAsia="宋体" w:cs="宋体"/>
                <w:b/>
                <w:bCs/>
                <w:color w:val="auto"/>
                <w:sz w:val="21"/>
                <w:szCs w:val="21"/>
                <w:highlight w:val="none"/>
              </w:rPr>
              <w:t>分值</w:t>
            </w:r>
          </w:p>
        </w:tc>
        <w:tc>
          <w:tcPr>
            <w:tcW w:w="10320" w:type="dxa"/>
            <w:vAlign w:val="center"/>
          </w:tcPr>
          <w:p w14:paraId="21B72032">
            <w:pPr>
              <w:pStyle w:val="223"/>
              <w:ind w:firstLine="420" w:firstLineChars="200"/>
              <w:jc w:val="center"/>
              <w:rPr>
                <w:rFonts w:hint="eastAsia" w:ascii="仿宋" w:hAnsi="仿宋" w:eastAsia="仿宋" w:cs="Times New Roman"/>
                <w:b/>
                <w:color w:val="auto"/>
                <w:sz w:val="32"/>
                <w:szCs w:val="32"/>
                <w:highlight w:val="none"/>
                <w:vertAlign w:val="baseline"/>
              </w:rPr>
            </w:pPr>
            <w:r>
              <w:rPr>
                <w:rFonts w:hint="eastAsia" w:ascii="宋体" w:hAnsi="宋体" w:eastAsia="宋体" w:cs="宋体"/>
                <w:b/>
                <w:bCs/>
                <w:color w:val="auto"/>
                <w:sz w:val="21"/>
                <w:szCs w:val="21"/>
                <w:highlight w:val="none"/>
              </w:rPr>
              <w:t>评审标准</w:t>
            </w:r>
          </w:p>
        </w:tc>
      </w:tr>
      <w:tr w14:paraId="5059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Merge w:val="restart"/>
            <w:vAlign w:val="top"/>
          </w:tcPr>
          <w:p w14:paraId="7CED92B1">
            <w:pPr>
              <w:spacing w:line="2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、项目组织管理机构能力（</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0分）</w:t>
            </w:r>
          </w:p>
          <w:p w14:paraId="01366B05">
            <w:pPr>
              <w:spacing w:line="280" w:lineRule="exact"/>
              <w:rPr>
                <w:rFonts w:hint="eastAsia" w:ascii="宋体" w:hAnsi="宋体" w:eastAsia="宋体" w:cs="宋体"/>
                <w:b/>
                <w:color w:val="auto"/>
                <w:sz w:val="32"/>
                <w:szCs w:val="32"/>
                <w:highlight w:val="none"/>
                <w:vertAlign w:val="baseline"/>
              </w:rPr>
            </w:pPr>
            <w:r>
              <w:rPr>
                <w:rFonts w:hint="eastAsia" w:ascii="宋体" w:hAnsi="宋体" w:eastAsia="宋体" w:cs="宋体"/>
                <w:color w:val="auto"/>
                <w:szCs w:val="21"/>
                <w:highlight w:val="none"/>
              </w:rPr>
              <w:t xml:space="preserve"> </w:t>
            </w:r>
          </w:p>
        </w:tc>
        <w:tc>
          <w:tcPr>
            <w:tcW w:w="675" w:type="dxa"/>
            <w:vMerge w:val="restart"/>
            <w:vAlign w:val="top"/>
          </w:tcPr>
          <w:p w14:paraId="7FCAF2FB">
            <w:pPr>
              <w:widowControl/>
              <w:spacing w:line="280" w:lineRule="exact"/>
              <w:jc w:val="left"/>
              <w:rPr>
                <w:rFonts w:hint="eastAsia" w:ascii="宋体" w:hAnsi="宋体" w:eastAsia="宋体" w:cs="宋体"/>
                <w:b/>
                <w:color w:val="auto"/>
                <w:sz w:val="32"/>
                <w:szCs w:val="32"/>
                <w:highlight w:val="none"/>
                <w:vertAlign w:val="baseline"/>
              </w:rPr>
            </w:pPr>
            <w:r>
              <w:rPr>
                <w:rFonts w:hint="eastAsia" w:ascii="宋体" w:hAnsi="宋体" w:eastAsia="宋体" w:cs="宋体"/>
                <w:color w:val="auto"/>
                <w:kern w:val="0"/>
                <w:szCs w:val="21"/>
                <w:highlight w:val="none"/>
              </w:rPr>
              <w:t>项目管理机构</w:t>
            </w:r>
          </w:p>
        </w:tc>
        <w:tc>
          <w:tcPr>
            <w:tcW w:w="855" w:type="dxa"/>
            <w:vAlign w:val="top"/>
          </w:tcPr>
          <w:p w14:paraId="140AEEC8">
            <w:pPr>
              <w:widowControl/>
              <w:spacing w:line="280" w:lineRule="exact"/>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项目</w:t>
            </w:r>
            <w:r>
              <w:rPr>
                <w:rFonts w:hint="eastAsia" w:ascii="宋体" w:hAnsi="宋体" w:eastAsia="宋体" w:cs="宋体"/>
                <w:color w:val="auto"/>
                <w:szCs w:val="21"/>
                <w:highlight w:val="none"/>
              </w:rPr>
              <w:t>负责人</w:t>
            </w:r>
          </w:p>
        </w:tc>
        <w:tc>
          <w:tcPr>
            <w:tcW w:w="855" w:type="dxa"/>
            <w:vAlign w:val="top"/>
          </w:tcPr>
          <w:p w14:paraId="042B5A2D">
            <w:pPr>
              <w:widowControl/>
              <w:spacing w:line="280" w:lineRule="exact"/>
              <w:jc w:val="center"/>
              <w:rPr>
                <w:rFonts w:hint="eastAsia" w:ascii="宋体" w:hAnsi="宋体" w:eastAsia="宋体" w:cs="宋体"/>
                <w:b/>
                <w:color w:val="auto"/>
                <w:sz w:val="32"/>
                <w:szCs w:val="32"/>
                <w:highlight w:val="none"/>
                <w:vertAlign w:val="baseline"/>
                <w:lang w:val="en-US"/>
              </w:rPr>
            </w:pPr>
            <w:r>
              <w:rPr>
                <w:rFonts w:hint="eastAsia" w:ascii="宋体" w:hAnsi="宋体" w:eastAsia="宋体" w:cs="宋体"/>
                <w:color w:val="auto"/>
                <w:szCs w:val="21"/>
                <w:highlight w:val="none"/>
                <w:lang w:val="en-US" w:eastAsia="zh-CN"/>
              </w:rPr>
              <w:t>30</w:t>
            </w:r>
          </w:p>
        </w:tc>
        <w:tc>
          <w:tcPr>
            <w:tcW w:w="10320" w:type="dxa"/>
            <w:vAlign w:val="top"/>
          </w:tcPr>
          <w:p w14:paraId="5C2A7162">
            <w:pPr>
              <w:rPr>
                <w:rFonts w:hint="eastAsia" w:ascii="宋体" w:hAnsi="宋体" w:eastAsia="宋体" w:cs="宋体"/>
                <w:color w:val="auto"/>
                <w:szCs w:val="21"/>
                <w:highlight w:val="none"/>
              </w:rPr>
            </w:pPr>
            <w:r>
              <w:rPr>
                <w:rFonts w:hint="eastAsia" w:ascii="宋体" w:hAnsi="宋体" w:eastAsia="宋体" w:cs="宋体"/>
                <w:color w:val="auto"/>
                <w:highlight w:val="none"/>
              </w:rPr>
              <w:t>①</w:t>
            </w:r>
            <w:r>
              <w:rPr>
                <w:rFonts w:hint="eastAsia" w:ascii="宋体" w:hAnsi="宋体" w:eastAsia="宋体" w:cs="宋体"/>
                <w:color w:val="auto"/>
                <w:szCs w:val="21"/>
                <w:highlight w:val="none"/>
              </w:rPr>
              <w:t>从业能力：具有市政公用工程类专业中级或以上技术职称，得</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分。</w:t>
            </w:r>
          </w:p>
          <w:p w14:paraId="2D83E35B">
            <w:pPr>
              <w:rPr>
                <w:rFonts w:hint="eastAsia" w:ascii="宋体" w:hAnsi="宋体" w:eastAsia="宋体" w:cs="宋体"/>
                <w:b/>
                <w:color w:val="auto"/>
                <w:sz w:val="32"/>
                <w:szCs w:val="32"/>
                <w:highlight w:val="none"/>
                <w:vertAlign w:val="baseline"/>
              </w:rPr>
            </w:pPr>
            <w:r>
              <w:rPr>
                <w:rFonts w:hint="eastAsia" w:ascii="宋体" w:hAnsi="宋体" w:eastAsia="宋体" w:cs="宋体"/>
                <w:color w:val="auto"/>
                <w:szCs w:val="21"/>
                <w:highlight w:val="none"/>
              </w:rPr>
              <w:t>②业绩：项目负责人自</w:t>
            </w:r>
            <w:r>
              <w:rPr>
                <w:rFonts w:hint="eastAsia" w:ascii="宋体" w:hAnsi="宋体" w:eastAsia="宋体" w:cs="宋体"/>
                <w:color w:val="auto"/>
                <w:szCs w:val="21"/>
                <w:highlight w:val="none"/>
                <w:u w:val="single"/>
                <w:lang w:val="en-US" w:eastAsia="zh-CN"/>
              </w:rPr>
              <w:t>2021</w:t>
            </w:r>
            <w:r>
              <w:rPr>
                <w:rFonts w:hint="eastAsia" w:ascii="宋体" w:hAnsi="宋体" w:eastAsia="宋体" w:cs="宋体"/>
                <w:color w:val="auto"/>
                <w:szCs w:val="21"/>
                <w:highlight w:val="none"/>
              </w:rPr>
              <w:t>年1月1日至今完成过质量合格的且工程造价金额大于或等于</w:t>
            </w:r>
            <w:r>
              <w:rPr>
                <w:rFonts w:hint="eastAsia" w:ascii="宋体" w:hAnsi="宋体" w:eastAsia="宋体" w:cs="宋体"/>
                <w:color w:val="auto"/>
                <w:szCs w:val="21"/>
                <w:highlight w:val="none"/>
                <w:u w:val="single"/>
                <w:lang w:val="en-US" w:eastAsia="zh-CN"/>
              </w:rPr>
              <w:t xml:space="preserve"> 3900 </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rPr>
              <w:t>的市政公用工程施工总承包或工程总承包施工部分业绩，得</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 xml:space="preserve"> 分；本项最多得 </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 xml:space="preserve"> 分。</w:t>
            </w:r>
          </w:p>
        </w:tc>
      </w:tr>
      <w:tr w14:paraId="69CE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Merge w:val="continue"/>
            <w:vAlign w:val="top"/>
          </w:tcPr>
          <w:p w14:paraId="44523F33">
            <w:pPr>
              <w:spacing w:line="280" w:lineRule="exact"/>
              <w:rPr>
                <w:rFonts w:hint="eastAsia" w:ascii="宋体" w:hAnsi="宋体" w:eastAsia="宋体" w:cs="宋体"/>
                <w:b/>
                <w:color w:val="auto"/>
                <w:sz w:val="32"/>
                <w:szCs w:val="32"/>
                <w:highlight w:val="none"/>
                <w:vertAlign w:val="baseline"/>
              </w:rPr>
            </w:pPr>
          </w:p>
        </w:tc>
        <w:tc>
          <w:tcPr>
            <w:tcW w:w="675" w:type="dxa"/>
            <w:vMerge w:val="continue"/>
            <w:vAlign w:val="top"/>
          </w:tcPr>
          <w:p w14:paraId="06791AA8">
            <w:pPr>
              <w:widowControl/>
              <w:spacing w:line="280" w:lineRule="exact"/>
              <w:jc w:val="left"/>
              <w:rPr>
                <w:rFonts w:hint="eastAsia" w:ascii="宋体" w:hAnsi="宋体" w:eastAsia="宋体" w:cs="宋体"/>
                <w:b/>
                <w:color w:val="auto"/>
                <w:sz w:val="32"/>
                <w:szCs w:val="32"/>
                <w:highlight w:val="none"/>
                <w:vertAlign w:val="baseline"/>
              </w:rPr>
            </w:pPr>
          </w:p>
        </w:tc>
        <w:tc>
          <w:tcPr>
            <w:tcW w:w="855" w:type="dxa"/>
            <w:vAlign w:val="top"/>
          </w:tcPr>
          <w:p w14:paraId="2588A6EF">
            <w:pPr>
              <w:widowControl/>
              <w:spacing w:line="280" w:lineRule="exact"/>
              <w:jc w:val="left"/>
              <w:rPr>
                <w:rFonts w:hint="eastAsia" w:ascii="宋体" w:hAnsi="宋体" w:eastAsia="宋体" w:cs="宋体"/>
                <w:color w:val="auto"/>
                <w:highlight w:val="none"/>
              </w:rPr>
            </w:pPr>
            <w:r>
              <w:rPr>
                <w:rFonts w:hint="eastAsia" w:ascii="宋体" w:hAnsi="宋体" w:eastAsia="宋体" w:cs="宋体"/>
                <w:color w:val="auto"/>
                <w:szCs w:val="21"/>
                <w:highlight w:val="none"/>
              </w:rPr>
              <w:t>技术负责人</w:t>
            </w:r>
          </w:p>
        </w:tc>
        <w:tc>
          <w:tcPr>
            <w:tcW w:w="855" w:type="dxa"/>
            <w:vAlign w:val="top"/>
          </w:tcPr>
          <w:p w14:paraId="39F2AEA3">
            <w:pPr>
              <w:widowControl/>
              <w:spacing w:line="280" w:lineRule="exact"/>
              <w:jc w:val="center"/>
              <w:rPr>
                <w:rFonts w:hint="eastAsia" w:ascii="宋体" w:hAnsi="宋体" w:eastAsia="宋体" w:cs="宋体"/>
                <w:b/>
                <w:color w:val="auto"/>
                <w:sz w:val="32"/>
                <w:szCs w:val="32"/>
                <w:highlight w:val="none"/>
                <w:vertAlign w:val="baseline"/>
                <w:lang w:val="en-US" w:eastAsia="zh-CN"/>
              </w:rPr>
            </w:pPr>
            <w:r>
              <w:rPr>
                <w:rFonts w:hint="eastAsia" w:ascii="宋体" w:hAnsi="宋体" w:eastAsia="宋体" w:cs="宋体"/>
                <w:color w:val="auto"/>
                <w:szCs w:val="21"/>
                <w:highlight w:val="none"/>
                <w:lang w:val="en-US" w:eastAsia="zh-CN"/>
              </w:rPr>
              <w:t>20</w:t>
            </w:r>
          </w:p>
        </w:tc>
        <w:tc>
          <w:tcPr>
            <w:tcW w:w="10320" w:type="dxa"/>
            <w:vAlign w:val="top"/>
          </w:tcPr>
          <w:p w14:paraId="4E7035CF">
            <w:pPr>
              <w:rPr>
                <w:rFonts w:hint="eastAsia" w:ascii="宋体" w:hAnsi="宋体" w:eastAsia="宋体" w:cs="宋体"/>
                <w:b/>
                <w:color w:val="auto"/>
                <w:sz w:val="32"/>
                <w:szCs w:val="32"/>
                <w:highlight w:val="none"/>
                <w:vertAlign w:val="baseline"/>
              </w:rPr>
            </w:pPr>
            <w:r>
              <w:rPr>
                <w:rFonts w:hint="eastAsia" w:ascii="宋体" w:hAnsi="宋体" w:eastAsia="宋体" w:cs="宋体"/>
                <w:color w:val="auto"/>
                <w:szCs w:val="21"/>
                <w:highlight w:val="none"/>
              </w:rPr>
              <w:t>从业能力：具有市政公用工程类专业副高级或以上技术职称，得</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分；</w:t>
            </w:r>
          </w:p>
        </w:tc>
      </w:tr>
      <w:tr w14:paraId="014F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Merge w:val="continue"/>
            <w:vAlign w:val="top"/>
          </w:tcPr>
          <w:p w14:paraId="21B21547">
            <w:pPr>
              <w:spacing w:line="280" w:lineRule="exact"/>
              <w:rPr>
                <w:rFonts w:hint="eastAsia" w:ascii="宋体" w:hAnsi="宋体" w:eastAsia="宋体" w:cs="宋体"/>
                <w:b/>
                <w:color w:val="auto"/>
                <w:sz w:val="32"/>
                <w:szCs w:val="32"/>
                <w:highlight w:val="none"/>
                <w:vertAlign w:val="baseline"/>
              </w:rPr>
            </w:pPr>
          </w:p>
        </w:tc>
        <w:tc>
          <w:tcPr>
            <w:tcW w:w="675" w:type="dxa"/>
            <w:vMerge w:val="continue"/>
            <w:vAlign w:val="top"/>
          </w:tcPr>
          <w:p w14:paraId="59F72360">
            <w:pPr>
              <w:widowControl/>
              <w:spacing w:line="280" w:lineRule="exact"/>
              <w:jc w:val="left"/>
              <w:rPr>
                <w:rFonts w:hint="eastAsia" w:ascii="宋体" w:hAnsi="宋体" w:eastAsia="宋体" w:cs="宋体"/>
                <w:b/>
                <w:color w:val="auto"/>
                <w:sz w:val="32"/>
                <w:szCs w:val="32"/>
                <w:highlight w:val="none"/>
                <w:vertAlign w:val="baseline"/>
              </w:rPr>
            </w:pPr>
          </w:p>
        </w:tc>
        <w:tc>
          <w:tcPr>
            <w:tcW w:w="855" w:type="dxa"/>
            <w:vAlign w:val="top"/>
          </w:tcPr>
          <w:p w14:paraId="37B368B0">
            <w:pPr>
              <w:widowControl/>
              <w:spacing w:line="280" w:lineRule="exact"/>
              <w:jc w:val="left"/>
              <w:rPr>
                <w:rFonts w:hint="eastAsia" w:ascii="宋体" w:hAnsi="宋体" w:eastAsia="宋体" w:cs="宋体"/>
                <w:color w:val="auto"/>
                <w:highlight w:val="none"/>
              </w:rPr>
            </w:pPr>
            <w:r>
              <w:rPr>
                <w:rFonts w:hint="eastAsia" w:ascii="宋体" w:hAnsi="宋体" w:eastAsia="宋体" w:cs="宋体"/>
                <w:color w:val="auto"/>
                <w:szCs w:val="21"/>
                <w:highlight w:val="none"/>
              </w:rPr>
              <w:t>质量负责人</w:t>
            </w:r>
          </w:p>
        </w:tc>
        <w:tc>
          <w:tcPr>
            <w:tcW w:w="855" w:type="dxa"/>
            <w:vAlign w:val="top"/>
          </w:tcPr>
          <w:p w14:paraId="26E67AF7">
            <w:pPr>
              <w:widowControl/>
              <w:spacing w:line="280" w:lineRule="exact"/>
              <w:jc w:val="center"/>
              <w:rPr>
                <w:rFonts w:hint="eastAsia" w:ascii="宋体" w:hAnsi="宋体" w:eastAsia="宋体" w:cs="宋体"/>
                <w:b/>
                <w:color w:val="auto"/>
                <w:sz w:val="32"/>
                <w:szCs w:val="32"/>
                <w:highlight w:val="none"/>
                <w:vertAlign w:val="baseline"/>
                <w:lang w:val="en-US"/>
              </w:rPr>
            </w:pPr>
            <w:r>
              <w:rPr>
                <w:rFonts w:hint="eastAsia" w:ascii="宋体" w:hAnsi="宋体" w:eastAsia="宋体" w:cs="宋体"/>
                <w:color w:val="auto"/>
                <w:szCs w:val="21"/>
                <w:highlight w:val="none"/>
                <w:lang w:val="en-US" w:eastAsia="zh-CN"/>
              </w:rPr>
              <w:t>10</w:t>
            </w:r>
          </w:p>
        </w:tc>
        <w:tc>
          <w:tcPr>
            <w:tcW w:w="10320" w:type="dxa"/>
            <w:vAlign w:val="top"/>
          </w:tcPr>
          <w:p w14:paraId="73125109">
            <w:pPr>
              <w:rPr>
                <w:rFonts w:hint="eastAsia" w:ascii="宋体" w:hAnsi="宋体" w:eastAsia="宋体" w:cs="宋体"/>
                <w:b/>
                <w:color w:val="auto"/>
                <w:sz w:val="32"/>
                <w:szCs w:val="32"/>
                <w:highlight w:val="none"/>
                <w:vertAlign w:val="baseline"/>
              </w:rPr>
            </w:pPr>
            <w:r>
              <w:rPr>
                <w:rFonts w:hint="eastAsia" w:ascii="宋体" w:hAnsi="宋体" w:eastAsia="宋体" w:cs="宋体"/>
                <w:color w:val="auto"/>
                <w:szCs w:val="21"/>
                <w:highlight w:val="none"/>
              </w:rPr>
              <w:t>从业能力：具有市政公用工程类专业中级或以上技术职称，得</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00EF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Merge w:val="continue"/>
            <w:vAlign w:val="top"/>
          </w:tcPr>
          <w:p w14:paraId="6A6BDEEA">
            <w:pPr>
              <w:spacing w:line="280" w:lineRule="exact"/>
              <w:rPr>
                <w:rFonts w:hint="eastAsia" w:ascii="宋体" w:hAnsi="宋体" w:eastAsia="宋体" w:cs="宋体"/>
                <w:b/>
                <w:color w:val="auto"/>
                <w:sz w:val="32"/>
                <w:szCs w:val="32"/>
                <w:highlight w:val="none"/>
                <w:vertAlign w:val="baseline"/>
              </w:rPr>
            </w:pPr>
          </w:p>
        </w:tc>
        <w:tc>
          <w:tcPr>
            <w:tcW w:w="675" w:type="dxa"/>
            <w:vMerge w:val="continue"/>
            <w:vAlign w:val="top"/>
          </w:tcPr>
          <w:p w14:paraId="4DD41E31">
            <w:pPr>
              <w:widowControl/>
              <w:spacing w:line="280" w:lineRule="exact"/>
              <w:jc w:val="left"/>
              <w:rPr>
                <w:rFonts w:hint="eastAsia" w:ascii="宋体" w:hAnsi="宋体" w:eastAsia="宋体" w:cs="宋体"/>
                <w:b/>
                <w:color w:val="auto"/>
                <w:sz w:val="32"/>
                <w:szCs w:val="32"/>
                <w:highlight w:val="none"/>
                <w:vertAlign w:val="baseline"/>
              </w:rPr>
            </w:pPr>
          </w:p>
        </w:tc>
        <w:tc>
          <w:tcPr>
            <w:tcW w:w="855" w:type="dxa"/>
            <w:vAlign w:val="top"/>
          </w:tcPr>
          <w:p w14:paraId="365725AA">
            <w:pPr>
              <w:widowControl/>
              <w:spacing w:line="280" w:lineRule="exact"/>
              <w:jc w:val="left"/>
              <w:rPr>
                <w:rFonts w:hint="eastAsia" w:ascii="宋体" w:hAnsi="宋体" w:eastAsia="宋体" w:cs="宋体"/>
                <w:color w:val="auto"/>
                <w:highlight w:val="none"/>
              </w:rPr>
            </w:pPr>
            <w:r>
              <w:rPr>
                <w:rFonts w:hint="eastAsia" w:ascii="宋体" w:hAnsi="宋体" w:eastAsia="宋体" w:cs="宋体"/>
                <w:color w:val="auto"/>
                <w:szCs w:val="21"/>
                <w:highlight w:val="none"/>
              </w:rPr>
              <w:t>安全负责人</w:t>
            </w:r>
          </w:p>
        </w:tc>
        <w:tc>
          <w:tcPr>
            <w:tcW w:w="855" w:type="dxa"/>
            <w:vAlign w:val="top"/>
          </w:tcPr>
          <w:p w14:paraId="206FC894">
            <w:pPr>
              <w:widowControl/>
              <w:spacing w:line="280" w:lineRule="exact"/>
              <w:jc w:val="center"/>
              <w:rPr>
                <w:rFonts w:hint="eastAsia" w:ascii="宋体" w:hAnsi="宋体" w:eastAsia="宋体" w:cs="宋体"/>
                <w:b/>
                <w:color w:val="auto"/>
                <w:sz w:val="32"/>
                <w:szCs w:val="32"/>
                <w:highlight w:val="none"/>
                <w:vertAlign w:val="baseline"/>
                <w:lang w:val="en-US"/>
              </w:rPr>
            </w:pPr>
            <w:r>
              <w:rPr>
                <w:rFonts w:hint="eastAsia" w:ascii="宋体" w:hAnsi="宋体" w:eastAsia="宋体" w:cs="宋体"/>
                <w:color w:val="auto"/>
                <w:szCs w:val="21"/>
                <w:highlight w:val="none"/>
                <w:lang w:val="en-US" w:eastAsia="zh-CN"/>
              </w:rPr>
              <w:t>10</w:t>
            </w:r>
          </w:p>
        </w:tc>
        <w:tc>
          <w:tcPr>
            <w:tcW w:w="10320" w:type="dxa"/>
            <w:vAlign w:val="top"/>
          </w:tcPr>
          <w:p w14:paraId="3B6BFF7F">
            <w:pPr>
              <w:rPr>
                <w:rFonts w:hint="eastAsia" w:ascii="宋体" w:hAnsi="宋体" w:eastAsia="宋体" w:cs="宋体"/>
                <w:b/>
                <w:color w:val="auto"/>
                <w:sz w:val="32"/>
                <w:szCs w:val="32"/>
                <w:highlight w:val="none"/>
                <w:vertAlign w:val="baseline"/>
              </w:rPr>
            </w:pPr>
            <w:r>
              <w:rPr>
                <w:rFonts w:hint="eastAsia" w:ascii="宋体" w:hAnsi="宋体" w:eastAsia="宋体" w:cs="宋体"/>
                <w:color w:val="auto"/>
                <w:szCs w:val="21"/>
                <w:highlight w:val="none"/>
              </w:rPr>
              <w:t>从业能力：具有安全工程专业中级或以上技术职称或市政公用工程类专业中级或以上技术职称，且具有安全生产考核合格证（B类）或安全生产考核合格证（C类）或建筑施工企业项目负责人安全生产考核合格证书或建筑施工企业专职安全生产管理人员安全生产考核合格证书（C3），得</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5E4B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Merge w:val="continue"/>
            <w:vAlign w:val="top"/>
          </w:tcPr>
          <w:p w14:paraId="01AE5819">
            <w:pPr>
              <w:spacing w:line="280" w:lineRule="exact"/>
              <w:rPr>
                <w:rFonts w:hint="eastAsia" w:ascii="宋体" w:hAnsi="宋体" w:eastAsia="宋体" w:cs="宋体"/>
                <w:b/>
                <w:color w:val="auto"/>
                <w:sz w:val="32"/>
                <w:szCs w:val="32"/>
                <w:highlight w:val="none"/>
                <w:vertAlign w:val="baseline"/>
              </w:rPr>
            </w:pPr>
          </w:p>
        </w:tc>
        <w:tc>
          <w:tcPr>
            <w:tcW w:w="675" w:type="dxa"/>
            <w:vMerge w:val="continue"/>
            <w:vAlign w:val="top"/>
          </w:tcPr>
          <w:p w14:paraId="0A55E37F">
            <w:pPr>
              <w:widowControl/>
              <w:spacing w:line="280" w:lineRule="exact"/>
              <w:jc w:val="left"/>
              <w:rPr>
                <w:rFonts w:hint="eastAsia" w:ascii="宋体" w:hAnsi="宋体" w:eastAsia="宋体" w:cs="宋体"/>
                <w:b/>
                <w:color w:val="auto"/>
                <w:sz w:val="32"/>
                <w:szCs w:val="32"/>
                <w:highlight w:val="none"/>
                <w:vertAlign w:val="baseline"/>
              </w:rPr>
            </w:pPr>
          </w:p>
        </w:tc>
        <w:tc>
          <w:tcPr>
            <w:tcW w:w="855" w:type="dxa"/>
            <w:vAlign w:val="top"/>
          </w:tcPr>
          <w:p w14:paraId="0A2D6B32">
            <w:pPr>
              <w:widowControl/>
              <w:spacing w:line="280" w:lineRule="exact"/>
              <w:jc w:val="left"/>
              <w:rPr>
                <w:rFonts w:hint="eastAsia" w:ascii="宋体" w:hAnsi="宋体" w:eastAsia="宋体" w:cs="宋体"/>
                <w:color w:val="auto"/>
                <w:highlight w:val="none"/>
              </w:rPr>
            </w:pPr>
            <w:r>
              <w:rPr>
                <w:rFonts w:hint="eastAsia" w:ascii="宋体" w:hAnsi="宋体" w:eastAsia="宋体" w:cs="宋体"/>
                <w:color w:val="auto"/>
                <w:szCs w:val="21"/>
                <w:highlight w:val="none"/>
              </w:rPr>
              <w:t>造价负责人</w:t>
            </w:r>
          </w:p>
        </w:tc>
        <w:tc>
          <w:tcPr>
            <w:tcW w:w="855" w:type="dxa"/>
            <w:vAlign w:val="top"/>
          </w:tcPr>
          <w:p w14:paraId="5CC92FC8">
            <w:pPr>
              <w:widowControl/>
              <w:spacing w:line="280" w:lineRule="exact"/>
              <w:jc w:val="center"/>
              <w:rPr>
                <w:rFonts w:hint="eastAsia" w:ascii="宋体" w:hAnsi="宋体" w:eastAsia="宋体" w:cs="宋体"/>
                <w:b/>
                <w:color w:val="auto"/>
                <w:sz w:val="32"/>
                <w:szCs w:val="32"/>
                <w:highlight w:val="none"/>
                <w:vertAlign w:val="baseline"/>
                <w:lang w:val="en-US"/>
              </w:rPr>
            </w:pPr>
            <w:r>
              <w:rPr>
                <w:rFonts w:hint="eastAsia" w:ascii="宋体" w:hAnsi="宋体" w:eastAsia="宋体" w:cs="宋体"/>
                <w:color w:val="auto"/>
                <w:szCs w:val="21"/>
                <w:highlight w:val="none"/>
                <w:lang w:val="en-US" w:eastAsia="zh-CN"/>
              </w:rPr>
              <w:t>10</w:t>
            </w:r>
          </w:p>
        </w:tc>
        <w:tc>
          <w:tcPr>
            <w:tcW w:w="10320" w:type="dxa"/>
            <w:vAlign w:val="top"/>
          </w:tcPr>
          <w:p w14:paraId="699CF9A8">
            <w:pPr>
              <w:rPr>
                <w:rFonts w:hint="eastAsia" w:ascii="宋体" w:hAnsi="宋体" w:eastAsia="宋体" w:cs="宋体"/>
                <w:b/>
                <w:color w:val="auto"/>
                <w:sz w:val="32"/>
                <w:szCs w:val="32"/>
                <w:highlight w:val="none"/>
                <w:vertAlign w:val="baseline"/>
              </w:rPr>
            </w:pPr>
            <w:r>
              <w:rPr>
                <w:rFonts w:hint="eastAsia" w:ascii="宋体" w:hAnsi="宋体" w:eastAsia="宋体" w:cs="宋体"/>
                <w:color w:val="auto"/>
                <w:szCs w:val="21"/>
                <w:highlight w:val="none"/>
              </w:rPr>
              <w:t>从业能力：具有有效的注册造价师（或一级注册造价师）证书、或具有工程造价类专业副高级或以上技术职称，得</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6DAD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5" w:type="dxa"/>
            <w:gridSpan w:val="4"/>
            <w:vAlign w:val="top"/>
          </w:tcPr>
          <w:p w14:paraId="6CBBDED2">
            <w:pPr>
              <w:widowControl/>
              <w:spacing w:line="280" w:lineRule="exact"/>
              <w:jc w:val="center"/>
              <w:rPr>
                <w:rFonts w:hint="eastAsia" w:ascii="宋体" w:hAnsi="宋体" w:eastAsia="宋体" w:cs="宋体"/>
                <w:b/>
                <w:color w:val="auto"/>
                <w:sz w:val="32"/>
                <w:szCs w:val="32"/>
                <w:highlight w:val="none"/>
                <w:vertAlign w:val="baseline"/>
              </w:rPr>
            </w:pPr>
          </w:p>
        </w:tc>
        <w:tc>
          <w:tcPr>
            <w:tcW w:w="10320" w:type="dxa"/>
            <w:vAlign w:val="top"/>
          </w:tcPr>
          <w:p w14:paraId="58088E26">
            <w:pPr>
              <w:rPr>
                <w:rFonts w:hint="eastAsia" w:ascii="宋体" w:hAnsi="宋体" w:eastAsia="宋体" w:cs="宋体"/>
                <w:color w:val="auto"/>
                <w:highlight w:val="none"/>
              </w:rPr>
            </w:pPr>
            <w:r>
              <w:rPr>
                <w:rFonts w:hint="eastAsia" w:ascii="宋体" w:hAnsi="宋体" w:eastAsia="宋体" w:cs="宋体"/>
                <w:color w:val="auto"/>
                <w:highlight w:val="none"/>
              </w:rPr>
              <w:t>注：①上述人员须提供身份证、毕业证书（大学专科（或以上）学历）及投标截止前一个月（</w:t>
            </w:r>
            <w:r>
              <w:rPr>
                <w:rFonts w:hint="eastAsia" w:ascii="宋体" w:hAnsi="宋体" w:eastAsia="宋体" w:cs="宋体"/>
                <w:color w:val="auto"/>
                <w:highlight w:val="none"/>
                <w:u w:val="single"/>
                <w:lang w:val="en-US" w:eastAsia="zh-CN"/>
              </w:rPr>
              <w:t>2026</w:t>
            </w:r>
            <w:r>
              <w:rPr>
                <w:rFonts w:hint="eastAsia" w:ascii="宋体" w:hAnsi="宋体" w:eastAsia="宋体" w:cs="宋体"/>
                <w:color w:val="auto"/>
                <w:highlight w:val="none"/>
              </w:rPr>
              <w:t>年</w:t>
            </w: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或2026年3月</w:t>
            </w:r>
            <w:r>
              <w:rPr>
                <w:rFonts w:hint="eastAsia" w:ascii="宋体" w:hAnsi="宋体" w:eastAsia="宋体" w:cs="宋体"/>
                <w:color w:val="auto"/>
                <w:highlight w:val="none"/>
              </w:rPr>
              <w:t>）有效社保证明，且须按相应要求提供职称证、有效期内的注册证及有效期内的安全生产考核合格证（B类）或安全生产考核合格证（C类）或或建筑施工企业项目负责人安全生产考核合格证书或建筑施工企业专职安全生产管理人员安全生产考核合格证书（C3），所有资料为扫描件并加盖投标人电子公章；</w:t>
            </w:r>
          </w:p>
          <w:p w14:paraId="77551E98">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②项目负责人、技术负责人、质量负责人、安全负责人、造价负责人不得兼任，且安全负责人不能同时兼任专职安全员。</w:t>
            </w:r>
          </w:p>
          <w:p w14:paraId="435AC13A">
            <w:pPr>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③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14:paraId="2793CFFA">
            <w:pPr>
              <w:ind w:firstLine="420" w:firstLineChars="200"/>
              <w:rPr>
                <w:rFonts w:hint="eastAsia" w:ascii="宋体" w:hAnsi="宋体" w:eastAsia="宋体" w:cs="宋体"/>
                <w:b/>
                <w:color w:val="auto"/>
                <w:sz w:val="32"/>
                <w:szCs w:val="32"/>
                <w:highlight w:val="none"/>
                <w:vertAlign w:val="baseline"/>
              </w:rPr>
            </w:pPr>
            <w:r>
              <w:rPr>
                <w:rFonts w:hint="eastAsia" w:ascii="宋体" w:hAnsi="宋体" w:eastAsia="宋体" w:cs="宋体"/>
                <w:color w:val="auto"/>
                <w:highlight w:val="none"/>
              </w:rPr>
              <w:t>④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tc>
      </w:tr>
      <w:tr w14:paraId="2B77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Merge w:val="restart"/>
            <w:vAlign w:val="top"/>
          </w:tcPr>
          <w:p w14:paraId="26154176">
            <w:pPr>
              <w:spacing w:line="280" w:lineRule="exact"/>
              <w:jc w:val="left"/>
              <w:rPr>
                <w:rFonts w:hint="eastAsia" w:ascii="宋体" w:hAnsi="宋体" w:eastAsia="宋体" w:cs="宋体"/>
                <w:b/>
                <w:color w:val="auto"/>
                <w:sz w:val="32"/>
                <w:szCs w:val="32"/>
                <w:highlight w:val="none"/>
                <w:vertAlign w:val="baseline"/>
              </w:rPr>
            </w:pP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、企业资信（20分）</w:t>
            </w:r>
          </w:p>
        </w:tc>
        <w:tc>
          <w:tcPr>
            <w:tcW w:w="1530" w:type="dxa"/>
            <w:gridSpan w:val="2"/>
            <w:vAlign w:val="top"/>
          </w:tcPr>
          <w:p w14:paraId="46DE0833">
            <w:pPr>
              <w:widowControl/>
              <w:spacing w:line="280" w:lineRule="exact"/>
              <w:jc w:val="left"/>
              <w:rPr>
                <w:rFonts w:hint="eastAsia" w:ascii="宋体" w:hAnsi="宋体" w:eastAsia="宋体" w:cs="宋体"/>
                <w:b/>
                <w:color w:val="auto"/>
                <w:sz w:val="32"/>
                <w:szCs w:val="32"/>
                <w:highlight w:val="none"/>
                <w:vertAlign w:val="baseline"/>
              </w:rPr>
            </w:pPr>
            <w:r>
              <w:rPr>
                <w:rFonts w:hint="eastAsia" w:ascii="宋体" w:hAnsi="宋体" w:eastAsia="宋体" w:cs="宋体"/>
                <w:color w:val="auto"/>
                <w:szCs w:val="21"/>
                <w:highlight w:val="none"/>
              </w:rPr>
              <w:t>企业类似工程业绩</w:t>
            </w:r>
          </w:p>
        </w:tc>
        <w:tc>
          <w:tcPr>
            <w:tcW w:w="855" w:type="dxa"/>
            <w:vAlign w:val="top"/>
          </w:tcPr>
          <w:p w14:paraId="49305E14">
            <w:pPr>
              <w:widowControl/>
              <w:spacing w:line="280" w:lineRule="exact"/>
              <w:jc w:val="center"/>
              <w:rPr>
                <w:rFonts w:hint="eastAsia" w:ascii="宋体" w:hAnsi="宋体" w:eastAsia="宋体" w:cs="宋体"/>
                <w:b/>
                <w:color w:val="auto"/>
                <w:sz w:val="32"/>
                <w:szCs w:val="32"/>
                <w:highlight w:val="none"/>
                <w:vertAlign w:val="baseli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p>
        </w:tc>
        <w:tc>
          <w:tcPr>
            <w:tcW w:w="10320" w:type="dxa"/>
            <w:vAlign w:val="top"/>
          </w:tcPr>
          <w:p w14:paraId="198C67EE">
            <w:pPr>
              <w:rPr>
                <w:rFonts w:hint="eastAsia" w:ascii="宋体" w:hAnsi="宋体" w:eastAsia="宋体" w:cs="宋体"/>
                <w:b/>
                <w:color w:val="auto"/>
                <w:sz w:val="32"/>
                <w:szCs w:val="32"/>
                <w:highlight w:val="none"/>
                <w:vertAlign w:val="baseline"/>
              </w:rPr>
            </w:pPr>
            <w:r>
              <w:rPr>
                <w:rFonts w:hint="eastAsia" w:ascii="宋体" w:hAnsi="宋体" w:eastAsia="宋体" w:cs="宋体"/>
                <w:color w:val="auto"/>
                <w:szCs w:val="21"/>
                <w:highlight w:val="none"/>
              </w:rPr>
              <w:t>投标人自</w:t>
            </w:r>
            <w:r>
              <w:rPr>
                <w:rFonts w:hint="eastAsia" w:ascii="宋体" w:hAnsi="宋体" w:eastAsia="宋体" w:cs="宋体"/>
                <w:color w:val="auto"/>
                <w:szCs w:val="21"/>
                <w:highlight w:val="none"/>
                <w:u w:val="single"/>
                <w:lang w:val="en-US" w:eastAsia="zh-CN"/>
              </w:rPr>
              <w:t>2023</w:t>
            </w:r>
            <w:r>
              <w:rPr>
                <w:rFonts w:hint="eastAsia" w:ascii="宋体" w:hAnsi="宋体" w:eastAsia="宋体" w:cs="宋体"/>
                <w:color w:val="auto"/>
                <w:szCs w:val="21"/>
                <w:highlight w:val="none"/>
              </w:rPr>
              <w:t>年1月1日至今完成过质量合格的且工程造价金额大于或等于</w:t>
            </w:r>
            <w:r>
              <w:rPr>
                <w:rFonts w:hint="eastAsia" w:ascii="宋体" w:hAnsi="宋体" w:eastAsia="宋体" w:cs="宋体"/>
                <w:color w:val="auto"/>
                <w:szCs w:val="21"/>
                <w:highlight w:val="none"/>
                <w:u w:val="single"/>
                <w:lang w:val="en-US" w:eastAsia="zh-CN"/>
              </w:rPr>
              <w:t>3900</w:t>
            </w:r>
            <w:r>
              <w:rPr>
                <w:rFonts w:hint="eastAsia" w:ascii="宋体" w:hAnsi="宋体" w:eastAsia="宋体" w:cs="宋体"/>
                <w:color w:val="auto"/>
                <w:szCs w:val="21"/>
                <w:highlight w:val="none"/>
              </w:rPr>
              <w:t>万元</w:t>
            </w:r>
            <w:r>
              <w:rPr>
                <w:rFonts w:hint="eastAsia" w:ascii="宋体" w:hAnsi="宋体" w:eastAsia="宋体" w:cs="宋体"/>
                <w:color w:val="auto"/>
                <w:highlight w:val="none"/>
              </w:rPr>
              <w:t>的</w:t>
            </w:r>
            <w:r>
              <w:rPr>
                <w:rFonts w:hint="eastAsia" w:ascii="宋体" w:hAnsi="宋体" w:eastAsia="宋体" w:cs="宋体"/>
                <w:color w:val="auto"/>
                <w:szCs w:val="21"/>
                <w:highlight w:val="none"/>
              </w:rPr>
              <w:t>市政公用工</w:t>
            </w:r>
            <w:r>
              <w:rPr>
                <w:rFonts w:hint="eastAsia" w:ascii="宋体" w:hAnsi="宋体" w:eastAsia="宋体" w:cs="宋体"/>
                <w:color w:val="auto"/>
                <w:szCs w:val="21"/>
                <w:highlight w:val="none"/>
                <w:u w:val="none"/>
              </w:rPr>
              <w:t>程施工总承包或工程总承包施工部分业绩</w:t>
            </w:r>
            <w:r>
              <w:rPr>
                <w:rFonts w:hint="eastAsia" w:ascii="宋体" w:hAnsi="宋体" w:eastAsia="宋体" w:cs="宋体"/>
                <w:color w:val="auto"/>
                <w:szCs w:val="21"/>
                <w:highlight w:val="none"/>
              </w:rPr>
              <w:t>一项得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分，最多得1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p>
        </w:tc>
      </w:tr>
      <w:tr w14:paraId="05F6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Merge w:val="continue"/>
            <w:vAlign w:val="top"/>
          </w:tcPr>
          <w:p w14:paraId="3E058F2A">
            <w:pPr>
              <w:spacing w:line="280" w:lineRule="exact"/>
              <w:jc w:val="center"/>
              <w:rPr>
                <w:rFonts w:hint="eastAsia" w:ascii="宋体" w:hAnsi="宋体" w:eastAsia="宋体" w:cs="宋体"/>
                <w:color w:val="auto"/>
                <w:szCs w:val="21"/>
                <w:highlight w:val="none"/>
                <w:lang w:val="en-US" w:eastAsia="zh-CN"/>
              </w:rPr>
            </w:pPr>
          </w:p>
        </w:tc>
        <w:tc>
          <w:tcPr>
            <w:tcW w:w="1530" w:type="dxa"/>
            <w:gridSpan w:val="2"/>
            <w:shd w:val="clear" w:color="auto" w:fill="auto"/>
            <w:vAlign w:val="center"/>
          </w:tcPr>
          <w:p w14:paraId="462B138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企业工程项目获奖情况</w:t>
            </w:r>
          </w:p>
        </w:tc>
        <w:tc>
          <w:tcPr>
            <w:tcW w:w="855" w:type="dxa"/>
            <w:shd w:val="clear" w:color="auto" w:fill="auto"/>
            <w:vAlign w:val="center"/>
          </w:tcPr>
          <w:p w14:paraId="1CD6CEF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6</w:t>
            </w:r>
          </w:p>
        </w:tc>
        <w:tc>
          <w:tcPr>
            <w:tcW w:w="10320" w:type="dxa"/>
            <w:shd w:val="clear" w:color="auto" w:fill="auto"/>
            <w:vAlign w:val="center"/>
          </w:tcPr>
          <w:p w14:paraId="090E7B11">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投标人自</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年1月1日至今获得市政公用工程的奖项，获得省级（含自治区、直辖市）或以上的每项得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分，市级的每项得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分；最多得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62DC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Merge w:val="continue"/>
            <w:vAlign w:val="top"/>
          </w:tcPr>
          <w:p w14:paraId="7A629168">
            <w:pPr>
              <w:spacing w:line="280" w:lineRule="exact"/>
              <w:jc w:val="center"/>
              <w:rPr>
                <w:rFonts w:hint="eastAsia" w:ascii="宋体" w:hAnsi="宋体" w:eastAsia="宋体" w:cs="宋体"/>
                <w:color w:val="auto"/>
                <w:szCs w:val="21"/>
                <w:highlight w:val="none"/>
                <w:lang w:val="en-US" w:eastAsia="zh-CN"/>
              </w:rPr>
            </w:pPr>
          </w:p>
        </w:tc>
        <w:tc>
          <w:tcPr>
            <w:tcW w:w="1530" w:type="dxa"/>
            <w:gridSpan w:val="2"/>
            <w:vAlign w:val="top"/>
          </w:tcPr>
          <w:p w14:paraId="4E30A51D">
            <w:pPr>
              <w:widowControl/>
              <w:spacing w:line="2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第三方评价</w:t>
            </w:r>
          </w:p>
        </w:tc>
        <w:tc>
          <w:tcPr>
            <w:tcW w:w="855" w:type="dxa"/>
            <w:vAlign w:val="top"/>
          </w:tcPr>
          <w:p w14:paraId="22DD8352">
            <w:pPr>
              <w:widowControl/>
              <w:spacing w:line="2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0320" w:type="dxa"/>
            <w:vAlign w:val="top"/>
          </w:tcPr>
          <w:p w14:paraId="77EBD615">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2023</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至今获得过税务机关评定的“A级纳税人”称号得4分；获得过税务机关评定的“B级纳税人”称号得2分；获得过税务机关评定的“M级纳税人”称号得1分。最多得4分。</w:t>
            </w:r>
          </w:p>
        </w:tc>
      </w:tr>
      <w:tr w14:paraId="0010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gridSpan w:val="3"/>
            <w:vAlign w:val="top"/>
          </w:tcPr>
          <w:p w14:paraId="1B2EC165">
            <w:pPr>
              <w:widowControl/>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合计（一+二）</w:t>
            </w:r>
          </w:p>
        </w:tc>
        <w:tc>
          <w:tcPr>
            <w:tcW w:w="855" w:type="dxa"/>
            <w:vAlign w:val="top"/>
          </w:tcPr>
          <w:p w14:paraId="4306AC70">
            <w:pPr>
              <w:widowControl/>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100</w:t>
            </w:r>
          </w:p>
        </w:tc>
        <w:tc>
          <w:tcPr>
            <w:tcW w:w="10320" w:type="dxa"/>
            <w:vAlign w:val="top"/>
          </w:tcPr>
          <w:p w14:paraId="078457DD">
            <w:pPr>
              <w:widowControl/>
              <w:jc w:val="center"/>
              <w:rPr>
                <w:rFonts w:hint="eastAsia" w:ascii="宋体" w:hAnsi="宋体" w:cs="宋体"/>
                <w:color w:val="auto"/>
                <w:szCs w:val="21"/>
                <w:highlight w:val="none"/>
              </w:rPr>
            </w:pPr>
          </w:p>
        </w:tc>
      </w:tr>
    </w:tbl>
    <w:p w14:paraId="74FB89A5">
      <w:pPr>
        <w:pStyle w:val="223"/>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备注</w:t>
      </w:r>
      <w:r>
        <w:rPr>
          <w:rFonts w:hint="eastAsia" w:ascii="宋体" w:hAnsi="宋体" w:eastAsia="宋体" w:cs="宋体"/>
          <w:color w:val="auto"/>
          <w:sz w:val="21"/>
          <w:szCs w:val="21"/>
          <w:highlight w:val="none"/>
        </w:rPr>
        <w:t>：</w:t>
      </w:r>
    </w:p>
    <w:p w14:paraId="70DC77B9">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评委对业绩认定意见不一致时，则由招标人解释招标文件后，评委讨论业绩认定标准；经讨论后标准仍不一致时，则按少数服从多数处理。按少数服从多数仍不能形成一致意见时，对评标结果有不同意见的评标委员会成员应当以书面形式说明其不同意见和理由，评标报告应当注明该不同意见。评标委员会成员拒绝在评标报告上签字又不书面说明其不同意见和理由的，视为同意评标结果。 </w:t>
      </w:r>
    </w:p>
    <w:p w14:paraId="3925915D">
      <w:pPr>
        <w:pStyle w:val="223"/>
        <w:ind w:firstLine="36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2.项目负责人业绩：</w:t>
      </w:r>
    </w:p>
    <w:p w14:paraId="03EBD507">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需提供相关证明材料。其中：工程总承包业绩包括勘察设计施工总承包或设计施工总承包或设计采购施工总承包或勘察设计采购施工总承包业绩等。投标人须提供业绩的中标通知书或免招标的相关证明、施工合同或工程总承包合同（不含补充合同）、竣工验收证明文件（验收文件至少具有建设单位、设计、施工和监理单位盖章）。完成时间以竣工验收证明材料为准。业绩金额以业绩中标通知书为准，若中标通知书没有显示中标金额或免招标的，以施工合同或工程总承包合同的施工费合同金额为准（不含补充合同）。上述资料显示的内容须一致且工程业绩须为</w:t>
      </w:r>
      <w:r>
        <w:rPr>
          <w:rFonts w:hint="eastAsia" w:ascii="宋体" w:hAnsi="宋体" w:eastAsia="宋体" w:cs="宋体"/>
          <w:color w:val="auto"/>
          <w:szCs w:val="21"/>
          <w:highlight w:val="none"/>
          <w:u w:val="none"/>
        </w:rPr>
        <w:t>市政公用工程施工总承包</w:t>
      </w:r>
      <w:r>
        <w:rPr>
          <w:rFonts w:hint="eastAsia" w:ascii="宋体" w:hAnsi="宋体" w:eastAsia="宋体" w:cs="宋体"/>
          <w:color w:val="auto"/>
          <w:szCs w:val="21"/>
          <w:highlight w:val="none"/>
        </w:rPr>
        <w:t>资质方能承接的业绩。竣工验收文件须有对应职位及该人员的姓名（如竣工文件无对应职位及该人员姓名的，则投标人需提供体现该人员以对应职位参与过该项目的其他经建设单位盖章确认的证明材料扫描件并加盖投标人电子印章，无提供证明材料不计分）。不符合上述条件或提供的资料不齐全的业绩不予评审。评标委员会对业绩的评审以投标人提供的完整的证明资料为依据（提供相关证明材料的，中标单位须准备相关证明材料的原件待查，如原件不齐或与投标文件不符的，招标人有权取消其中标人资格，并上报建设行政主管部门）。其中，市政公用工程包括：给水工程、排水工程、燃气工程、热力工程、城市道路工程、城市桥梁工程、城市隧道工程（指城市规划区内的穿山过江隧道、地铁隧道、地下交通工程、地下过街通道）、公共交通工程、轨道交通工程、环境卫生工程、照明工程、绿化工程。</w:t>
      </w:r>
    </w:p>
    <w:p w14:paraId="54E9ECEA">
      <w:pPr>
        <w:pStyle w:val="223"/>
        <w:ind w:firstLine="420"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3.企业类似工程业绩：</w:t>
      </w:r>
    </w:p>
    <w:p w14:paraId="551964D2">
      <w:pPr>
        <w:pStyle w:val="223"/>
        <w:ind w:firstLine="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需提供相关证明材料。其中：工程总承包业绩包括勘察设计施工总承包或设计施工总承包或设计采购施工总承包或勘察设计采购施工总承包业绩等。投标人须提供业绩的中标通知书或免招标的相关证明、施工合同或工程总承包合同（不含补充合同）、竣工验收证明文件（验收文件至少具有建设单位、设计、施工和监理单位盖章）。完成时间以竣工验收证明材料为准。业绩金额以业绩中标通知书为准，若中标通知书没有显示中标金额或免招标的，以施工合同或工程总承包合同的施工费合同金额为准（不含补充合同）。上述资料显示的内容须一致且工程业绩须为市政公用工程施工总承包资质方能承接的业绩。不符合上述条件或提供的资料不齐全的业绩不予评审。评标委员会对业绩的评审以投标人提供的完整的证明资料为依据（提供相关证明材料的，中标单位须准备相关证明材料的原件待查，如原件不齐或与投标文件不符的，招标人有权取消其中标人资格，并上报建设行政主管部门）。其中，市政公用工程包括：给水工程、排水工程、燃气工程、热力工程、城市道路工程、城市桥梁工程、城市隧道工程（指城市规划区内的穿山过江隧道、地铁隧道、地下交通工程、地下过街通道）、公共交通工程、轨道交通工程、环境卫生工程、照明工程、绿化工程。</w:t>
      </w:r>
    </w:p>
    <w:p w14:paraId="3EA43432">
      <w:pPr>
        <w:pStyle w:val="223"/>
        <w:ind w:firstLine="36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4.企业工程项目获奖情况：</w:t>
      </w:r>
    </w:p>
    <w:p w14:paraId="029BEFE3">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只评质量奖项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需提供获奖网页信息截图(需显示网址）及奖项证书扫描件，时间以发证时间为准，并提供可明确该质量奖项背景项目为市政公用工程项目证明材料（如招标公告或其他证明材料）。其中国家级奖项包括：中国建设工程鲁班奖、国家优质工程金奖、国家优质工程奖、中国土木工程詹天佑奖；省级（含自治区、直辖市）奖项是指由省级（含自治区、直辖市）建设行政主管部门或行业协会颁发的工程质量类奖项。同一项目按最高级别奖项只计一次得分，以证书发证日期为准。若颁发机构非政府相关部门，还需提供该组织在“中国社会组织政务服务平台（全国社会组织信用信息公示平台）”网站（https://xxgs.chinanpo.mca.gov.cn/gsxt/newList）（注：平台名称及网址若有更新，以最新发布的为准。）“社会组织”栏查询结果网页截图（需显示网址），同时须提供其查询结果必须为“正常”，证明其有登记备案。其中，市政公用工程包括：给水工程、排水工程、燃气工程、热力工程、城市道路工程、城市桥梁工程、城市隧道工程（指城市规划区内的穿山过江隧道、地铁隧道、地下交通工程、地下过街通道）、公共交通工程、轨道交通工程、环境卫生工程、照明工程、绿化工程。</w:t>
      </w:r>
    </w:p>
    <w:p w14:paraId="2357E150">
      <w:pPr>
        <w:pStyle w:val="223"/>
        <w:ind w:firstLine="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不符合条件的奖项不计分。</w:t>
      </w:r>
    </w:p>
    <w:p w14:paraId="168F29E6">
      <w:pP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5</w:t>
      </w:r>
      <w:r>
        <w:rPr>
          <w:rFonts w:hint="eastAsia" w:ascii="宋体" w:hAnsi="宋体" w:eastAsia="宋体" w:cs="宋体"/>
          <w:b/>
          <w:bCs/>
          <w:color w:val="auto"/>
          <w:szCs w:val="21"/>
          <w:highlight w:val="none"/>
        </w:rPr>
        <w:t>.第三方评价：</w:t>
      </w:r>
    </w:p>
    <w:p w14:paraId="1D203487">
      <w:pPr>
        <w:pStyle w:val="223"/>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信用A级纳税人”须提供国家税务总局官网（http://www.chinatax.gov.cn/）“纳税信用A级纳税人名单公布栏”查询结果网页截图或其省级（含自治区、直辖市）税务局官网“纳税信用A级纳税人名单公布栏”查询结果网页截图。时间以国家税务总局或其省级（含自治区、直辖市）税务局网站纳税信用信息查询结果的网页截图公布的评价年度为准。“B级纳税人”和“M级纳税人”须提供证书扫描件或须提供在电子税务局系统上查询的年度纳税信用证明信息扫描件。时间以证书或网页截图公布的评价年度为准。若投标人满足多个档次的，按最高档计分一次，不累计。上述资料显示的纳税人全称须与投标人名称一致，否则不得分。不满足上述要求或无提交上述资料不得分。</w:t>
      </w:r>
    </w:p>
    <w:p w14:paraId="7DF649C5">
      <w:pPr>
        <w:pStyle w:val="223"/>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本表按百分制评分，所有评委每个分项的分数汇总后去掉一个最高分和一个最低分的算术平均值为投标人的最终得分。分数出现小数点，保留小数点后二位小数，第三位小数四舍五入,若投标人满足多个档次的，按最高档计分一次，不累计。</w:t>
      </w:r>
    </w:p>
    <w:p w14:paraId="6C78F4F6">
      <w:pPr>
        <w:pStyle w:val="223"/>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.项目管理机构人员不得兼任。</w:t>
      </w:r>
    </w:p>
    <w:p w14:paraId="775A7EDE">
      <w:pPr>
        <w:pStyle w:val="223"/>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rPr>
        <w:t>.除了项目组织管理机构能力可计算投标人的分公司（不具备独立法人）或投标人的分支机构（不具备独立法人）外，评分表内其他评分项目只计算投标人自身（不计算投标人的分公司、子公司和分支机构），否则不得分。</w:t>
      </w:r>
    </w:p>
    <w:p w14:paraId="65C21471">
      <w:pPr>
        <w:pStyle w:val="223"/>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9</w:t>
      </w:r>
      <w:r>
        <w:rPr>
          <w:rFonts w:hint="eastAsia" w:ascii="宋体" w:hAnsi="宋体" w:eastAsia="宋体" w:cs="宋体"/>
          <w:color w:val="auto"/>
          <w:sz w:val="21"/>
          <w:szCs w:val="21"/>
          <w:highlight w:val="none"/>
          <w:u w:val="none"/>
        </w:rPr>
        <w:t>.若为联合体，评分内容只计算主办方得分。</w:t>
      </w:r>
    </w:p>
    <w:p w14:paraId="58F9ED7C">
      <w:pPr>
        <w:pStyle w:val="223"/>
        <w:widowControl/>
        <w:ind w:firstLine="420"/>
        <w:jc w:val="left"/>
        <w:outlineLvl w:val="2"/>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.投标人提供的网页信息截图或证明材料扫描件内容必须清晰可辨，如因网页信息截图或证明材料扫描件内容模糊导致评标时无法判断的，后果由投标人自负。</w:t>
      </w:r>
    </w:p>
    <w:p w14:paraId="7F2C87D7">
      <w:pPr>
        <w:widowControl/>
        <w:spacing w:line="360" w:lineRule="auto"/>
        <w:jc w:val="left"/>
        <w:outlineLvl w:val="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附表五：</w:t>
      </w:r>
    </w:p>
    <w:p w14:paraId="0ED76C68">
      <w:pPr>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经济标评分表</w:t>
      </w:r>
    </w:p>
    <w:p w14:paraId="2B8F2F4C">
      <w:pPr>
        <w:rPr>
          <w:rFonts w:ascii="宋体" w:hAnsi="宋体" w:eastAsia="宋体" w:cs="宋体"/>
          <w:color w:val="auto"/>
          <w:szCs w:val="21"/>
          <w:highlight w:val="none"/>
        </w:rPr>
      </w:pPr>
      <w:r>
        <w:rPr>
          <w:rFonts w:hint="eastAsia" w:ascii="宋体" w:hAnsi="宋体" w:eastAsia="宋体" w:cs="宋体"/>
          <w:color w:val="auto"/>
          <w:szCs w:val="21"/>
          <w:highlight w:val="none"/>
        </w:rPr>
        <w:t>招标项目名称：</w:t>
      </w:r>
    </w:p>
    <w:tbl>
      <w:tblPr>
        <w:tblStyle w:val="50"/>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14:paraId="34E6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14:paraId="154B4646">
            <w:pPr>
              <w:rPr>
                <w:rFonts w:ascii="宋体" w:hAnsi="宋体" w:eastAsia="宋体"/>
                <w:color w:val="auto"/>
                <w:szCs w:val="21"/>
                <w:highlight w:val="none"/>
              </w:rPr>
            </w:pPr>
            <w:r>
              <w:rPr>
                <w:rFonts w:hint="eastAsia" w:ascii="宋体" w:hAnsi="宋体" w:eastAsia="宋体"/>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14:paraId="2271AD7E">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2EE54ED">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8AFCD18">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56DF87E">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DA5E866">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6AEB61D">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F873C40">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68B1925">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0310DE6">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4895641">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388A84C">
            <w:pPr>
              <w:rPr>
                <w:rFonts w:ascii="宋体" w:hAnsi="宋体" w:eastAsia="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91138DE">
            <w:pPr>
              <w:rPr>
                <w:rFonts w:ascii="宋体" w:hAnsi="宋体" w:eastAsia="宋体"/>
                <w:color w:val="auto"/>
                <w:szCs w:val="21"/>
                <w:highlight w:val="none"/>
              </w:rPr>
            </w:pPr>
          </w:p>
        </w:tc>
      </w:tr>
      <w:tr w14:paraId="37AE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527E5C60">
            <w:pPr>
              <w:rPr>
                <w:rFonts w:ascii="宋体" w:hAnsi="宋体" w:eastAsia="宋体"/>
                <w:color w:val="auto"/>
                <w:szCs w:val="21"/>
                <w:highlight w:val="none"/>
              </w:rPr>
            </w:pPr>
            <w:r>
              <w:rPr>
                <w:rFonts w:hint="eastAsia" w:ascii="宋体" w:hAnsi="宋体" w:eastAsia="宋体"/>
                <w:color w:val="auto"/>
                <w:szCs w:val="21"/>
                <w:highlight w:val="none"/>
              </w:rPr>
              <w:t>投标报价</w:t>
            </w:r>
            <w:r>
              <w:rPr>
                <w:rFonts w:ascii="宋体" w:hAnsi="宋体" w:eastAsia="宋体"/>
                <w:color w:val="auto"/>
                <w:szCs w:val="21"/>
                <w:highlight w:val="none"/>
              </w:rPr>
              <w:t>PT</w:t>
            </w:r>
            <w:r>
              <w:rPr>
                <w:rFonts w:hint="eastAsia" w:ascii="宋体" w:hAnsi="宋体" w:eastAsia="宋体"/>
                <w:color w:val="auto"/>
                <w:szCs w:val="21"/>
                <w:highlight w:val="none"/>
              </w:rPr>
              <w:t>（元）</w:t>
            </w:r>
          </w:p>
        </w:tc>
        <w:tc>
          <w:tcPr>
            <w:tcW w:w="1031" w:type="dxa"/>
            <w:tcBorders>
              <w:top w:val="single" w:color="auto" w:sz="4" w:space="0"/>
              <w:left w:val="single" w:color="auto" w:sz="4" w:space="0"/>
              <w:bottom w:val="single" w:color="auto" w:sz="4" w:space="0"/>
              <w:right w:val="single" w:color="auto" w:sz="4" w:space="0"/>
            </w:tcBorders>
            <w:vAlign w:val="center"/>
          </w:tcPr>
          <w:p w14:paraId="33812790">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3E3B65F">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DC383F5">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B7D4EDD">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22D54CB">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9FA3147">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2FBA9A3">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229BB5E">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9718566">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6AE9483">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A89741B">
            <w:pPr>
              <w:rPr>
                <w:rFonts w:ascii="宋体" w:hAnsi="宋体" w:eastAsia="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6D13F92">
            <w:pPr>
              <w:rPr>
                <w:rFonts w:ascii="宋体" w:hAnsi="宋体" w:eastAsia="宋体"/>
                <w:color w:val="auto"/>
                <w:szCs w:val="21"/>
                <w:highlight w:val="none"/>
              </w:rPr>
            </w:pPr>
          </w:p>
        </w:tc>
      </w:tr>
      <w:tr w14:paraId="2426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2A5670DA">
            <w:pPr>
              <w:rPr>
                <w:rFonts w:ascii="宋体" w:hAnsi="宋体" w:eastAsia="宋体"/>
                <w:color w:val="auto"/>
                <w:szCs w:val="21"/>
                <w:highlight w:val="none"/>
              </w:rPr>
            </w:pPr>
            <w:r>
              <w:rPr>
                <w:rFonts w:hint="eastAsia" w:ascii="宋体" w:hAnsi="宋体" w:eastAsia="宋体"/>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23ED6620">
            <w:pPr>
              <w:rPr>
                <w:rFonts w:ascii="宋体" w:hAnsi="宋体" w:eastAsia="宋体"/>
                <w:color w:val="auto"/>
                <w:szCs w:val="21"/>
                <w:highlight w:val="none"/>
              </w:rPr>
            </w:pPr>
          </w:p>
        </w:tc>
      </w:tr>
      <w:tr w14:paraId="5DCA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36EC4972">
            <w:pPr>
              <w:rPr>
                <w:rFonts w:ascii="宋体" w:hAnsi="宋体" w:eastAsia="宋体"/>
                <w:color w:val="auto"/>
                <w:szCs w:val="21"/>
                <w:highlight w:val="none"/>
              </w:rPr>
            </w:pPr>
            <w:r>
              <w:rPr>
                <w:rFonts w:hint="eastAsia" w:ascii="宋体" w:hAnsi="宋体" w:eastAsia="宋体"/>
                <w:color w:val="auto"/>
                <w:szCs w:val="21"/>
                <w:highlight w:val="none"/>
              </w:rPr>
              <w:t>偏差（（</w:t>
            </w:r>
            <w:r>
              <w:rPr>
                <w:rFonts w:ascii="宋体" w:hAnsi="宋体" w:eastAsia="宋体"/>
                <w:color w:val="auto"/>
                <w:szCs w:val="21"/>
                <w:highlight w:val="none"/>
              </w:rPr>
              <w:t>PT-PC</w:t>
            </w:r>
            <w:r>
              <w:rPr>
                <w:rFonts w:hint="eastAsia" w:ascii="宋体" w:hAnsi="宋体" w:eastAsia="宋体"/>
                <w:color w:val="auto"/>
                <w:szCs w:val="21"/>
                <w:highlight w:val="none"/>
              </w:rPr>
              <w:t>）</w:t>
            </w:r>
            <w:r>
              <w:rPr>
                <w:rFonts w:ascii="宋体" w:hAnsi="宋体" w:eastAsia="宋体"/>
                <w:color w:val="auto"/>
                <w:szCs w:val="21"/>
                <w:highlight w:val="none"/>
              </w:rPr>
              <w:t>/PC</w:t>
            </w:r>
            <w:r>
              <w:rPr>
                <w:rFonts w:hint="eastAsia" w:ascii="宋体" w:hAnsi="宋体" w:eastAsia="宋体"/>
                <w:color w:val="auto"/>
                <w:szCs w:val="21"/>
                <w:highlight w:val="none"/>
              </w:rPr>
              <w:t>）（</w:t>
            </w:r>
            <w:r>
              <w:rPr>
                <w:rFonts w:ascii="宋体" w:hAnsi="宋体" w:eastAsia="宋体"/>
                <w:color w:val="auto"/>
                <w:szCs w:val="21"/>
                <w:highlight w:val="none"/>
              </w:rPr>
              <w:t>%</w:t>
            </w:r>
            <w:r>
              <w:rPr>
                <w:rFonts w:hint="eastAsia" w:ascii="宋体" w:hAnsi="宋体" w:eastAsia="宋体"/>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14:paraId="266E5329">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B74BB9A">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CCCDCD8">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A2B6EC3">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78DF57F">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C54852A">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DFAA542">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240143B">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ABCB0F0">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CE6E15E">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7B36E6F">
            <w:pPr>
              <w:rPr>
                <w:rFonts w:ascii="宋体" w:hAnsi="宋体" w:eastAsia="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B701582">
            <w:pPr>
              <w:rPr>
                <w:rFonts w:ascii="宋体" w:hAnsi="宋体" w:eastAsia="宋体"/>
                <w:color w:val="auto"/>
                <w:szCs w:val="21"/>
                <w:highlight w:val="none"/>
              </w:rPr>
            </w:pPr>
          </w:p>
        </w:tc>
      </w:tr>
      <w:tr w14:paraId="2EE8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51849EE6">
            <w:pPr>
              <w:rPr>
                <w:rFonts w:ascii="宋体" w:hAnsi="宋体" w:eastAsia="宋体"/>
                <w:color w:val="auto"/>
                <w:szCs w:val="21"/>
                <w:highlight w:val="none"/>
              </w:rPr>
            </w:pPr>
            <w:r>
              <w:rPr>
                <w:rFonts w:hint="eastAsia" w:ascii="宋体" w:hAnsi="宋体" w:eastAsia="宋体"/>
                <w:color w:val="auto"/>
                <w:szCs w:val="21"/>
                <w:highlight w:val="none"/>
              </w:rPr>
              <w:t>减分（</w:t>
            </w:r>
            <w:r>
              <w:rPr>
                <w:rFonts w:ascii="宋体" w:hAnsi="宋体" w:eastAsia="宋体"/>
                <w:color w:val="auto"/>
                <w:szCs w:val="21"/>
                <w:highlight w:val="none"/>
              </w:rPr>
              <w:t>A</w:t>
            </w:r>
            <w:r>
              <w:rPr>
                <w:rFonts w:hint="eastAsia" w:ascii="宋体" w:hAnsi="宋体" w:eastAsia="宋体"/>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14:paraId="0609CF3C">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5A037F1">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B837093">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8B87EC5">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73B991E">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E839DC5">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B4C2FC5">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2FFDA58">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49CF096">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D868853">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E12FB48">
            <w:pPr>
              <w:rPr>
                <w:rFonts w:ascii="宋体" w:hAnsi="宋体" w:eastAsia="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2389955D">
            <w:pPr>
              <w:rPr>
                <w:rFonts w:ascii="宋体" w:hAnsi="宋体" w:eastAsia="宋体"/>
                <w:color w:val="auto"/>
                <w:szCs w:val="21"/>
                <w:highlight w:val="none"/>
              </w:rPr>
            </w:pPr>
          </w:p>
        </w:tc>
      </w:tr>
      <w:tr w14:paraId="2ABD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0D52C2AB">
            <w:pPr>
              <w:rPr>
                <w:rFonts w:ascii="宋体" w:hAnsi="宋体" w:eastAsia="宋体"/>
                <w:color w:val="auto"/>
                <w:szCs w:val="21"/>
                <w:highlight w:val="none"/>
              </w:rPr>
            </w:pPr>
            <w:r>
              <w:rPr>
                <w:rFonts w:hint="eastAsia" w:ascii="宋体" w:hAnsi="宋体" w:eastAsia="宋体"/>
                <w:color w:val="auto"/>
                <w:szCs w:val="21"/>
                <w:highlight w:val="none"/>
              </w:rPr>
              <w:t>得分</w:t>
            </w:r>
            <w:r>
              <w:rPr>
                <w:rFonts w:ascii="宋体" w:hAnsi="宋体" w:eastAsia="宋体"/>
                <w:color w:val="auto"/>
                <w:szCs w:val="21"/>
                <w:highlight w:val="none"/>
              </w:rPr>
              <w:t>(I=100-A)</w:t>
            </w:r>
          </w:p>
        </w:tc>
        <w:tc>
          <w:tcPr>
            <w:tcW w:w="1031" w:type="dxa"/>
            <w:tcBorders>
              <w:top w:val="single" w:color="auto" w:sz="4" w:space="0"/>
              <w:left w:val="single" w:color="auto" w:sz="4" w:space="0"/>
              <w:bottom w:val="single" w:color="auto" w:sz="4" w:space="0"/>
              <w:right w:val="single" w:color="auto" w:sz="4" w:space="0"/>
            </w:tcBorders>
            <w:vAlign w:val="center"/>
          </w:tcPr>
          <w:p w14:paraId="26BFC3C1">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75B3408">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CF3DA42">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9C0435D">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0B6D6B4">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F079C58">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24C5441">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CDE59B1">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473D215">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07E2EA8">
            <w:pPr>
              <w:rPr>
                <w:rFonts w:ascii="宋体" w:hAnsi="宋体" w:eastAsia="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3A3CE3E">
            <w:pPr>
              <w:rPr>
                <w:rFonts w:ascii="宋体" w:hAnsi="宋体" w:eastAsia="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EC43599">
            <w:pPr>
              <w:rPr>
                <w:rFonts w:ascii="宋体" w:hAnsi="宋体" w:eastAsia="宋体"/>
                <w:color w:val="auto"/>
                <w:szCs w:val="21"/>
                <w:highlight w:val="none"/>
              </w:rPr>
            </w:pPr>
          </w:p>
        </w:tc>
      </w:tr>
    </w:tbl>
    <w:p w14:paraId="2E04F58B">
      <w:pP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评委签名：                                 </w:t>
      </w:r>
      <w:r>
        <w:rPr>
          <w:rFonts w:hint="eastAsia" w:ascii="宋体" w:hAnsi="宋体" w:eastAsia="宋体" w:cs="宋体"/>
          <w:color w:val="auto"/>
          <w:kern w:val="0"/>
          <w:szCs w:val="21"/>
          <w:highlight w:val="none"/>
        </w:rPr>
        <w:t>日期：</w:t>
      </w:r>
    </w:p>
    <w:p w14:paraId="061798FE">
      <w:pP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A0461BF">
      <w:pPr>
        <w:widowControl/>
        <w:spacing w:line="360" w:lineRule="auto"/>
        <w:jc w:val="left"/>
        <w:outlineLvl w:val="2"/>
        <w:rPr>
          <w:rFonts w:ascii="宋体" w:hAnsi="宋体" w:eastAsia="宋体" w:cs="宋体"/>
          <w:color w:val="auto"/>
          <w:kern w:val="0"/>
          <w:sz w:val="24"/>
          <w:szCs w:val="24"/>
          <w:highlight w:val="none"/>
        </w:rPr>
        <w:sectPr>
          <w:pgSz w:w="16838" w:h="11906" w:orient="landscape"/>
          <w:pgMar w:top="1077" w:right="1440" w:bottom="1077" w:left="1440" w:header="851" w:footer="992" w:gutter="0"/>
          <w:pgNumType w:fmt="decimal"/>
          <w:cols w:space="720" w:num="1"/>
          <w:titlePg/>
          <w:docGrid w:type="linesAndChars" w:linePitch="318" w:charSpace="0"/>
        </w:sectPr>
      </w:pPr>
    </w:p>
    <w:p w14:paraId="1AB12CBB">
      <w:pPr>
        <w:widowControl/>
        <w:spacing w:line="360" w:lineRule="auto"/>
        <w:jc w:val="left"/>
        <w:outlineLvl w:val="2"/>
        <w:rPr>
          <w:rFonts w:ascii="宋体" w:hAnsi="宋体" w:eastAsia="宋体" w:cs="宋体"/>
          <w:b/>
          <w:color w:val="auto"/>
          <w:kern w:val="0"/>
          <w:sz w:val="24"/>
          <w:szCs w:val="24"/>
          <w:highlight w:val="none"/>
        </w:rPr>
      </w:pPr>
      <w:bookmarkStart w:id="34" w:name="_Toc152532510"/>
      <w:bookmarkStart w:id="35" w:name="_Toc202907295"/>
      <w:r>
        <w:rPr>
          <w:rFonts w:hint="eastAsia" w:ascii="宋体" w:hAnsi="宋体" w:eastAsia="宋体" w:cs="宋体"/>
          <w:color w:val="auto"/>
          <w:kern w:val="0"/>
          <w:sz w:val="24"/>
          <w:szCs w:val="24"/>
          <w:highlight w:val="none"/>
        </w:rPr>
        <w:t>附表六：</w:t>
      </w:r>
      <w:bookmarkEnd w:id="34"/>
      <w:bookmarkEnd w:id="35"/>
    </w:p>
    <w:p w14:paraId="3A3D79EB">
      <w:pPr>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算术复核表</w:t>
      </w:r>
    </w:p>
    <w:p w14:paraId="08C50649">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招标项目名称：</w:t>
      </w:r>
    </w:p>
    <w:p w14:paraId="7926293E">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投标人: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单位：元</w:t>
      </w:r>
    </w:p>
    <w:tbl>
      <w:tblPr>
        <w:tblStyle w:val="50"/>
        <w:tblW w:w="5000" w:type="pct"/>
        <w:tblInd w:w="0" w:type="dxa"/>
        <w:tblLayout w:type="autofit"/>
        <w:tblCellMar>
          <w:top w:w="0" w:type="dxa"/>
          <w:left w:w="108" w:type="dxa"/>
          <w:bottom w:w="0" w:type="dxa"/>
          <w:right w:w="108" w:type="dxa"/>
        </w:tblCellMar>
      </w:tblPr>
      <w:tblGrid>
        <w:gridCol w:w="810"/>
        <w:gridCol w:w="4189"/>
        <w:gridCol w:w="1470"/>
        <w:gridCol w:w="1446"/>
        <w:gridCol w:w="1686"/>
        <w:gridCol w:w="1347"/>
        <w:gridCol w:w="3226"/>
      </w:tblGrid>
      <w:tr w14:paraId="12629B21">
        <w:tblPrEx>
          <w:tblCellMar>
            <w:top w:w="0" w:type="dxa"/>
            <w:left w:w="108" w:type="dxa"/>
            <w:bottom w:w="0" w:type="dxa"/>
            <w:right w:w="108" w:type="dxa"/>
          </w:tblCellMar>
        </w:tblPrEx>
        <w:trPr>
          <w:trHeight w:val="705" w:hRule="atLeast"/>
        </w:trPr>
        <w:tc>
          <w:tcPr>
            <w:tcW w:w="298" w:type="pct"/>
            <w:tcBorders>
              <w:top w:val="single" w:color="auto" w:sz="4" w:space="0"/>
              <w:left w:val="single" w:color="auto" w:sz="4" w:space="0"/>
              <w:bottom w:val="single" w:color="auto" w:sz="4" w:space="0"/>
              <w:right w:val="single" w:color="auto" w:sz="4" w:space="0"/>
            </w:tcBorders>
            <w:vAlign w:val="center"/>
          </w:tcPr>
          <w:p w14:paraId="1B398C31">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编号</w:t>
            </w:r>
          </w:p>
        </w:tc>
        <w:tc>
          <w:tcPr>
            <w:tcW w:w="1490" w:type="pct"/>
            <w:tcBorders>
              <w:top w:val="single" w:color="auto" w:sz="4" w:space="0"/>
              <w:left w:val="nil"/>
              <w:bottom w:val="single" w:color="auto" w:sz="4" w:space="0"/>
              <w:right w:val="single" w:color="auto" w:sz="4" w:space="0"/>
            </w:tcBorders>
            <w:vAlign w:val="center"/>
          </w:tcPr>
          <w:p w14:paraId="23D0879B">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算术校核项目</w:t>
            </w:r>
          </w:p>
        </w:tc>
        <w:tc>
          <w:tcPr>
            <w:tcW w:w="531" w:type="pct"/>
            <w:tcBorders>
              <w:top w:val="single" w:color="auto" w:sz="4" w:space="0"/>
              <w:left w:val="nil"/>
              <w:bottom w:val="single" w:color="auto" w:sz="4" w:space="0"/>
              <w:right w:val="single" w:color="auto" w:sz="4" w:space="0"/>
            </w:tcBorders>
            <w:vAlign w:val="center"/>
          </w:tcPr>
          <w:p w14:paraId="63FF8BF5">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修正前投标</w:t>
            </w:r>
          </w:p>
          <w:p w14:paraId="431C58D9">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报价A</w:t>
            </w:r>
          </w:p>
        </w:tc>
        <w:tc>
          <w:tcPr>
            <w:tcW w:w="522" w:type="pct"/>
            <w:tcBorders>
              <w:top w:val="single" w:color="auto" w:sz="4" w:space="0"/>
              <w:left w:val="nil"/>
              <w:bottom w:val="single" w:color="auto" w:sz="4" w:space="0"/>
              <w:right w:val="single" w:color="auto" w:sz="4" w:space="0"/>
            </w:tcBorders>
            <w:vAlign w:val="center"/>
          </w:tcPr>
          <w:p w14:paraId="238F25D0">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修正后投标</w:t>
            </w:r>
          </w:p>
          <w:p w14:paraId="733B0072">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报价B</w:t>
            </w:r>
          </w:p>
        </w:tc>
        <w:tc>
          <w:tcPr>
            <w:tcW w:w="522" w:type="pct"/>
            <w:tcBorders>
              <w:top w:val="single" w:color="auto" w:sz="4" w:space="0"/>
              <w:left w:val="nil"/>
              <w:bottom w:val="single" w:color="auto" w:sz="4" w:space="0"/>
              <w:right w:val="single" w:color="auto" w:sz="4" w:space="0"/>
            </w:tcBorders>
            <w:vAlign w:val="center"/>
          </w:tcPr>
          <w:p w14:paraId="0893E0BB">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修正率</w:t>
            </w:r>
          </w:p>
          <w:p w14:paraId="526ACC1E">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r=|A-B|/A*100%</w:t>
            </w:r>
          </w:p>
        </w:tc>
        <w:tc>
          <w:tcPr>
            <w:tcW w:w="487" w:type="pct"/>
            <w:tcBorders>
              <w:top w:val="single" w:color="auto" w:sz="4" w:space="0"/>
              <w:left w:val="nil"/>
              <w:bottom w:val="single" w:color="auto" w:sz="4" w:space="0"/>
              <w:right w:val="single" w:color="auto" w:sz="4" w:space="0"/>
            </w:tcBorders>
            <w:vAlign w:val="center"/>
          </w:tcPr>
          <w:p w14:paraId="63034C15">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经评审的最终投标报价</w:t>
            </w:r>
          </w:p>
        </w:tc>
        <w:tc>
          <w:tcPr>
            <w:tcW w:w="1150" w:type="pct"/>
            <w:tcBorders>
              <w:top w:val="single" w:color="auto" w:sz="4" w:space="0"/>
              <w:left w:val="nil"/>
              <w:bottom w:val="single" w:color="auto" w:sz="4" w:space="0"/>
              <w:right w:val="single" w:color="auto" w:sz="4" w:space="0"/>
            </w:tcBorders>
            <w:vAlign w:val="center"/>
          </w:tcPr>
          <w:p w14:paraId="3C487D8E">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当B&gt;A时，修正后报价与原报价的差额；当B≤A时,R=0</w:t>
            </w:r>
          </w:p>
        </w:tc>
      </w:tr>
      <w:tr w14:paraId="18311CD0">
        <w:tblPrEx>
          <w:tblCellMar>
            <w:top w:w="0" w:type="dxa"/>
            <w:left w:w="108" w:type="dxa"/>
            <w:bottom w:w="0" w:type="dxa"/>
            <w:right w:w="108" w:type="dxa"/>
          </w:tblCellMar>
        </w:tblPrEx>
        <w:trPr>
          <w:trHeight w:val="600" w:hRule="atLeast"/>
        </w:trPr>
        <w:tc>
          <w:tcPr>
            <w:tcW w:w="298" w:type="pct"/>
            <w:tcBorders>
              <w:top w:val="nil"/>
              <w:left w:val="single" w:color="auto" w:sz="4" w:space="0"/>
              <w:bottom w:val="single" w:color="auto" w:sz="4" w:space="0"/>
              <w:right w:val="single" w:color="auto" w:sz="4" w:space="0"/>
            </w:tcBorders>
            <w:vAlign w:val="center"/>
          </w:tcPr>
          <w:p w14:paraId="59468EAE">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90" w:type="pct"/>
            <w:tcBorders>
              <w:top w:val="nil"/>
              <w:left w:val="nil"/>
              <w:bottom w:val="single" w:color="auto" w:sz="4" w:space="0"/>
              <w:right w:val="single" w:color="auto" w:sz="4" w:space="0"/>
            </w:tcBorders>
            <w:vAlign w:val="center"/>
          </w:tcPr>
          <w:p w14:paraId="2B8584CA">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[单位工程1]</w:t>
            </w:r>
          </w:p>
        </w:tc>
        <w:tc>
          <w:tcPr>
            <w:tcW w:w="531" w:type="pct"/>
            <w:tcBorders>
              <w:top w:val="nil"/>
              <w:left w:val="nil"/>
              <w:bottom w:val="single" w:color="auto" w:sz="4" w:space="0"/>
              <w:right w:val="single" w:color="auto" w:sz="4" w:space="0"/>
            </w:tcBorders>
            <w:vAlign w:val="center"/>
          </w:tcPr>
          <w:p w14:paraId="70A4F9E0">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522" w:type="pct"/>
            <w:tcBorders>
              <w:top w:val="nil"/>
              <w:left w:val="nil"/>
              <w:bottom w:val="single" w:color="auto" w:sz="4" w:space="0"/>
              <w:right w:val="single" w:color="auto" w:sz="4" w:space="0"/>
            </w:tcBorders>
            <w:vAlign w:val="center"/>
          </w:tcPr>
          <w:p w14:paraId="3992A26A">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522" w:type="pct"/>
            <w:tcBorders>
              <w:top w:val="nil"/>
              <w:left w:val="nil"/>
              <w:bottom w:val="single" w:color="auto" w:sz="4" w:space="0"/>
              <w:right w:val="single" w:color="auto" w:sz="4" w:space="0"/>
            </w:tcBorders>
            <w:vAlign w:val="center"/>
          </w:tcPr>
          <w:p w14:paraId="6EEDEE2C">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87" w:type="pct"/>
            <w:tcBorders>
              <w:top w:val="nil"/>
              <w:left w:val="nil"/>
              <w:bottom w:val="single" w:color="auto" w:sz="4" w:space="0"/>
              <w:right w:val="single" w:color="auto" w:sz="4" w:space="0"/>
            </w:tcBorders>
            <w:vAlign w:val="center"/>
          </w:tcPr>
          <w:p w14:paraId="4F28C215">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150" w:type="pct"/>
            <w:tcBorders>
              <w:top w:val="single" w:color="auto" w:sz="4" w:space="0"/>
              <w:left w:val="nil"/>
              <w:bottom w:val="single" w:color="auto" w:sz="4" w:space="0"/>
              <w:right w:val="single" w:color="auto" w:sz="4" w:space="0"/>
            </w:tcBorders>
            <w:vAlign w:val="center"/>
          </w:tcPr>
          <w:p w14:paraId="6CE929C7">
            <w:pPr>
              <w:rPr>
                <w:rFonts w:ascii="宋体" w:hAnsi="宋体" w:eastAsia="宋体" w:cs="宋体"/>
                <w:color w:val="auto"/>
                <w:kern w:val="0"/>
                <w:szCs w:val="21"/>
                <w:highlight w:val="none"/>
              </w:rPr>
            </w:pPr>
          </w:p>
        </w:tc>
      </w:tr>
      <w:tr w14:paraId="2535FA14">
        <w:tblPrEx>
          <w:tblCellMar>
            <w:top w:w="0" w:type="dxa"/>
            <w:left w:w="108" w:type="dxa"/>
            <w:bottom w:w="0" w:type="dxa"/>
            <w:right w:w="108" w:type="dxa"/>
          </w:tblCellMar>
        </w:tblPrEx>
        <w:trPr>
          <w:trHeight w:val="600" w:hRule="atLeast"/>
        </w:trPr>
        <w:tc>
          <w:tcPr>
            <w:tcW w:w="298" w:type="pct"/>
            <w:tcBorders>
              <w:top w:val="nil"/>
              <w:left w:val="single" w:color="auto" w:sz="4" w:space="0"/>
              <w:bottom w:val="single" w:color="auto" w:sz="4" w:space="0"/>
              <w:right w:val="single" w:color="auto" w:sz="4" w:space="0"/>
            </w:tcBorders>
            <w:vAlign w:val="center"/>
          </w:tcPr>
          <w:p w14:paraId="778A696A">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90" w:type="pct"/>
            <w:tcBorders>
              <w:top w:val="nil"/>
              <w:left w:val="nil"/>
              <w:bottom w:val="single" w:color="auto" w:sz="4" w:space="0"/>
              <w:right w:val="single" w:color="auto" w:sz="4" w:space="0"/>
            </w:tcBorders>
            <w:vAlign w:val="center"/>
          </w:tcPr>
          <w:p w14:paraId="100CA8B3">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[单位工程2]</w:t>
            </w:r>
          </w:p>
        </w:tc>
        <w:tc>
          <w:tcPr>
            <w:tcW w:w="531" w:type="pct"/>
            <w:tcBorders>
              <w:top w:val="nil"/>
              <w:left w:val="nil"/>
              <w:bottom w:val="single" w:color="auto" w:sz="4" w:space="0"/>
              <w:right w:val="single" w:color="auto" w:sz="4" w:space="0"/>
            </w:tcBorders>
            <w:vAlign w:val="center"/>
          </w:tcPr>
          <w:p w14:paraId="2DD0E971">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522" w:type="pct"/>
            <w:tcBorders>
              <w:top w:val="nil"/>
              <w:left w:val="nil"/>
              <w:bottom w:val="single" w:color="auto" w:sz="4" w:space="0"/>
              <w:right w:val="single" w:color="auto" w:sz="4" w:space="0"/>
            </w:tcBorders>
            <w:vAlign w:val="center"/>
          </w:tcPr>
          <w:p w14:paraId="2295F63C">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522" w:type="pct"/>
            <w:tcBorders>
              <w:top w:val="nil"/>
              <w:left w:val="nil"/>
              <w:bottom w:val="single" w:color="auto" w:sz="4" w:space="0"/>
              <w:right w:val="single" w:color="auto" w:sz="4" w:space="0"/>
            </w:tcBorders>
            <w:vAlign w:val="center"/>
          </w:tcPr>
          <w:p w14:paraId="52F733B6">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87" w:type="pct"/>
            <w:tcBorders>
              <w:top w:val="nil"/>
              <w:left w:val="nil"/>
              <w:bottom w:val="single" w:color="auto" w:sz="4" w:space="0"/>
              <w:right w:val="single" w:color="auto" w:sz="4" w:space="0"/>
            </w:tcBorders>
            <w:vAlign w:val="center"/>
          </w:tcPr>
          <w:p w14:paraId="5AF99D2D">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150" w:type="pct"/>
            <w:tcBorders>
              <w:top w:val="single" w:color="auto" w:sz="4" w:space="0"/>
              <w:left w:val="nil"/>
              <w:bottom w:val="single" w:color="auto" w:sz="4" w:space="0"/>
              <w:right w:val="single" w:color="auto" w:sz="4" w:space="0"/>
            </w:tcBorders>
            <w:vAlign w:val="center"/>
          </w:tcPr>
          <w:p w14:paraId="5BF095A5">
            <w:pPr>
              <w:rPr>
                <w:rFonts w:ascii="宋体" w:hAnsi="宋体" w:eastAsia="宋体" w:cs="宋体"/>
                <w:color w:val="auto"/>
                <w:kern w:val="0"/>
                <w:szCs w:val="21"/>
                <w:highlight w:val="none"/>
              </w:rPr>
            </w:pPr>
          </w:p>
        </w:tc>
      </w:tr>
      <w:tr w14:paraId="7C966D36">
        <w:tblPrEx>
          <w:tblCellMar>
            <w:top w:w="0" w:type="dxa"/>
            <w:left w:w="108" w:type="dxa"/>
            <w:bottom w:w="0" w:type="dxa"/>
            <w:right w:w="108" w:type="dxa"/>
          </w:tblCellMar>
        </w:tblPrEx>
        <w:trPr>
          <w:trHeight w:val="600" w:hRule="atLeast"/>
        </w:trPr>
        <w:tc>
          <w:tcPr>
            <w:tcW w:w="298" w:type="pct"/>
            <w:tcBorders>
              <w:top w:val="nil"/>
              <w:left w:val="single" w:color="auto" w:sz="4" w:space="0"/>
              <w:bottom w:val="single" w:color="auto" w:sz="4" w:space="0"/>
              <w:right w:val="single" w:color="auto" w:sz="4" w:space="0"/>
            </w:tcBorders>
            <w:vAlign w:val="center"/>
          </w:tcPr>
          <w:p w14:paraId="09800D60">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490" w:type="pct"/>
            <w:tcBorders>
              <w:top w:val="nil"/>
              <w:left w:val="nil"/>
              <w:bottom w:val="single" w:color="auto" w:sz="4" w:space="0"/>
              <w:right w:val="single" w:color="auto" w:sz="4" w:space="0"/>
            </w:tcBorders>
            <w:vAlign w:val="center"/>
          </w:tcPr>
          <w:p w14:paraId="4E048A00">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531" w:type="pct"/>
            <w:tcBorders>
              <w:top w:val="nil"/>
              <w:left w:val="nil"/>
              <w:bottom w:val="single" w:color="auto" w:sz="4" w:space="0"/>
              <w:right w:val="single" w:color="auto" w:sz="4" w:space="0"/>
            </w:tcBorders>
            <w:vAlign w:val="center"/>
          </w:tcPr>
          <w:p w14:paraId="1BA17D0C">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522" w:type="pct"/>
            <w:tcBorders>
              <w:top w:val="nil"/>
              <w:left w:val="nil"/>
              <w:bottom w:val="single" w:color="auto" w:sz="4" w:space="0"/>
              <w:right w:val="single" w:color="auto" w:sz="4" w:space="0"/>
            </w:tcBorders>
            <w:vAlign w:val="center"/>
          </w:tcPr>
          <w:p w14:paraId="2EA52B1C">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522" w:type="pct"/>
            <w:tcBorders>
              <w:top w:val="nil"/>
              <w:left w:val="nil"/>
              <w:bottom w:val="single" w:color="auto" w:sz="4" w:space="0"/>
              <w:right w:val="single" w:color="auto" w:sz="4" w:space="0"/>
            </w:tcBorders>
            <w:vAlign w:val="center"/>
          </w:tcPr>
          <w:p w14:paraId="43B21EEA">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87" w:type="pct"/>
            <w:tcBorders>
              <w:top w:val="nil"/>
              <w:left w:val="nil"/>
              <w:bottom w:val="single" w:color="auto" w:sz="4" w:space="0"/>
              <w:right w:val="single" w:color="auto" w:sz="4" w:space="0"/>
            </w:tcBorders>
            <w:vAlign w:val="center"/>
          </w:tcPr>
          <w:p w14:paraId="01B24C6E">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150" w:type="pct"/>
            <w:tcBorders>
              <w:top w:val="single" w:color="auto" w:sz="4" w:space="0"/>
              <w:left w:val="nil"/>
              <w:bottom w:val="single" w:color="auto" w:sz="4" w:space="0"/>
              <w:right w:val="single" w:color="auto" w:sz="4" w:space="0"/>
            </w:tcBorders>
            <w:vAlign w:val="center"/>
          </w:tcPr>
          <w:p w14:paraId="46D5C2A8">
            <w:pPr>
              <w:rPr>
                <w:rFonts w:ascii="宋体" w:hAnsi="宋体" w:eastAsia="宋体" w:cs="宋体"/>
                <w:color w:val="auto"/>
                <w:kern w:val="0"/>
                <w:szCs w:val="21"/>
                <w:highlight w:val="none"/>
              </w:rPr>
            </w:pPr>
          </w:p>
        </w:tc>
      </w:tr>
      <w:tr w14:paraId="26A81723">
        <w:tblPrEx>
          <w:tblCellMar>
            <w:top w:w="0" w:type="dxa"/>
            <w:left w:w="108" w:type="dxa"/>
            <w:bottom w:w="0" w:type="dxa"/>
            <w:right w:w="108" w:type="dxa"/>
          </w:tblCellMar>
        </w:tblPrEx>
        <w:trPr>
          <w:trHeight w:val="600" w:hRule="atLeast"/>
        </w:trPr>
        <w:tc>
          <w:tcPr>
            <w:tcW w:w="298" w:type="pct"/>
            <w:tcBorders>
              <w:top w:val="nil"/>
              <w:left w:val="single" w:color="auto" w:sz="4" w:space="0"/>
              <w:bottom w:val="single" w:color="auto" w:sz="4" w:space="0"/>
              <w:right w:val="single" w:color="auto" w:sz="4" w:space="0"/>
            </w:tcBorders>
            <w:vAlign w:val="center"/>
          </w:tcPr>
          <w:p w14:paraId="615C87BE">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490" w:type="pct"/>
            <w:tcBorders>
              <w:top w:val="nil"/>
              <w:left w:val="nil"/>
              <w:bottom w:val="single" w:color="auto" w:sz="4" w:space="0"/>
              <w:right w:val="single" w:color="auto" w:sz="4" w:space="0"/>
            </w:tcBorders>
            <w:vAlign w:val="center"/>
          </w:tcPr>
          <w:p w14:paraId="35BB18F4">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531" w:type="pct"/>
            <w:tcBorders>
              <w:top w:val="nil"/>
              <w:left w:val="nil"/>
              <w:bottom w:val="single" w:color="auto" w:sz="4" w:space="0"/>
              <w:right w:val="single" w:color="auto" w:sz="4" w:space="0"/>
            </w:tcBorders>
            <w:vAlign w:val="center"/>
          </w:tcPr>
          <w:p w14:paraId="3C4190E4">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522" w:type="pct"/>
            <w:tcBorders>
              <w:top w:val="nil"/>
              <w:left w:val="nil"/>
              <w:bottom w:val="single" w:color="auto" w:sz="4" w:space="0"/>
              <w:right w:val="single" w:color="auto" w:sz="4" w:space="0"/>
            </w:tcBorders>
            <w:vAlign w:val="center"/>
          </w:tcPr>
          <w:p w14:paraId="27744B4A">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522" w:type="pct"/>
            <w:tcBorders>
              <w:top w:val="nil"/>
              <w:left w:val="nil"/>
              <w:bottom w:val="single" w:color="auto" w:sz="4" w:space="0"/>
              <w:right w:val="single" w:color="auto" w:sz="4" w:space="0"/>
            </w:tcBorders>
            <w:vAlign w:val="center"/>
          </w:tcPr>
          <w:p w14:paraId="2A74FEAD">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87" w:type="pct"/>
            <w:tcBorders>
              <w:top w:val="nil"/>
              <w:left w:val="nil"/>
              <w:bottom w:val="single" w:color="auto" w:sz="4" w:space="0"/>
              <w:right w:val="single" w:color="auto" w:sz="4" w:space="0"/>
            </w:tcBorders>
            <w:vAlign w:val="center"/>
          </w:tcPr>
          <w:p w14:paraId="1B1E3578">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150" w:type="pct"/>
            <w:tcBorders>
              <w:top w:val="single" w:color="auto" w:sz="4" w:space="0"/>
              <w:left w:val="nil"/>
              <w:bottom w:val="single" w:color="auto" w:sz="4" w:space="0"/>
              <w:right w:val="single" w:color="auto" w:sz="4" w:space="0"/>
            </w:tcBorders>
            <w:vAlign w:val="center"/>
          </w:tcPr>
          <w:p w14:paraId="10642568">
            <w:pPr>
              <w:rPr>
                <w:rFonts w:ascii="宋体" w:hAnsi="宋体" w:eastAsia="宋体" w:cs="宋体"/>
                <w:color w:val="auto"/>
                <w:kern w:val="0"/>
                <w:szCs w:val="21"/>
                <w:highlight w:val="none"/>
              </w:rPr>
            </w:pPr>
          </w:p>
        </w:tc>
      </w:tr>
      <w:tr w14:paraId="2F52E716">
        <w:tblPrEx>
          <w:tblCellMar>
            <w:top w:w="0" w:type="dxa"/>
            <w:left w:w="108" w:type="dxa"/>
            <w:bottom w:w="0" w:type="dxa"/>
            <w:right w:w="108" w:type="dxa"/>
          </w:tblCellMar>
        </w:tblPrEx>
        <w:trPr>
          <w:trHeight w:val="600" w:hRule="atLeast"/>
        </w:trPr>
        <w:tc>
          <w:tcPr>
            <w:tcW w:w="298" w:type="pct"/>
            <w:tcBorders>
              <w:top w:val="nil"/>
              <w:left w:val="single" w:color="auto" w:sz="4" w:space="0"/>
              <w:bottom w:val="single" w:color="auto" w:sz="4" w:space="0"/>
              <w:right w:val="single" w:color="auto" w:sz="4" w:space="0"/>
            </w:tcBorders>
            <w:vAlign w:val="center"/>
          </w:tcPr>
          <w:p w14:paraId="7C76BCB1">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490" w:type="pct"/>
            <w:tcBorders>
              <w:top w:val="nil"/>
              <w:left w:val="nil"/>
              <w:bottom w:val="single" w:color="auto" w:sz="4" w:space="0"/>
              <w:right w:val="single" w:color="auto" w:sz="4" w:space="0"/>
            </w:tcBorders>
            <w:vAlign w:val="center"/>
          </w:tcPr>
          <w:p w14:paraId="2EACC095">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531" w:type="pct"/>
            <w:tcBorders>
              <w:top w:val="nil"/>
              <w:left w:val="nil"/>
              <w:bottom w:val="single" w:color="auto" w:sz="4" w:space="0"/>
              <w:right w:val="single" w:color="auto" w:sz="4" w:space="0"/>
            </w:tcBorders>
            <w:vAlign w:val="center"/>
          </w:tcPr>
          <w:p w14:paraId="277357EE">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522" w:type="pct"/>
            <w:tcBorders>
              <w:top w:val="nil"/>
              <w:left w:val="nil"/>
              <w:bottom w:val="single" w:color="auto" w:sz="4" w:space="0"/>
              <w:right w:val="single" w:color="auto" w:sz="4" w:space="0"/>
            </w:tcBorders>
            <w:vAlign w:val="center"/>
          </w:tcPr>
          <w:p w14:paraId="548D3188">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522" w:type="pct"/>
            <w:tcBorders>
              <w:top w:val="nil"/>
              <w:left w:val="nil"/>
              <w:bottom w:val="single" w:color="auto" w:sz="4" w:space="0"/>
              <w:right w:val="single" w:color="auto" w:sz="4" w:space="0"/>
            </w:tcBorders>
            <w:vAlign w:val="center"/>
          </w:tcPr>
          <w:p w14:paraId="3CBBB810">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87" w:type="pct"/>
            <w:tcBorders>
              <w:top w:val="nil"/>
              <w:left w:val="nil"/>
              <w:bottom w:val="single" w:color="auto" w:sz="4" w:space="0"/>
              <w:right w:val="single" w:color="auto" w:sz="4" w:space="0"/>
            </w:tcBorders>
            <w:vAlign w:val="center"/>
          </w:tcPr>
          <w:p w14:paraId="440371A5">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150" w:type="pct"/>
            <w:tcBorders>
              <w:top w:val="single" w:color="auto" w:sz="4" w:space="0"/>
              <w:left w:val="nil"/>
              <w:bottom w:val="single" w:color="auto" w:sz="4" w:space="0"/>
              <w:right w:val="single" w:color="auto" w:sz="4" w:space="0"/>
            </w:tcBorders>
            <w:vAlign w:val="center"/>
          </w:tcPr>
          <w:p w14:paraId="64B9306D">
            <w:pPr>
              <w:rPr>
                <w:rFonts w:ascii="宋体" w:hAnsi="宋体" w:eastAsia="宋体" w:cs="宋体"/>
                <w:color w:val="auto"/>
                <w:kern w:val="0"/>
                <w:szCs w:val="21"/>
                <w:highlight w:val="none"/>
              </w:rPr>
            </w:pPr>
          </w:p>
        </w:tc>
      </w:tr>
      <w:tr w14:paraId="75F4770A">
        <w:tblPrEx>
          <w:tblCellMar>
            <w:top w:w="0" w:type="dxa"/>
            <w:left w:w="108" w:type="dxa"/>
            <w:bottom w:w="0" w:type="dxa"/>
            <w:right w:w="108" w:type="dxa"/>
          </w:tblCellMar>
        </w:tblPrEx>
        <w:trPr>
          <w:trHeight w:val="600" w:hRule="atLeast"/>
        </w:trPr>
        <w:tc>
          <w:tcPr>
            <w:tcW w:w="298" w:type="pct"/>
            <w:tcBorders>
              <w:top w:val="nil"/>
              <w:left w:val="single" w:color="auto" w:sz="4" w:space="0"/>
              <w:bottom w:val="single" w:color="auto" w:sz="4" w:space="0"/>
              <w:right w:val="single" w:color="auto" w:sz="4" w:space="0"/>
            </w:tcBorders>
            <w:vAlign w:val="center"/>
          </w:tcPr>
          <w:p w14:paraId="0C85EA27">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n</w:t>
            </w:r>
          </w:p>
        </w:tc>
        <w:tc>
          <w:tcPr>
            <w:tcW w:w="1490" w:type="pct"/>
            <w:tcBorders>
              <w:top w:val="nil"/>
              <w:left w:val="nil"/>
              <w:bottom w:val="single" w:color="auto" w:sz="4" w:space="0"/>
              <w:right w:val="single" w:color="auto" w:sz="4" w:space="0"/>
            </w:tcBorders>
            <w:vAlign w:val="center"/>
          </w:tcPr>
          <w:p w14:paraId="6422A5C1">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[单位工程n]</w:t>
            </w:r>
          </w:p>
        </w:tc>
        <w:tc>
          <w:tcPr>
            <w:tcW w:w="531" w:type="pct"/>
            <w:tcBorders>
              <w:top w:val="nil"/>
              <w:left w:val="nil"/>
              <w:bottom w:val="single" w:color="auto" w:sz="4" w:space="0"/>
              <w:right w:val="single" w:color="auto" w:sz="4" w:space="0"/>
            </w:tcBorders>
            <w:vAlign w:val="center"/>
          </w:tcPr>
          <w:p w14:paraId="38D03A3D">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522" w:type="pct"/>
            <w:tcBorders>
              <w:top w:val="nil"/>
              <w:left w:val="nil"/>
              <w:bottom w:val="single" w:color="auto" w:sz="4" w:space="0"/>
              <w:right w:val="single" w:color="auto" w:sz="4" w:space="0"/>
            </w:tcBorders>
            <w:vAlign w:val="center"/>
          </w:tcPr>
          <w:p w14:paraId="18153857">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522" w:type="pct"/>
            <w:tcBorders>
              <w:top w:val="nil"/>
              <w:left w:val="nil"/>
              <w:bottom w:val="single" w:color="auto" w:sz="4" w:space="0"/>
              <w:right w:val="single" w:color="auto" w:sz="4" w:space="0"/>
            </w:tcBorders>
            <w:vAlign w:val="center"/>
          </w:tcPr>
          <w:p w14:paraId="5712C592">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87" w:type="pct"/>
            <w:tcBorders>
              <w:top w:val="nil"/>
              <w:left w:val="nil"/>
              <w:bottom w:val="single" w:color="auto" w:sz="4" w:space="0"/>
              <w:right w:val="single" w:color="auto" w:sz="4" w:space="0"/>
            </w:tcBorders>
            <w:vAlign w:val="center"/>
          </w:tcPr>
          <w:p w14:paraId="5AE49004">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150" w:type="pct"/>
            <w:tcBorders>
              <w:top w:val="single" w:color="auto" w:sz="4" w:space="0"/>
              <w:left w:val="nil"/>
              <w:bottom w:val="single" w:color="auto" w:sz="4" w:space="0"/>
              <w:right w:val="single" w:color="auto" w:sz="4" w:space="0"/>
            </w:tcBorders>
            <w:vAlign w:val="center"/>
          </w:tcPr>
          <w:p w14:paraId="3BC0E1C5">
            <w:pPr>
              <w:rPr>
                <w:rFonts w:ascii="宋体" w:hAnsi="宋体" w:eastAsia="宋体" w:cs="宋体"/>
                <w:color w:val="auto"/>
                <w:kern w:val="0"/>
                <w:szCs w:val="21"/>
                <w:highlight w:val="none"/>
              </w:rPr>
            </w:pPr>
          </w:p>
        </w:tc>
      </w:tr>
      <w:tr w14:paraId="47BD9875">
        <w:tblPrEx>
          <w:tblCellMar>
            <w:top w:w="0" w:type="dxa"/>
            <w:left w:w="108" w:type="dxa"/>
            <w:bottom w:w="0" w:type="dxa"/>
            <w:right w:w="108" w:type="dxa"/>
          </w:tblCellMar>
        </w:tblPrEx>
        <w:trPr>
          <w:trHeight w:val="600" w:hRule="atLeast"/>
        </w:trPr>
        <w:tc>
          <w:tcPr>
            <w:tcW w:w="298" w:type="pct"/>
            <w:tcBorders>
              <w:top w:val="nil"/>
              <w:left w:val="single" w:color="auto" w:sz="4" w:space="0"/>
              <w:bottom w:val="single" w:color="auto" w:sz="4" w:space="0"/>
              <w:right w:val="single" w:color="auto" w:sz="4" w:space="0"/>
            </w:tcBorders>
            <w:vAlign w:val="center"/>
          </w:tcPr>
          <w:p w14:paraId="7763A35F">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490" w:type="pct"/>
            <w:tcBorders>
              <w:top w:val="nil"/>
              <w:left w:val="nil"/>
              <w:bottom w:val="single" w:color="auto" w:sz="4" w:space="0"/>
              <w:right w:val="single" w:color="auto" w:sz="4" w:space="0"/>
            </w:tcBorders>
            <w:vAlign w:val="center"/>
          </w:tcPr>
          <w:p w14:paraId="4B7A3C93">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投标总报价</w:t>
            </w:r>
          </w:p>
        </w:tc>
        <w:tc>
          <w:tcPr>
            <w:tcW w:w="531" w:type="pct"/>
            <w:tcBorders>
              <w:top w:val="nil"/>
              <w:left w:val="nil"/>
              <w:bottom w:val="single" w:color="auto" w:sz="4" w:space="0"/>
              <w:right w:val="single" w:color="auto" w:sz="4" w:space="0"/>
            </w:tcBorders>
            <w:vAlign w:val="center"/>
          </w:tcPr>
          <w:p w14:paraId="380BB470">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522" w:type="pct"/>
            <w:tcBorders>
              <w:top w:val="nil"/>
              <w:left w:val="nil"/>
              <w:bottom w:val="single" w:color="auto" w:sz="4" w:space="0"/>
              <w:right w:val="single" w:color="auto" w:sz="4" w:space="0"/>
            </w:tcBorders>
            <w:vAlign w:val="center"/>
          </w:tcPr>
          <w:p w14:paraId="08414EC6">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522" w:type="pct"/>
            <w:tcBorders>
              <w:top w:val="nil"/>
              <w:left w:val="nil"/>
              <w:bottom w:val="single" w:color="auto" w:sz="4" w:space="0"/>
              <w:right w:val="single" w:color="auto" w:sz="4" w:space="0"/>
              <w:tr2bl w:val="single" w:color="auto" w:sz="4" w:space="0"/>
            </w:tcBorders>
            <w:vAlign w:val="center"/>
          </w:tcPr>
          <w:p w14:paraId="2F842963">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87" w:type="pct"/>
            <w:tcBorders>
              <w:top w:val="nil"/>
              <w:left w:val="nil"/>
              <w:bottom w:val="single" w:color="auto" w:sz="4" w:space="0"/>
              <w:right w:val="single" w:color="auto" w:sz="4" w:space="0"/>
            </w:tcBorders>
            <w:vAlign w:val="center"/>
          </w:tcPr>
          <w:p w14:paraId="57E9B34B">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150" w:type="pct"/>
            <w:tcBorders>
              <w:top w:val="single" w:color="auto" w:sz="4" w:space="0"/>
              <w:left w:val="nil"/>
              <w:bottom w:val="single" w:color="auto" w:sz="4" w:space="0"/>
              <w:right w:val="single" w:color="auto" w:sz="4" w:space="0"/>
            </w:tcBorders>
            <w:vAlign w:val="center"/>
          </w:tcPr>
          <w:p w14:paraId="258D8FAE">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∑A=A</w:t>
            </w:r>
            <w:r>
              <w:rPr>
                <w:rFonts w:hint="eastAsia" w:ascii="宋体" w:hAnsi="宋体" w:eastAsia="宋体" w:cs="宋体"/>
                <w:color w:val="auto"/>
                <w:kern w:val="0"/>
                <w:szCs w:val="21"/>
                <w:highlight w:val="none"/>
                <w:vertAlign w:val="subscript"/>
              </w:rPr>
              <w:t>1</w:t>
            </w:r>
            <w:r>
              <w:rPr>
                <w:rFonts w:hint="eastAsia" w:ascii="宋体" w:hAnsi="宋体" w:eastAsia="宋体" w:cs="宋体"/>
                <w:color w:val="auto"/>
                <w:kern w:val="0"/>
                <w:szCs w:val="21"/>
                <w:highlight w:val="none"/>
              </w:rPr>
              <w:t>+A</w:t>
            </w:r>
            <w:r>
              <w:rPr>
                <w:rFonts w:hint="eastAsia" w:ascii="宋体" w:hAnsi="宋体" w:eastAsia="宋体" w:cs="宋体"/>
                <w:color w:val="auto"/>
                <w:kern w:val="0"/>
                <w:szCs w:val="21"/>
                <w:highlight w:val="none"/>
                <w:vertAlign w:val="subscript"/>
              </w:rPr>
              <w:t>2</w:t>
            </w:r>
            <w:r>
              <w:rPr>
                <w:rFonts w:hint="eastAsia" w:ascii="宋体" w:hAnsi="宋体" w:eastAsia="宋体" w:cs="宋体"/>
                <w:color w:val="auto"/>
                <w:kern w:val="0"/>
                <w:szCs w:val="21"/>
                <w:highlight w:val="none"/>
              </w:rPr>
              <w:t>+…An；∑B=B</w:t>
            </w:r>
            <w:r>
              <w:rPr>
                <w:rFonts w:hint="eastAsia" w:ascii="宋体" w:hAnsi="宋体" w:eastAsia="宋体" w:cs="宋体"/>
                <w:color w:val="auto"/>
                <w:kern w:val="0"/>
                <w:szCs w:val="21"/>
                <w:highlight w:val="none"/>
                <w:vertAlign w:val="subscript"/>
              </w:rPr>
              <w:t>1</w:t>
            </w:r>
            <w:r>
              <w:rPr>
                <w:rFonts w:hint="eastAsia" w:ascii="宋体" w:hAnsi="宋体" w:eastAsia="宋体" w:cs="宋体"/>
                <w:color w:val="auto"/>
                <w:kern w:val="0"/>
                <w:szCs w:val="21"/>
                <w:highlight w:val="none"/>
              </w:rPr>
              <w:t>+B</w:t>
            </w:r>
            <w:r>
              <w:rPr>
                <w:rFonts w:hint="eastAsia" w:ascii="宋体" w:hAnsi="宋体" w:eastAsia="宋体" w:cs="宋体"/>
                <w:color w:val="auto"/>
                <w:kern w:val="0"/>
                <w:szCs w:val="21"/>
                <w:highlight w:val="none"/>
                <w:vertAlign w:val="subscript"/>
              </w:rPr>
              <w:t>2</w:t>
            </w:r>
            <w:r>
              <w:rPr>
                <w:rFonts w:hint="eastAsia" w:ascii="宋体" w:hAnsi="宋体" w:eastAsia="宋体" w:cs="宋体"/>
                <w:color w:val="auto"/>
                <w:kern w:val="0"/>
                <w:szCs w:val="21"/>
                <w:highlight w:val="none"/>
              </w:rPr>
              <w:t>+…Bn</w:t>
            </w:r>
          </w:p>
        </w:tc>
      </w:tr>
    </w:tbl>
    <w:p w14:paraId="6A7C2262">
      <w:pP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修正原则：</w:t>
      </w:r>
      <w:r>
        <w:rPr>
          <w:rFonts w:hint="eastAsia" w:ascii="宋体" w:hAnsi="宋体" w:eastAsia="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eastAsia="宋体" w:cs="宋体"/>
          <w:color w:val="auto"/>
          <w:kern w:val="0"/>
          <w:szCs w:val="21"/>
          <w:highlight w:val="none"/>
        </w:rPr>
        <w:tab/>
      </w:r>
    </w:p>
    <w:p w14:paraId="788E9EFF">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评委签名：</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日期：</w:t>
      </w:r>
    </w:p>
    <w:p w14:paraId="5C787F7A">
      <w:pPr>
        <w:rPr>
          <w:rFonts w:ascii="宋体" w:hAnsi="宋体" w:eastAsia="宋体" w:cs="宋体"/>
          <w:color w:val="auto"/>
          <w:kern w:val="0"/>
          <w:szCs w:val="21"/>
          <w:highlight w:val="none"/>
        </w:rPr>
        <w:sectPr>
          <w:pgSz w:w="16838" w:h="11906" w:orient="landscape"/>
          <w:pgMar w:top="1077" w:right="1440" w:bottom="1077" w:left="1440" w:header="851" w:footer="992" w:gutter="0"/>
          <w:pgNumType w:fmt="decimal"/>
          <w:cols w:space="720" w:num="1"/>
          <w:titlePg/>
          <w:docGrid w:type="linesAndChars" w:linePitch="318" w:charSpace="0"/>
        </w:sectPr>
      </w:pPr>
    </w:p>
    <w:p w14:paraId="7E95938C">
      <w:pPr>
        <w:widowControl/>
        <w:spacing w:line="360" w:lineRule="auto"/>
        <w:jc w:val="left"/>
        <w:outlineLvl w:val="2"/>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附表七：</w:t>
      </w:r>
    </w:p>
    <w:p w14:paraId="4C80AD4B">
      <w:pPr>
        <w:jc w:val="center"/>
        <w:rPr>
          <w:rFonts w:ascii="宋体" w:hAnsi="宋体" w:eastAsia="宋体" w:cs="Times New Roman"/>
          <w:b/>
          <w:color w:val="auto"/>
          <w:kern w:val="0"/>
          <w:sz w:val="44"/>
          <w:szCs w:val="44"/>
          <w:highlight w:val="none"/>
        </w:rPr>
      </w:pPr>
      <w:r>
        <w:rPr>
          <w:rFonts w:hint="eastAsia" w:ascii="宋体" w:hAnsi="宋体" w:eastAsia="宋体" w:cs="Times New Roman"/>
          <w:b/>
          <w:color w:val="auto"/>
          <w:kern w:val="0"/>
          <w:sz w:val="44"/>
          <w:szCs w:val="44"/>
          <w:highlight w:val="none"/>
        </w:rPr>
        <w:t>评标委员会成员声明</w:t>
      </w:r>
    </w:p>
    <w:p w14:paraId="7D6E3FEB">
      <w:pPr>
        <w:ind w:firstLine="560" w:firstLineChars="200"/>
        <w:jc w:val="center"/>
        <w:rPr>
          <w:rFonts w:asciiTheme="minorEastAsia" w:hAnsiTheme="minorEastAsia" w:eastAsiaTheme="minorEastAsia"/>
          <w:color w:val="auto"/>
          <w:sz w:val="32"/>
          <w:szCs w:val="32"/>
          <w:highlight w:val="none"/>
        </w:rPr>
      </w:pPr>
      <w:r>
        <w:rPr>
          <w:rFonts w:hint="eastAsia" w:asciiTheme="minorEastAsia" w:hAnsiTheme="minorEastAsia" w:eastAsiaTheme="minorEastAsia" w:cstheme="majorEastAsia"/>
          <w:b/>
          <w:bCs/>
          <w:color w:val="auto"/>
          <w:sz w:val="28"/>
          <w:szCs w:val="28"/>
          <w:highlight w:val="none"/>
        </w:rPr>
        <w:t>评标委员会成员声明</w:t>
      </w:r>
    </w:p>
    <w:p w14:paraId="6EFCC63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本项目招标人名称</w:t>
      </w:r>
      <w:r>
        <w:rPr>
          <w:rFonts w:hint="eastAsia" w:ascii="宋体" w:hAnsi="宋体" w:eastAsia="宋体" w:cs="宋体"/>
          <w:color w:val="auto"/>
          <w:sz w:val="24"/>
          <w:szCs w:val="24"/>
          <w:highlight w:val="none"/>
        </w:rPr>
        <w:t>：</w:t>
      </w:r>
    </w:p>
    <w:p w14:paraId="56688A5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本人就参与</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项目的评标工作，作出郑重声明：</w:t>
      </w:r>
    </w:p>
    <w:p w14:paraId="7A4CA8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7E5248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二、本人承诺不存在以下关于评标专家的应回避情形：</w:t>
      </w:r>
    </w:p>
    <w:p w14:paraId="645496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年内曾在参加该招标项目的投标单位中任职（包括一般职务）或担任顾问，配偶或直系亲属在参加该招标项目的投标人中任职或担任顾问，与参加该招标项目的投标人发生过法律纠纷，以及其他可能影响公正评标的情况。其他可能影响公正评标的情形主要有：投标人的上级主管、控股或被控股单位的工作人员；评标委员会成员任职单位与投标人单位为同一法定代表人；评标委员会成员持有某投标单位股份（如：评标专家3年内工作单位与项目业主、代建单位、代理机构、项目前期工作单位、投标人的单位相同）。</w:t>
      </w:r>
    </w:p>
    <w:p w14:paraId="1920E5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2、招标项目的招标人或者招标代理机构、投标人单位、项目前期工作单位等退休或离职未满3年的人员。</w:t>
      </w:r>
    </w:p>
    <w:p w14:paraId="446D44B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3、投标人或者投标人主要负责人的近亲属。</w:t>
      </w:r>
    </w:p>
    <w:p w14:paraId="5971289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4、项目主管部门或者行政监督部门的人员。</w:t>
      </w:r>
    </w:p>
    <w:p w14:paraId="070716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5、与本组评标委员会其他成员有亲属关系。</w:t>
      </w:r>
    </w:p>
    <w:p w14:paraId="478CF1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6、担任现职国家公务员。</w:t>
      </w:r>
    </w:p>
    <w:p w14:paraId="2CABF72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7、曾因在招标、评标以及其他与招标投标有关活动中从事违法行为而受过行政处罚或刑事处罚的。</w:t>
      </w:r>
    </w:p>
    <w:p w14:paraId="788F34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8、接收到任何单位或者个人授意本人倾向或者排斥本项目特定投标人的电话、短信、QQ、微信等。</w:t>
      </w:r>
    </w:p>
    <w:p w14:paraId="6717C2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9、私下接触本项目投标人。</w:t>
      </w:r>
    </w:p>
    <w:p w14:paraId="559974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10、收受本项目投标人、中介人、其他利害关系人的财物或者其他好处。</w:t>
      </w:r>
    </w:p>
    <w:p w14:paraId="3FB4F3F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11、法律法规规定的其他回避的情形。</w:t>
      </w:r>
    </w:p>
    <w:p w14:paraId="594A3BE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知晓并理解《中华人民共和国招标投标法实施条例》等国家及广东省对发现评标专家涉嫌上述违规的处罚，包括但不限于：日常考核扣分、责令改正、禁止其在一定期限内参加依法必须进行招标的项目评标、取消评标委员会成员的资格、没收收受的财物，罚款、涉嫌违纪违法犯罪的，及时移送纪检监察及司法机关处理等。</w:t>
      </w:r>
    </w:p>
    <w:p w14:paraId="1F6EAE1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项目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728584F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671013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五、如招标人认为须核实评标专家应回避未回避工作，评标专家应配合向招标人提供包含本人姓名及社保缴纳单位的三年内社保信息。</w:t>
      </w:r>
    </w:p>
    <w:p w14:paraId="0436CAC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80D1D1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如果本人违反上述声明内容，造成的后果由本人自行承担。</w:t>
      </w:r>
    </w:p>
    <w:p w14:paraId="297A6788">
      <w:pPr>
        <w:spacing w:line="360" w:lineRule="auto"/>
        <w:ind w:firstLine="480" w:firstLineChars="200"/>
        <w:rPr>
          <w:rFonts w:hint="eastAsia" w:ascii="宋体" w:hAnsi="宋体" w:eastAsia="宋体" w:cs="宋体"/>
          <w:color w:val="auto"/>
          <w:sz w:val="24"/>
          <w:szCs w:val="24"/>
          <w:highlight w:val="none"/>
        </w:rPr>
      </w:pPr>
    </w:p>
    <w:p w14:paraId="31AA947C">
      <w:pPr>
        <w:spacing w:line="360" w:lineRule="auto"/>
        <w:ind w:firstLine="480" w:firstLineChars="200"/>
        <w:jc w:val="righ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声明人：</w:t>
      </w:r>
      <w:r>
        <w:rPr>
          <w:rFonts w:hint="eastAsia" w:ascii="宋体" w:hAnsi="宋体" w:eastAsia="宋体" w:cs="宋体"/>
          <w:color w:val="auto"/>
          <w:sz w:val="24"/>
          <w:szCs w:val="24"/>
          <w:highlight w:val="none"/>
          <w:u w:val="single"/>
        </w:rPr>
        <w:t>（签名）</w:t>
      </w:r>
      <w:r>
        <w:rPr>
          <w:rFonts w:hint="eastAsia" w:ascii="宋体" w:hAnsi="宋体" w:eastAsia="宋体" w:cs="宋体"/>
          <w:color w:val="auto"/>
          <w:kern w:val="0"/>
          <w:sz w:val="24"/>
          <w:szCs w:val="24"/>
          <w:highlight w:val="none"/>
          <w:u w:val="single"/>
        </w:rPr>
        <w:t xml:space="preserve"> </w:t>
      </w:r>
    </w:p>
    <w:p w14:paraId="586D0F31">
      <w:pPr>
        <w:widowControl/>
        <w:spacing w:line="360" w:lineRule="auto"/>
        <w:jc w:val="left"/>
        <w:outlineLvl w:val="2"/>
        <w:rPr>
          <w:rFonts w:ascii="宋体" w:hAnsi="宋体" w:eastAsia="宋体" w:cs="宋体"/>
          <w:b/>
          <w:bCs/>
          <w:color w:val="auto"/>
          <w:szCs w:val="24"/>
          <w:highlight w:val="none"/>
        </w:rPr>
      </w:pPr>
      <w:bookmarkStart w:id="36" w:name="_Toc154575292"/>
      <w:r>
        <w:rPr>
          <w:rFonts w:hint="eastAsia" w:ascii="宋体" w:hAnsi="宋体" w:eastAsia="宋体" w:cs="宋体"/>
          <w:b/>
          <w:bCs/>
          <w:color w:val="auto"/>
          <w:szCs w:val="24"/>
          <w:highlight w:val="none"/>
        </w:rPr>
        <w:br w:type="page"/>
      </w:r>
      <w:bookmarkStart w:id="37" w:name="_Toc202907296"/>
      <w:bookmarkStart w:id="38" w:name="_Toc202907297"/>
      <w:r>
        <w:rPr>
          <w:rFonts w:hint="eastAsia" w:ascii="宋体" w:hAnsi="宋体" w:eastAsia="宋体" w:cs="宋体"/>
          <w:color w:val="auto"/>
          <w:kern w:val="0"/>
          <w:sz w:val="24"/>
          <w:szCs w:val="24"/>
          <w:highlight w:val="none"/>
        </w:rPr>
        <w:t>附表八：</w:t>
      </w:r>
      <w:bookmarkEnd w:id="37"/>
    </w:p>
    <w:p w14:paraId="6208F219">
      <w:pPr>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定标因素表</w:t>
      </w:r>
    </w:p>
    <w:p w14:paraId="3830FE6D">
      <w:pPr>
        <w:rPr>
          <w:rFonts w:ascii="宋体" w:hAnsi="宋体" w:eastAsia="宋体" w:cs="宋体"/>
          <w:color w:val="auto"/>
          <w:highlight w:val="none"/>
        </w:rPr>
      </w:pPr>
      <w:r>
        <w:rPr>
          <w:rFonts w:hint="eastAsia" w:ascii="宋体" w:hAnsi="宋体" w:eastAsia="宋体" w:cs="宋体"/>
          <w:color w:val="auto"/>
          <w:highlight w:val="none"/>
        </w:rPr>
        <w:t>招标项目名称：</w:t>
      </w:r>
    </w:p>
    <w:tbl>
      <w:tblPr>
        <w:tblStyle w:val="5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749"/>
        <w:gridCol w:w="6480"/>
      </w:tblGrid>
      <w:tr w14:paraId="664D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14:paraId="42BDC61F">
            <w:pPr>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7D0B5046">
            <w:pPr>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评价项目</w:t>
            </w:r>
          </w:p>
        </w:tc>
        <w:tc>
          <w:tcPr>
            <w:tcW w:w="749" w:type="dxa"/>
            <w:tcBorders>
              <w:top w:val="single" w:color="auto" w:sz="4" w:space="0"/>
              <w:left w:val="single" w:color="auto" w:sz="4" w:space="0"/>
              <w:bottom w:val="single" w:color="auto" w:sz="4" w:space="0"/>
              <w:right w:val="single" w:color="auto" w:sz="4" w:space="0"/>
            </w:tcBorders>
            <w:vAlign w:val="center"/>
          </w:tcPr>
          <w:p w14:paraId="2A62559E">
            <w:pPr>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分值</w:t>
            </w:r>
          </w:p>
        </w:tc>
        <w:tc>
          <w:tcPr>
            <w:tcW w:w="6480" w:type="dxa"/>
            <w:tcBorders>
              <w:top w:val="single" w:color="auto" w:sz="4" w:space="0"/>
              <w:left w:val="single" w:color="auto" w:sz="4" w:space="0"/>
              <w:bottom w:val="single" w:color="auto" w:sz="4" w:space="0"/>
              <w:right w:val="single" w:color="auto" w:sz="4" w:space="0"/>
            </w:tcBorders>
            <w:vAlign w:val="center"/>
          </w:tcPr>
          <w:p w14:paraId="23D1DA28">
            <w:pPr>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定标评价的内容</w:t>
            </w:r>
          </w:p>
        </w:tc>
      </w:tr>
      <w:tr w14:paraId="4D94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tcBorders>
              <w:top w:val="single" w:color="auto" w:sz="4" w:space="0"/>
              <w:left w:val="single" w:color="auto" w:sz="4" w:space="0"/>
              <w:right w:val="single" w:color="auto" w:sz="4" w:space="0"/>
            </w:tcBorders>
            <w:vAlign w:val="center"/>
          </w:tcPr>
          <w:p w14:paraId="03138000">
            <w:pPr>
              <w:spacing w:line="276" w:lineRule="auto"/>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shd w:val="clear" w:color="auto" w:fill="FFFFFF"/>
              </w:rPr>
              <w:t>1</w:t>
            </w:r>
          </w:p>
        </w:tc>
        <w:tc>
          <w:tcPr>
            <w:tcW w:w="1134" w:type="dxa"/>
            <w:vMerge w:val="restart"/>
            <w:tcBorders>
              <w:top w:val="single" w:color="auto" w:sz="4" w:space="0"/>
              <w:left w:val="single" w:color="auto" w:sz="4" w:space="0"/>
              <w:right w:val="single" w:color="auto" w:sz="4" w:space="0"/>
            </w:tcBorders>
            <w:vAlign w:val="center"/>
          </w:tcPr>
          <w:p w14:paraId="1FBFE175">
            <w:pPr>
              <w:spacing w:line="276" w:lineRule="auto"/>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shd w:val="clear" w:color="auto" w:fill="FFFFFF"/>
              </w:rPr>
              <w:t>方案因素（100）</w:t>
            </w:r>
          </w:p>
        </w:tc>
        <w:tc>
          <w:tcPr>
            <w:tcW w:w="749" w:type="dxa"/>
            <w:tcBorders>
              <w:top w:val="single" w:color="auto" w:sz="4" w:space="0"/>
              <w:left w:val="single" w:color="auto" w:sz="4" w:space="0"/>
              <w:bottom w:val="single" w:color="auto" w:sz="4" w:space="0"/>
              <w:right w:val="single" w:color="auto" w:sz="4" w:space="0"/>
            </w:tcBorders>
            <w:vAlign w:val="center"/>
          </w:tcPr>
          <w:p w14:paraId="45ADCE9D">
            <w:pPr>
              <w:spacing w:line="276" w:lineRule="auto"/>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shd w:val="clear" w:color="auto" w:fill="FFFFFF"/>
              </w:rPr>
              <w:t>25</w:t>
            </w:r>
          </w:p>
        </w:tc>
        <w:tc>
          <w:tcPr>
            <w:tcW w:w="6480" w:type="dxa"/>
            <w:tcBorders>
              <w:top w:val="single" w:color="auto" w:sz="4" w:space="0"/>
              <w:left w:val="single" w:color="auto" w:sz="4" w:space="0"/>
              <w:bottom w:val="single" w:color="auto" w:sz="4" w:space="0"/>
              <w:right w:val="single" w:color="auto" w:sz="4" w:space="0"/>
            </w:tcBorders>
            <w:vAlign w:val="center"/>
          </w:tcPr>
          <w:p w14:paraId="3DDEA10B">
            <w:pPr>
              <w:pStyle w:val="24"/>
              <w:spacing w:line="276" w:lineRule="auto"/>
              <w:rPr>
                <w:rFonts w:ascii="宋体" w:hAnsi="宋体" w:eastAsia="宋体" w:cs="宋体"/>
                <w:b/>
                <w:bCs/>
                <w:color w:val="auto"/>
                <w:szCs w:val="21"/>
                <w:highlight w:val="none"/>
                <w:shd w:val="clear" w:color="auto" w:fill="FFFFFF"/>
              </w:rPr>
            </w:pPr>
            <w:r>
              <w:rPr>
                <w:rFonts w:hint="eastAsia" w:ascii="宋体" w:hAnsi="宋体" w:eastAsia="宋体" w:cs="宋体"/>
                <w:b/>
                <w:bCs/>
                <w:color w:val="auto"/>
                <w:szCs w:val="21"/>
                <w:highlight w:val="none"/>
                <w:shd w:val="clear" w:color="auto" w:fill="FFFFFF"/>
                <w:lang w:val="zh-CN"/>
              </w:rPr>
              <w:t>对拟投入本项目的团队配置进行评审：</w:t>
            </w:r>
            <w:r>
              <w:rPr>
                <w:rFonts w:hint="eastAsia" w:ascii="宋体" w:hAnsi="宋体" w:eastAsia="宋体" w:cs="宋体"/>
                <w:b/>
                <w:bCs/>
                <w:color w:val="auto"/>
                <w:szCs w:val="21"/>
                <w:highlight w:val="none"/>
                <w:shd w:val="clear" w:color="auto" w:fill="FFFFFF"/>
              </w:rPr>
              <w:t xml:space="preserve"> </w:t>
            </w:r>
          </w:p>
          <w:p w14:paraId="2FF9AA40">
            <w:pPr>
              <w:spacing w:line="276" w:lineRule="auto"/>
              <w:rPr>
                <w:rFonts w:ascii="宋体" w:hAnsi="宋体" w:eastAsia="宋体" w:cs="宋体"/>
                <w:color w:val="auto"/>
                <w:szCs w:val="21"/>
                <w:highlight w:val="none"/>
                <w:lang w:val="zh-CN"/>
              </w:rPr>
            </w:pPr>
            <w:r>
              <w:rPr>
                <w:rFonts w:hint="eastAsia" w:ascii="宋体" w:hAnsi="宋体" w:eastAsia="宋体" w:cs="宋体"/>
                <w:b/>
                <w:bCs/>
                <w:color w:val="auto"/>
                <w:szCs w:val="21"/>
                <w:highlight w:val="none"/>
                <w:shd w:val="clear" w:color="auto" w:fill="FFFFFF"/>
                <w:lang w:val="zh-CN"/>
              </w:rPr>
              <w:t>（团队配置应能体现投入充分满足项目需求的管理力量和技术力量，包括不限于：人员资质、专业匹配度、类似项目经验、团队稳定性等内容）</w:t>
            </w:r>
          </w:p>
          <w:p w14:paraId="221EA524">
            <w:pPr>
              <w:spacing w:line="276" w:lineRule="auto"/>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val="zh-CN"/>
              </w:rPr>
              <w:t>优得【</w:t>
            </w:r>
            <w:r>
              <w:rPr>
                <w:rFonts w:hint="eastAsia" w:ascii="宋体" w:hAnsi="宋体" w:eastAsia="宋体" w:cs="宋体"/>
                <w:color w:val="auto"/>
                <w:szCs w:val="21"/>
                <w:highlight w:val="none"/>
                <w:shd w:val="clear" w:color="auto" w:fill="FFFFFF"/>
              </w:rPr>
              <w:t>23，25</w:t>
            </w:r>
            <w:r>
              <w:rPr>
                <w:rFonts w:hint="eastAsia" w:ascii="宋体" w:hAnsi="宋体" w:eastAsia="宋体" w:cs="宋体"/>
                <w:color w:val="auto"/>
                <w:szCs w:val="21"/>
                <w:highlight w:val="none"/>
                <w:shd w:val="clear" w:color="auto" w:fill="FFFFFF"/>
                <w:lang w:val="zh-CN"/>
              </w:rPr>
              <w:t>】分</w:t>
            </w:r>
          </w:p>
          <w:p w14:paraId="782889F0">
            <w:pPr>
              <w:spacing w:line="276" w:lineRule="auto"/>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val="zh-CN"/>
              </w:rPr>
              <w:t>良得【</w:t>
            </w:r>
            <w:r>
              <w:rPr>
                <w:rFonts w:hint="eastAsia" w:ascii="宋体" w:hAnsi="宋体" w:eastAsia="宋体" w:cs="宋体"/>
                <w:color w:val="auto"/>
                <w:szCs w:val="21"/>
                <w:highlight w:val="none"/>
                <w:shd w:val="clear" w:color="auto" w:fill="FFFFFF"/>
              </w:rPr>
              <w:t>20，22</w:t>
            </w:r>
            <w:r>
              <w:rPr>
                <w:rFonts w:hint="eastAsia" w:ascii="宋体" w:hAnsi="宋体" w:eastAsia="宋体" w:cs="宋体"/>
                <w:color w:val="auto"/>
                <w:szCs w:val="21"/>
                <w:highlight w:val="none"/>
                <w:shd w:val="clear" w:color="auto" w:fill="FFFFFF"/>
                <w:lang w:val="zh-CN"/>
              </w:rPr>
              <w:t>】分</w:t>
            </w:r>
          </w:p>
          <w:p w14:paraId="0DD6353C">
            <w:pPr>
              <w:spacing w:line="276" w:lineRule="auto"/>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val="zh-CN"/>
              </w:rPr>
              <w:t>中得【</w:t>
            </w:r>
            <w:r>
              <w:rPr>
                <w:rFonts w:hint="eastAsia" w:ascii="宋体" w:hAnsi="宋体" w:eastAsia="宋体" w:cs="宋体"/>
                <w:color w:val="auto"/>
                <w:szCs w:val="21"/>
                <w:highlight w:val="none"/>
                <w:shd w:val="clear" w:color="auto" w:fill="FFFFFF"/>
              </w:rPr>
              <w:t>16，19</w:t>
            </w:r>
            <w:r>
              <w:rPr>
                <w:rFonts w:hint="eastAsia" w:ascii="宋体" w:hAnsi="宋体" w:eastAsia="宋体" w:cs="宋体"/>
                <w:color w:val="auto"/>
                <w:szCs w:val="21"/>
                <w:highlight w:val="none"/>
                <w:shd w:val="clear" w:color="auto" w:fill="FFFFFF"/>
                <w:lang w:val="zh-CN"/>
              </w:rPr>
              <w:t>】分</w:t>
            </w:r>
          </w:p>
          <w:p w14:paraId="1629F003">
            <w:pPr>
              <w:spacing w:line="276" w:lineRule="auto"/>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差得</w:t>
            </w:r>
            <w:r>
              <w:rPr>
                <w:rFonts w:hint="eastAsia" w:ascii="宋体" w:hAnsi="宋体" w:eastAsia="宋体" w:cs="宋体"/>
                <w:color w:val="auto"/>
                <w:szCs w:val="21"/>
                <w:highlight w:val="none"/>
                <w:shd w:val="clear" w:color="auto" w:fill="FFFFFF"/>
                <w:lang w:val="zh-CN"/>
              </w:rPr>
              <w:t>【</w:t>
            </w:r>
            <w:r>
              <w:rPr>
                <w:rFonts w:hint="eastAsia" w:ascii="宋体" w:hAnsi="宋体" w:eastAsia="宋体" w:cs="宋体"/>
                <w:color w:val="auto"/>
                <w:szCs w:val="21"/>
                <w:highlight w:val="none"/>
                <w:shd w:val="clear" w:color="auto" w:fill="FFFFFF"/>
              </w:rPr>
              <w:t>1，15</w:t>
            </w:r>
            <w:r>
              <w:rPr>
                <w:rFonts w:hint="eastAsia" w:ascii="宋体" w:hAnsi="宋体" w:eastAsia="宋体" w:cs="宋体"/>
                <w:color w:val="auto"/>
                <w:szCs w:val="21"/>
                <w:highlight w:val="none"/>
                <w:shd w:val="clear" w:color="auto" w:fill="FFFFFF"/>
                <w:lang w:val="zh-CN"/>
              </w:rPr>
              <w:t>】分</w:t>
            </w:r>
          </w:p>
          <w:p w14:paraId="7720F998">
            <w:pPr>
              <w:spacing w:line="276" w:lineRule="auto"/>
              <w:jc w:val="left"/>
              <w:rPr>
                <w:rFonts w:ascii="宋体" w:hAnsi="宋体" w:eastAsia="宋体" w:cs="宋体"/>
                <w:b/>
                <w:bCs/>
                <w:color w:val="auto"/>
                <w:szCs w:val="21"/>
                <w:highlight w:val="none"/>
              </w:rPr>
            </w:pPr>
            <w:r>
              <w:rPr>
                <w:rFonts w:hint="eastAsia" w:ascii="宋体" w:hAnsi="宋体" w:eastAsia="宋体" w:cs="宋体"/>
                <w:color w:val="auto"/>
                <w:szCs w:val="21"/>
                <w:highlight w:val="none"/>
                <w:shd w:val="clear" w:color="auto" w:fill="FFFFFF"/>
              </w:rPr>
              <w:t>不满足或</w:t>
            </w:r>
            <w:r>
              <w:rPr>
                <w:rFonts w:hint="eastAsia" w:ascii="宋体" w:hAnsi="宋体" w:eastAsia="宋体" w:cs="宋体"/>
                <w:color w:val="auto"/>
                <w:szCs w:val="21"/>
                <w:highlight w:val="none"/>
                <w:shd w:val="clear" w:color="auto" w:fill="FFFFFF"/>
                <w:lang w:val="zh-CN"/>
              </w:rPr>
              <w:t>未能按要求</w:t>
            </w:r>
            <w:r>
              <w:rPr>
                <w:rFonts w:hint="eastAsia" w:ascii="宋体" w:hAnsi="宋体" w:eastAsia="宋体" w:cs="宋体"/>
                <w:color w:val="auto"/>
                <w:szCs w:val="21"/>
                <w:highlight w:val="none"/>
                <w:shd w:val="clear" w:color="auto" w:fill="FFFFFF"/>
              </w:rPr>
              <w:t>提供相关资料</w:t>
            </w:r>
            <w:r>
              <w:rPr>
                <w:rFonts w:hint="eastAsia" w:ascii="宋体" w:hAnsi="宋体" w:eastAsia="宋体" w:cs="宋体"/>
                <w:color w:val="auto"/>
                <w:szCs w:val="21"/>
                <w:highlight w:val="none"/>
                <w:shd w:val="clear" w:color="auto" w:fill="FFFFFF"/>
                <w:lang w:val="zh-CN"/>
              </w:rPr>
              <w:t>得0分。</w:t>
            </w:r>
          </w:p>
        </w:tc>
      </w:tr>
      <w:tr w14:paraId="5B89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tcBorders>
              <w:left w:val="single" w:color="auto" w:sz="4" w:space="0"/>
              <w:right w:val="single" w:color="auto" w:sz="4" w:space="0"/>
            </w:tcBorders>
            <w:vAlign w:val="center"/>
          </w:tcPr>
          <w:p w14:paraId="161A05F7">
            <w:pPr>
              <w:spacing w:line="276" w:lineRule="auto"/>
              <w:jc w:val="center"/>
              <w:rPr>
                <w:rFonts w:ascii="宋体" w:hAnsi="宋体" w:eastAsia="宋体" w:cs="宋体"/>
                <w:color w:val="auto"/>
                <w:szCs w:val="21"/>
                <w:highlight w:val="none"/>
                <w:shd w:val="clear" w:color="auto" w:fill="FFFFFF"/>
              </w:rPr>
            </w:pPr>
          </w:p>
        </w:tc>
        <w:tc>
          <w:tcPr>
            <w:tcW w:w="1134" w:type="dxa"/>
            <w:vMerge w:val="continue"/>
            <w:tcBorders>
              <w:left w:val="single" w:color="auto" w:sz="4" w:space="0"/>
              <w:right w:val="single" w:color="auto" w:sz="4" w:space="0"/>
            </w:tcBorders>
            <w:vAlign w:val="center"/>
          </w:tcPr>
          <w:p w14:paraId="048D01DD">
            <w:pPr>
              <w:spacing w:line="276" w:lineRule="auto"/>
              <w:jc w:val="center"/>
              <w:rPr>
                <w:rFonts w:ascii="宋体" w:hAnsi="宋体" w:eastAsia="宋体" w:cs="宋体"/>
                <w:color w:val="auto"/>
                <w:szCs w:val="21"/>
                <w:highlight w:val="none"/>
                <w:shd w:val="clear" w:color="auto" w:fill="FFFFFF"/>
              </w:rPr>
            </w:pPr>
          </w:p>
        </w:tc>
        <w:tc>
          <w:tcPr>
            <w:tcW w:w="749" w:type="dxa"/>
            <w:tcBorders>
              <w:top w:val="single" w:color="auto" w:sz="4" w:space="0"/>
              <w:left w:val="single" w:color="auto" w:sz="4" w:space="0"/>
              <w:bottom w:val="single" w:color="auto" w:sz="4" w:space="0"/>
              <w:right w:val="single" w:color="auto" w:sz="4" w:space="0"/>
            </w:tcBorders>
            <w:vAlign w:val="center"/>
          </w:tcPr>
          <w:p w14:paraId="528F1A82">
            <w:pPr>
              <w:spacing w:line="276" w:lineRule="auto"/>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25</w:t>
            </w:r>
          </w:p>
        </w:tc>
        <w:tc>
          <w:tcPr>
            <w:tcW w:w="6480" w:type="dxa"/>
            <w:tcBorders>
              <w:top w:val="single" w:color="auto" w:sz="4" w:space="0"/>
              <w:left w:val="single" w:color="auto" w:sz="4" w:space="0"/>
              <w:bottom w:val="single" w:color="auto" w:sz="4" w:space="0"/>
              <w:right w:val="single" w:color="auto" w:sz="4" w:space="0"/>
            </w:tcBorders>
            <w:vAlign w:val="center"/>
          </w:tcPr>
          <w:p w14:paraId="759A7BAF">
            <w:pPr>
              <w:pStyle w:val="24"/>
              <w:spacing w:line="276" w:lineRule="auto"/>
              <w:rPr>
                <w:rFonts w:ascii="宋体" w:hAnsi="宋体" w:eastAsia="宋体" w:cs="宋体"/>
                <w:b/>
                <w:bCs/>
                <w:color w:val="auto"/>
                <w:szCs w:val="21"/>
                <w:highlight w:val="none"/>
                <w:shd w:val="clear" w:color="auto" w:fill="FFFFFF"/>
              </w:rPr>
            </w:pPr>
            <w:r>
              <w:rPr>
                <w:rFonts w:hint="eastAsia" w:ascii="宋体" w:hAnsi="宋体" w:eastAsia="宋体" w:cs="宋体"/>
                <w:b/>
                <w:bCs/>
                <w:color w:val="auto"/>
                <w:szCs w:val="21"/>
                <w:highlight w:val="none"/>
              </w:rPr>
              <w:t>对本项目施工管理措施进行</w:t>
            </w:r>
            <w:r>
              <w:rPr>
                <w:rFonts w:hint="eastAsia" w:ascii="宋体" w:hAnsi="宋体" w:eastAsia="宋体" w:cs="宋体"/>
                <w:b/>
                <w:bCs/>
                <w:color w:val="auto"/>
                <w:szCs w:val="21"/>
                <w:highlight w:val="none"/>
                <w:shd w:val="clear" w:color="auto" w:fill="FFFFFF"/>
                <w:lang w:val="zh-CN"/>
              </w:rPr>
              <w:t>评审：</w:t>
            </w:r>
            <w:r>
              <w:rPr>
                <w:rFonts w:hint="eastAsia" w:ascii="宋体" w:hAnsi="宋体" w:eastAsia="宋体" w:cs="宋体"/>
                <w:b/>
                <w:bCs/>
                <w:color w:val="auto"/>
                <w:szCs w:val="21"/>
                <w:highlight w:val="none"/>
                <w:shd w:val="clear" w:color="auto" w:fill="FFFFFF"/>
              </w:rPr>
              <w:t xml:space="preserve"> </w:t>
            </w:r>
          </w:p>
          <w:p w14:paraId="03AD9F3F">
            <w:pPr>
              <w:spacing w:line="276" w:lineRule="auto"/>
              <w:rPr>
                <w:rFonts w:ascii="宋体" w:hAnsi="宋体" w:eastAsia="宋体" w:cs="宋体"/>
                <w:color w:val="auto"/>
                <w:szCs w:val="21"/>
                <w:highlight w:val="none"/>
                <w:lang w:val="zh-CN"/>
              </w:rPr>
            </w:pPr>
            <w:r>
              <w:rPr>
                <w:rFonts w:hint="eastAsia" w:ascii="宋体" w:hAnsi="宋体" w:eastAsia="宋体" w:cs="宋体"/>
                <w:b/>
                <w:bCs/>
                <w:color w:val="auto"/>
                <w:szCs w:val="21"/>
                <w:highlight w:val="none"/>
                <w:shd w:val="clear" w:color="auto" w:fill="FFFFFF"/>
                <w:lang w:val="zh-CN"/>
              </w:rPr>
              <w:t>（</w:t>
            </w:r>
            <w:r>
              <w:rPr>
                <w:rFonts w:hint="eastAsia" w:ascii="宋体" w:hAnsi="宋体" w:eastAsia="宋体" w:cs="宋体"/>
                <w:b/>
                <w:bCs/>
                <w:color w:val="auto"/>
                <w:kern w:val="0"/>
                <w:szCs w:val="21"/>
                <w:highlight w:val="none"/>
              </w:rPr>
              <w:t>施工管理措施应根据本项目实际、结合企业优势编制，应响应项目需求、具备</w:t>
            </w:r>
            <w:r>
              <w:rPr>
                <w:rFonts w:hint="eastAsia" w:ascii="宋体" w:hAnsi="宋体" w:eastAsia="宋体" w:cs="宋体"/>
                <w:b/>
                <w:bCs/>
                <w:color w:val="auto"/>
                <w:szCs w:val="21"/>
                <w:highlight w:val="none"/>
                <w:shd w:val="clear" w:color="auto" w:fill="FFFFFF"/>
                <w:lang w:val="zh-CN"/>
              </w:rPr>
              <w:t>针对性、可行性、创新性</w:t>
            </w:r>
            <w:r>
              <w:rPr>
                <w:rFonts w:hint="eastAsia" w:ascii="宋体" w:hAnsi="宋体" w:eastAsia="宋体" w:cs="宋体"/>
                <w:b/>
                <w:bCs/>
                <w:color w:val="auto"/>
                <w:kern w:val="0"/>
                <w:szCs w:val="21"/>
                <w:highlight w:val="none"/>
              </w:rPr>
              <w:t>。包括不限于：</w:t>
            </w:r>
            <w:r>
              <w:rPr>
                <w:rFonts w:hint="eastAsia" w:ascii="宋体" w:hAnsi="宋体" w:eastAsia="宋体" w:cs="宋体"/>
                <w:b/>
                <w:bCs/>
                <w:color w:val="auto"/>
                <w:szCs w:val="21"/>
                <w:highlight w:val="none"/>
                <w:shd w:val="clear" w:color="auto" w:fill="FFFFFF"/>
                <w:lang w:val="zh-CN"/>
              </w:rPr>
              <w:t>确保本工程质量、安全、进度目标的管理措施、危大分部分项管理措施、技术难点解决措施、应急响应措施等内容）</w:t>
            </w:r>
          </w:p>
          <w:p w14:paraId="4862F3E6">
            <w:pPr>
              <w:spacing w:line="276" w:lineRule="auto"/>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优得【23，25】分</w:t>
            </w:r>
          </w:p>
          <w:p w14:paraId="4AC49C20">
            <w:pPr>
              <w:spacing w:line="276" w:lineRule="auto"/>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良得【20，22】分</w:t>
            </w:r>
          </w:p>
          <w:p w14:paraId="4264DC43">
            <w:pPr>
              <w:spacing w:line="276" w:lineRule="auto"/>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中得【16，19】分</w:t>
            </w:r>
          </w:p>
          <w:p w14:paraId="249A1FE2">
            <w:pPr>
              <w:spacing w:line="276" w:lineRule="auto"/>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差得【1，15】分</w:t>
            </w:r>
          </w:p>
          <w:p w14:paraId="06ACD861">
            <w:pPr>
              <w:spacing w:line="276" w:lineRule="auto"/>
              <w:jc w:val="left"/>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rPr>
              <w:t>不满足或</w:t>
            </w:r>
            <w:r>
              <w:rPr>
                <w:rFonts w:hint="eastAsia" w:ascii="宋体" w:hAnsi="宋体" w:eastAsia="宋体" w:cs="宋体"/>
                <w:color w:val="auto"/>
                <w:szCs w:val="21"/>
                <w:highlight w:val="none"/>
                <w:shd w:val="clear" w:color="auto" w:fill="FFFFFF"/>
                <w:lang w:val="zh-CN"/>
              </w:rPr>
              <w:t>未能按要求</w:t>
            </w:r>
            <w:r>
              <w:rPr>
                <w:rFonts w:hint="eastAsia" w:ascii="宋体" w:hAnsi="宋体" w:eastAsia="宋体" w:cs="宋体"/>
                <w:color w:val="auto"/>
                <w:szCs w:val="21"/>
                <w:highlight w:val="none"/>
                <w:shd w:val="clear" w:color="auto" w:fill="FFFFFF"/>
              </w:rPr>
              <w:t>提供相关资料</w:t>
            </w:r>
            <w:r>
              <w:rPr>
                <w:rFonts w:hint="eastAsia" w:ascii="宋体" w:hAnsi="宋体" w:eastAsia="宋体" w:cs="宋体"/>
                <w:color w:val="auto"/>
                <w:szCs w:val="21"/>
                <w:highlight w:val="none"/>
                <w:shd w:val="clear" w:color="auto" w:fill="FFFFFF"/>
                <w:lang w:val="zh-CN"/>
              </w:rPr>
              <w:t>得0分。</w:t>
            </w:r>
          </w:p>
        </w:tc>
      </w:tr>
      <w:tr w14:paraId="4B73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tcBorders>
              <w:left w:val="single" w:color="auto" w:sz="4" w:space="0"/>
              <w:right w:val="single" w:color="auto" w:sz="4" w:space="0"/>
            </w:tcBorders>
            <w:vAlign w:val="center"/>
          </w:tcPr>
          <w:p w14:paraId="53EE3963">
            <w:pPr>
              <w:spacing w:line="276" w:lineRule="auto"/>
              <w:jc w:val="center"/>
              <w:rPr>
                <w:rFonts w:ascii="宋体" w:hAnsi="宋体" w:eastAsia="宋体" w:cs="宋体"/>
                <w:color w:val="auto"/>
                <w:szCs w:val="21"/>
                <w:highlight w:val="none"/>
                <w:shd w:val="clear" w:color="auto" w:fill="FFFFFF"/>
              </w:rPr>
            </w:pPr>
          </w:p>
        </w:tc>
        <w:tc>
          <w:tcPr>
            <w:tcW w:w="1134" w:type="dxa"/>
            <w:vMerge w:val="continue"/>
            <w:tcBorders>
              <w:left w:val="single" w:color="auto" w:sz="4" w:space="0"/>
              <w:right w:val="single" w:color="auto" w:sz="4" w:space="0"/>
            </w:tcBorders>
            <w:vAlign w:val="center"/>
          </w:tcPr>
          <w:p w14:paraId="04B5A84F">
            <w:pPr>
              <w:spacing w:line="276" w:lineRule="auto"/>
              <w:jc w:val="center"/>
              <w:rPr>
                <w:rFonts w:ascii="宋体" w:hAnsi="宋体" w:eastAsia="宋体" w:cs="宋体"/>
                <w:color w:val="auto"/>
                <w:szCs w:val="21"/>
                <w:highlight w:val="none"/>
                <w:shd w:val="clear" w:color="auto" w:fill="FFFFFF"/>
              </w:rPr>
            </w:pPr>
          </w:p>
        </w:tc>
        <w:tc>
          <w:tcPr>
            <w:tcW w:w="749" w:type="dxa"/>
            <w:tcBorders>
              <w:top w:val="single" w:color="auto" w:sz="4" w:space="0"/>
              <w:left w:val="single" w:color="auto" w:sz="4" w:space="0"/>
              <w:bottom w:val="single" w:color="auto" w:sz="4" w:space="0"/>
              <w:right w:val="single" w:color="auto" w:sz="4" w:space="0"/>
            </w:tcBorders>
            <w:vAlign w:val="center"/>
          </w:tcPr>
          <w:p w14:paraId="50E6D665">
            <w:pPr>
              <w:spacing w:line="276" w:lineRule="auto"/>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25</w:t>
            </w:r>
          </w:p>
        </w:tc>
        <w:tc>
          <w:tcPr>
            <w:tcW w:w="6480" w:type="dxa"/>
            <w:tcBorders>
              <w:top w:val="single" w:color="auto" w:sz="4" w:space="0"/>
              <w:left w:val="single" w:color="auto" w:sz="4" w:space="0"/>
              <w:bottom w:val="single" w:color="auto" w:sz="4" w:space="0"/>
              <w:right w:val="single" w:color="auto" w:sz="4" w:space="0"/>
            </w:tcBorders>
            <w:vAlign w:val="center"/>
          </w:tcPr>
          <w:p w14:paraId="36D56F6F">
            <w:pPr>
              <w:spacing w:line="276" w:lineRule="auto"/>
              <w:jc w:val="left"/>
              <w:rPr>
                <w:rFonts w:ascii="宋体" w:hAnsi="宋体" w:eastAsia="宋体" w:cs="宋体"/>
                <w:b/>
                <w:bCs/>
                <w:color w:val="auto"/>
                <w:szCs w:val="21"/>
                <w:highlight w:val="none"/>
                <w:shd w:val="clear" w:color="auto" w:fill="FFFFFF"/>
              </w:rPr>
            </w:pPr>
            <w:r>
              <w:rPr>
                <w:rFonts w:hint="eastAsia" w:ascii="宋体" w:hAnsi="宋体" w:eastAsia="宋体" w:cs="宋体"/>
                <w:b/>
                <w:bCs/>
                <w:color w:val="auto"/>
                <w:szCs w:val="21"/>
                <w:highlight w:val="none"/>
                <w:shd w:val="clear" w:color="auto" w:fill="FFFFFF"/>
                <w:lang w:val="zh-CN"/>
              </w:rPr>
              <w:t>对本项目成本控制措施</w:t>
            </w:r>
            <w:r>
              <w:rPr>
                <w:rFonts w:hint="eastAsia" w:ascii="宋体" w:hAnsi="宋体" w:eastAsia="宋体" w:cs="宋体"/>
                <w:b/>
                <w:bCs/>
                <w:color w:val="auto"/>
                <w:kern w:val="0"/>
                <w:szCs w:val="21"/>
                <w:highlight w:val="none"/>
              </w:rPr>
              <w:t>进行</w:t>
            </w:r>
            <w:r>
              <w:rPr>
                <w:rFonts w:hint="eastAsia" w:ascii="宋体" w:hAnsi="宋体" w:eastAsia="宋体" w:cs="宋体"/>
                <w:b/>
                <w:bCs/>
                <w:color w:val="auto"/>
                <w:szCs w:val="21"/>
                <w:highlight w:val="none"/>
                <w:shd w:val="clear" w:color="auto" w:fill="FFFFFF"/>
                <w:lang w:val="zh-CN"/>
              </w:rPr>
              <w:t>评审：</w:t>
            </w:r>
            <w:r>
              <w:rPr>
                <w:rFonts w:hint="eastAsia" w:ascii="宋体" w:hAnsi="宋体" w:eastAsia="宋体" w:cs="宋体"/>
                <w:b/>
                <w:bCs/>
                <w:color w:val="auto"/>
                <w:szCs w:val="21"/>
                <w:highlight w:val="none"/>
                <w:shd w:val="clear" w:color="auto" w:fill="FFFFFF"/>
              </w:rPr>
              <w:t xml:space="preserve"> </w:t>
            </w:r>
          </w:p>
          <w:p w14:paraId="6A18EC10">
            <w:pPr>
              <w:spacing w:line="276" w:lineRule="auto"/>
              <w:jc w:val="left"/>
              <w:rPr>
                <w:rFonts w:ascii="宋体" w:hAnsi="宋体" w:eastAsia="宋体" w:cs="宋体"/>
                <w:b/>
                <w:bCs/>
                <w:color w:val="auto"/>
                <w:szCs w:val="21"/>
                <w:highlight w:val="none"/>
                <w:shd w:val="clear" w:color="auto" w:fill="FFFFFF"/>
                <w:lang w:val="zh-CN"/>
              </w:rPr>
            </w:pPr>
            <w:r>
              <w:rPr>
                <w:rFonts w:hint="eastAsia" w:ascii="宋体" w:hAnsi="宋体" w:eastAsia="宋体" w:cs="宋体"/>
                <w:b/>
                <w:bCs/>
                <w:color w:val="auto"/>
                <w:szCs w:val="21"/>
                <w:highlight w:val="none"/>
                <w:shd w:val="clear" w:color="auto" w:fill="FFFFFF"/>
                <w:lang w:val="zh-CN"/>
              </w:rPr>
              <w:t>（成本控制措施包括不限于：成本控制目标、变更管理措施、成本控制风险防范措施等）</w:t>
            </w:r>
          </w:p>
          <w:p w14:paraId="38D86F65">
            <w:pPr>
              <w:spacing w:line="276" w:lineRule="auto"/>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优得【23，25】分</w:t>
            </w:r>
          </w:p>
          <w:p w14:paraId="5309D2E6">
            <w:pPr>
              <w:spacing w:line="276" w:lineRule="auto"/>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良得【20，22】分</w:t>
            </w:r>
          </w:p>
          <w:p w14:paraId="3874719F">
            <w:pPr>
              <w:spacing w:line="276" w:lineRule="auto"/>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中得【16，19】分</w:t>
            </w:r>
          </w:p>
          <w:p w14:paraId="0B582345">
            <w:pPr>
              <w:spacing w:line="276" w:lineRule="auto"/>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差得【1，15】分</w:t>
            </w:r>
          </w:p>
          <w:p w14:paraId="6F5A5475">
            <w:pPr>
              <w:spacing w:line="276" w:lineRule="auto"/>
              <w:rPr>
                <w:rFonts w:ascii="宋体" w:hAnsi="宋体" w:eastAsia="宋体" w:cs="Courier New"/>
                <w:color w:val="auto"/>
                <w:szCs w:val="21"/>
                <w:highlight w:val="none"/>
                <w:lang w:val="zh-CN"/>
              </w:rPr>
            </w:pPr>
            <w:r>
              <w:rPr>
                <w:rFonts w:hint="eastAsia" w:ascii="宋体" w:hAnsi="宋体" w:eastAsia="宋体" w:cs="宋体"/>
                <w:color w:val="auto"/>
                <w:szCs w:val="21"/>
                <w:highlight w:val="none"/>
                <w:shd w:val="clear" w:color="auto" w:fill="FFFFFF"/>
              </w:rPr>
              <w:t>不满足或</w:t>
            </w:r>
            <w:r>
              <w:rPr>
                <w:rFonts w:hint="eastAsia" w:ascii="宋体" w:hAnsi="宋体" w:eastAsia="宋体" w:cs="宋体"/>
                <w:color w:val="auto"/>
                <w:szCs w:val="21"/>
                <w:highlight w:val="none"/>
                <w:shd w:val="clear" w:color="auto" w:fill="FFFFFF"/>
                <w:lang w:val="zh-CN"/>
              </w:rPr>
              <w:t>未能按要求</w:t>
            </w:r>
            <w:r>
              <w:rPr>
                <w:rFonts w:hint="eastAsia" w:ascii="宋体" w:hAnsi="宋体" w:eastAsia="宋体" w:cs="宋体"/>
                <w:color w:val="auto"/>
                <w:szCs w:val="21"/>
                <w:highlight w:val="none"/>
                <w:shd w:val="clear" w:color="auto" w:fill="FFFFFF"/>
              </w:rPr>
              <w:t>提供相关资料</w:t>
            </w:r>
            <w:r>
              <w:rPr>
                <w:rFonts w:hint="eastAsia" w:ascii="宋体" w:hAnsi="宋体" w:eastAsia="宋体" w:cs="宋体"/>
                <w:color w:val="auto"/>
                <w:szCs w:val="21"/>
                <w:highlight w:val="none"/>
                <w:shd w:val="clear" w:color="auto" w:fill="FFFFFF"/>
                <w:lang w:val="zh-CN"/>
              </w:rPr>
              <w:t>得0分。</w:t>
            </w:r>
          </w:p>
        </w:tc>
      </w:tr>
      <w:tr w14:paraId="5BDD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tcBorders>
              <w:left w:val="single" w:color="auto" w:sz="4" w:space="0"/>
              <w:right w:val="single" w:color="auto" w:sz="4" w:space="0"/>
            </w:tcBorders>
            <w:vAlign w:val="center"/>
          </w:tcPr>
          <w:p w14:paraId="2C84E6FD">
            <w:pPr>
              <w:spacing w:line="276" w:lineRule="auto"/>
              <w:jc w:val="center"/>
              <w:rPr>
                <w:rFonts w:ascii="宋体" w:hAnsi="宋体" w:eastAsia="宋体" w:cs="宋体"/>
                <w:color w:val="auto"/>
                <w:szCs w:val="21"/>
                <w:highlight w:val="none"/>
                <w:shd w:val="clear" w:color="auto" w:fill="FFFFFF"/>
              </w:rPr>
            </w:pPr>
          </w:p>
        </w:tc>
        <w:tc>
          <w:tcPr>
            <w:tcW w:w="1134" w:type="dxa"/>
            <w:vMerge w:val="continue"/>
            <w:tcBorders>
              <w:left w:val="single" w:color="auto" w:sz="4" w:space="0"/>
              <w:right w:val="single" w:color="auto" w:sz="4" w:space="0"/>
            </w:tcBorders>
            <w:vAlign w:val="center"/>
          </w:tcPr>
          <w:p w14:paraId="1D10091E">
            <w:pPr>
              <w:spacing w:line="276" w:lineRule="auto"/>
              <w:jc w:val="center"/>
              <w:rPr>
                <w:rFonts w:ascii="宋体" w:hAnsi="宋体" w:eastAsia="宋体" w:cs="宋体"/>
                <w:color w:val="auto"/>
                <w:szCs w:val="21"/>
                <w:highlight w:val="none"/>
                <w:shd w:val="clear" w:color="auto" w:fill="FFFFFF"/>
              </w:rPr>
            </w:pPr>
          </w:p>
        </w:tc>
        <w:tc>
          <w:tcPr>
            <w:tcW w:w="749" w:type="dxa"/>
            <w:tcBorders>
              <w:top w:val="single" w:color="auto" w:sz="4" w:space="0"/>
              <w:left w:val="single" w:color="auto" w:sz="4" w:space="0"/>
              <w:bottom w:val="single" w:color="auto" w:sz="4" w:space="0"/>
              <w:right w:val="single" w:color="auto" w:sz="4" w:space="0"/>
            </w:tcBorders>
            <w:vAlign w:val="center"/>
          </w:tcPr>
          <w:p w14:paraId="4C1B14C2">
            <w:pPr>
              <w:spacing w:line="276" w:lineRule="auto"/>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25</w:t>
            </w:r>
          </w:p>
        </w:tc>
        <w:tc>
          <w:tcPr>
            <w:tcW w:w="6480" w:type="dxa"/>
            <w:tcBorders>
              <w:top w:val="single" w:color="auto" w:sz="4" w:space="0"/>
              <w:left w:val="single" w:color="auto" w:sz="4" w:space="0"/>
              <w:bottom w:val="single" w:color="auto" w:sz="4" w:space="0"/>
              <w:right w:val="single" w:color="auto" w:sz="4" w:space="0"/>
            </w:tcBorders>
            <w:vAlign w:val="center"/>
          </w:tcPr>
          <w:p w14:paraId="014BBEBD">
            <w:pPr>
              <w:spacing w:line="276"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对本项目资金管理措施进行评审：</w:t>
            </w:r>
          </w:p>
          <w:p w14:paraId="060EC8B3">
            <w:pPr>
              <w:spacing w:line="276"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（资金管理措施包括不限于：工程款专款专用、项目资金投入规划、农民工工资保障、应急周转资金制度、工程款支付担保等措施等）</w:t>
            </w:r>
          </w:p>
          <w:p w14:paraId="523C2C66">
            <w:pPr>
              <w:spacing w:line="276" w:lineRule="auto"/>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优得【23，25】分</w:t>
            </w:r>
          </w:p>
          <w:p w14:paraId="48669B20">
            <w:pPr>
              <w:spacing w:line="276" w:lineRule="auto"/>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良得【20，22】分</w:t>
            </w:r>
          </w:p>
          <w:p w14:paraId="4872480E">
            <w:pPr>
              <w:spacing w:line="276" w:lineRule="auto"/>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中得【16，19】分</w:t>
            </w:r>
          </w:p>
          <w:p w14:paraId="0526D06D">
            <w:pPr>
              <w:spacing w:line="276" w:lineRule="auto"/>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差得【1，15】分</w:t>
            </w:r>
          </w:p>
          <w:p w14:paraId="6CAB1273">
            <w:pPr>
              <w:spacing w:line="276" w:lineRule="auto"/>
              <w:jc w:val="left"/>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rPr>
              <w:t>不满足或</w:t>
            </w:r>
            <w:r>
              <w:rPr>
                <w:rFonts w:hint="eastAsia" w:ascii="宋体" w:hAnsi="宋体" w:eastAsia="宋体" w:cs="宋体"/>
                <w:color w:val="auto"/>
                <w:szCs w:val="21"/>
                <w:highlight w:val="none"/>
                <w:shd w:val="clear" w:color="auto" w:fill="FFFFFF"/>
                <w:lang w:val="zh-CN"/>
              </w:rPr>
              <w:t>未能按要求</w:t>
            </w:r>
            <w:r>
              <w:rPr>
                <w:rFonts w:hint="eastAsia" w:ascii="宋体" w:hAnsi="宋体" w:eastAsia="宋体" w:cs="宋体"/>
                <w:color w:val="auto"/>
                <w:szCs w:val="21"/>
                <w:highlight w:val="none"/>
                <w:shd w:val="clear" w:color="auto" w:fill="FFFFFF"/>
              </w:rPr>
              <w:t>提供相关资料</w:t>
            </w:r>
            <w:r>
              <w:rPr>
                <w:rFonts w:hint="eastAsia" w:ascii="宋体" w:hAnsi="宋体" w:eastAsia="宋体" w:cs="宋体"/>
                <w:color w:val="auto"/>
                <w:szCs w:val="21"/>
                <w:highlight w:val="none"/>
                <w:shd w:val="clear" w:color="auto" w:fill="FFFFFF"/>
                <w:lang w:val="zh-CN"/>
              </w:rPr>
              <w:t>得0分。</w:t>
            </w:r>
          </w:p>
        </w:tc>
      </w:tr>
      <w:tr w14:paraId="0FE0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14:paraId="7819C772">
            <w:pPr>
              <w:spacing w:line="276" w:lineRule="auto"/>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rPr>
              <w:t>2</w:t>
            </w:r>
          </w:p>
        </w:tc>
        <w:tc>
          <w:tcPr>
            <w:tcW w:w="1134" w:type="dxa"/>
            <w:tcBorders>
              <w:top w:val="single" w:color="auto" w:sz="4" w:space="0"/>
              <w:left w:val="single" w:color="auto" w:sz="4" w:space="0"/>
              <w:bottom w:val="single" w:color="auto" w:sz="4" w:space="0"/>
              <w:right w:val="single" w:color="auto" w:sz="4" w:space="0"/>
            </w:tcBorders>
            <w:vAlign w:val="center"/>
          </w:tcPr>
          <w:p w14:paraId="471032B3">
            <w:pPr>
              <w:spacing w:line="276" w:lineRule="auto"/>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价格因素</w:t>
            </w:r>
          </w:p>
          <w:p w14:paraId="4D4C8BF6">
            <w:pPr>
              <w:spacing w:line="276" w:lineRule="auto"/>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（100）</w:t>
            </w:r>
          </w:p>
        </w:tc>
        <w:tc>
          <w:tcPr>
            <w:tcW w:w="749" w:type="dxa"/>
            <w:tcBorders>
              <w:top w:val="single" w:color="auto" w:sz="4" w:space="0"/>
              <w:left w:val="single" w:color="auto" w:sz="4" w:space="0"/>
              <w:bottom w:val="single" w:color="auto" w:sz="4" w:space="0"/>
              <w:right w:val="single" w:color="auto" w:sz="4" w:space="0"/>
            </w:tcBorders>
            <w:vAlign w:val="center"/>
          </w:tcPr>
          <w:p w14:paraId="24E3B1D1">
            <w:pPr>
              <w:spacing w:line="276" w:lineRule="auto"/>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100</w:t>
            </w:r>
          </w:p>
        </w:tc>
        <w:tc>
          <w:tcPr>
            <w:tcW w:w="6480" w:type="dxa"/>
            <w:tcBorders>
              <w:top w:val="single" w:color="auto" w:sz="4" w:space="0"/>
              <w:left w:val="single" w:color="auto" w:sz="4" w:space="0"/>
              <w:bottom w:val="single" w:color="auto" w:sz="4" w:space="0"/>
              <w:right w:val="single" w:color="auto" w:sz="4" w:space="0"/>
            </w:tcBorders>
            <w:vAlign w:val="center"/>
          </w:tcPr>
          <w:p w14:paraId="504C6D19">
            <w:pPr>
              <w:spacing w:line="276" w:lineRule="auto"/>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u w:val="single"/>
              </w:rPr>
              <w:t>定标委员会对合格中标候选人投标报价进行打分，</w:t>
            </w:r>
            <w:r>
              <w:rPr>
                <w:rFonts w:hint="eastAsia" w:ascii="宋体" w:hAnsi="宋体" w:eastAsia="宋体" w:cs="宋体"/>
                <w:b/>
                <w:bCs/>
                <w:color w:val="auto"/>
                <w:szCs w:val="21"/>
                <w:highlight w:val="none"/>
                <w:u w:val="single"/>
              </w:rPr>
              <w:t>以合格中标候选人中投标总报价高于成本警示价的最低投标报价为定标基准价（如合格中标候选人</w:t>
            </w:r>
            <w:r>
              <w:rPr>
                <w:rFonts w:hint="eastAsia" w:ascii="宋体" w:hAnsi="宋体" w:eastAsia="宋体" w:cs="宋体"/>
                <w:b/>
                <w:bCs/>
                <w:color w:val="auto"/>
                <w:szCs w:val="21"/>
                <w:highlight w:val="none"/>
                <w:u w:val="single"/>
                <w:lang w:val="en-US" w:eastAsia="zh-CN"/>
              </w:rPr>
              <w:t>的</w:t>
            </w:r>
            <w:r>
              <w:rPr>
                <w:rFonts w:hint="eastAsia" w:ascii="宋体" w:hAnsi="宋体" w:eastAsia="宋体" w:cs="宋体"/>
                <w:b/>
                <w:bCs/>
                <w:color w:val="auto"/>
                <w:szCs w:val="21"/>
                <w:highlight w:val="none"/>
                <w:u w:val="single"/>
              </w:rPr>
              <w:t>投标报价</w:t>
            </w:r>
            <w:r>
              <w:rPr>
                <w:rFonts w:hint="eastAsia" w:ascii="宋体" w:hAnsi="宋体" w:eastAsia="宋体" w:cs="宋体"/>
                <w:b/>
                <w:bCs/>
                <w:color w:val="auto"/>
                <w:szCs w:val="21"/>
                <w:highlight w:val="none"/>
                <w:u w:val="single"/>
                <w:lang w:val="en-US" w:eastAsia="zh-CN"/>
              </w:rPr>
              <w:t>均</w:t>
            </w:r>
            <w:r>
              <w:rPr>
                <w:rFonts w:hint="eastAsia" w:ascii="宋体" w:hAnsi="宋体" w:eastAsia="宋体" w:cs="宋体"/>
                <w:b/>
                <w:bCs/>
                <w:color w:val="auto"/>
                <w:szCs w:val="21"/>
                <w:highlight w:val="none"/>
                <w:u w:val="single"/>
              </w:rPr>
              <w:t>低于或等于成本警示价</w:t>
            </w:r>
            <w:r>
              <w:rPr>
                <w:rFonts w:hint="eastAsia" w:ascii="宋体" w:hAnsi="宋体" w:eastAsia="宋体" w:cs="宋体"/>
                <w:b/>
                <w:bCs/>
                <w:color w:val="auto"/>
                <w:szCs w:val="21"/>
                <w:highlight w:val="none"/>
                <w:u w:val="single"/>
                <w:lang w:val="en-US" w:eastAsia="zh-CN"/>
              </w:rPr>
              <w:t>,则成本警示价为定标基准价）</w:t>
            </w:r>
            <w:r>
              <w:rPr>
                <w:rFonts w:hint="eastAsia" w:ascii="宋体" w:hAnsi="宋体" w:eastAsia="宋体" w:cs="宋体"/>
                <w:b/>
                <w:bCs/>
                <w:color w:val="auto"/>
                <w:highlight w:val="none"/>
                <w:u w:val="single"/>
              </w:rPr>
              <w:t>，</w:t>
            </w:r>
            <w:r>
              <w:rPr>
                <w:rFonts w:hint="eastAsia" w:ascii="宋体" w:hAnsi="宋体" w:eastAsia="宋体" w:cs="宋体"/>
                <w:b/>
                <w:bCs/>
                <w:color w:val="auto"/>
                <w:szCs w:val="21"/>
                <w:highlight w:val="none"/>
                <w:u w:val="single"/>
              </w:rPr>
              <w:t>投标总报价等于定标基准价时得100分</w:t>
            </w:r>
            <w:r>
              <w:rPr>
                <w:rFonts w:hint="eastAsia" w:ascii="宋体" w:hAnsi="宋体" w:eastAsia="宋体" w:cs="宋体"/>
                <w:bCs/>
                <w:color w:val="auto"/>
                <w:szCs w:val="21"/>
                <w:highlight w:val="none"/>
                <w:u w:val="single"/>
              </w:rPr>
              <w:t>。投标总报价比定标基准价每高1%扣1.5分；每低1%扣1.0分，扣至0分为止。得出价格因素得分，分数出现小数点时，保留小数点后二位，第三位小数四舍五入。</w:t>
            </w:r>
          </w:p>
        </w:tc>
      </w:tr>
      <w:tr w14:paraId="0832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tcBorders>
              <w:left w:val="single" w:color="auto" w:sz="4" w:space="0"/>
              <w:right w:val="single" w:color="auto" w:sz="4" w:space="0"/>
            </w:tcBorders>
            <w:vAlign w:val="center"/>
          </w:tcPr>
          <w:p w14:paraId="023C4F1C">
            <w:pPr>
              <w:spacing w:line="276" w:lineRule="auto"/>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合计</w:t>
            </w:r>
          </w:p>
        </w:tc>
        <w:tc>
          <w:tcPr>
            <w:tcW w:w="1134" w:type="dxa"/>
            <w:tcBorders>
              <w:left w:val="single" w:color="auto" w:sz="4" w:space="0"/>
              <w:right w:val="single" w:color="auto" w:sz="4" w:space="0"/>
            </w:tcBorders>
            <w:vAlign w:val="center"/>
          </w:tcPr>
          <w:p w14:paraId="1D257C92">
            <w:pPr>
              <w:spacing w:line="276" w:lineRule="auto"/>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定标因素得分</w:t>
            </w:r>
          </w:p>
        </w:tc>
        <w:tc>
          <w:tcPr>
            <w:tcW w:w="749" w:type="dxa"/>
            <w:tcBorders>
              <w:top w:val="single" w:color="auto" w:sz="4" w:space="0"/>
              <w:left w:val="single" w:color="auto" w:sz="4" w:space="0"/>
              <w:bottom w:val="single" w:color="auto" w:sz="4" w:space="0"/>
              <w:right w:val="single" w:color="auto" w:sz="4" w:space="0"/>
            </w:tcBorders>
            <w:vAlign w:val="center"/>
          </w:tcPr>
          <w:p w14:paraId="1BDCEABB">
            <w:pPr>
              <w:spacing w:line="276" w:lineRule="auto"/>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100</w:t>
            </w:r>
          </w:p>
        </w:tc>
        <w:tc>
          <w:tcPr>
            <w:tcW w:w="6480" w:type="dxa"/>
            <w:tcBorders>
              <w:top w:val="single" w:color="auto" w:sz="4" w:space="0"/>
              <w:left w:val="single" w:color="auto" w:sz="4" w:space="0"/>
              <w:right w:val="single" w:color="auto" w:sz="4" w:space="0"/>
            </w:tcBorders>
            <w:vAlign w:val="center"/>
          </w:tcPr>
          <w:p w14:paraId="640CF09F">
            <w:pPr>
              <w:spacing w:line="276"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总得分（</w:t>
            </w:r>
            <w:r>
              <w:rPr>
                <w:rFonts w:ascii="宋体" w:hAnsi="宋体" w:eastAsia="宋体" w:cs="宋体"/>
                <w:color w:val="auto"/>
                <w:szCs w:val="21"/>
                <w:highlight w:val="none"/>
              </w:rPr>
              <w:t>100分）=方案因素得分（100分）×方案因素权重（70%）+价格因素得分（100分）×价格因素权重（30%）</w:t>
            </w:r>
          </w:p>
        </w:tc>
      </w:tr>
    </w:tbl>
    <w:p w14:paraId="33EAC4DA">
      <w:pPr>
        <w:pStyle w:val="41"/>
        <w:ind w:left="0" w:leftChars="0" w:firstLine="424" w:firstLineChars="202"/>
        <w:rPr>
          <w:rFonts w:ascii="宋体" w:hAnsi="宋体" w:cs="宋体"/>
          <w:color w:val="auto"/>
          <w:sz w:val="21"/>
          <w:szCs w:val="21"/>
          <w:highlight w:val="none"/>
        </w:rPr>
      </w:pPr>
      <w:r>
        <w:rPr>
          <w:rFonts w:hint="eastAsia" w:ascii="宋体" w:hAnsi="宋体" w:cs="宋体"/>
          <w:color w:val="auto"/>
          <w:sz w:val="21"/>
          <w:szCs w:val="21"/>
          <w:highlight w:val="none"/>
        </w:rPr>
        <w:t>备注：</w:t>
      </w:r>
    </w:p>
    <w:p w14:paraId="5431C650">
      <w:pPr>
        <w:pStyle w:val="41"/>
        <w:ind w:left="0" w:leftChars="0" w:firstLine="424" w:firstLineChars="202"/>
        <w:rPr>
          <w:rFonts w:ascii="宋体" w:hAnsi="宋体" w:cs="宋体"/>
          <w:color w:val="auto"/>
          <w:sz w:val="21"/>
          <w:szCs w:val="21"/>
          <w:highlight w:val="none"/>
        </w:rPr>
      </w:pPr>
      <w:r>
        <w:rPr>
          <w:rFonts w:hint="eastAsia" w:ascii="宋体" w:hAnsi="宋体" w:cs="宋体"/>
          <w:color w:val="auto"/>
          <w:sz w:val="21"/>
          <w:szCs w:val="21"/>
          <w:highlight w:val="none"/>
        </w:rPr>
        <w:t>1、分值范围的解释:定标委员会对定标阶段定标</w:t>
      </w:r>
      <w:r>
        <w:rPr>
          <w:rFonts w:hint="eastAsia" w:ascii="宋体" w:hAnsi="宋体" w:cs="宋体"/>
          <w:color w:val="auto"/>
          <w:sz w:val="21"/>
          <w:szCs w:val="21"/>
          <w:highlight w:val="none"/>
          <w:shd w:val="clear" w:color="auto" w:fill="FFFFFF"/>
          <w:lang w:val="zh-CN"/>
        </w:rPr>
        <w:t>方案</w:t>
      </w:r>
      <w:r>
        <w:rPr>
          <w:rFonts w:hint="eastAsia" w:ascii="宋体" w:hAnsi="宋体" w:cs="宋体"/>
          <w:color w:val="auto"/>
          <w:sz w:val="21"/>
          <w:szCs w:val="21"/>
          <w:highlight w:val="none"/>
          <w:shd w:val="clear" w:color="auto" w:fill="FFFFFF"/>
        </w:rPr>
        <w:t>因素评审</w:t>
      </w:r>
      <w:r>
        <w:rPr>
          <w:rFonts w:hint="eastAsia" w:ascii="宋体" w:hAnsi="宋体" w:cs="宋体"/>
          <w:color w:val="auto"/>
          <w:sz w:val="21"/>
          <w:szCs w:val="21"/>
          <w:highlight w:val="none"/>
        </w:rPr>
        <w:t>时，</w:t>
      </w:r>
      <w:r>
        <w:rPr>
          <w:rFonts w:hint="eastAsia" w:ascii="宋体" w:hAnsi="宋体" w:cs="宋体"/>
          <w:color w:val="auto"/>
          <w:sz w:val="21"/>
          <w:szCs w:val="21"/>
          <w:highlight w:val="none"/>
          <w:shd w:val="clear" w:color="auto" w:fill="FFFFFF"/>
        </w:rPr>
        <w:t>定标因素表中</w:t>
      </w:r>
      <w:r>
        <w:rPr>
          <w:rFonts w:hint="eastAsia" w:ascii="宋体" w:hAnsi="宋体" w:cs="宋体"/>
          <w:color w:val="auto"/>
          <w:sz w:val="21"/>
          <w:szCs w:val="21"/>
          <w:highlight w:val="none"/>
        </w:rPr>
        <w:t>“【*，*】”等分值，以整数进行评分（如1.0、2.0、3.0等，以此类推）。“【”、“】”表示含本数。</w:t>
      </w:r>
    </w:p>
    <w:p w14:paraId="599D5264">
      <w:pPr>
        <w:ind w:firstLine="420" w:firstLineChars="200"/>
        <w:rPr>
          <w:rFonts w:hint="eastAsia" w:ascii="宋体" w:hAnsi="宋体" w:eastAsia="宋体" w:cs="宋体"/>
          <w:b/>
          <w:color w:val="auto"/>
          <w:szCs w:val="21"/>
          <w:highlight w:val="none"/>
          <w:u w:val="single"/>
        </w:rPr>
      </w:pPr>
      <w:r>
        <w:rPr>
          <w:rFonts w:hint="eastAsia" w:ascii="宋体" w:hAnsi="宋体" w:eastAsia="宋体" w:cs="宋体"/>
          <w:color w:val="auto"/>
          <w:highlight w:val="none"/>
        </w:rPr>
        <w:t>2、</w:t>
      </w:r>
      <w:r>
        <w:rPr>
          <w:rFonts w:hint="eastAsia" w:ascii="宋体" w:hAnsi="宋体" w:eastAsia="宋体" w:cs="宋体"/>
          <w:color w:val="auto"/>
          <w:szCs w:val="21"/>
          <w:highlight w:val="none"/>
        </w:rPr>
        <w:t>合格中标候选人定标方案得分为所有定标委员会成员对同一投标人</w:t>
      </w:r>
      <w:r>
        <w:rPr>
          <w:rFonts w:hint="eastAsia" w:ascii="宋体" w:hAnsi="宋体" w:eastAsia="宋体" w:cs="宋体"/>
          <w:color w:val="auto"/>
          <w:szCs w:val="21"/>
          <w:highlight w:val="none"/>
          <w:lang w:eastAsia="zh-CN"/>
        </w:rPr>
        <w:t>方案因素的各项</w:t>
      </w:r>
      <w:r>
        <w:rPr>
          <w:rFonts w:hint="eastAsia" w:ascii="宋体" w:hAnsi="宋体" w:eastAsia="宋体" w:cs="宋体"/>
          <w:b/>
          <w:color w:val="auto"/>
          <w:szCs w:val="21"/>
          <w:highlight w:val="none"/>
          <w:u w:val="single"/>
          <w:lang w:eastAsia="zh-CN"/>
        </w:rPr>
        <w:t>评</w:t>
      </w:r>
      <w:r>
        <w:rPr>
          <w:rFonts w:hint="eastAsia" w:ascii="宋体" w:hAnsi="宋体" w:eastAsia="宋体" w:cs="宋体"/>
          <w:b/>
          <w:color w:val="auto"/>
          <w:szCs w:val="21"/>
          <w:highlight w:val="none"/>
          <w:u w:val="single"/>
        </w:rPr>
        <w:t>分</w:t>
      </w:r>
      <w:r>
        <w:rPr>
          <w:rFonts w:hint="eastAsia" w:ascii="宋体" w:hAnsi="宋体" w:eastAsia="宋体" w:cs="宋体"/>
          <w:b/>
          <w:color w:val="auto"/>
          <w:szCs w:val="21"/>
          <w:highlight w:val="none"/>
          <w:u w:val="single"/>
          <w:lang w:eastAsia="zh-CN"/>
        </w:rPr>
        <w:t>相加</w:t>
      </w:r>
      <w:r>
        <w:rPr>
          <w:rFonts w:hint="eastAsia" w:ascii="宋体" w:hAnsi="宋体" w:eastAsia="宋体" w:cs="宋体"/>
          <w:b/>
          <w:color w:val="auto"/>
          <w:szCs w:val="21"/>
          <w:highlight w:val="none"/>
          <w:u w:val="single"/>
        </w:rPr>
        <w:t>去掉一个最高分和一个最低分后计取的算术平均分（分数出现小数点时，保留小数点后二位，第三位小数四舍五入）。</w:t>
      </w:r>
    </w:p>
    <w:p w14:paraId="031E44E7">
      <w:pPr>
        <w:pStyle w:val="41"/>
        <w:ind w:left="0" w:leftChars="0" w:firstLine="487" w:firstLineChars="202"/>
        <w:rPr>
          <w:rFonts w:ascii="宋体" w:hAnsi="宋体" w:cs="宋体"/>
          <w:b/>
          <w:color w:val="auto"/>
          <w:szCs w:val="21"/>
          <w:highlight w:val="none"/>
          <w:u w:val="single"/>
        </w:rPr>
      </w:pPr>
    </w:p>
    <w:p w14:paraId="27AC83A3">
      <w:pPr>
        <w:pStyle w:val="41"/>
        <w:ind w:firstLine="484" w:firstLineChars="202"/>
        <w:rPr>
          <w:rFonts w:ascii="宋体" w:hAnsi="宋体" w:cs="宋体"/>
          <w:color w:val="auto"/>
          <w:szCs w:val="21"/>
          <w:highlight w:val="none"/>
        </w:rPr>
      </w:pPr>
    </w:p>
    <w:p w14:paraId="6FA6708C">
      <w:pPr>
        <w:widowControl/>
        <w:spacing w:line="360" w:lineRule="auto"/>
        <w:jc w:val="left"/>
        <w:outlineLvl w:val="2"/>
        <w:rPr>
          <w:rFonts w:ascii="宋体" w:hAnsi="宋体" w:eastAsia="宋体" w:cs="宋体"/>
          <w:color w:val="auto"/>
          <w:kern w:val="0"/>
          <w:sz w:val="24"/>
          <w:szCs w:val="24"/>
          <w:highlight w:val="none"/>
        </w:rPr>
      </w:pPr>
      <w:r>
        <w:rPr>
          <w:rFonts w:hint="eastAsia" w:ascii="宋体" w:hAnsi="宋体" w:eastAsia="宋体" w:cs="宋体"/>
          <w:color w:val="auto"/>
          <w:sz w:val="28"/>
          <w:szCs w:val="28"/>
          <w:highlight w:val="none"/>
        </w:rPr>
        <w:br w:type="page"/>
      </w:r>
    </w:p>
    <w:p w14:paraId="3515A628">
      <w:pPr>
        <w:widowControl/>
        <w:spacing w:line="360" w:lineRule="auto"/>
        <w:jc w:val="left"/>
        <w:outlineLvl w:val="2"/>
        <w:rPr>
          <w:rFonts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附表九：</w:t>
      </w:r>
      <w:bookmarkEnd w:id="38"/>
    </w:p>
    <w:p w14:paraId="2A78F9E1">
      <w:pPr>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方案因素评审得分表（定标委员个人用表）</w:t>
      </w:r>
    </w:p>
    <w:p w14:paraId="5820ABB2">
      <w:pPr>
        <w:spacing w:line="240" w:lineRule="atLeast"/>
        <w:rPr>
          <w:rFonts w:ascii="宋体" w:hAnsi="宋体" w:eastAsia="宋体" w:cs="宋体"/>
          <w:color w:val="auto"/>
          <w:szCs w:val="24"/>
          <w:highlight w:val="none"/>
        </w:rPr>
      </w:pPr>
      <w:r>
        <w:rPr>
          <w:rFonts w:hint="eastAsia" w:ascii="宋体" w:hAnsi="宋体" w:eastAsia="宋体" w:cs="宋体"/>
          <w:color w:val="auto"/>
          <w:szCs w:val="24"/>
          <w:highlight w:val="none"/>
        </w:rPr>
        <w:t>招标项目名称：</w:t>
      </w:r>
    </w:p>
    <w:tbl>
      <w:tblPr>
        <w:tblStyle w:val="50"/>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320"/>
        <w:gridCol w:w="1126"/>
        <w:gridCol w:w="1210"/>
        <w:gridCol w:w="1177"/>
        <w:gridCol w:w="1227"/>
        <w:gridCol w:w="2854"/>
      </w:tblGrid>
      <w:tr w14:paraId="7176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3CDA8925">
            <w:pPr>
              <w:jc w:val="center"/>
              <w:rPr>
                <w:rFonts w:ascii="宋体" w:hAnsi="宋体" w:eastAsia="宋体" w:cs="宋体"/>
                <w:color w:val="auto"/>
                <w:szCs w:val="21"/>
                <w:highlight w:val="none"/>
                <w:shd w:val="clear" w:color="auto" w:fill="FFFFFF"/>
                <w:lang w:val="zh-CN"/>
              </w:rPr>
            </w:pPr>
            <w:bookmarkStart w:id="39" w:name="_Hlk208834425"/>
            <w:r>
              <w:rPr>
                <w:rFonts w:hint="eastAsia" w:ascii="宋体" w:hAnsi="宋体" w:eastAsia="宋体" w:cs="宋体"/>
                <w:color w:val="auto"/>
                <w:szCs w:val="21"/>
                <w:highlight w:val="none"/>
                <w:shd w:val="clear" w:color="auto" w:fill="FFFFFF"/>
                <w:lang w:val="zh-CN"/>
              </w:rPr>
              <w:t>序号</w:t>
            </w:r>
          </w:p>
        </w:tc>
        <w:tc>
          <w:tcPr>
            <w:tcW w:w="1320" w:type="dxa"/>
            <w:tcBorders>
              <w:top w:val="single" w:color="auto" w:sz="4" w:space="0"/>
              <w:left w:val="single" w:color="auto" w:sz="4" w:space="0"/>
              <w:bottom w:val="single" w:color="auto" w:sz="4" w:space="0"/>
              <w:right w:val="single" w:color="auto" w:sz="4" w:space="0"/>
            </w:tcBorders>
            <w:vAlign w:val="center"/>
          </w:tcPr>
          <w:p w14:paraId="6E9748F2">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合格中标候选人名称</w:t>
            </w:r>
          </w:p>
        </w:tc>
        <w:tc>
          <w:tcPr>
            <w:tcW w:w="1126" w:type="dxa"/>
            <w:tcBorders>
              <w:top w:val="single" w:color="auto" w:sz="4" w:space="0"/>
              <w:left w:val="single" w:color="auto" w:sz="4" w:space="0"/>
              <w:bottom w:val="single" w:color="auto" w:sz="4" w:space="0"/>
              <w:right w:val="single" w:color="auto" w:sz="4" w:space="0"/>
            </w:tcBorders>
            <w:vAlign w:val="center"/>
          </w:tcPr>
          <w:p w14:paraId="495864F5">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bCs/>
                <w:color w:val="auto"/>
                <w:szCs w:val="21"/>
                <w:highlight w:val="none"/>
                <w:shd w:val="clear" w:color="auto" w:fill="FFFFFF"/>
                <w:lang w:val="zh-CN"/>
              </w:rPr>
              <w:t>团队配置（</w:t>
            </w:r>
            <w:r>
              <w:rPr>
                <w:rFonts w:hint="eastAsia" w:ascii="宋体" w:hAnsi="宋体" w:eastAsia="宋体" w:cs="宋体"/>
                <w:bCs/>
                <w:color w:val="auto"/>
                <w:szCs w:val="21"/>
                <w:highlight w:val="none"/>
                <w:shd w:val="clear" w:color="auto" w:fill="FFFFFF"/>
              </w:rPr>
              <w:t>1</w:t>
            </w:r>
            <w:r>
              <w:rPr>
                <w:rFonts w:hint="eastAsia" w:ascii="宋体" w:hAnsi="宋体" w:eastAsia="宋体" w:cs="宋体"/>
                <w:bCs/>
                <w:color w:val="auto"/>
                <w:szCs w:val="21"/>
                <w:highlight w:val="none"/>
                <w:shd w:val="clear" w:color="auto" w:fill="FFFFFF"/>
                <w:lang w:val="zh-CN"/>
              </w:rPr>
              <w:t>）</w:t>
            </w:r>
          </w:p>
        </w:tc>
        <w:tc>
          <w:tcPr>
            <w:tcW w:w="1210" w:type="dxa"/>
            <w:tcBorders>
              <w:top w:val="single" w:color="auto" w:sz="4" w:space="0"/>
              <w:left w:val="single" w:color="auto" w:sz="4" w:space="0"/>
              <w:bottom w:val="single" w:color="auto" w:sz="4" w:space="0"/>
              <w:right w:val="single" w:color="auto" w:sz="4" w:space="0"/>
            </w:tcBorders>
            <w:vAlign w:val="center"/>
          </w:tcPr>
          <w:p w14:paraId="76352E44">
            <w:pPr>
              <w:jc w:val="center"/>
              <w:rPr>
                <w:rFonts w:ascii="宋体" w:hAnsi="宋体" w:eastAsia="宋体" w:cs="宋体"/>
                <w:color w:val="auto"/>
                <w:szCs w:val="21"/>
                <w:highlight w:val="none"/>
                <w:shd w:val="clear" w:color="auto" w:fill="FFFFFF"/>
              </w:rPr>
            </w:pPr>
            <w:r>
              <w:rPr>
                <w:rFonts w:hint="eastAsia" w:ascii="宋体" w:hAnsi="宋体" w:eastAsia="宋体" w:cs="宋体"/>
                <w:bCs/>
                <w:color w:val="auto"/>
                <w:kern w:val="0"/>
                <w:szCs w:val="21"/>
                <w:highlight w:val="none"/>
              </w:rPr>
              <w:t>施工管理措施(2)</w:t>
            </w:r>
          </w:p>
        </w:tc>
        <w:tc>
          <w:tcPr>
            <w:tcW w:w="1177" w:type="dxa"/>
            <w:tcBorders>
              <w:top w:val="single" w:color="auto" w:sz="4" w:space="0"/>
              <w:left w:val="single" w:color="auto" w:sz="4" w:space="0"/>
              <w:bottom w:val="single" w:color="auto" w:sz="4" w:space="0"/>
              <w:right w:val="single" w:color="auto" w:sz="4" w:space="0"/>
            </w:tcBorders>
            <w:vAlign w:val="center"/>
          </w:tcPr>
          <w:p w14:paraId="2D215A81">
            <w:pPr>
              <w:jc w:val="center"/>
              <w:rPr>
                <w:rFonts w:ascii="宋体" w:hAnsi="宋体" w:eastAsia="宋体" w:cs="宋体"/>
                <w:color w:val="auto"/>
                <w:szCs w:val="21"/>
                <w:highlight w:val="none"/>
              </w:rPr>
            </w:pPr>
            <w:r>
              <w:rPr>
                <w:rFonts w:hint="eastAsia" w:ascii="宋体" w:hAnsi="宋体" w:eastAsia="宋体" w:cs="宋体"/>
                <w:bCs/>
                <w:color w:val="auto"/>
                <w:szCs w:val="21"/>
                <w:highlight w:val="none"/>
                <w:shd w:val="clear" w:color="auto" w:fill="FFFFFF"/>
                <w:lang w:val="zh-CN"/>
              </w:rPr>
              <w:t>成本控制措施</w:t>
            </w:r>
            <w:r>
              <w:rPr>
                <w:rFonts w:hint="eastAsia" w:ascii="宋体" w:hAnsi="宋体" w:eastAsia="宋体" w:cs="宋体"/>
                <w:bCs/>
                <w:color w:val="auto"/>
                <w:szCs w:val="21"/>
                <w:highlight w:val="none"/>
                <w:shd w:val="clear" w:color="auto" w:fill="FFFFFF"/>
              </w:rPr>
              <w:t>(3)</w:t>
            </w:r>
          </w:p>
        </w:tc>
        <w:tc>
          <w:tcPr>
            <w:tcW w:w="1227" w:type="dxa"/>
            <w:tcBorders>
              <w:top w:val="single" w:color="auto" w:sz="4" w:space="0"/>
              <w:left w:val="single" w:color="auto" w:sz="4" w:space="0"/>
              <w:bottom w:val="single" w:color="auto" w:sz="4" w:space="0"/>
              <w:right w:val="single" w:color="auto" w:sz="4" w:space="0"/>
            </w:tcBorders>
            <w:vAlign w:val="center"/>
          </w:tcPr>
          <w:p w14:paraId="4B212E34">
            <w:pPr>
              <w:jc w:val="center"/>
              <w:rPr>
                <w:rFonts w:ascii="宋体" w:hAnsi="宋体" w:eastAsia="宋体" w:cs="宋体"/>
                <w:color w:val="auto"/>
                <w:szCs w:val="21"/>
                <w:highlight w:val="none"/>
              </w:rPr>
            </w:pPr>
            <w:r>
              <w:rPr>
                <w:rFonts w:hint="eastAsia" w:ascii="宋体" w:hAnsi="宋体" w:eastAsia="宋体" w:cs="宋体"/>
                <w:bCs/>
                <w:color w:val="auto"/>
                <w:szCs w:val="21"/>
                <w:highlight w:val="none"/>
              </w:rPr>
              <w:t>资金管理措施(4)</w:t>
            </w:r>
          </w:p>
        </w:tc>
        <w:tc>
          <w:tcPr>
            <w:tcW w:w="2854" w:type="dxa"/>
            <w:tcBorders>
              <w:top w:val="single" w:color="auto" w:sz="4" w:space="0"/>
              <w:left w:val="single" w:color="auto" w:sz="4" w:space="0"/>
              <w:bottom w:val="single" w:color="auto" w:sz="4" w:space="0"/>
              <w:right w:val="single" w:color="auto" w:sz="4" w:space="0"/>
            </w:tcBorders>
            <w:vAlign w:val="center"/>
          </w:tcPr>
          <w:p w14:paraId="653BCF7F">
            <w:pPr>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方案因素得分</w:t>
            </w:r>
          </w:p>
          <w:p w14:paraId="69E533A1">
            <w:pPr>
              <w:jc w:val="center"/>
              <w:rPr>
                <w:rFonts w:ascii="宋体" w:hAnsi="宋体" w:eastAsia="宋体" w:cs="宋体"/>
                <w:bCs/>
                <w:color w:val="auto"/>
                <w:szCs w:val="21"/>
                <w:highlight w:val="none"/>
                <w:shd w:val="clear" w:color="auto" w:fill="FFFFFF"/>
              </w:rPr>
            </w:pPr>
            <w:r>
              <w:rPr>
                <w:rFonts w:hint="eastAsia" w:ascii="宋体" w:hAnsi="宋体" w:eastAsia="宋体" w:cs="宋体"/>
                <w:bCs/>
                <w:color w:val="auto"/>
                <w:szCs w:val="21"/>
                <w:highlight w:val="none"/>
              </w:rPr>
              <w:t>(5）=（1）+（2）+（3）+（4）</w:t>
            </w:r>
          </w:p>
        </w:tc>
      </w:tr>
      <w:tr w14:paraId="6631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186397ED">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1</w:t>
            </w:r>
          </w:p>
        </w:tc>
        <w:tc>
          <w:tcPr>
            <w:tcW w:w="1320" w:type="dxa"/>
            <w:tcBorders>
              <w:top w:val="single" w:color="auto" w:sz="4" w:space="0"/>
              <w:left w:val="single" w:color="auto" w:sz="4" w:space="0"/>
              <w:bottom w:val="single" w:color="auto" w:sz="4" w:space="0"/>
              <w:right w:val="single" w:color="auto" w:sz="4" w:space="0"/>
            </w:tcBorders>
            <w:vAlign w:val="center"/>
          </w:tcPr>
          <w:p w14:paraId="323B09CC">
            <w:pPr>
              <w:jc w:val="center"/>
              <w:rPr>
                <w:rFonts w:ascii="宋体" w:hAnsi="宋体" w:eastAsia="宋体" w:cs="宋体"/>
                <w:color w:val="auto"/>
                <w:szCs w:val="21"/>
                <w:highlight w:val="none"/>
                <w:shd w:val="clear" w:color="auto" w:fill="FFFFFF"/>
                <w:lang w:val="zh-CN"/>
              </w:rPr>
            </w:pPr>
          </w:p>
        </w:tc>
        <w:tc>
          <w:tcPr>
            <w:tcW w:w="1126" w:type="dxa"/>
            <w:tcBorders>
              <w:top w:val="single" w:color="auto" w:sz="4" w:space="0"/>
              <w:left w:val="single" w:color="auto" w:sz="4" w:space="0"/>
              <w:bottom w:val="single" w:color="auto" w:sz="4" w:space="0"/>
              <w:right w:val="single" w:color="auto" w:sz="4" w:space="0"/>
            </w:tcBorders>
            <w:vAlign w:val="center"/>
          </w:tcPr>
          <w:p w14:paraId="32287832">
            <w:pPr>
              <w:jc w:val="center"/>
              <w:rPr>
                <w:rFonts w:ascii="宋体" w:hAnsi="宋体" w:eastAsia="宋体" w:cs="宋体"/>
                <w:color w:val="auto"/>
                <w:szCs w:val="21"/>
                <w:highlight w:val="none"/>
                <w:shd w:val="clear" w:color="auto" w:fill="FFFFFF"/>
                <w:lang w:val="zh-CN"/>
              </w:rPr>
            </w:pPr>
          </w:p>
        </w:tc>
        <w:tc>
          <w:tcPr>
            <w:tcW w:w="1210" w:type="dxa"/>
            <w:tcBorders>
              <w:top w:val="single" w:color="auto" w:sz="4" w:space="0"/>
              <w:left w:val="single" w:color="auto" w:sz="4" w:space="0"/>
              <w:bottom w:val="single" w:color="auto" w:sz="4" w:space="0"/>
              <w:right w:val="single" w:color="auto" w:sz="4" w:space="0"/>
            </w:tcBorders>
            <w:vAlign w:val="center"/>
          </w:tcPr>
          <w:p w14:paraId="47896157">
            <w:pPr>
              <w:jc w:val="center"/>
              <w:rPr>
                <w:rFonts w:ascii="宋体" w:hAnsi="宋体" w:eastAsia="宋体" w:cs="宋体"/>
                <w:color w:val="auto"/>
                <w:szCs w:val="21"/>
                <w:highlight w:val="none"/>
                <w:shd w:val="clear" w:color="auto" w:fill="FFFFFF"/>
                <w:lang w:val="zh-CN"/>
              </w:rPr>
            </w:pPr>
          </w:p>
        </w:tc>
        <w:tc>
          <w:tcPr>
            <w:tcW w:w="1177" w:type="dxa"/>
            <w:tcBorders>
              <w:top w:val="single" w:color="auto" w:sz="4" w:space="0"/>
              <w:left w:val="single" w:color="auto" w:sz="4" w:space="0"/>
              <w:bottom w:val="single" w:color="auto" w:sz="4" w:space="0"/>
              <w:right w:val="single" w:color="auto" w:sz="4" w:space="0"/>
            </w:tcBorders>
            <w:vAlign w:val="center"/>
          </w:tcPr>
          <w:p w14:paraId="55795052">
            <w:pPr>
              <w:jc w:val="center"/>
              <w:rPr>
                <w:rFonts w:ascii="宋体" w:hAnsi="宋体" w:eastAsia="宋体" w:cs="宋体"/>
                <w:color w:val="auto"/>
                <w:szCs w:val="21"/>
                <w:highlight w:val="none"/>
                <w:shd w:val="clear" w:color="auto" w:fill="FFFFFF"/>
                <w:lang w:val="zh-CN"/>
              </w:rPr>
            </w:pPr>
          </w:p>
        </w:tc>
        <w:tc>
          <w:tcPr>
            <w:tcW w:w="1227" w:type="dxa"/>
            <w:tcBorders>
              <w:top w:val="single" w:color="auto" w:sz="4" w:space="0"/>
              <w:left w:val="single" w:color="auto" w:sz="4" w:space="0"/>
              <w:bottom w:val="single" w:color="auto" w:sz="4" w:space="0"/>
              <w:right w:val="single" w:color="auto" w:sz="4" w:space="0"/>
            </w:tcBorders>
            <w:vAlign w:val="center"/>
          </w:tcPr>
          <w:p w14:paraId="6945D645">
            <w:pPr>
              <w:jc w:val="center"/>
              <w:rPr>
                <w:rFonts w:ascii="宋体" w:hAnsi="宋体" w:eastAsia="宋体" w:cs="宋体"/>
                <w:color w:val="auto"/>
                <w:szCs w:val="21"/>
                <w:highlight w:val="none"/>
                <w:shd w:val="clear" w:color="auto" w:fill="FFFFFF"/>
                <w:lang w:val="zh-CN"/>
              </w:rPr>
            </w:pPr>
          </w:p>
        </w:tc>
        <w:tc>
          <w:tcPr>
            <w:tcW w:w="2854" w:type="dxa"/>
            <w:tcBorders>
              <w:top w:val="single" w:color="auto" w:sz="4" w:space="0"/>
              <w:left w:val="single" w:color="auto" w:sz="4" w:space="0"/>
              <w:bottom w:val="single" w:color="auto" w:sz="4" w:space="0"/>
              <w:right w:val="single" w:color="auto" w:sz="4" w:space="0"/>
            </w:tcBorders>
            <w:vAlign w:val="center"/>
          </w:tcPr>
          <w:p w14:paraId="7C79488F">
            <w:pPr>
              <w:jc w:val="center"/>
              <w:rPr>
                <w:rFonts w:ascii="宋体" w:hAnsi="宋体" w:eastAsia="宋体" w:cs="宋体"/>
                <w:color w:val="auto"/>
                <w:szCs w:val="21"/>
                <w:highlight w:val="none"/>
                <w:shd w:val="clear" w:color="auto" w:fill="FFFFFF"/>
                <w:lang w:val="zh-CN"/>
              </w:rPr>
            </w:pPr>
          </w:p>
        </w:tc>
      </w:tr>
      <w:tr w14:paraId="59F2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5A78530F">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rPr>
              <w:t>2</w:t>
            </w:r>
          </w:p>
        </w:tc>
        <w:tc>
          <w:tcPr>
            <w:tcW w:w="1320" w:type="dxa"/>
            <w:tcBorders>
              <w:top w:val="single" w:color="auto" w:sz="4" w:space="0"/>
              <w:left w:val="single" w:color="auto" w:sz="4" w:space="0"/>
              <w:bottom w:val="single" w:color="auto" w:sz="4" w:space="0"/>
              <w:right w:val="single" w:color="auto" w:sz="4" w:space="0"/>
            </w:tcBorders>
            <w:vAlign w:val="center"/>
          </w:tcPr>
          <w:p w14:paraId="1AE0EEBD">
            <w:pPr>
              <w:jc w:val="center"/>
              <w:rPr>
                <w:rFonts w:ascii="宋体" w:hAnsi="宋体" w:eastAsia="宋体" w:cs="宋体"/>
                <w:color w:val="auto"/>
                <w:szCs w:val="21"/>
                <w:highlight w:val="none"/>
                <w:shd w:val="clear" w:color="auto" w:fill="FFFFFF"/>
                <w:lang w:val="zh-CN"/>
              </w:rPr>
            </w:pPr>
          </w:p>
        </w:tc>
        <w:tc>
          <w:tcPr>
            <w:tcW w:w="1126" w:type="dxa"/>
            <w:tcBorders>
              <w:top w:val="single" w:color="auto" w:sz="4" w:space="0"/>
              <w:left w:val="single" w:color="auto" w:sz="4" w:space="0"/>
              <w:bottom w:val="single" w:color="auto" w:sz="4" w:space="0"/>
              <w:right w:val="single" w:color="auto" w:sz="4" w:space="0"/>
            </w:tcBorders>
            <w:vAlign w:val="center"/>
          </w:tcPr>
          <w:p w14:paraId="323A5F5D">
            <w:pPr>
              <w:jc w:val="center"/>
              <w:rPr>
                <w:rFonts w:ascii="宋体" w:hAnsi="宋体" w:eastAsia="宋体" w:cs="宋体"/>
                <w:color w:val="auto"/>
                <w:szCs w:val="21"/>
                <w:highlight w:val="none"/>
                <w:shd w:val="clear" w:color="auto" w:fill="FFFFFF"/>
                <w:lang w:val="zh-CN"/>
              </w:rPr>
            </w:pPr>
          </w:p>
        </w:tc>
        <w:tc>
          <w:tcPr>
            <w:tcW w:w="1210" w:type="dxa"/>
            <w:tcBorders>
              <w:top w:val="single" w:color="auto" w:sz="4" w:space="0"/>
              <w:left w:val="single" w:color="auto" w:sz="4" w:space="0"/>
              <w:bottom w:val="single" w:color="auto" w:sz="4" w:space="0"/>
              <w:right w:val="single" w:color="auto" w:sz="4" w:space="0"/>
            </w:tcBorders>
            <w:vAlign w:val="center"/>
          </w:tcPr>
          <w:p w14:paraId="143240C4">
            <w:pPr>
              <w:jc w:val="center"/>
              <w:rPr>
                <w:rFonts w:ascii="宋体" w:hAnsi="宋体" w:eastAsia="宋体" w:cs="宋体"/>
                <w:color w:val="auto"/>
                <w:szCs w:val="21"/>
                <w:highlight w:val="none"/>
                <w:shd w:val="clear" w:color="auto" w:fill="FFFFFF"/>
                <w:lang w:val="zh-CN"/>
              </w:rPr>
            </w:pPr>
          </w:p>
        </w:tc>
        <w:tc>
          <w:tcPr>
            <w:tcW w:w="1177" w:type="dxa"/>
            <w:tcBorders>
              <w:top w:val="single" w:color="auto" w:sz="4" w:space="0"/>
              <w:left w:val="single" w:color="auto" w:sz="4" w:space="0"/>
              <w:bottom w:val="single" w:color="auto" w:sz="4" w:space="0"/>
              <w:right w:val="single" w:color="auto" w:sz="4" w:space="0"/>
            </w:tcBorders>
            <w:vAlign w:val="center"/>
          </w:tcPr>
          <w:p w14:paraId="2698B9DB">
            <w:pPr>
              <w:jc w:val="center"/>
              <w:rPr>
                <w:rFonts w:ascii="宋体" w:hAnsi="宋体" w:eastAsia="宋体" w:cs="宋体"/>
                <w:color w:val="auto"/>
                <w:szCs w:val="21"/>
                <w:highlight w:val="none"/>
                <w:shd w:val="clear" w:color="auto" w:fill="FFFFFF"/>
                <w:lang w:val="zh-CN"/>
              </w:rPr>
            </w:pPr>
          </w:p>
        </w:tc>
        <w:tc>
          <w:tcPr>
            <w:tcW w:w="1227" w:type="dxa"/>
            <w:tcBorders>
              <w:top w:val="single" w:color="auto" w:sz="4" w:space="0"/>
              <w:left w:val="single" w:color="auto" w:sz="4" w:space="0"/>
              <w:bottom w:val="single" w:color="auto" w:sz="4" w:space="0"/>
              <w:right w:val="single" w:color="auto" w:sz="4" w:space="0"/>
            </w:tcBorders>
            <w:vAlign w:val="center"/>
          </w:tcPr>
          <w:p w14:paraId="1D0A7DB9">
            <w:pPr>
              <w:jc w:val="center"/>
              <w:rPr>
                <w:rFonts w:ascii="宋体" w:hAnsi="宋体" w:eastAsia="宋体" w:cs="宋体"/>
                <w:color w:val="auto"/>
                <w:szCs w:val="21"/>
                <w:highlight w:val="none"/>
                <w:shd w:val="clear" w:color="auto" w:fill="FFFFFF"/>
                <w:lang w:val="zh-CN"/>
              </w:rPr>
            </w:pPr>
          </w:p>
        </w:tc>
        <w:tc>
          <w:tcPr>
            <w:tcW w:w="2854" w:type="dxa"/>
            <w:tcBorders>
              <w:top w:val="single" w:color="auto" w:sz="4" w:space="0"/>
              <w:left w:val="single" w:color="auto" w:sz="4" w:space="0"/>
              <w:bottom w:val="single" w:color="auto" w:sz="4" w:space="0"/>
              <w:right w:val="single" w:color="auto" w:sz="4" w:space="0"/>
            </w:tcBorders>
            <w:vAlign w:val="center"/>
          </w:tcPr>
          <w:p w14:paraId="1AED9BC7">
            <w:pPr>
              <w:jc w:val="center"/>
              <w:rPr>
                <w:rFonts w:ascii="宋体" w:hAnsi="宋体" w:eastAsia="宋体" w:cs="宋体"/>
                <w:color w:val="auto"/>
                <w:szCs w:val="21"/>
                <w:highlight w:val="none"/>
                <w:shd w:val="clear" w:color="auto" w:fill="FFFFFF"/>
                <w:lang w:val="zh-CN"/>
              </w:rPr>
            </w:pPr>
          </w:p>
        </w:tc>
      </w:tr>
      <w:tr w14:paraId="2DB5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323D27D1">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rPr>
              <w:t>3</w:t>
            </w:r>
          </w:p>
        </w:tc>
        <w:tc>
          <w:tcPr>
            <w:tcW w:w="1320" w:type="dxa"/>
            <w:tcBorders>
              <w:top w:val="single" w:color="auto" w:sz="4" w:space="0"/>
              <w:left w:val="single" w:color="auto" w:sz="4" w:space="0"/>
              <w:bottom w:val="single" w:color="auto" w:sz="4" w:space="0"/>
              <w:right w:val="single" w:color="auto" w:sz="4" w:space="0"/>
            </w:tcBorders>
            <w:vAlign w:val="center"/>
          </w:tcPr>
          <w:p w14:paraId="6E56A0B2">
            <w:pPr>
              <w:jc w:val="center"/>
              <w:rPr>
                <w:rFonts w:ascii="宋体" w:hAnsi="宋体" w:eastAsia="宋体" w:cs="宋体"/>
                <w:color w:val="auto"/>
                <w:szCs w:val="21"/>
                <w:highlight w:val="none"/>
                <w:shd w:val="clear" w:color="auto" w:fill="FFFFFF"/>
                <w:lang w:val="zh-CN"/>
              </w:rPr>
            </w:pPr>
          </w:p>
        </w:tc>
        <w:tc>
          <w:tcPr>
            <w:tcW w:w="1126" w:type="dxa"/>
            <w:tcBorders>
              <w:top w:val="single" w:color="auto" w:sz="4" w:space="0"/>
              <w:left w:val="single" w:color="auto" w:sz="4" w:space="0"/>
              <w:bottom w:val="single" w:color="auto" w:sz="4" w:space="0"/>
              <w:right w:val="single" w:color="auto" w:sz="4" w:space="0"/>
            </w:tcBorders>
            <w:vAlign w:val="center"/>
          </w:tcPr>
          <w:p w14:paraId="5A9551B3">
            <w:pPr>
              <w:jc w:val="center"/>
              <w:rPr>
                <w:rFonts w:ascii="宋体" w:hAnsi="宋体" w:eastAsia="宋体" w:cs="宋体"/>
                <w:color w:val="auto"/>
                <w:szCs w:val="21"/>
                <w:highlight w:val="none"/>
                <w:shd w:val="clear" w:color="auto" w:fill="FFFFFF"/>
                <w:lang w:val="zh-CN"/>
              </w:rPr>
            </w:pPr>
          </w:p>
        </w:tc>
        <w:tc>
          <w:tcPr>
            <w:tcW w:w="1210" w:type="dxa"/>
            <w:tcBorders>
              <w:top w:val="single" w:color="auto" w:sz="4" w:space="0"/>
              <w:left w:val="single" w:color="auto" w:sz="4" w:space="0"/>
              <w:bottom w:val="single" w:color="auto" w:sz="4" w:space="0"/>
              <w:right w:val="single" w:color="auto" w:sz="4" w:space="0"/>
            </w:tcBorders>
            <w:vAlign w:val="center"/>
          </w:tcPr>
          <w:p w14:paraId="2AB204BB">
            <w:pPr>
              <w:jc w:val="center"/>
              <w:rPr>
                <w:rFonts w:ascii="宋体" w:hAnsi="宋体" w:eastAsia="宋体" w:cs="宋体"/>
                <w:color w:val="auto"/>
                <w:szCs w:val="21"/>
                <w:highlight w:val="none"/>
                <w:shd w:val="clear" w:color="auto" w:fill="FFFFFF"/>
                <w:lang w:val="zh-CN"/>
              </w:rPr>
            </w:pPr>
          </w:p>
        </w:tc>
        <w:tc>
          <w:tcPr>
            <w:tcW w:w="1177" w:type="dxa"/>
            <w:tcBorders>
              <w:top w:val="single" w:color="auto" w:sz="4" w:space="0"/>
              <w:left w:val="single" w:color="auto" w:sz="4" w:space="0"/>
              <w:bottom w:val="single" w:color="auto" w:sz="4" w:space="0"/>
              <w:right w:val="single" w:color="auto" w:sz="4" w:space="0"/>
            </w:tcBorders>
            <w:vAlign w:val="center"/>
          </w:tcPr>
          <w:p w14:paraId="7DBC7CB7">
            <w:pPr>
              <w:jc w:val="center"/>
              <w:rPr>
                <w:rFonts w:ascii="宋体" w:hAnsi="宋体" w:eastAsia="宋体" w:cs="宋体"/>
                <w:color w:val="auto"/>
                <w:szCs w:val="21"/>
                <w:highlight w:val="none"/>
                <w:shd w:val="clear" w:color="auto" w:fill="FFFFFF"/>
                <w:lang w:val="zh-CN"/>
              </w:rPr>
            </w:pPr>
          </w:p>
        </w:tc>
        <w:tc>
          <w:tcPr>
            <w:tcW w:w="1227" w:type="dxa"/>
            <w:tcBorders>
              <w:top w:val="single" w:color="auto" w:sz="4" w:space="0"/>
              <w:left w:val="single" w:color="auto" w:sz="4" w:space="0"/>
              <w:bottom w:val="single" w:color="auto" w:sz="4" w:space="0"/>
              <w:right w:val="single" w:color="auto" w:sz="4" w:space="0"/>
            </w:tcBorders>
            <w:vAlign w:val="center"/>
          </w:tcPr>
          <w:p w14:paraId="412959B5">
            <w:pPr>
              <w:jc w:val="center"/>
              <w:rPr>
                <w:rFonts w:ascii="宋体" w:hAnsi="宋体" w:eastAsia="宋体" w:cs="宋体"/>
                <w:color w:val="auto"/>
                <w:szCs w:val="21"/>
                <w:highlight w:val="none"/>
                <w:shd w:val="clear" w:color="auto" w:fill="FFFFFF"/>
                <w:lang w:val="zh-CN"/>
              </w:rPr>
            </w:pPr>
          </w:p>
        </w:tc>
        <w:tc>
          <w:tcPr>
            <w:tcW w:w="2854" w:type="dxa"/>
            <w:tcBorders>
              <w:top w:val="single" w:color="auto" w:sz="4" w:space="0"/>
              <w:left w:val="single" w:color="auto" w:sz="4" w:space="0"/>
              <w:bottom w:val="single" w:color="auto" w:sz="4" w:space="0"/>
              <w:right w:val="single" w:color="auto" w:sz="4" w:space="0"/>
            </w:tcBorders>
            <w:vAlign w:val="center"/>
          </w:tcPr>
          <w:p w14:paraId="566C5F1F">
            <w:pPr>
              <w:jc w:val="center"/>
              <w:rPr>
                <w:rFonts w:ascii="宋体" w:hAnsi="宋体" w:eastAsia="宋体" w:cs="宋体"/>
                <w:color w:val="auto"/>
                <w:szCs w:val="21"/>
                <w:highlight w:val="none"/>
                <w:shd w:val="clear" w:color="auto" w:fill="FFFFFF"/>
                <w:lang w:val="zh-CN"/>
              </w:rPr>
            </w:pPr>
          </w:p>
        </w:tc>
      </w:tr>
      <w:tr w14:paraId="469E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5F0A643F">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rPr>
              <w:t>4</w:t>
            </w:r>
          </w:p>
        </w:tc>
        <w:tc>
          <w:tcPr>
            <w:tcW w:w="1320" w:type="dxa"/>
            <w:tcBorders>
              <w:top w:val="single" w:color="auto" w:sz="4" w:space="0"/>
              <w:left w:val="single" w:color="auto" w:sz="4" w:space="0"/>
              <w:bottom w:val="single" w:color="auto" w:sz="4" w:space="0"/>
              <w:right w:val="single" w:color="auto" w:sz="4" w:space="0"/>
            </w:tcBorders>
            <w:vAlign w:val="center"/>
          </w:tcPr>
          <w:p w14:paraId="37C69BC1">
            <w:pPr>
              <w:jc w:val="center"/>
              <w:rPr>
                <w:rFonts w:ascii="宋体" w:hAnsi="宋体" w:eastAsia="宋体" w:cs="宋体"/>
                <w:color w:val="auto"/>
                <w:szCs w:val="21"/>
                <w:highlight w:val="none"/>
                <w:shd w:val="clear" w:color="auto" w:fill="FFFFFF"/>
                <w:lang w:val="zh-CN"/>
              </w:rPr>
            </w:pPr>
          </w:p>
        </w:tc>
        <w:tc>
          <w:tcPr>
            <w:tcW w:w="1126" w:type="dxa"/>
            <w:tcBorders>
              <w:top w:val="single" w:color="auto" w:sz="4" w:space="0"/>
              <w:left w:val="single" w:color="auto" w:sz="4" w:space="0"/>
              <w:bottom w:val="single" w:color="auto" w:sz="4" w:space="0"/>
              <w:right w:val="single" w:color="auto" w:sz="4" w:space="0"/>
            </w:tcBorders>
            <w:vAlign w:val="center"/>
          </w:tcPr>
          <w:p w14:paraId="6D7DA829">
            <w:pPr>
              <w:jc w:val="center"/>
              <w:rPr>
                <w:rFonts w:ascii="宋体" w:hAnsi="宋体" w:eastAsia="宋体" w:cs="宋体"/>
                <w:color w:val="auto"/>
                <w:szCs w:val="21"/>
                <w:highlight w:val="none"/>
                <w:shd w:val="clear" w:color="auto" w:fill="FFFFFF"/>
                <w:lang w:val="zh-CN"/>
              </w:rPr>
            </w:pPr>
          </w:p>
        </w:tc>
        <w:tc>
          <w:tcPr>
            <w:tcW w:w="1210" w:type="dxa"/>
            <w:tcBorders>
              <w:top w:val="single" w:color="auto" w:sz="4" w:space="0"/>
              <w:left w:val="single" w:color="auto" w:sz="4" w:space="0"/>
              <w:bottom w:val="single" w:color="auto" w:sz="4" w:space="0"/>
              <w:right w:val="single" w:color="auto" w:sz="4" w:space="0"/>
            </w:tcBorders>
            <w:vAlign w:val="center"/>
          </w:tcPr>
          <w:p w14:paraId="30F645E1">
            <w:pPr>
              <w:jc w:val="center"/>
              <w:rPr>
                <w:rFonts w:ascii="宋体" w:hAnsi="宋体" w:eastAsia="宋体" w:cs="宋体"/>
                <w:color w:val="auto"/>
                <w:szCs w:val="21"/>
                <w:highlight w:val="none"/>
                <w:shd w:val="clear" w:color="auto" w:fill="FFFFFF"/>
                <w:lang w:val="zh-CN"/>
              </w:rPr>
            </w:pPr>
          </w:p>
        </w:tc>
        <w:tc>
          <w:tcPr>
            <w:tcW w:w="1177" w:type="dxa"/>
            <w:tcBorders>
              <w:top w:val="single" w:color="auto" w:sz="4" w:space="0"/>
              <w:left w:val="single" w:color="auto" w:sz="4" w:space="0"/>
              <w:bottom w:val="single" w:color="auto" w:sz="4" w:space="0"/>
              <w:right w:val="single" w:color="auto" w:sz="4" w:space="0"/>
            </w:tcBorders>
            <w:vAlign w:val="center"/>
          </w:tcPr>
          <w:p w14:paraId="756EFA24">
            <w:pPr>
              <w:jc w:val="center"/>
              <w:rPr>
                <w:rFonts w:ascii="宋体" w:hAnsi="宋体" w:eastAsia="宋体" w:cs="宋体"/>
                <w:color w:val="auto"/>
                <w:szCs w:val="21"/>
                <w:highlight w:val="none"/>
                <w:shd w:val="clear" w:color="auto" w:fill="FFFFFF"/>
                <w:lang w:val="zh-CN"/>
              </w:rPr>
            </w:pPr>
          </w:p>
        </w:tc>
        <w:tc>
          <w:tcPr>
            <w:tcW w:w="1227" w:type="dxa"/>
            <w:tcBorders>
              <w:top w:val="single" w:color="auto" w:sz="4" w:space="0"/>
              <w:left w:val="single" w:color="auto" w:sz="4" w:space="0"/>
              <w:bottom w:val="single" w:color="auto" w:sz="4" w:space="0"/>
              <w:right w:val="single" w:color="auto" w:sz="4" w:space="0"/>
            </w:tcBorders>
            <w:vAlign w:val="center"/>
          </w:tcPr>
          <w:p w14:paraId="11B900BB">
            <w:pPr>
              <w:jc w:val="center"/>
              <w:rPr>
                <w:rFonts w:ascii="宋体" w:hAnsi="宋体" w:eastAsia="宋体" w:cs="宋体"/>
                <w:color w:val="auto"/>
                <w:szCs w:val="21"/>
                <w:highlight w:val="none"/>
                <w:shd w:val="clear" w:color="auto" w:fill="FFFFFF"/>
                <w:lang w:val="zh-CN"/>
              </w:rPr>
            </w:pPr>
          </w:p>
        </w:tc>
        <w:tc>
          <w:tcPr>
            <w:tcW w:w="2854" w:type="dxa"/>
            <w:tcBorders>
              <w:top w:val="single" w:color="auto" w:sz="4" w:space="0"/>
              <w:left w:val="single" w:color="auto" w:sz="4" w:space="0"/>
              <w:bottom w:val="single" w:color="auto" w:sz="4" w:space="0"/>
              <w:right w:val="single" w:color="auto" w:sz="4" w:space="0"/>
            </w:tcBorders>
            <w:vAlign w:val="center"/>
          </w:tcPr>
          <w:p w14:paraId="2427648D">
            <w:pPr>
              <w:jc w:val="center"/>
              <w:rPr>
                <w:rFonts w:ascii="宋体" w:hAnsi="宋体" w:eastAsia="宋体" w:cs="宋体"/>
                <w:color w:val="auto"/>
                <w:szCs w:val="21"/>
                <w:highlight w:val="none"/>
                <w:shd w:val="clear" w:color="auto" w:fill="FFFFFF"/>
                <w:lang w:val="zh-CN"/>
              </w:rPr>
            </w:pPr>
          </w:p>
        </w:tc>
      </w:tr>
      <w:tr w14:paraId="5930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1DCDD922">
            <w:pPr>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5</w:t>
            </w:r>
          </w:p>
        </w:tc>
        <w:tc>
          <w:tcPr>
            <w:tcW w:w="1320" w:type="dxa"/>
            <w:tcBorders>
              <w:top w:val="single" w:color="auto" w:sz="4" w:space="0"/>
              <w:left w:val="single" w:color="auto" w:sz="4" w:space="0"/>
              <w:bottom w:val="single" w:color="auto" w:sz="4" w:space="0"/>
              <w:right w:val="single" w:color="auto" w:sz="4" w:space="0"/>
            </w:tcBorders>
            <w:vAlign w:val="center"/>
          </w:tcPr>
          <w:p w14:paraId="285197B9">
            <w:pPr>
              <w:jc w:val="center"/>
              <w:rPr>
                <w:rFonts w:ascii="宋体" w:hAnsi="宋体" w:eastAsia="宋体" w:cs="宋体"/>
                <w:color w:val="auto"/>
                <w:szCs w:val="21"/>
                <w:highlight w:val="none"/>
                <w:shd w:val="clear" w:color="auto" w:fill="FFFFFF"/>
                <w:lang w:val="zh-CN"/>
              </w:rPr>
            </w:pPr>
          </w:p>
        </w:tc>
        <w:tc>
          <w:tcPr>
            <w:tcW w:w="1126" w:type="dxa"/>
            <w:tcBorders>
              <w:top w:val="single" w:color="auto" w:sz="4" w:space="0"/>
              <w:left w:val="single" w:color="auto" w:sz="4" w:space="0"/>
              <w:bottom w:val="single" w:color="auto" w:sz="4" w:space="0"/>
              <w:right w:val="single" w:color="auto" w:sz="4" w:space="0"/>
            </w:tcBorders>
            <w:vAlign w:val="center"/>
          </w:tcPr>
          <w:p w14:paraId="2B2EAFD7">
            <w:pPr>
              <w:jc w:val="center"/>
              <w:rPr>
                <w:rFonts w:ascii="宋体" w:hAnsi="宋体" w:eastAsia="宋体" w:cs="宋体"/>
                <w:color w:val="auto"/>
                <w:szCs w:val="21"/>
                <w:highlight w:val="none"/>
                <w:shd w:val="clear" w:color="auto" w:fill="FFFFFF"/>
                <w:lang w:val="zh-CN"/>
              </w:rPr>
            </w:pPr>
          </w:p>
        </w:tc>
        <w:tc>
          <w:tcPr>
            <w:tcW w:w="1210" w:type="dxa"/>
            <w:tcBorders>
              <w:top w:val="single" w:color="auto" w:sz="4" w:space="0"/>
              <w:left w:val="single" w:color="auto" w:sz="4" w:space="0"/>
              <w:bottom w:val="single" w:color="auto" w:sz="4" w:space="0"/>
              <w:right w:val="single" w:color="auto" w:sz="4" w:space="0"/>
            </w:tcBorders>
            <w:vAlign w:val="center"/>
          </w:tcPr>
          <w:p w14:paraId="4EC5176B">
            <w:pPr>
              <w:jc w:val="center"/>
              <w:rPr>
                <w:rFonts w:ascii="宋体" w:hAnsi="宋体" w:eastAsia="宋体" w:cs="宋体"/>
                <w:color w:val="auto"/>
                <w:szCs w:val="21"/>
                <w:highlight w:val="none"/>
                <w:shd w:val="clear" w:color="auto" w:fill="FFFFFF"/>
                <w:lang w:val="zh-CN"/>
              </w:rPr>
            </w:pPr>
          </w:p>
        </w:tc>
        <w:tc>
          <w:tcPr>
            <w:tcW w:w="1177" w:type="dxa"/>
            <w:tcBorders>
              <w:top w:val="single" w:color="auto" w:sz="4" w:space="0"/>
              <w:left w:val="single" w:color="auto" w:sz="4" w:space="0"/>
              <w:bottom w:val="single" w:color="auto" w:sz="4" w:space="0"/>
              <w:right w:val="single" w:color="auto" w:sz="4" w:space="0"/>
            </w:tcBorders>
            <w:vAlign w:val="center"/>
          </w:tcPr>
          <w:p w14:paraId="72A1F93C">
            <w:pPr>
              <w:jc w:val="center"/>
              <w:rPr>
                <w:rFonts w:ascii="宋体" w:hAnsi="宋体" w:eastAsia="宋体" w:cs="宋体"/>
                <w:color w:val="auto"/>
                <w:szCs w:val="21"/>
                <w:highlight w:val="none"/>
                <w:shd w:val="clear" w:color="auto" w:fill="FFFFFF"/>
                <w:lang w:val="zh-CN"/>
              </w:rPr>
            </w:pPr>
          </w:p>
        </w:tc>
        <w:tc>
          <w:tcPr>
            <w:tcW w:w="1227" w:type="dxa"/>
            <w:tcBorders>
              <w:top w:val="single" w:color="auto" w:sz="4" w:space="0"/>
              <w:left w:val="single" w:color="auto" w:sz="4" w:space="0"/>
              <w:bottom w:val="single" w:color="auto" w:sz="4" w:space="0"/>
              <w:right w:val="single" w:color="auto" w:sz="4" w:space="0"/>
            </w:tcBorders>
            <w:vAlign w:val="center"/>
          </w:tcPr>
          <w:p w14:paraId="4B9C5F3E">
            <w:pPr>
              <w:jc w:val="center"/>
              <w:rPr>
                <w:rFonts w:ascii="宋体" w:hAnsi="宋体" w:eastAsia="宋体" w:cs="宋体"/>
                <w:color w:val="auto"/>
                <w:szCs w:val="21"/>
                <w:highlight w:val="none"/>
                <w:shd w:val="clear" w:color="auto" w:fill="FFFFFF"/>
                <w:lang w:val="zh-CN"/>
              </w:rPr>
            </w:pPr>
          </w:p>
        </w:tc>
        <w:tc>
          <w:tcPr>
            <w:tcW w:w="2854" w:type="dxa"/>
            <w:tcBorders>
              <w:top w:val="single" w:color="auto" w:sz="4" w:space="0"/>
              <w:left w:val="single" w:color="auto" w:sz="4" w:space="0"/>
              <w:bottom w:val="single" w:color="auto" w:sz="4" w:space="0"/>
              <w:right w:val="single" w:color="auto" w:sz="4" w:space="0"/>
            </w:tcBorders>
            <w:vAlign w:val="center"/>
          </w:tcPr>
          <w:p w14:paraId="2CE38023">
            <w:pPr>
              <w:jc w:val="center"/>
              <w:rPr>
                <w:rFonts w:ascii="宋体" w:hAnsi="宋体" w:eastAsia="宋体" w:cs="宋体"/>
                <w:color w:val="auto"/>
                <w:szCs w:val="21"/>
                <w:highlight w:val="none"/>
                <w:shd w:val="clear" w:color="auto" w:fill="FFFFFF"/>
                <w:lang w:val="zh-CN"/>
              </w:rPr>
            </w:pPr>
          </w:p>
        </w:tc>
      </w:tr>
      <w:tr w14:paraId="0F43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067CC8C0">
            <w:pPr>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6</w:t>
            </w:r>
          </w:p>
        </w:tc>
        <w:tc>
          <w:tcPr>
            <w:tcW w:w="1320" w:type="dxa"/>
            <w:tcBorders>
              <w:top w:val="single" w:color="auto" w:sz="4" w:space="0"/>
              <w:left w:val="single" w:color="auto" w:sz="4" w:space="0"/>
              <w:bottom w:val="single" w:color="auto" w:sz="4" w:space="0"/>
              <w:right w:val="single" w:color="auto" w:sz="4" w:space="0"/>
            </w:tcBorders>
            <w:vAlign w:val="center"/>
          </w:tcPr>
          <w:p w14:paraId="40EE7D10">
            <w:pPr>
              <w:jc w:val="center"/>
              <w:rPr>
                <w:rFonts w:ascii="宋体" w:hAnsi="宋体" w:eastAsia="宋体" w:cs="宋体"/>
                <w:color w:val="auto"/>
                <w:szCs w:val="21"/>
                <w:highlight w:val="none"/>
                <w:shd w:val="clear" w:color="auto" w:fill="FFFFFF"/>
                <w:lang w:val="zh-CN"/>
              </w:rPr>
            </w:pPr>
          </w:p>
        </w:tc>
        <w:tc>
          <w:tcPr>
            <w:tcW w:w="1126" w:type="dxa"/>
            <w:tcBorders>
              <w:top w:val="single" w:color="auto" w:sz="4" w:space="0"/>
              <w:left w:val="single" w:color="auto" w:sz="4" w:space="0"/>
              <w:bottom w:val="single" w:color="auto" w:sz="4" w:space="0"/>
              <w:right w:val="single" w:color="auto" w:sz="4" w:space="0"/>
            </w:tcBorders>
            <w:vAlign w:val="center"/>
          </w:tcPr>
          <w:p w14:paraId="1C816654">
            <w:pPr>
              <w:jc w:val="center"/>
              <w:rPr>
                <w:rFonts w:ascii="宋体" w:hAnsi="宋体" w:eastAsia="宋体" w:cs="宋体"/>
                <w:color w:val="auto"/>
                <w:szCs w:val="21"/>
                <w:highlight w:val="none"/>
                <w:shd w:val="clear" w:color="auto" w:fill="FFFFFF"/>
                <w:lang w:val="zh-CN"/>
              </w:rPr>
            </w:pPr>
          </w:p>
        </w:tc>
        <w:tc>
          <w:tcPr>
            <w:tcW w:w="1210" w:type="dxa"/>
            <w:tcBorders>
              <w:top w:val="single" w:color="auto" w:sz="4" w:space="0"/>
              <w:left w:val="single" w:color="auto" w:sz="4" w:space="0"/>
              <w:bottom w:val="single" w:color="auto" w:sz="4" w:space="0"/>
              <w:right w:val="single" w:color="auto" w:sz="4" w:space="0"/>
            </w:tcBorders>
            <w:vAlign w:val="center"/>
          </w:tcPr>
          <w:p w14:paraId="0157C056">
            <w:pPr>
              <w:jc w:val="center"/>
              <w:rPr>
                <w:rFonts w:ascii="宋体" w:hAnsi="宋体" w:eastAsia="宋体" w:cs="宋体"/>
                <w:color w:val="auto"/>
                <w:szCs w:val="21"/>
                <w:highlight w:val="none"/>
                <w:shd w:val="clear" w:color="auto" w:fill="FFFFFF"/>
                <w:lang w:val="zh-CN"/>
              </w:rPr>
            </w:pPr>
          </w:p>
        </w:tc>
        <w:tc>
          <w:tcPr>
            <w:tcW w:w="1177" w:type="dxa"/>
            <w:tcBorders>
              <w:top w:val="single" w:color="auto" w:sz="4" w:space="0"/>
              <w:left w:val="single" w:color="auto" w:sz="4" w:space="0"/>
              <w:bottom w:val="single" w:color="auto" w:sz="4" w:space="0"/>
              <w:right w:val="single" w:color="auto" w:sz="4" w:space="0"/>
            </w:tcBorders>
            <w:vAlign w:val="center"/>
          </w:tcPr>
          <w:p w14:paraId="262A1D64">
            <w:pPr>
              <w:jc w:val="center"/>
              <w:rPr>
                <w:rFonts w:ascii="宋体" w:hAnsi="宋体" w:eastAsia="宋体" w:cs="宋体"/>
                <w:color w:val="auto"/>
                <w:szCs w:val="21"/>
                <w:highlight w:val="none"/>
                <w:shd w:val="clear" w:color="auto" w:fill="FFFFFF"/>
                <w:lang w:val="zh-CN"/>
              </w:rPr>
            </w:pPr>
          </w:p>
        </w:tc>
        <w:tc>
          <w:tcPr>
            <w:tcW w:w="1227" w:type="dxa"/>
            <w:tcBorders>
              <w:top w:val="single" w:color="auto" w:sz="4" w:space="0"/>
              <w:left w:val="single" w:color="auto" w:sz="4" w:space="0"/>
              <w:bottom w:val="single" w:color="auto" w:sz="4" w:space="0"/>
              <w:right w:val="single" w:color="auto" w:sz="4" w:space="0"/>
            </w:tcBorders>
            <w:vAlign w:val="center"/>
          </w:tcPr>
          <w:p w14:paraId="7FD299CA">
            <w:pPr>
              <w:jc w:val="center"/>
              <w:rPr>
                <w:rFonts w:ascii="宋体" w:hAnsi="宋体" w:eastAsia="宋体" w:cs="宋体"/>
                <w:color w:val="auto"/>
                <w:szCs w:val="21"/>
                <w:highlight w:val="none"/>
                <w:shd w:val="clear" w:color="auto" w:fill="FFFFFF"/>
                <w:lang w:val="zh-CN"/>
              </w:rPr>
            </w:pPr>
          </w:p>
        </w:tc>
        <w:tc>
          <w:tcPr>
            <w:tcW w:w="2854" w:type="dxa"/>
            <w:tcBorders>
              <w:top w:val="single" w:color="auto" w:sz="4" w:space="0"/>
              <w:left w:val="single" w:color="auto" w:sz="4" w:space="0"/>
              <w:bottom w:val="single" w:color="auto" w:sz="4" w:space="0"/>
              <w:right w:val="single" w:color="auto" w:sz="4" w:space="0"/>
            </w:tcBorders>
            <w:vAlign w:val="center"/>
          </w:tcPr>
          <w:p w14:paraId="62DD9492">
            <w:pPr>
              <w:jc w:val="center"/>
              <w:rPr>
                <w:rFonts w:ascii="宋体" w:hAnsi="宋体" w:eastAsia="宋体" w:cs="宋体"/>
                <w:color w:val="auto"/>
                <w:szCs w:val="21"/>
                <w:highlight w:val="none"/>
                <w:shd w:val="clear" w:color="auto" w:fill="FFFFFF"/>
                <w:lang w:val="zh-CN"/>
              </w:rPr>
            </w:pPr>
          </w:p>
        </w:tc>
      </w:tr>
      <w:tr w14:paraId="1E20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7DC2B94E">
            <w:pPr>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7</w:t>
            </w:r>
          </w:p>
        </w:tc>
        <w:tc>
          <w:tcPr>
            <w:tcW w:w="1320" w:type="dxa"/>
            <w:tcBorders>
              <w:top w:val="single" w:color="auto" w:sz="4" w:space="0"/>
              <w:left w:val="single" w:color="auto" w:sz="4" w:space="0"/>
              <w:bottom w:val="single" w:color="auto" w:sz="4" w:space="0"/>
              <w:right w:val="single" w:color="auto" w:sz="4" w:space="0"/>
            </w:tcBorders>
            <w:vAlign w:val="center"/>
          </w:tcPr>
          <w:p w14:paraId="4F5DF0EE">
            <w:pPr>
              <w:jc w:val="center"/>
              <w:rPr>
                <w:rFonts w:ascii="宋体" w:hAnsi="宋体" w:eastAsia="宋体" w:cs="宋体"/>
                <w:color w:val="auto"/>
                <w:szCs w:val="21"/>
                <w:highlight w:val="none"/>
                <w:shd w:val="clear" w:color="auto" w:fill="FFFFFF"/>
                <w:lang w:val="zh-CN"/>
              </w:rPr>
            </w:pPr>
          </w:p>
        </w:tc>
        <w:tc>
          <w:tcPr>
            <w:tcW w:w="1126" w:type="dxa"/>
            <w:tcBorders>
              <w:top w:val="single" w:color="auto" w:sz="4" w:space="0"/>
              <w:left w:val="single" w:color="auto" w:sz="4" w:space="0"/>
              <w:bottom w:val="single" w:color="auto" w:sz="4" w:space="0"/>
              <w:right w:val="single" w:color="auto" w:sz="4" w:space="0"/>
            </w:tcBorders>
            <w:vAlign w:val="center"/>
          </w:tcPr>
          <w:p w14:paraId="619D8E6B">
            <w:pPr>
              <w:jc w:val="center"/>
              <w:rPr>
                <w:rFonts w:ascii="宋体" w:hAnsi="宋体" w:eastAsia="宋体" w:cs="宋体"/>
                <w:color w:val="auto"/>
                <w:szCs w:val="21"/>
                <w:highlight w:val="none"/>
                <w:shd w:val="clear" w:color="auto" w:fill="FFFFFF"/>
                <w:lang w:val="zh-CN"/>
              </w:rPr>
            </w:pPr>
          </w:p>
        </w:tc>
        <w:tc>
          <w:tcPr>
            <w:tcW w:w="1210" w:type="dxa"/>
            <w:tcBorders>
              <w:top w:val="single" w:color="auto" w:sz="4" w:space="0"/>
              <w:left w:val="single" w:color="auto" w:sz="4" w:space="0"/>
              <w:bottom w:val="single" w:color="auto" w:sz="4" w:space="0"/>
              <w:right w:val="single" w:color="auto" w:sz="4" w:space="0"/>
            </w:tcBorders>
            <w:vAlign w:val="center"/>
          </w:tcPr>
          <w:p w14:paraId="723EF63D">
            <w:pPr>
              <w:jc w:val="center"/>
              <w:rPr>
                <w:rFonts w:ascii="宋体" w:hAnsi="宋体" w:eastAsia="宋体" w:cs="宋体"/>
                <w:color w:val="auto"/>
                <w:szCs w:val="21"/>
                <w:highlight w:val="none"/>
                <w:shd w:val="clear" w:color="auto" w:fill="FFFFFF"/>
                <w:lang w:val="zh-CN"/>
              </w:rPr>
            </w:pPr>
          </w:p>
        </w:tc>
        <w:tc>
          <w:tcPr>
            <w:tcW w:w="1177" w:type="dxa"/>
            <w:tcBorders>
              <w:top w:val="single" w:color="auto" w:sz="4" w:space="0"/>
              <w:left w:val="single" w:color="auto" w:sz="4" w:space="0"/>
              <w:bottom w:val="single" w:color="auto" w:sz="4" w:space="0"/>
              <w:right w:val="single" w:color="auto" w:sz="4" w:space="0"/>
            </w:tcBorders>
            <w:vAlign w:val="center"/>
          </w:tcPr>
          <w:p w14:paraId="59376BF1">
            <w:pPr>
              <w:jc w:val="center"/>
              <w:rPr>
                <w:rFonts w:ascii="宋体" w:hAnsi="宋体" w:eastAsia="宋体" w:cs="宋体"/>
                <w:color w:val="auto"/>
                <w:szCs w:val="21"/>
                <w:highlight w:val="none"/>
                <w:shd w:val="clear" w:color="auto" w:fill="FFFFFF"/>
                <w:lang w:val="zh-CN"/>
              </w:rPr>
            </w:pPr>
          </w:p>
        </w:tc>
        <w:tc>
          <w:tcPr>
            <w:tcW w:w="1227" w:type="dxa"/>
            <w:tcBorders>
              <w:top w:val="single" w:color="auto" w:sz="4" w:space="0"/>
              <w:left w:val="single" w:color="auto" w:sz="4" w:space="0"/>
              <w:bottom w:val="single" w:color="auto" w:sz="4" w:space="0"/>
              <w:right w:val="single" w:color="auto" w:sz="4" w:space="0"/>
            </w:tcBorders>
            <w:vAlign w:val="center"/>
          </w:tcPr>
          <w:p w14:paraId="796B7749">
            <w:pPr>
              <w:jc w:val="center"/>
              <w:rPr>
                <w:rFonts w:ascii="宋体" w:hAnsi="宋体" w:eastAsia="宋体" w:cs="宋体"/>
                <w:color w:val="auto"/>
                <w:szCs w:val="21"/>
                <w:highlight w:val="none"/>
                <w:shd w:val="clear" w:color="auto" w:fill="FFFFFF"/>
                <w:lang w:val="zh-CN"/>
              </w:rPr>
            </w:pPr>
          </w:p>
        </w:tc>
        <w:tc>
          <w:tcPr>
            <w:tcW w:w="2854" w:type="dxa"/>
            <w:tcBorders>
              <w:top w:val="single" w:color="auto" w:sz="4" w:space="0"/>
              <w:left w:val="single" w:color="auto" w:sz="4" w:space="0"/>
              <w:bottom w:val="single" w:color="auto" w:sz="4" w:space="0"/>
              <w:right w:val="single" w:color="auto" w:sz="4" w:space="0"/>
            </w:tcBorders>
            <w:vAlign w:val="center"/>
          </w:tcPr>
          <w:p w14:paraId="3E7AED76">
            <w:pPr>
              <w:jc w:val="center"/>
              <w:rPr>
                <w:rFonts w:ascii="宋体" w:hAnsi="宋体" w:eastAsia="宋体" w:cs="宋体"/>
                <w:color w:val="auto"/>
                <w:szCs w:val="21"/>
                <w:highlight w:val="none"/>
                <w:shd w:val="clear" w:color="auto" w:fill="FFFFFF"/>
                <w:lang w:val="zh-CN"/>
              </w:rPr>
            </w:pPr>
          </w:p>
        </w:tc>
      </w:tr>
      <w:bookmarkEnd w:id="39"/>
    </w:tbl>
    <w:p w14:paraId="72204B9A">
      <w:pPr>
        <w:spacing w:line="360" w:lineRule="atLeast"/>
        <w:ind w:right="420" w:firstLine="480"/>
        <w:rPr>
          <w:rFonts w:ascii="宋体" w:hAnsi="宋体" w:eastAsia="宋体" w:cs="宋体"/>
          <w:color w:val="auto"/>
          <w:szCs w:val="21"/>
          <w:highlight w:val="none"/>
        </w:rPr>
      </w:pPr>
      <w:r>
        <w:rPr>
          <w:rFonts w:hint="eastAsia" w:ascii="宋体" w:hAnsi="宋体" w:eastAsia="宋体" w:cs="宋体"/>
          <w:color w:val="auto"/>
          <w:szCs w:val="21"/>
          <w:highlight w:val="none"/>
        </w:rPr>
        <w:t>备注：本表格用于方案因素评审计分，每行限填一个合格中标候选人，定标委员会成员应当独立打分。</w:t>
      </w:r>
    </w:p>
    <w:p w14:paraId="7E7FEE12">
      <w:pPr>
        <w:spacing w:line="276" w:lineRule="auto"/>
        <w:ind w:right="420" w:firstLine="426"/>
        <w:rPr>
          <w:rFonts w:ascii="宋体" w:hAnsi="宋体" w:eastAsia="宋体" w:cs="宋体"/>
          <w:color w:val="auto"/>
          <w:szCs w:val="21"/>
          <w:highlight w:val="none"/>
        </w:rPr>
      </w:pPr>
    </w:p>
    <w:p w14:paraId="288A633B">
      <w:pPr>
        <w:spacing w:line="276" w:lineRule="auto"/>
        <w:ind w:right="420" w:firstLine="426"/>
        <w:rPr>
          <w:rFonts w:ascii="宋体" w:hAnsi="宋体" w:eastAsia="宋体" w:cs="宋体"/>
          <w:color w:val="auto"/>
          <w:szCs w:val="21"/>
          <w:highlight w:val="none"/>
        </w:rPr>
      </w:pPr>
      <w:r>
        <w:rPr>
          <w:rFonts w:hint="eastAsia" w:ascii="宋体" w:hAnsi="宋体" w:eastAsia="宋体" w:cs="宋体"/>
          <w:color w:val="auto"/>
          <w:szCs w:val="21"/>
          <w:highlight w:val="none"/>
        </w:rPr>
        <w:t>定标委员签名：</w:t>
      </w:r>
    </w:p>
    <w:p w14:paraId="62DF8E9B">
      <w:pPr>
        <w:spacing w:line="276" w:lineRule="auto"/>
        <w:ind w:right="420" w:firstLine="426"/>
        <w:rPr>
          <w:rFonts w:ascii="宋体" w:hAnsi="宋体" w:eastAsia="宋体" w:cs="宋体"/>
          <w:color w:val="auto"/>
          <w:szCs w:val="21"/>
          <w:highlight w:val="none"/>
        </w:rPr>
      </w:pPr>
      <w:r>
        <w:rPr>
          <w:rFonts w:hint="eastAsia" w:ascii="宋体" w:hAnsi="宋体" w:eastAsia="宋体" w:cs="宋体"/>
          <w:color w:val="auto"/>
          <w:szCs w:val="21"/>
          <w:highlight w:val="none"/>
        </w:rPr>
        <w:t>日期：</w:t>
      </w:r>
    </w:p>
    <w:p w14:paraId="5203E2BD">
      <w:pPr>
        <w:widowControl/>
        <w:jc w:val="left"/>
        <w:rPr>
          <w:rFonts w:ascii="Times New Roman" w:hAnsi="Times New Roman" w:eastAsia="宋体" w:cs="Times New Roman"/>
          <w:color w:val="auto"/>
          <w:szCs w:val="20"/>
          <w:highlight w:val="none"/>
        </w:rPr>
      </w:pPr>
      <w:r>
        <w:rPr>
          <w:color w:val="auto"/>
          <w:highlight w:val="none"/>
        </w:rPr>
        <w:br w:type="page"/>
      </w:r>
    </w:p>
    <w:p w14:paraId="1A11A513">
      <w:pPr>
        <w:widowControl/>
        <w:spacing w:line="360" w:lineRule="auto"/>
        <w:jc w:val="left"/>
        <w:outlineLvl w:val="2"/>
        <w:rPr>
          <w:rFonts w:ascii="宋体" w:hAnsi="宋体" w:eastAsia="宋体" w:cs="仿宋"/>
          <w:color w:val="auto"/>
          <w:szCs w:val="21"/>
          <w:highlight w:val="none"/>
        </w:rPr>
      </w:pPr>
      <w:r>
        <w:rPr>
          <w:rFonts w:hint="eastAsia" w:ascii="宋体" w:hAnsi="宋体" w:eastAsia="宋体" w:cs="宋体"/>
          <w:color w:val="auto"/>
          <w:kern w:val="0"/>
          <w:sz w:val="24"/>
          <w:szCs w:val="24"/>
          <w:highlight w:val="none"/>
        </w:rPr>
        <w:t>附表十：</w:t>
      </w:r>
    </w:p>
    <w:p w14:paraId="4ADBA0D7">
      <w:pPr>
        <w:jc w:val="center"/>
        <w:rPr>
          <w:rFonts w:ascii="宋体" w:hAnsi="宋体" w:eastAsia="宋体" w:cs="宋体"/>
          <w:b/>
          <w:color w:val="auto"/>
          <w:sz w:val="32"/>
          <w:szCs w:val="32"/>
          <w:highlight w:val="none"/>
        </w:rPr>
      </w:pPr>
      <w:bookmarkStart w:id="40" w:name="_Toc19635"/>
      <w:bookmarkStart w:id="41" w:name="_Hlk208834659"/>
      <w:bookmarkStart w:id="42" w:name="_Hlk208834611"/>
      <w:r>
        <w:rPr>
          <w:rFonts w:hint="eastAsia" w:ascii="宋体" w:hAnsi="宋体" w:eastAsia="宋体" w:cs="宋体"/>
          <w:b/>
          <w:color w:val="auto"/>
          <w:sz w:val="32"/>
          <w:szCs w:val="32"/>
          <w:highlight w:val="none"/>
        </w:rPr>
        <w:t>方案因素评审得分</w:t>
      </w:r>
      <w:bookmarkEnd w:id="40"/>
      <w:bookmarkStart w:id="43" w:name="_Toc18682"/>
      <w:r>
        <w:rPr>
          <w:rFonts w:hint="eastAsia" w:ascii="宋体" w:hAnsi="宋体" w:eastAsia="宋体" w:cs="宋体"/>
          <w:b/>
          <w:color w:val="auto"/>
          <w:sz w:val="32"/>
          <w:szCs w:val="32"/>
          <w:highlight w:val="none"/>
        </w:rPr>
        <w:t>汇总表（定标委员会汇总用表）</w:t>
      </w:r>
      <w:bookmarkEnd w:id="41"/>
      <w:bookmarkEnd w:id="43"/>
    </w:p>
    <w:p w14:paraId="7882480F">
      <w:pPr>
        <w:rPr>
          <w:rFonts w:ascii="宋体" w:hAnsi="宋体" w:eastAsia="宋体" w:cs="宋体"/>
          <w:color w:val="auto"/>
          <w:szCs w:val="24"/>
          <w:highlight w:val="none"/>
        </w:rPr>
      </w:pPr>
      <w:r>
        <w:rPr>
          <w:rFonts w:hint="eastAsia" w:ascii="宋体" w:hAnsi="宋体" w:eastAsia="宋体" w:cs="宋体"/>
          <w:color w:val="auto"/>
          <w:szCs w:val="24"/>
          <w:highlight w:val="none"/>
        </w:rPr>
        <w:t>招标项目名称：</w:t>
      </w:r>
    </w:p>
    <w:tbl>
      <w:tblPr>
        <w:tblStyle w:val="50"/>
        <w:tblW w:w="9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796"/>
        <w:gridCol w:w="939"/>
        <w:gridCol w:w="940"/>
        <w:gridCol w:w="939"/>
        <w:gridCol w:w="940"/>
        <w:gridCol w:w="940"/>
        <w:gridCol w:w="907"/>
      </w:tblGrid>
      <w:tr w14:paraId="1F31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46" w:type="dxa"/>
            <w:tcBorders>
              <w:top w:val="single" w:color="auto" w:sz="4" w:space="0"/>
              <w:left w:val="single" w:color="auto" w:sz="4" w:space="0"/>
              <w:bottom w:val="single" w:color="auto" w:sz="4" w:space="0"/>
              <w:right w:val="single" w:color="auto" w:sz="4" w:space="0"/>
            </w:tcBorders>
            <w:vAlign w:val="center"/>
          </w:tcPr>
          <w:p w14:paraId="57B2D5AB">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序号</w:t>
            </w:r>
          </w:p>
        </w:tc>
        <w:tc>
          <w:tcPr>
            <w:tcW w:w="2796" w:type="dxa"/>
            <w:tcBorders>
              <w:top w:val="single" w:color="auto" w:sz="4" w:space="0"/>
              <w:left w:val="single" w:color="auto" w:sz="4" w:space="0"/>
              <w:bottom w:val="single" w:color="auto" w:sz="4" w:space="0"/>
              <w:right w:val="single" w:color="auto" w:sz="4" w:space="0"/>
            </w:tcBorders>
            <w:vAlign w:val="center"/>
          </w:tcPr>
          <w:p w14:paraId="341EDDB9">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合格中标候选人名称</w:t>
            </w:r>
          </w:p>
        </w:tc>
        <w:tc>
          <w:tcPr>
            <w:tcW w:w="939" w:type="dxa"/>
            <w:tcBorders>
              <w:top w:val="single" w:color="auto" w:sz="4" w:space="0"/>
              <w:left w:val="single" w:color="auto" w:sz="4" w:space="0"/>
              <w:bottom w:val="single" w:color="auto" w:sz="4" w:space="0"/>
              <w:right w:val="single" w:color="auto" w:sz="4" w:space="0"/>
            </w:tcBorders>
            <w:vAlign w:val="center"/>
          </w:tcPr>
          <w:p w14:paraId="2EF22F12">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评分人1</w:t>
            </w:r>
          </w:p>
        </w:tc>
        <w:tc>
          <w:tcPr>
            <w:tcW w:w="940" w:type="dxa"/>
            <w:tcBorders>
              <w:top w:val="single" w:color="auto" w:sz="4" w:space="0"/>
              <w:left w:val="single" w:color="auto" w:sz="4" w:space="0"/>
              <w:bottom w:val="single" w:color="auto" w:sz="4" w:space="0"/>
              <w:right w:val="single" w:color="auto" w:sz="4" w:space="0"/>
            </w:tcBorders>
            <w:vAlign w:val="center"/>
          </w:tcPr>
          <w:p w14:paraId="3E22D1C3">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评分人2</w:t>
            </w:r>
          </w:p>
        </w:tc>
        <w:tc>
          <w:tcPr>
            <w:tcW w:w="939" w:type="dxa"/>
            <w:tcBorders>
              <w:top w:val="single" w:color="auto" w:sz="4" w:space="0"/>
              <w:left w:val="single" w:color="auto" w:sz="4" w:space="0"/>
              <w:bottom w:val="single" w:color="auto" w:sz="4" w:space="0"/>
              <w:right w:val="single" w:color="auto" w:sz="4" w:space="0"/>
            </w:tcBorders>
            <w:vAlign w:val="center"/>
          </w:tcPr>
          <w:p w14:paraId="1A667FC4">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评分人3</w:t>
            </w:r>
          </w:p>
        </w:tc>
        <w:tc>
          <w:tcPr>
            <w:tcW w:w="940" w:type="dxa"/>
            <w:tcBorders>
              <w:top w:val="single" w:color="auto" w:sz="4" w:space="0"/>
              <w:left w:val="single" w:color="auto" w:sz="4" w:space="0"/>
              <w:bottom w:val="single" w:color="auto" w:sz="4" w:space="0"/>
              <w:right w:val="single" w:color="auto" w:sz="4" w:space="0"/>
            </w:tcBorders>
            <w:vAlign w:val="center"/>
          </w:tcPr>
          <w:p w14:paraId="3A401C12">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评分人4</w:t>
            </w:r>
          </w:p>
        </w:tc>
        <w:tc>
          <w:tcPr>
            <w:tcW w:w="940" w:type="dxa"/>
            <w:tcBorders>
              <w:top w:val="single" w:color="auto" w:sz="4" w:space="0"/>
              <w:left w:val="single" w:color="auto" w:sz="4" w:space="0"/>
              <w:bottom w:val="single" w:color="auto" w:sz="4" w:space="0"/>
              <w:right w:val="single" w:color="auto" w:sz="4" w:space="0"/>
            </w:tcBorders>
            <w:vAlign w:val="center"/>
          </w:tcPr>
          <w:p w14:paraId="423EE369">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评分人5</w:t>
            </w:r>
          </w:p>
        </w:tc>
        <w:tc>
          <w:tcPr>
            <w:tcW w:w="907" w:type="dxa"/>
            <w:tcBorders>
              <w:top w:val="single" w:color="auto" w:sz="4" w:space="0"/>
              <w:left w:val="single" w:color="auto" w:sz="4" w:space="0"/>
              <w:bottom w:val="single" w:color="auto" w:sz="4" w:space="0"/>
              <w:right w:val="single" w:color="auto" w:sz="4" w:space="0"/>
            </w:tcBorders>
            <w:vAlign w:val="center"/>
          </w:tcPr>
          <w:p w14:paraId="22974D44">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rPr>
              <w:t>得分</w:t>
            </w:r>
          </w:p>
        </w:tc>
      </w:tr>
      <w:tr w14:paraId="7812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46" w:type="dxa"/>
            <w:tcBorders>
              <w:top w:val="single" w:color="auto" w:sz="4" w:space="0"/>
              <w:left w:val="single" w:color="auto" w:sz="4" w:space="0"/>
              <w:bottom w:val="single" w:color="auto" w:sz="4" w:space="0"/>
              <w:right w:val="single" w:color="auto" w:sz="4" w:space="0"/>
            </w:tcBorders>
            <w:vAlign w:val="center"/>
          </w:tcPr>
          <w:p w14:paraId="3E623FF3">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1</w:t>
            </w:r>
          </w:p>
        </w:tc>
        <w:tc>
          <w:tcPr>
            <w:tcW w:w="2796" w:type="dxa"/>
            <w:tcBorders>
              <w:top w:val="single" w:color="auto" w:sz="4" w:space="0"/>
              <w:left w:val="single" w:color="auto" w:sz="4" w:space="0"/>
              <w:bottom w:val="single" w:color="auto" w:sz="4" w:space="0"/>
              <w:right w:val="single" w:color="auto" w:sz="4" w:space="0"/>
            </w:tcBorders>
            <w:vAlign w:val="center"/>
          </w:tcPr>
          <w:p w14:paraId="7A6B6BEC">
            <w:pPr>
              <w:jc w:val="center"/>
              <w:rPr>
                <w:rFonts w:ascii="宋体" w:hAnsi="宋体" w:eastAsia="宋体" w:cs="宋体"/>
                <w:color w:val="auto"/>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vAlign w:val="center"/>
          </w:tcPr>
          <w:p w14:paraId="765568AE">
            <w:pPr>
              <w:jc w:val="center"/>
              <w:rPr>
                <w:rFonts w:ascii="宋体" w:hAnsi="宋体" w:eastAsia="宋体" w:cs="宋体"/>
                <w:color w:val="auto"/>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781B8D70">
            <w:pPr>
              <w:jc w:val="center"/>
              <w:rPr>
                <w:rFonts w:ascii="宋体" w:hAnsi="宋体" w:eastAsia="宋体" w:cs="宋体"/>
                <w:color w:val="auto"/>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vAlign w:val="center"/>
          </w:tcPr>
          <w:p w14:paraId="0E73EEC4">
            <w:pPr>
              <w:jc w:val="center"/>
              <w:rPr>
                <w:rFonts w:ascii="宋体" w:hAnsi="宋体" w:eastAsia="宋体" w:cs="宋体"/>
                <w:color w:val="auto"/>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2D953B7C">
            <w:pPr>
              <w:jc w:val="center"/>
              <w:rPr>
                <w:rFonts w:ascii="宋体" w:hAnsi="宋体" w:eastAsia="宋体" w:cs="宋体"/>
                <w:color w:val="auto"/>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0B6212BA">
            <w:pPr>
              <w:jc w:val="center"/>
              <w:rPr>
                <w:rFonts w:ascii="宋体" w:hAnsi="宋体" w:eastAsia="宋体" w:cs="宋体"/>
                <w:color w:val="auto"/>
                <w:szCs w:val="21"/>
                <w:highlight w:val="none"/>
                <w:shd w:val="clear" w:color="auto" w:fill="FFFFFF"/>
                <w:lang w:val="zh-CN"/>
              </w:rPr>
            </w:pPr>
          </w:p>
        </w:tc>
        <w:tc>
          <w:tcPr>
            <w:tcW w:w="907" w:type="dxa"/>
            <w:tcBorders>
              <w:top w:val="single" w:color="auto" w:sz="4" w:space="0"/>
              <w:left w:val="single" w:color="auto" w:sz="4" w:space="0"/>
              <w:bottom w:val="single" w:color="auto" w:sz="4" w:space="0"/>
              <w:right w:val="single" w:color="auto" w:sz="4" w:space="0"/>
            </w:tcBorders>
            <w:vAlign w:val="center"/>
          </w:tcPr>
          <w:p w14:paraId="2D56C5A8">
            <w:pPr>
              <w:jc w:val="center"/>
              <w:rPr>
                <w:rFonts w:ascii="宋体" w:hAnsi="宋体" w:eastAsia="宋体" w:cs="宋体"/>
                <w:color w:val="auto"/>
                <w:szCs w:val="21"/>
                <w:highlight w:val="none"/>
                <w:shd w:val="clear" w:color="auto" w:fill="FFFFFF"/>
                <w:lang w:val="zh-CN"/>
              </w:rPr>
            </w:pPr>
          </w:p>
        </w:tc>
      </w:tr>
      <w:tr w14:paraId="390E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46" w:type="dxa"/>
            <w:tcBorders>
              <w:top w:val="single" w:color="auto" w:sz="4" w:space="0"/>
              <w:left w:val="single" w:color="auto" w:sz="4" w:space="0"/>
              <w:bottom w:val="single" w:color="auto" w:sz="4" w:space="0"/>
              <w:right w:val="single" w:color="auto" w:sz="4" w:space="0"/>
            </w:tcBorders>
            <w:vAlign w:val="center"/>
          </w:tcPr>
          <w:p w14:paraId="63CFEA45">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2</w:t>
            </w:r>
          </w:p>
        </w:tc>
        <w:tc>
          <w:tcPr>
            <w:tcW w:w="2796" w:type="dxa"/>
            <w:tcBorders>
              <w:top w:val="single" w:color="auto" w:sz="4" w:space="0"/>
              <w:left w:val="single" w:color="auto" w:sz="4" w:space="0"/>
              <w:bottom w:val="single" w:color="auto" w:sz="4" w:space="0"/>
              <w:right w:val="single" w:color="auto" w:sz="4" w:space="0"/>
            </w:tcBorders>
            <w:vAlign w:val="center"/>
          </w:tcPr>
          <w:p w14:paraId="0AD647B8">
            <w:pPr>
              <w:jc w:val="center"/>
              <w:rPr>
                <w:rFonts w:ascii="宋体" w:hAnsi="宋体" w:eastAsia="宋体" w:cs="宋体"/>
                <w:color w:val="auto"/>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vAlign w:val="center"/>
          </w:tcPr>
          <w:p w14:paraId="6E60C140">
            <w:pPr>
              <w:jc w:val="center"/>
              <w:rPr>
                <w:rFonts w:ascii="宋体" w:hAnsi="宋体" w:eastAsia="宋体" w:cs="宋体"/>
                <w:color w:val="auto"/>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737D1974">
            <w:pPr>
              <w:jc w:val="center"/>
              <w:rPr>
                <w:rFonts w:ascii="宋体" w:hAnsi="宋体" w:eastAsia="宋体" w:cs="宋体"/>
                <w:color w:val="auto"/>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vAlign w:val="center"/>
          </w:tcPr>
          <w:p w14:paraId="019F4846">
            <w:pPr>
              <w:jc w:val="center"/>
              <w:rPr>
                <w:rFonts w:ascii="宋体" w:hAnsi="宋体" w:eastAsia="宋体" w:cs="宋体"/>
                <w:color w:val="auto"/>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5AAD0983">
            <w:pPr>
              <w:jc w:val="center"/>
              <w:rPr>
                <w:rFonts w:ascii="宋体" w:hAnsi="宋体" w:eastAsia="宋体" w:cs="宋体"/>
                <w:color w:val="auto"/>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37625C27">
            <w:pPr>
              <w:jc w:val="center"/>
              <w:rPr>
                <w:rFonts w:ascii="宋体" w:hAnsi="宋体" w:eastAsia="宋体" w:cs="宋体"/>
                <w:color w:val="auto"/>
                <w:szCs w:val="21"/>
                <w:highlight w:val="none"/>
                <w:shd w:val="clear" w:color="auto" w:fill="FFFFFF"/>
                <w:lang w:val="zh-CN"/>
              </w:rPr>
            </w:pPr>
          </w:p>
        </w:tc>
        <w:tc>
          <w:tcPr>
            <w:tcW w:w="907" w:type="dxa"/>
            <w:tcBorders>
              <w:top w:val="single" w:color="auto" w:sz="4" w:space="0"/>
              <w:left w:val="single" w:color="auto" w:sz="4" w:space="0"/>
              <w:bottom w:val="single" w:color="auto" w:sz="4" w:space="0"/>
              <w:right w:val="single" w:color="auto" w:sz="4" w:space="0"/>
            </w:tcBorders>
            <w:vAlign w:val="center"/>
          </w:tcPr>
          <w:p w14:paraId="3C3F0192">
            <w:pPr>
              <w:jc w:val="center"/>
              <w:rPr>
                <w:rFonts w:ascii="宋体" w:hAnsi="宋体" w:eastAsia="宋体" w:cs="宋体"/>
                <w:color w:val="auto"/>
                <w:szCs w:val="21"/>
                <w:highlight w:val="none"/>
                <w:shd w:val="clear" w:color="auto" w:fill="FFFFFF"/>
                <w:lang w:val="zh-CN"/>
              </w:rPr>
            </w:pPr>
          </w:p>
        </w:tc>
      </w:tr>
      <w:tr w14:paraId="7DAD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46" w:type="dxa"/>
            <w:tcBorders>
              <w:top w:val="single" w:color="auto" w:sz="4" w:space="0"/>
              <w:left w:val="single" w:color="auto" w:sz="4" w:space="0"/>
              <w:bottom w:val="single" w:color="auto" w:sz="4" w:space="0"/>
              <w:right w:val="single" w:color="auto" w:sz="4" w:space="0"/>
            </w:tcBorders>
            <w:vAlign w:val="center"/>
          </w:tcPr>
          <w:p w14:paraId="4028DD30">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3</w:t>
            </w:r>
          </w:p>
        </w:tc>
        <w:tc>
          <w:tcPr>
            <w:tcW w:w="2796" w:type="dxa"/>
            <w:tcBorders>
              <w:top w:val="single" w:color="auto" w:sz="4" w:space="0"/>
              <w:left w:val="single" w:color="auto" w:sz="4" w:space="0"/>
              <w:bottom w:val="single" w:color="auto" w:sz="4" w:space="0"/>
              <w:right w:val="single" w:color="auto" w:sz="4" w:space="0"/>
            </w:tcBorders>
            <w:vAlign w:val="center"/>
          </w:tcPr>
          <w:p w14:paraId="55F44E42">
            <w:pPr>
              <w:jc w:val="center"/>
              <w:rPr>
                <w:rFonts w:ascii="宋体" w:hAnsi="宋体" w:eastAsia="宋体" w:cs="宋体"/>
                <w:color w:val="auto"/>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vAlign w:val="center"/>
          </w:tcPr>
          <w:p w14:paraId="57DE9257">
            <w:pPr>
              <w:jc w:val="center"/>
              <w:rPr>
                <w:rFonts w:ascii="宋体" w:hAnsi="宋体" w:eastAsia="宋体" w:cs="宋体"/>
                <w:color w:val="auto"/>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3DC0810C">
            <w:pPr>
              <w:jc w:val="center"/>
              <w:rPr>
                <w:rFonts w:ascii="宋体" w:hAnsi="宋体" w:eastAsia="宋体" w:cs="宋体"/>
                <w:color w:val="auto"/>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vAlign w:val="center"/>
          </w:tcPr>
          <w:p w14:paraId="66F26A98">
            <w:pPr>
              <w:jc w:val="center"/>
              <w:rPr>
                <w:rFonts w:ascii="宋体" w:hAnsi="宋体" w:eastAsia="宋体" w:cs="宋体"/>
                <w:color w:val="auto"/>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5EE2F25D">
            <w:pPr>
              <w:jc w:val="center"/>
              <w:rPr>
                <w:rFonts w:ascii="宋体" w:hAnsi="宋体" w:eastAsia="宋体" w:cs="宋体"/>
                <w:color w:val="auto"/>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5DE56A07">
            <w:pPr>
              <w:jc w:val="center"/>
              <w:rPr>
                <w:rFonts w:ascii="宋体" w:hAnsi="宋体" w:eastAsia="宋体" w:cs="宋体"/>
                <w:color w:val="auto"/>
                <w:szCs w:val="21"/>
                <w:highlight w:val="none"/>
                <w:shd w:val="clear" w:color="auto" w:fill="FFFFFF"/>
                <w:lang w:val="zh-CN"/>
              </w:rPr>
            </w:pPr>
          </w:p>
        </w:tc>
        <w:tc>
          <w:tcPr>
            <w:tcW w:w="907" w:type="dxa"/>
            <w:tcBorders>
              <w:top w:val="single" w:color="auto" w:sz="4" w:space="0"/>
              <w:left w:val="single" w:color="auto" w:sz="4" w:space="0"/>
              <w:bottom w:val="single" w:color="auto" w:sz="4" w:space="0"/>
              <w:right w:val="single" w:color="auto" w:sz="4" w:space="0"/>
            </w:tcBorders>
            <w:vAlign w:val="center"/>
          </w:tcPr>
          <w:p w14:paraId="6918DB3D">
            <w:pPr>
              <w:jc w:val="center"/>
              <w:rPr>
                <w:rFonts w:ascii="宋体" w:hAnsi="宋体" w:eastAsia="宋体" w:cs="宋体"/>
                <w:color w:val="auto"/>
                <w:szCs w:val="21"/>
                <w:highlight w:val="none"/>
                <w:shd w:val="clear" w:color="auto" w:fill="FFFFFF"/>
                <w:lang w:val="zh-CN"/>
              </w:rPr>
            </w:pPr>
          </w:p>
        </w:tc>
      </w:tr>
      <w:tr w14:paraId="3F59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46" w:type="dxa"/>
            <w:tcBorders>
              <w:top w:val="single" w:color="auto" w:sz="4" w:space="0"/>
              <w:left w:val="single" w:color="auto" w:sz="4" w:space="0"/>
              <w:bottom w:val="single" w:color="auto" w:sz="4" w:space="0"/>
              <w:right w:val="single" w:color="auto" w:sz="4" w:space="0"/>
            </w:tcBorders>
            <w:vAlign w:val="center"/>
          </w:tcPr>
          <w:p w14:paraId="0F99BDF9">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4</w:t>
            </w:r>
          </w:p>
        </w:tc>
        <w:tc>
          <w:tcPr>
            <w:tcW w:w="2796" w:type="dxa"/>
            <w:tcBorders>
              <w:top w:val="single" w:color="auto" w:sz="4" w:space="0"/>
              <w:left w:val="single" w:color="auto" w:sz="4" w:space="0"/>
              <w:bottom w:val="single" w:color="auto" w:sz="4" w:space="0"/>
              <w:right w:val="single" w:color="auto" w:sz="4" w:space="0"/>
            </w:tcBorders>
            <w:vAlign w:val="center"/>
          </w:tcPr>
          <w:p w14:paraId="0A4EB407">
            <w:pPr>
              <w:jc w:val="center"/>
              <w:rPr>
                <w:rFonts w:ascii="宋体" w:hAnsi="宋体" w:eastAsia="宋体" w:cs="宋体"/>
                <w:color w:val="auto"/>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vAlign w:val="center"/>
          </w:tcPr>
          <w:p w14:paraId="7E19ABC9">
            <w:pPr>
              <w:jc w:val="center"/>
              <w:rPr>
                <w:rFonts w:ascii="宋体" w:hAnsi="宋体" w:eastAsia="宋体" w:cs="宋体"/>
                <w:color w:val="auto"/>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3241B39B">
            <w:pPr>
              <w:jc w:val="center"/>
              <w:rPr>
                <w:rFonts w:ascii="宋体" w:hAnsi="宋体" w:eastAsia="宋体" w:cs="宋体"/>
                <w:color w:val="auto"/>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vAlign w:val="center"/>
          </w:tcPr>
          <w:p w14:paraId="01ED3E32">
            <w:pPr>
              <w:jc w:val="center"/>
              <w:rPr>
                <w:rFonts w:ascii="宋体" w:hAnsi="宋体" w:eastAsia="宋体" w:cs="宋体"/>
                <w:color w:val="auto"/>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4F8EC301">
            <w:pPr>
              <w:jc w:val="center"/>
              <w:rPr>
                <w:rFonts w:ascii="宋体" w:hAnsi="宋体" w:eastAsia="宋体" w:cs="宋体"/>
                <w:color w:val="auto"/>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708DA0B6">
            <w:pPr>
              <w:jc w:val="center"/>
              <w:rPr>
                <w:rFonts w:ascii="宋体" w:hAnsi="宋体" w:eastAsia="宋体" w:cs="宋体"/>
                <w:color w:val="auto"/>
                <w:szCs w:val="21"/>
                <w:highlight w:val="none"/>
                <w:shd w:val="clear" w:color="auto" w:fill="FFFFFF"/>
                <w:lang w:val="zh-CN"/>
              </w:rPr>
            </w:pPr>
          </w:p>
        </w:tc>
        <w:tc>
          <w:tcPr>
            <w:tcW w:w="907" w:type="dxa"/>
            <w:tcBorders>
              <w:top w:val="single" w:color="auto" w:sz="4" w:space="0"/>
              <w:left w:val="single" w:color="auto" w:sz="4" w:space="0"/>
              <w:bottom w:val="single" w:color="auto" w:sz="4" w:space="0"/>
              <w:right w:val="single" w:color="auto" w:sz="4" w:space="0"/>
            </w:tcBorders>
            <w:vAlign w:val="center"/>
          </w:tcPr>
          <w:p w14:paraId="084E410C">
            <w:pPr>
              <w:jc w:val="center"/>
              <w:rPr>
                <w:rFonts w:ascii="宋体" w:hAnsi="宋体" w:eastAsia="宋体" w:cs="宋体"/>
                <w:color w:val="auto"/>
                <w:szCs w:val="21"/>
                <w:highlight w:val="none"/>
                <w:shd w:val="clear" w:color="auto" w:fill="FFFFFF"/>
                <w:lang w:val="zh-CN"/>
              </w:rPr>
            </w:pPr>
          </w:p>
        </w:tc>
      </w:tr>
      <w:tr w14:paraId="7F17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46" w:type="dxa"/>
            <w:tcBorders>
              <w:top w:val="single" w:color="auto" w:sz="4" w:space="0"/>
              <w:left w:val="single" w:color="auto" w:sz="4" w:space="0"/>
              <w:bottom w:val="single" w:color="auto" w:sz="4" w:space="0"/>
              <w:right w:val="single" w:color="auto" w:sz="4" w:space="0"/>
            </w:tcBorders>
            <w:vAlign w:val="center"/>
          </w:tcPr>
          <w:p w14:paraId="20429379">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5</w:t>
            </w:r>
          </w:p>
        </w:tc>
        <w:tc>
          <w:tcPr>
            <w:tcW w:w="2796" w:type="dxa"/>
            <w:tcBorders>
              <w:top w:val="single" w:color="auto" w:sz="4" w:space="0"/>
              <w:left w:val="single" w:color="auto" w:sz="4" w:space="0"/>
              <w:bottom w:val="single" w:color="auto" w:sz="4" w:space="0"/>
              <w:right w:val="single" w:color="auto" w:sz="4" w:space="0"/>
            </w:tcBorders>
            <w:vAlign w:val="center"/>
          </w:tcPr>
          <w:p w14:paraId="2A6D8AD7">
            <w:pPr>
              <w:jc w:val="center"/>
              <w:rPr>
                <w:rFonts w:ascii="宋体" w:hAnsi="宋体" w:eastAsia="宋体" w:cs="宋体"/>
                <w:color w:val="auto"/>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vAlign w:val="center"/>
          </w:tcPr>
          <w:p w14:paraId="78047A51">
            <w:pPr>
              <w:jc w:val="center"/>
              <w:rPr>
                <w:rFonts w:ascii="宋体" w:hAnsi="宋体" w:eastAsia="宋体" w:cs="宋体"/>
                <w:color w:val="auto"/>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227D97CE">
            <w:pPr>
              <w:jc w:val="center"/>
              <w:rPr>
                <w:rFonts w:ascii="宋体" w:hAnsi="宋体" w:eastAsia="宋体" w:cs="宋体"/>
                <w:color w:val="auto"/>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vAlign w:val="center"/>
          </w:tcPr>
          <w:p w14:paraId="5DE2ACA7">
            <w:pPr>
              <w:jc w:val="center"/>
              <w:rPr>
                <w:rFonts w:ascii="宋体" w:hAnsi="宋体" w:eastAsia="宋体" w:cs="宋体"/>
                <w:color w:val="auto"/>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519F5B45">
            <w:pPr>
              <w:jc w:val="center"/>
              <w:rPr>
                <w:rFonts w:ascii="宋体" w:hAnsi="宋体" w:eastAsia="宋体" w:cs="宋体"/>
                <w:color w:val="auto"/>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05BF11DC">
            <w:pPr>
              <w:jc w:val="center"/>
              <w:rPr>
                <w:rFonts w:ascii="宋体" w:hAnsi="宋体" w:eastAsia="宋体" w:cs="宋体"/>
                <w:color w:val="auto"/>
                <w:szCs w:val="21"/>
                <w:highlight w:val="none"/>
                <w:shd w:val="clear" w:color="auto" w:fill="FFFFFF"/>
                <w:lang w:val="zh-CN"/>
              </w:rPr>
            </w:pPr>
          </w:p>
        </w:tc>
        <w:tc>
          <w:tcPr>
            <w:tcW w:w="907" w:type="dxa"/>
            <w:tcBorders>
              <w:top w:val="single" w:color="auto" w:sz="4" w:space="0"/>
              <w:left w:val="single" w:color="auto" w:sz="4" w:space="0"/>
              <w:bottom w:val="single" w:color="auto" w:sz="4" w:space="0"/>
              <w:right w:val="single" w:color="auto" w:sz="4" w:space="0"/>
            </w:tcBorders>
            <w:vAlign w:val="center"/>
          </w:tcPr>
          <w:p w14:paraId="0E8D4962">
            <w:pPr>
              <w:jc w:val="center"/>
              <w:rPr>
                <w:rFonts w:ascii="宋体" w:hAnsi="宋体" w:eastAsia="宋体" w:cs="宋体"/>
                <w:color w:val="auto"/>
                <w:szCs w:val="21"/>
                <w:highlight w:val="none"/>
                <w:shd w:val="clear" w:color="auto" w:fill="FFFFFF"/>
                <w:lang w:val="zh-CN"/>
              </w:rPr>
            </w:pPr>
          </w:p>
        </w:tc>
      </w:tr>
      <w:tr w14:paraId="66E5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46" w:type="dxa"/>
            <w:tcBorders>
              <w:top w:val="single" w:color="auto" w:sz="4" w:space="0"/>
              <w:left w:val="single" w:color="auto" w:sz="4" w:space="0"/>
              <w:bottom w:val="single" w:color="auto" w:sz="4" w:space="0"/>
              <w:right w:val="single" w:color="auto" w:sz="4" w:space="0"/>
            </w:tcBorders>
            <w:vAlign w:val="center"/>
          </w:tcPr>
          <w:p w14:paraId="5BA412A6">
            <w:pPr>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6</w:t>
            </w:r>
          </w:p>
        </w:tc>
        <w:tc>
          <w:tcPr>
            <w:tcW w:w="2796" w:type="dxa"/>
            <w:tcBorders>
              <w:top w:val="single" w:color="auto" w:sz="4" w:space="0"/>
              <w:left w:val="single" w:color="auto" w:sz="4" w:space="0"/>
              <w:bottom w:val="single" w:color="auto" w:sz="4" w:space="0"/>
              <w:right w:val="single" w:color="auto" w:sz="4" w:space="0"/>
            </w:tcBorders>
            <w:vAlign w:val="center"/>
          </w:tcPr>
          <w:p w14:paraId="227E33C6">
            <w:pPr>
              <w:jc w:val="center"/>
              <w:rPr>
                <w:rFonts w:ascii="宋体" w:hAnsi="宋体" w:eastAsia="宋体" w:cs="宋体"/>
                <w:color w:val="auto"/>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vAlign w:val="center"/>
          </w:tcPr>
          <w:p w14:paraId="367698B1">
            <w:pPr>
              <w:jc w:val="center"/>
              <w:rPr>
                <w:rFonts w:ascii="宋体" w:hAnsi="宋体" w:eastAsia="宋体" w:cs="宋体"/>
                <w:color w:val="auto"/>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43B80E84">
            <w:pPr>
              <w:jc w:val="center"/>
              <w:rPr>
                <w:rFonts w:ascii="宋体" w:hAnsi="宋体" w:eastAsia="宋体" w:cs="宋体"/>
                <w:color w:val="auto"/>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vAlign w:val="center"/>
          </w:tcPr>
          <w:p w14:paraId="54245756">
            <w:pPr>
              <w:jc w:val="center"/>
              <w:rPr>
                <w:rFonts w:ascii="宋体" w:hAnsi="宋体" w:eastAsia="宋体" w:cs="宋体"/>
                <w:color w:val="auto"/>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1E7D4143">
            <w:pPr>
              <w:jc w:val="center"/>
              <w:rPr>
                <w:rFonts w:ascii="宋体" w:hAnsi="宋体" w:eastAsia="宋体" w:cs="宋体"/>
                <w:color w:val="auto"/>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2C3E0013">
            <w:pPr>
              <w:jc w:val="center"/>
              <w:rPr>
                <w:rFonts w:ascii="宋体" w:hAnsi="宋体" w:eastAsia="宋体" w:cs="宋体"/>
                <w:color w:val="auto"/>
                <w:szCs w:val="21"/>
                <w:highlight w:val="none"/>
                <w:shd w:val="clear" w:color="auto" w:fill="FFFFFF"/>
                <w:lang w:val="zh-CN"/>
              </w:rPr>
            </w:pPr>
          </w:p>
        </w:tc>
        <w:tc>
          <w:tcPr>
            <w:tcW w:w="907" w:type="dxa"/>
            <w:tcBorders>
              <w:top w:val="single" w:color="auto" w:sz="4" w:space="0"/>
              <w:left w:val="single" w:color="auto" w:sz="4" w:space="0"/>
              <w:bottom w:val="single" w:color="auto" w:sz="4" w:space="0"/>
              <w:right w:val="single" w:color="auto" w:sz="4" w:space="0"/>
            </w:tcBorders>
            <w:vAlign w:val="center"/>
          </w:tcPr>
          <w:p w14:paraId="07EA01A0">
            <w:pPr>
              <w:jc w:val="center"/>
              <w:rPr>
                <w:rFonts w:ascii="宋体" w:hAnsi="宋体" w:eastAsia="宋体" w:cs="宋体"/>
                <w:color w:val="auto"/>
                <w:szCs w:val="21"/>
                <w:highlight w:val="none"/>
                <w:shd w:val="clear" w:color="auto" w:fill="FFFFFF"/>
                <w:lang w:val="zh-CN"/>
              </w:rPr>
            </w:pPr>
          </w:p>
        </w:tc>
      </w:tr>
      <w:tr w14:paraId="2FDD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46" w:type="dxa"/>
            <w:tcBorders>
              <w:top w:val="single" w:color="auto" w:sz="4" w:space="0"/>
              <w:left w:val="single" w:color="auto" w:sz="4" w:space="0"/>
              <w:bottom w:val="single" w:color="auto" w:sz="4" w:space="0"/>
              <w:right w:val="single" w:color="auto" w:sz="4" w:space="0"/>
            </w:tcBorders>
            <w:vAlign w:val="center"/>
          </w:tcPr>
          <w:p w14:paraId="0DF86BBE">
            <w:pPr>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7</w:t>
            </w:r>
          </w:p>
        </w:tc>
        <w:tc>
          <w:tcPr>
            <w:tcW w:w="2796" w:type="dxa"/>
            <w:tcBorders>
              <w:top w:val="single" w:color="auto" w:sz="4" w:space="0"/>
              <w:left w:val="single" w:color="auto" w:sz="4" w:space="0"/>
              <w:bottom w:val="single" w:color="auto" w:sz="4" w:space="0"/>
              <w:right w:val="single" w:color="auto" w:sz="4" w:space="0"/>
            </w:tcBorders>
            <w:vAlign w:val="center"/>
          </w:tcPr>
          <w:p w14:paraId="1CDB16C1">
            <w:pPr>
              <w:jc w:val="center"/>
              <w:rPr>
                <w:rFonts w:ascii="宋体" w:hAnsi="宋体" w:eastAsia="宋体" w:cs="宋体"/>
                <w:color w:val="auto"/>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vAlign w:val="center"/>
          </w:tcPr>
          <w:p w14:paraId="4B1BDEB9">
            <w:pPr>
              <w:jc w:val="center"/>
              <w:rPr>
                <w:rFonts w:ascii="宋体" w:hAnsi="宋体" w:eastAsia="宋体" w:cs="宋体"/>
                <w:color w:val="auto"/>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0EFB983F">
            <w:pPr>
              <w:jc w:val="center"/>
              <w:rPr>
                <w:rFonts w:ascii="宋体" w:hAnsi="宋体" w:eastAsia="宋体" w:cs="宋体"/>
                <w:color w:val="auto"/>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vAlign w:val="center"/>
          </w:tcPr>
          <w:p w14:paraId="5D20D04E">
            <w:pPr>
              <w:jc w:val="center"/>
              <w:rPr>
                <w:rFonts w:ascii="宋体" w:hAnsi="宋体" w:eastAsia="宋体" w:cs="宋体"/>
                <w:color w:val="auto"/>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511BEE88">
            <w:pPr>
              <w:jc w:val="center"/>
              <w:rPr>
                <w:rFonts w:ascii="宋体" w:hAnsi="宋体" w:eastAsia="宋体" w:cs="宋体"/>
                <w:color w:val="auto"/>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vAlign w:val="center"/>
          </w:tcPr>
          <w:p w14:paraId="3855377E">
            <w:pPr>
              <w:jc w:val="center"/>
              <w:rPr>
                <w:rFonts w:ascii="宋体" w:hAnsi="宋体" w:eastAsia="宋体" w:cs="宋体"/>
                <w:color w:val="auto"/>
                <w:szCs w:val="21"/>
                <w:highlight w:val="none"/>
                <w:shd w:val="clear" w:color="auto" w:fill="FFFFFF"/>
                <w:lang w:val="zh-CN"/>
              </w:rPr>
            </w:pPr>
          </w:p>
        </w:tc>
        <w:tc>
          <w:tcPr>
            <w:tcW w:w="907" w:type="dxa"/>
            <w:tcBorders>
              <w:top w:val="single" w:color="auto" w:sz="4" w:space="0"/>
              <w:left w:val="single" w:color="auto" w:sz="4" w:space="0"/>
              <w:bottom w:val="single" w:color="auto" w:sz="4" w:space="0"/>
              <w:right w:val="single" w:color="auto" w:sz="4" w:space="0"/>
            </w:tcBorders>
            <w:vAlign w:val="center"/>
          </w:tcPr>
          <w:p w14:paraId="36BE3E5C">
            <w:pPr>
              <w:jc w:val="center"/>
              <w:rPr>
                <w:rFonts w:ascii="宋体" w:hAnsi="宋体" w:eastAsia="宋体" w:cs="宋体"/>
                <w:color w:val="auto"/>
                <w:szCs w:val="21"/>
                <w:highlight w:val="none"/>
                <w:shd w:val="clear" w:color="auto" w:fill="FFFFFF"/>
                <w:lang w:val="zh-CN"/>
              </w:rPr>
            </w:pPr>
          </w:p>
        </w:tc>
      </w:tr>
    </w:tbl>
    <w:p w14:paraId="7FF4B919">
      <w:pPr>
        <w:ind w:right="420" w:firstLine="480"/>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1CF78A9D">
      <w:pPr>
        <w:ind w:right="420" w:firstLine="480"/>
        <w:rPr>
          <w:rFonts w:ascii="宋体" w:hAnsi="宋体" w:eastAsia="宋体" w:cs="宋体"/>
          <w:color w:val="auto"/>
          <w:szCs w:val="21"/>
          <w:highlight w:val="none"/>
        </w:rPr>
      </w:pPr>
      <w:r>
        <w:rPr>
          <w:rFonts w:hint="eastAsia" w:ascii="宋体" w:hAnsi="宋体" w:eastAsia="宋体" w:cs="宋体"/>
          <w:color w:val="auto"/>
          <w:szCs w:val="21"/>
          <w:highlight w:val="none"/>
        </w:rPr>
        <w:t>1、定标委员会成员个人方案因素评分满分为100分。</w:t>
      </w:r>
    </w:p>
    <w:p w14:paraId="43143546">
      <w:pPr>
        <w:ind w:right="420" w:firstLine="480"/>
        <w:rPr>
          <w:rFonts w:ascii="宋体" w:hAnsi="宋体" w:eastAsia="宋体" w:cs="宋体"/>
          <w:b/>
          <w:color w:val="auto"/>
          <w:szCs w:val="21"/>
          <w:highlight w:val="none"/>
          <w:u w:val="single"/>
        </w:rPr>
      </w:pPr>
      <w:r>
        <w:rPr>
          <w:rFonts w:hint="eastAsia" w:ascii="宋体" w:hAnsi="宋体" w:eastAsia="宋体" w:cs="宋体"/>
          <w:color w:val="auto"/>
          <w:szCs w:val="21"/>
          <w:highlight w:val="none"/>
        </w:rPr>
        <w:t>2、合格中标候选人方案</w:t>
      </w:r>
      <w:r>
        <w:rPr>
          <w:rFonts w:hint="eastAsia" w:ascii="宋体" w:hAnsi="宋体" w:eastAsia="宋体" w:cs="宋体"/>
          <w:color w:val="auto"/>
          <w:szCs w:val="21"/>
          <w:highlight w:val="none"/>
          <w:lang w:eastAsia="zh-CN"/>
        </w:rPr>
        <w:t>因素</w:t>
      </w:r>
      <w:r>
        <w:rPr>
          <w:rFonts w:hint="eastAsia" w:ascii="宋体" w:hAnsi="宋体" w:eastAsia="宋体" w:cs="宋体"/>
          <w:color w:val="auto"/>
          <w:szCs w:val="21"/>
          <w:highlight w:val="none"/>
        </w:rPr>
        <w:t>得分为所有定标委员会成员对同一</w:t>
      </w:r>
      <w:r>
        <w:rPr>
          <w:rFonts w:hint="eastAsia" w:ascii="宋体" w:hAnsi="宋体" w:eastAsia="宋体" w:cs="宋体"/>
          <w:color w:val="auto"/>
          <w:szCs w:val="21"/>
          <w:highlight w:val="none"/>
          <w:lang w:eastAsia="zh-CN"/>
        </w:rPr>
        <w:t>合格中标候选人方案因素的各项评分相加</w:t>
      </w:r>
      <w:r>
        <w:rPr>
          <w:rFonts w:hint="eastAsia" w:ascii="宋体" w:hAnsi="宋体" w:eastAsia="宋体" w:cs="宋体"/>
          <w:color w:val="auto"/>
          <w:szCs w:val="21"/>
          <w:highlight w:val="none"/>
        </w:rPr>
        <w:t>去掉一个最高分和一个最低分后计取的算术平均分（分数出现小数点时，保留小数点后二位，第三位小数四舍五入）。</w:t>
      </w:r>
    </w:p>
    <w:p w14:paraId="4C987509">
      <w:pPr>
        <w:tabs>
          <w:tab w:val="left" w:pos="9069"/>
        </w:tabs>
        <w:ind w:right="-3" w:firstLine="480"/>
        <w:rPr>
          <w:rFonts w:ascii="宋体" w:hAnsi="宋体" w:eastAsia="宋体" w:cs="宋体"/>
          <w:color w:val="auto"/>
          <w:szCs w:val="21"/>
          <w:highlight w:val="none"/>
        </w:rPr>
      </w:pPr>
    </w:p>
    <w:p w14:paraId="213F0E3E">
      <w:pPr>
        <w:spacing w:line="276" w:lineRule="auto"/>
        <w:ind w:right="420" w:firstLine="426"/>
        <w:rPr>
          <w:rFonts w:ascii="宋体" w:hAnsi="宋体" w:eastAsia="宋体" w:cs="宋体"/>
          <w:color w:val="auto"/>
          <w:szCs w:val="21"/>
          <w:highlight w:val="none"/>
        </w:rPr>
      </w:pPr>
    </w:p>
    <w:p w14:paraId="69178A84">
      <w:pPr>
        <w:spacing w:line="276" w:lineRule="auto"/>
        <w:ind w:right="420" w:firstLine="426"/>
        <w:rPr>
          <w:rFonts w:ascii="宋体" w:hAnsi="宋体" w:eastAsia="宋体" w:cs="宋体"/>
          <w:color w:val="auto"/>
          <w:szCs w:val="21"/>
          <w:highlight w:val="none"/>
        </w:rPr>
      </w:pPr>
      <w:r>
        <w:rPr>
          <w:rFonts w:hint="eastAsia" w:ascii="宋体" w:hAnsi="宋体" w:eastAsia="宋体" w:cs="宋体"/>
          <w:color w:val="auto"/>
          <w:szCs w:val="21"/>
          <w:highlight w:val="none"/>
        </w:rPr>
        <w:t>定标委员会全体成员签名：</w:t>
      </w:r>
    </w:p>
    <w:p w14:paraId="700CE715">
      <w:pPr>
        <w:spacing w:line="276" w:lineRule="auto"/>
        <w:ind w:right="420" w:firstLine="426"/>
        <w:rPr>
          <w:rFonts w:ascii="宋体" w:hAnsi="宋体" w:eastAsia="宋体" w:cs="宋体"/>
          <w:color w:val="auto"/>
          <w:szCs w:val="21"/>
          <w:highlight w:val="none"/>
        </w:rPr>
      </w:pPr>
      <w:r>
        <w:rPr>
          <w:rFonts w:hint="eastAsia" w:ascii="宋体" w:hAnsi="宋体" w:eastAsia="宋体" w:cs="宋体"/>
          <w:color w:val="auto"/>
          <w:szCs w:val="21"/>
          <w:highlight w:val="none"/>
        </w:rPr>
        <w:t>日期：</w:t>
      </w:r>
    </w:p>
    <w:bookmarkEnd w:id="42"/>
    <w:p w14:paraId="3B67A46B">
      <w:pPr>
        <w:pStyle w:val="223"/>
        <w:rPr>
          <w:rFonts w:ascii="宋体" w:hAnsi="宋体" w:eastAsia="宋体" w:cs="仿宋"/>
          <w:color w:val="auto"/>
          <w:sz w:val="21"/>
          <w:szCs w:val="21"/>
          <w:highlight w:val="none"/>
        </w:rPr>
      </w:pPr>
    </w:p>
    <w:p w14:paraId="27CD2BF8">
      <w:pPr>
        <w:widowControl/>
        <w:spacing w:line="360" w:lineRule="auto"/>
        <w:jc w:val="left"/>
        <w:outlineLvl w:val="2"/>
        <w:rPr>
          <w:rFonts w:ascii="宋体" w:hAnsi="宋体" w:eastAsia="宋体" w:cs="仿宋"/>
          <w:color w:val="auto"/>
          <w:szCs w:val="21"/>
          <w:highlight w:val="none"/>
        </w:rPr>
      </w:pPr>
      <w:r>
        <w:rPr>
          <w:rFonts w:hint="eastAsia" w:ascii="宋体" w:hAnsi="宋体" w:eastAsia="宋体" w:cs="宋体"/>
          <w:color w:val="auto"/>
          <w:szCs w:val="24"/>
          <w:highlight w:val="none"/>
        </w:rPr>
        <w:br w:type="page"/>
      </w:r>
      <w:bookmarkStart w:id="44" w:name="_Toc202907298"/>
      <w:r>
        <w:rPr>
          <w:rFonts w:hint="eastAsia" w:ascii="宋体" w:hAnsi="宋体" w:eastAsia="宋体" w:cs="宋体"/>
          <w:color w:val="auto"/>
          <w:kern w:val="0"/>
          <w:sz w:val="24"/>
          <w:szCs w:val="24"/>
          <w:highlight w:val="none"/>
        </w:rPr>
        <w:t>附表十一：</w:t>
      </w:r>
      <w:bookmarkEnd w:id="44"/>
    </w:p>
    <w:p w14:paraId="4BB0B8AE">
      <w:pPr>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价格因素评审得分表（定标委员会汇总用表）</w:t>
      </w:r>
    </w:p>
    <w:p w14:paraId="5F3A41D5">
      <w:pPr>
        <w:rPr>
          <w:rFonts w:ascii="宋体" w:hAnsi="宋体" w:eastAsia="宋体" w:cs="宋体"/>
          <w:color w:val="auto"/>
          <w:szCs w:val="24"/>
          <w:highlight w:val="none"/>
        </w:rPr>
      </w:pPr>
      <w:r>
        <w:rPr>
          <w:rFonts w:hint="eastAsia" w:ascii="宋体" w:hAnsi="宋体" w:eastAsia="宋体" w:cs="宋体"/>
          <w:color w:val="auto"/>
          <w:szCs w:val="24"/>
          <w:highlight w:val="none"/>
        </w:rPr>
        <w:t>招标项目名称：</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2196"/>
        <w:gridCol w:w="1566"/>
        <w:gridCol w:w="1566"/>
        <w:gridCol w:w="1423"/>
        <w:gridCol w:w="825"/>
        <w:gridCol w:w="1092"/>
      </w:tblGrid>
      <w:tr w14:paraId="1AEB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32" w:type="pct"/>
            <w:tcBorders>
              <w:top w:val="single" w:color="auto" w:sz="4" w:space="0"/>
              <w:left w:val="single" w:color="auto" w:sz="4" w:space="0"/>
              <w:bottom w:val="single" w:color="auto" w:sz="4" w:space="0"/>
              <w:right w:val="single" w:color="auto" w:sz="4" w:space="0"/>
            </w:tcBorders>
            <w:vAlign w:val="center"/>
          </w:tcPr>
          <w:p w14:paraId="58EB5B18">
            <w:pPr>
              <w:widowControl/>
              <w:ind w:left="-42" w:leftChars="-20" w:right="-42" w:rightChars="-2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序号</w:t>
            </w:r>
          </w:p>
        </w:tc>
        <w:tc>
          <w:tcPr>
            <w:tcW w:w="1182" w:type="pct"/>
            <w:tcBorders>
              <w:top w:val="single" w:color="auto" w:sz="4" w:space="0"/>
              <w:left w:val="single" w:color="auto" w:sz="4" w:space="0"/>
              <w:bottom w:val="single" w:color="auto" w:sz="4" w:space="0"/>
              <w:right w:val="single" w:color="auto" w:sz="4" w:space="0"/>
            </w:tcBorders>
            <w:vAlign w:val="center"/>
          </w:tcPr>
          <w:p w14:paraId="78DDD7D1">
            <w:pPr>
              <w:widowControl/>
              <w:ind w:left="-42" w:leftChars="-20" w:right="-42" w:rightChars="-2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合格中标候选人名称</w:t>
            </w:r>
          </w:p>
        </w:tc>
        <w:tc>
          <w:tcPr>
            <w:tcW w:w="843" w:type="pct"/>
            <w:tcBorders>
              <w:top w:val="single" w:color="auto" w:sz="4" w:space="0"/>
              <w:left w:val="single" w:color="auto" w:sz="4" w:space="0"/>
              <w:bottom w:val="single" w:color="auto" w:sz="4" w:space="0"/>
              <w:right w:val="single" w:color="auto" w:sz="4" w:space="0"/>
            </w:tcBorders>
            <w:vAlign w:val="center"/>
          </w:tcPr>
          <w:p w14:paraId="20E52C16">
            <w:pPr>
              <w:widowControl/>
              <w:ind w:left="-42" w:leftChars="-20" w:right="-42" w:rightChars="-2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投标报价PT（元）</w:t>
            </w:r>
          </w:p>
        </w:tc>
        <w:tc>
          <w:tcPr>
            <w:tcW w:w="843" w:type="pct"/>
            <w:tcBorders>
              <w:top w:val="single" w:color="auto" w:sz="4" w:space="0"/>
              <w:left w:val="single" w:color="auto" w:sz="4" w:space="0"/>
              <w:bottom w:val="single" w:color="auto" w:sz="4" w:space="0"/>
              <w:right w:val="single" w:color="auto" w:sz="4" w:space="0"/>
            </w:tcBorders>
            <w:vAlign w:val="center"/>
          </w:tcPr>
          <w:p w14:paraId="60132A1D">
            <w:pPr>
              <w:widowControl/>
              <w:ind w:left="-42" w:leftChars="-20" w:right="-42" w:rightChars="-2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szCs w:val="21"/>
                <w:highlight w:val="none"/>
                <w:shd w:val="clear" w:color="auto" w:fill="FFFFFF"/>
              </w:rPr>
              <w:t>定标基准价</w:t>
            </w:r>
            <w:r>
              <w:rPr>
                <w:rFonts w:ascii="宋体" w:hAnsi="宋体" w:eastAsia="宋体" w:cs="宋体"/>
                <w:b/>
                <w:bCs/>
                <w:color w:val="auto"/>
                <w:szCs w:val="21"/>
                <w:highlight w:val="none"/>
                <w:shd w:val="clear" w:color="auto" w:fill="FFFFFF"/>
              </w:rPr>
              <w:t>PC</w:t>
            </w:r>
            <w:r>
              <w:rPr>
                <w:rFonts w:hint="eastAsia" w:ascii="宋体" w:hAnsi="宋体" w:eastAsia="宋体" w:cs="宋体"/>
                <w:b/>
                <w:bCs/>
                <w:color w:val="auto"/>
                <w:kern w:val="0"/>
                <w:szCs w:val="21"/>
                <w:highlight w:val="none"/>
                <w:lang w:bidi="ar"/>
              </w:rPr>
              <w:t>（元）</w:t>
            </w:r>
          </w:p>
        </w:tc>
        <w:tc>
          <w:tcPr>
            <w:tcW w:w="766" w:type="pct"/>
            <w:tcBorders>
              <w:top w:val="single" w:color="auto" w:sz="4" w:space="0"/>
              <w:left w:val="single" w:color="auto" w:sz="4" w:space="0"/>
              <w:bottom w:val="single" w:color="auto" w:sz="4" w:space="0"/>
              <w:right w:val="single" w:color="auto" w:sz="4" w:space="0"/>
            </w:tcBorders>
            <w:vAlign w:val="center"/>
          </w:tcPr>
          <w:p w14:paraId="693770C0">
            <w:pPr>
              <w:widowControl/>
              <w:ind w:left="-42" w:leftChars="-20" w:right="-42" w:rightChars="-2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偏差(（PT-PC）/PC）（%）</w:t>
            </w:r>
          </w:p>
        </w:tc>
        <w:tc>
          <w:tcPr>
            <w:tcW w:w="444" w:type="pct"/>
            <w:tcBorders>
              <w:top w:val="single" w:color="auto" w:sz="4" w:space="0"/>
              <w:left w:val="single" w:color="auto" w:sz="4" w:space="0"/>
              <w:bottom w:val="single" w:color="auto" w:sz="4" w:space="0"/>
              <w:right w:val="single" w:color="auto" w:sz="4" w:space="0"/>
            </w:tcBorders>
            <w:vAlign w:val="center"/>
          </w:tcPr>
          <w:p w14:paraId="372FE95A">
            <w:pPr>
              <w:widowControl/>
              <w:ind w:left="-42" w:leftChars="-20" w:right="-42" w:rightChars="-2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减分（A）</w:t>
            </w:r>
          </w:p>
        </w:tc>
        <w:tc>
          <w:tcPr>
            <w:tcW w:w="587" w:type="pct"/>
            <w:tcBorders>
              <w:top w:val="single" w:color="auto" w:sz="4" w:space="0"/>
              <w:left w:val="single" w:color="auto" w:sz="4" w:space="0"/>
              <w:bottom w:val="single" w:color="auto" w:sz="4" w:space="0"/>
              <w:right w:val="single" w:color="auto" w:sz="4" w:space="0"/>
            </w:tcBorders>
            <w:vAlign w:val="center"/>
          </w:tcPr>
          <w:p w14:paraId="0BAF05E3">
            <w:pPr>
              <w:widowControl/>
              <w:ind w:left="-42" w:leftChars="-20" w:right="-42" w:rightChars="-20"/>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价格因素得分</w:t>
            </w:r>
            <w:r>
              <w:rPr>
                <w:rFonts w:ascii="宋体" w:hAnsi="宋体" w:eastAsia="宋体" w:cs="宋体"/>
                <w:b/>
                <w:bCs/>
                <w:color w:val="auto"/>
                <w:kern w:val="0"/>
                <w:szCs w:val="21"/>
                <w:highlight w:val="none"/>
                <w:lang w:bidi="ar"/>
              </w:rPr>
              <w:t>(I=100-A)</w:t>
            </w:r>
          </w:p>
        </w:tc>
      </w:tr>
      <w:tr w14:paraId="303E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32" w:type="pct"/>
            <w:tcBorders>
              <w:top w:val="single" w:color="auto" w:sz="4" w:space="0"/>
              <w:left w:val="single" w:color="auto" w:sz="4" w:space="0"/>
              <w:bottom w:val="single" w:color="auto" w:sz="4" w:space="0"/>
              <w:right w:val="single" w:color="auto" w:sz="4" w:space="0"/>
            </w:tcBorders>
            <w:vAlign w:val="center"/>
          </w:tcPr>
          <w:p w14:paraId="0A79E50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82" w:type="pct"/>
            <w:tcBorders>
              <w:top w:val="single" w:color="auto" w:sz="4" w:space="0"/>
              <w:left w:val="single" w:color="auto" w:sz="4" w:space="0"/>
              <w:bottom w:val="single" w:color="auto" w:sz="4" w:space="0"/>
              <w:right w:val="single" w:color="auto" w:sz="4" w:space="0"/>
            </w:tcBorders>
            <w:vAlign w:val="center"/>
          </w:tcPr>
          <w:p w14:paraId="09400B21">
            <w:pPr>
              <w:jc w:val="center"/>
              <w:rPr>
                <w:rFonts w:ascii="宋体" w:hAnsi="宋体" w:eastAsia="宋体" w:cs="宋体"/>
                <w:color w:val="auto"/>
                <w:szCs w:val="21"/>
                <w:highlight w:val="none"/>
              </w:rPr>
            </w:pPr>
          </w:p>
        </w:tc>
        <w:tc>
          <w:tcPr>
            <w:tcW w:w="843" w:type="pct"/>
            <w:tcBorders>
              <w:top w:val="single" w:color="auto" w:sz="4" w:space="0"/>
              <w:left w:val="single" w:color="auto" w:sz="4" w:space="0"/>
              <w:bottom w:val="single" w:color="auto" w:sz="4" w:space="0"/>
              <w:right w:val="single" w:color="auto" w:sz="4" w:space="0"/>
            </w:tcBorders>
            <w:vAlign w:val="center"/>
          </w:tcPr>
          <w:p w14:paraId="1CA5A263">
            <w:pPr>
              <w:jc w:val="center"/>
              <w:rPr>
                <w:rFonts w:ascii="宋体" w:hAnsi="宋体" w:eastAsia="宋体" w:cs="宋体"/>
                <w:color w:val="auto"/>
                <w:szCs w:val="21"/>
                <w:highlight w:val="none"/>
              </w:rPr>
            </w:pPr>
          </w:p>
        </w:tc>
        <w:tc>
          <w:tcPr>
            <w:tcW w:w="843" w:type="pct"/>
            <w:vMerge w:val="restart"/>
            <w:tcBorders>
              <w:top w:val="single" w:color="auto" w:sz="4" w:space="0"/>
              <w:left w:val="single" w:color="auto" w:sz="4" w:space="0"/>
              <w:right w:val="single" w:color="auto" w:sz="4" w:space="0"/>
            </w:tcBorders>
            <w:vAlign w:val="center"/>
          </w:tcPr>
          <w:p w14:paraId="11990A51">
            <w:pPr>
              <w:jc w:val="center"/>
              <w:rPr>
                <w:rFonts w:ascii="宋体" w:hAnsi="宋体" w:eastAsia="宋体" w:cs="宋体"/>
                <w:color w:val="auto"/>
                <w:szCs w:val="21"/>
                <w:highlight w:val="none"/>
              </w:rPr>
            </w:pPr>
          </w:p>
        </w:tc>
        <w:tc>
          <w:tcPr>
            <w:tcW w:w="766" w:type="pct"/>
            <w:tcBorders>
              <w:top w:val="single" w:color="auto" w:sz="4" w:space="0"/>
              <w:left w:val="single" w:color="auto" w:sz="4" w:space="0"/>
              <w:right w:val="single" w:color="auto" w:sz="4" w:space="0"/>
            </w:tcBorders>
            <w:vAlign w:val="center"/>
          </w:tcPr>
          <w:p w14:paraId="3F12AAD5">
            <w:pPr>
              <w:jc w:val="center"/>
              <w:rPr>
                <w:rFonts w:ascii="宋体" w:hAnsi="宋体" w:eastAsia="宋体" w:cs="宋体"/>
                <w:color w:val="auto"/>
                <w:szCs w:val="21"/>
                <w:highlight w:val="none"/>
              </w:rPr>
            </w:pPr>
          </w:p>
        </w:tc>
        <w:tc>
          <w:tcPr>
            <w:tcW w:w="444" w:type="pct"/>
            <w:tcBorders>
              <w:top w:val="single" w:color="auto" w:sz="4" w:space="0"/>
              <w:left w:val="single" w:color="auto" w:sz="4" w:space="0"/>
              <w:right w:val="single" w:color="auto" w:sz="4" w:space="0"/>
            </w:tcBorders>
            <w:vAlign w:val="center"/>
          </w:tcPr>
          <w:p w14:paraId="1761CBAD">
            <w:pPr>
              <w:jc w:val="center"/>
              <w:rPr>
                <w:rFonts w:ascii="宋体" w:hAnsi="宋体" w:eastAsia="宋体" w:cs="宋体"/>
                <w:color w:val="auto"/>
                <w:szCs w:val="21"/>
                <w:highlight w:val="none"/>
              </w:rPr>
            </w:pPr>
          </w:p>
        </w:tc>
        <w:tc>
          <w:tcPr>
            <w:tcW w:w="587" w:type="pct"/>
            <w:tcBorders>
              <w:top w:val="single" w:color="auto" w:sz="4" w:space="0"/>
              <w:left w:val="single" w:color="auto" w:sz="4" w:space="0"/>
              <w:bottom w:val="single" w:color="auto" w:sz="4" w:space="0"/>
              <w:right w:val="single" w:color="auto" w:sz="4" w:space="0"/>
            </w:tcBorders>
            <w:vAlign w:val="center"/>
          </w:tcPr>
          <w:p w14:paraId="524B304D">
            <w:pPr>
              <w:jc w:val="center"/>
              <w:rPr>
                <w:rFonts w:ascii="宋体" w:hAnsi="宋体" w:eastAsia="宋体" w:cs="宋体"/>
                <w:color w:val="auto"/>
                <w:szCs w:val="21"/>
                <w:highlight w:val="none"/>
              </w:rPr>
            </w:pPr>
          </w:p>
        </w:tc>
      </w:tr>
      <w:tr w14:paraId="53B4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32" w:type="pct"/>
            <w:tcBorders>
              <w:top w:val="single" w:color="auto" w:sz="4" w:space="0"/>
              <w:left w:val="single" w:color="auto" w:sz="4" w:space="0"/>
              <w:bottom w:val="single" w:color="auto" w:sz="4" w:space="0"/>
              <w:right w:val="single" w:color="auto" w:sz="4" w:space="0"/>
            </w:tcBorders>
            <w:vAlign w:val="center"/>
          </w:tcPr>
          <w:p w14:paraId="1ACDF3C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82" w:type="pct"/>
            <w:tcBorders>
              <w:top w:val="single" w:color="auto" w:sz="4" w:space="0"/>
              <w:left w:val="single" w:color="auto" w:sz="4" w:space="0"/>
              <w:bottom w:val="single" w:color="auto" w:sz="4" w:space="0"/>
              <w:right w:val="single" w:color="auto" w:sz="4" w:space="0"/>
            </w:tcBorders>
            <w:vAlign w:val="center"/>
          </w:tcPr>
          <w:p w14:paraId="4FF987A3">
            <w:pPr>
              <w:jc w:val="center"/>
              <w:rPr>
                <w:rFonts w:ascii="宋体" w:hAnsi="宋体" w:eastAsia="宋体" w:cs="宋体"/>
                <w:color w:val="auto"/>
                <w:szCs w:val="21"/>
                <w:highlight w:val="none"/>
              </w:rPr>
            </w:pPr>
          </w:p>
        </w:tc>
        <w:tc>
          <w:tcPr>
            <w:tcW w:w="843" w:type="pct"/>
            <w:tcBorders>
              <w:top w:val="single" w:color="auto" w:sz="4" w:space="0"/>
              <w:left w:val="single" w:color="auto" w:sz="4" w:space="0"/>
              <w:bottom w:val="single" w:color="auto" w:sz="4" w:space="0"/>
              <w:right w:val="single" w:color="auto" w:sz="4" w:space="0"/>
            </w:tcBorders>
            <w:vAlign w:val="center"/>
          </w:tcPr>
          <w:p w14:paraId="09B7A278">
            <w:pPr>
              <w:jc w:val="center"/>
              <w:rPr>
                <w:rFonts w:ascii="宋体" w:hAnsi="宋体" w:eastAsia="宋体" w:cs="宋体"/>
                <w:color w:val="auto"/>
                <w:szCs w:val="21"/>
                <w:highlight w:val="none"/>
              </w:rPr>
            </w:pPr>
          </w:p>
        </w:tc>
        <w:tc>
          <w:tcPr>
            <w:tcW w:w="843" w:type="pct"/>
            <w:vMerge w:val="continue"/>
            <w:tcBorders>
              <w:left w:val="single" w:color="auto" w:sz="4" w:space="0"/>
              <w:right w:val="single" w:color="auto" w:sz="4" w:space="0"/>
            </w:tcBorders>
            <w:vAlign w:val="center"/>
          </w:tcPr>
          <w:p w14:paraId="7BEBF002">
            <w:pPr>
              <w:jc w:val="center"/>
              <w:rPr>
                <w:rFonts w:ascii="宋体" w:hAnsi="宋体" w:eastAsia="宋体" w:cs="宋体"/>
                <w:color w:val="auto"/>
                <w:szCs w:val="21"/>
                <w:highlight w:val="none"/>
              </w:rPr>
            </w:pPr>
          </w:p>
        </w:tc>
        <w:tc>
          <w:tcPr>
            <w:tcW w:w="766" w:type="pct"/>
            <w:tcBorders>
              <w:left w:val="single" w:color="auto" w:sz="4" w:space="0"/>
              <w:right w:val="single" w:color="auto" w:sz="4" w:space="0"/>
            </w:tcBorders>
            <w:vAlign w:val="center"/>
          </w:tcPr>
          <w:p w14:paraId="62CD5CBE">
            <w:pPr>
              <w:jc w:val="center"/>
              <w:rPr>
                <w:rFonts w:ascii="宋体" w:hAnsi="宋体" w:eastAsia="宋体" w:cs="宋体"/>
                <w:color w:val="auto"/>
                <w:szCs w:val="21"/>
                <w:highlight w:val="none"/>
              </w:rPr>
            </w:pPr>
          </w:p>
        </w:tc>
        <w:tc>
          <w:tcPr>
            <w:tcW w:w="444" w:type="pct"/>
            <w:tcBorders>
              <w:left w:val="single" w:color="auto" w:sz="4" w:space="0"/>
              <w:right w:val="single" w:color="auto" w:sz="4" w:space="0"/>
            </w:tcBorders>
            <w:vAlign w:val="center"/>
          </w:tcPr>
          <w:p w14:paraId="272D3F7E">
            <w:pPr>
              <w:jc w:val="center"/>
              <w:rPr>
                <w:rFonts w:ascii="宋体" w:hAnsi="宋体" w:eastAsia="宋体" w:cs="宋体"/>
                <w:color w:val="auto"/>
                <w:szCs w:val="21"/>
                <w:highlight w:val="none"/>
              </w:rPr>
            </w:pPr>
          </w:p>
        </w:tc>
        <w:tc>
          <w:tcPr>
            <w:tcW w:w="587" w:type="pct"/>
            <w:tcBorders>
              <w:top w:val="single" w:color="auto" w:sz="4" w:space="0"/>
              <w:left w:val="single" w:color="auto" w:sz="4" w:space="0"/>
              <w:bottom w:val="single" w:color="auto" w:sz="4" w:space="0"/>
              <w:right w:val="single" w:color="auto" w:sz="4" w:space="0"/>
            </w:tcBorders>
            <w:vAlign w:val="center"/>
          </w:tcPr>
          <w:p w14:paraId="36D6BAD4">
            <w:pPr>
              <w:jc w:val="center"/>
              <w:rPr>
                <w:rFonts w:ascii="宋体" w:hAnsi="宋体" w:eastAsia="宋体" w:cs="宋体"/>
                <w:color w:val="auto"/>
                <w:szCs w:val="21"/>
                <w:highlight w:val="none"/>
              </w:rPr>
            </w:pPr>
          </w:p>
        </w:tc>
      </w:tr>
      <w:tr w14:paraId="086E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32" w:type="pct"/>
            <w:tcBorders>
              <w:top w:val="single" w:color="auto" w:sz="4" w:space="0"/>
              <w:left w:val="single" w:color="auto" w:sz="4" w:space="0"/>
              <w:bottom w:val="single" w:color="auto" w:sz="4" w:space="0"/>
              <w:right w:val="single" w:color="auto" w:sz="4" w:space="0"/>
            </w:tcBorders>
            <w:vAlign w:val="center"/>
          </w:tcPr>
          <w:p w14:paraId="7ADBCF5D">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82" w:type="pct"/>
            <w:tcBorders>
              <w:top w:val="single" w:color="auto" w:sz="4" w:space="0"/>
              <w:left w:val="single" w:color="auto" w:sz="4" w:space="0"/>
              <w:bottom w:val="single" w:color="auto" w:sz="4" w:space="0"/>
              <w:right w:val="single" w:color="auto" w:sz="4" w:space="0"/>
            </w:tcBorders>
            <w:vAlign w:val="center"/>
          </w:tcPr>
          <w:p w14:paraId="1A87BD3E">
            <w:pPr>
              <w:jc w:val="center"/>
              <w:rPr>
                <w:rFonts w:ascii="宋体" w:hAnsi="宋体" w:eastAsia="宋体" w:cs="宋体"/>
                <w:color w:val="auto"/>
                <w:szCs w:val="21"/>
                <w:highlight w:val="none"/>
              </w:rPr>
            </w:pPr>
          </w:p>
        </w:tc>
        <w:tc>
          <w:tcPr>
            <w:tcW w:w="843" w:type="pct"/>
            <w:tcBorders>
              <w:top w:val="single" w:color="auto" w:sz="4" w:space="0"/>
              <w:left w:val="single" w:color="auto" w:sz="4" w:space="0"/>
              <w:bottom w:val="single" w:color="auto" w:sz="4" w:space="0"/>
              <w:right w:val="single" w:color="auto" w:sz="4" w:space="0"/>
            </w:tcBorders>
            <w:vAlign w:val="center"/>
          </w:tcPr>
          <w:p w14:paraId="654151A9">
            <w:pPr>
              <w:jc w:val="center"/>
              <w:rPr>
                <w:rFonts w:ascii="宋体" w:hAnsi="宋体" w:eastAsia="宋体" w:cs="宋体"/>
                <w:color w:val="auto"/>
                <w:szCs w:val="21"/>
                <w:highlight w:val="none"/>
              </w:rPr>
            </w:pPr>
          </w:p>
        </w:tc>
        <w:tc>
          <w:tcPr>
            <w:tcW w:w="843" w:type="pct"/>
            <w:vMerge w:val="continue"/>
            <w:tcBorders>
              <w:left w:val="single" w:color="auto" w:sz="4" w:space="0"/>
              <w:right w:val="single" w:color="auto" w:sz="4" w:space="0"/>
            </w:tcBorders>
            <w:vAlign w:val="center"/>
          </w:tcPr>
          <w:p w14:paraId="27BA0ACB">
            <w:pPr>
              <w:jc w:val="center"/>
              <w:rPr>
                <w:rFonts w:ascii="宋体" w:hAnsi="宋体" w:eastAsia="宋体" w:cs="宋体"/>
                <w:color w:val="auto"/>
                <w:szCs w:val="21"/>
                <w:highlight w:val="none"/>
              </w:rPr>
            </w:pPr>
          </w:p>
        </w:tc>
        <w:tc>
          <w:tcPr>
            <w:tcW w:w="766" w:type="pct"/>
            <w:tcBorders>
              <w:left w:val="single" w:color="auto" w:sz="4" w:space="0"/>
              <w:right w:val="single" w:color="auto" w:sz="4" w:space="0"/>
            </w:tcBorders>
            <w:vAlign w:val="center"/>
          </w:tcPr>
          <w:p w14:paraId="213A8BC6">
            <w:pPr>
              <w:jc w:val="center"/>
              <w:rPr>
                <w:rFonts w:ascii="宋体" w:hAnsi="宋体" w:eastAsia="宋体" w:cs="宋体"/>
                <w:color w:val="auto"/>
                <w:szCs w:val="21"/>
                <w:highlight w:val="none"/>
              </w:rPr>
            </w:pPr>
          </w:p>
        </w:tc>
        <w:tc>
          <w:tcPr>
            <w:tcW w:w="444" w:type="pct"/>
            <w:tcBorders>
              <w:left w:val="single" w:color="auto" w:sz="4" w:space="0"/>
              <w:right w:val="single" w:color="auto" w:sz="4" w:space="0"/>
            </w:tcBorders>
            <w:vAlign w:val="center"/>
          </w:tcPr>
          <w:p w14:paraId="0C11F4B7">
            <w:pPr>
              <w:jc w:val="center"/>
              <w:rPr>
                <w:rFonts w:ascii="宋体" w:hAnsi="宋体" w:eastAsia="宋体" w:cs="宋体"/>
                <w:color w:val="auto"/>
                <w:szCs w:val="21"/>
                <w:highlight w:val="none"/>
              </w:rPr>
            </w:pPr>
          </w:p>
        </w:tc>
        <w:tc>
          <w:tcPr>
            <w:tcW w:w="587" w:type="pct"/>
            <w:tcBorders>
              <w:top w:val="single" w:color="auto" w:sz="4" w:space="0"/>
              <w:left w:val="single" w:color="auto" w:sz="4" w:space="0"/>
              <w:bottom w:val="single" w:color="auto" w:sz="4" w:space="0"/>
              <w:right w:val="single" w:color="auto" w:sz="4" w:space="0"/>
            </w:tcBorders>
            <w:vAlign w:val="center"/>
          </w:tcPr>
          <w:p w14:paraId="5EA2B4F6">
            <w:pPr>
              <w:jc w:val="center"/>
              <w:rPr>
                <w:rFonts w:ascii="宋体" w:hAnsi="宋体" w:eastAsia="宋体" w:cs="宋体"/>
                <w:color w:val="auto"/>
                <w:szCs w:val="21"/>
                <w:highlight w:val="none"/>
              </w:rPr>
            </w:pPr>
          </w:p>
        </w:tc>
      </w:tr>
      <w:tr w14:paraId="5A7D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32" w:type="pct"/>
            <w:tcBorders>
              <w:top w:val="single" w:color="auto" w:sz="4" w:space="0"/>
              <w:left w:val="single" w:color="auto" w:sz="4" w:space="0"/>
              <w:bottom w:val="single" w:color="auto" w:sz="4" w:space="0"/>
              <w:right w:val="single" w:color="auto" w:sz="4" w:space="0"/>
            </w:tcBorders>
            <w:vAlign w:val="center"/>
          </w:tcPr>
          <w:p w14:paraId="0E53910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182" w:type="pct"/>
            <w:tcBorders>
              <w:top w:val="single" w:color="auto" w:sz="4" w:space="0"/>
              <w:left w:val="single" w:color="auto" w:sz="4" w:space="0"/>
              <w:bottom w:val="single" w:color="auto" w:sz="4" w:space="0"/>
              <w:right w:val="single" w:color="auto" w:sz="4" w:space="0"/>
            </w:tcBorders>
            <w:vAlign w:val="center"/>
          </w:tcPr>
          <w:p w14:paraId="5E96AE7C">
            <w:pPr>
              <w:jc w:val="center"/>
              <w:rPr>
                <w:rFonts w:ascii="宋体" w:hAnsi="宋体" w:eastAsia="宋体" w:cs="宋体"/>
                <w:color w:val="auto"/>
                <w:szCs w:val="21"/>
                <w:highlight w:val="none"/>
              </w:rPr>
            </w:pPr>
          </w:p>
        </w:tc>
        <w:tc>
          <w:tcPr>
            <w:tcW w:w="843" w:type="pct"/>
            <w:tcBorders>
              <w:top w:val="single" w:color="auto" w:sz="4" w:space="0"/>
              <w:left w:val="single" w:color="auto" w:sz="4" w:space="0"/>
              <w:bottom w:val="single" w:color="auto" w:sz="4" w:space="0"/>
              <w:right w:val="single" w:color="auto" w:sz="4" w:space="0"/>
            </w:tcBorders>
            <w:vAlign w:val="center"/>
          </w:tcPr>
          <w:p w14:paraId="7F8E5B17">
            <w:pPr>
              <w:jc w:val="center"/>
              <w:rPr>
                <w:rFonts w:ascii="宋体" w:hAnsi="宋体" w:eastAsia="宋体" w:cs="宋体"/>
                <w:color w:val="auto"/>
                <w:szCs w:val="21"/>
                <w:highlight w:val="none"/>
              </w:rPr>
            </w:pPr>
          </w:p>
        </w:tc>
        <w:tc>
          <w:tcPr>
            <w:tcW w:w="843" w:type="pct"/>
            <w:vMerge w:val="continue"/>
            <w:tcBorders>
              <w:left w:val="single" w:color="auto" w:sz="4" w:space="0"/>
              <w:right w:val="single" w:color="auto" w:sz="4" w:space="0"/>
            </w:tcBorders>
            <w:vAlign w:val="center"/>
          </w:tcPr>
          <w:p w14:paraId="449BCE32">
            <w:pPr>
              <w:jc w:val="center"/>
              <w:rPr>
                <w:rFonts w:ascii="宋体" w:hAnsi="宋体" w:eastAsia="宋体" w:cs="宋体"/>
                <w:color w:val="auto"/>
                <w:szCs w:val="21"/>
                <w:highlight w:val="none"/>
              </w:rPr>
            </w:pPr>
          </w:p>
        </w:tc>
        <w:tc>
          <w:tcPr>
            <w:tcW w:w="766" w:type="pct"/>
            <w:tcBorders>
              <w:left w:val="single" w:color="auto" w:sz="4" w:space="0"/>
              <w:right w:val="single" w:color="auto" w:sz="4" w:space="0"/>
            </w:tcBorders>
            <w:vAlign w:val="center"/>
          </w:tcPr>
          <w:p w14:paraId="0E6121EF">
            <w:pPr>
              <w:jc w:val="center"/>
              <w:rPr>
                <w:rFonts w:ascii="宋体" w:hAnsi="宋体" w:eastAsia="宋体" w:cs="宋体"/>
                <w:color w:val="auto"/>
                <w:szCs w:val="21"/>
                <w:highlight w:val="none"/>
              </w:rPr>
            </w:pPr>
          </w:p>
        </w:tc>
        <w:tc>
          <w:tcPr>
            <w:tcW w:w="444" w:type="pct"/>
            <w:tcBorders>
              <w:left w:val="single" w:color="auto" w:sz="4" w:space="0"/>
              <w:right w:val="single" w:color="auto" w:sz="4" w:space="0"/>
            </w:tcBorders>
            <w:vAlign w:val="center"/>
          </w:tcPr>
          <w:p w14:paraId="354CFB3A">
            <w:pPr>
              <w:jc w:val="center"/>
              <w:rPr>
                <w:rFonts w:ascii="宋体" w:hAnsi="宋体" w:eastAsia="宋体" w:cs="宋体"/>
                <w:color w:val="auto"/>
                <w:szCs w:val="21"/>
                <w:highlight w:val="none"/>
              </w:rPr>
            </w:pPr>
          </w:p>
        </w:tc>
        <w:tc>
          <w:tcPr>
            <w:tcW w:w="587" w:type="pct"/>
            <w:tcBorders>
              <w:top w:val="single" w:color="auto" w:sz="4" w:space="0"/>
              <w:left w:val="single" w:color="auto" w:sz="4" w:space="0"/>
              <w:bottom w:val="single" w:color="auto" w:sz="4" w:space="0"/>
              <w:right w:val="single" w:color="auto" w:sz="4" w:space="0"/>
            </w:tcBorders>
            <w:vAlign w:val="center"/>
          </w:tcPr>
          <w:p w14:paraId="3195DC71">
            <w:pPr>
              <w:jc w:val="center"/>
              <w:rPr>
                <w:rFonts w:ascii="宋体" w:hAnsi="宋体" w:eastAsia="宋体" w:cs="宋体"/>
                <w:color w:val="auto"/>
                <w:szCs w:val="21"/>
                <w:highlight w:val="none"/>
              </w:rPr>
            </w:pPr>
          </w:p>
        </w:tc>
      </w:tr>
      <w:tr w14:paraId="73B6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32" w:type="pct"/>
            <w:tcBorders>
              <w:top w:val="single" w:color="auto" w:sz="4" w:space="0"/>
              <w:left w:val="single" w:color="auto" w:sz="4" w:space="0"/>
              <w:bottom w:val="single" w:color="auto" w:sz="4" w:space="0"/>
              <w:right w:val="single" w:color="auto" w:sz="4" w:space="0"/>
            </w:tcBorders>
            <w:vAlign w:val="center"/>
          </w:tcPr>
          <w:p w14:paraId="487C8C66">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182" w:type="pct"/>
            <w:tcBorders>
              <w:top w:val="single" w:color="auto" w:sz="4" w:space="0"/>
              <w:left w:val="single" w:color="auto" w:sz="4" w:space="0"/>
              <w:bottom w:val="single" w:color="auto" w:sz="4" w:space="0"/>
              <w:right w:val="single" w:color="auto" w:sz="4" w:space="0"/>
            </w:tcBorders>
            <w:vAlign w:val="center"/>
          </w:tcPr>
          <w:p w14:paraId="2B1A9D4B">
            <w:pPr>
              <w:jc w:val="center"/>
              <w:rPr>
                <w:rFonts w:ascii="宋体" w:hAnsi="宋体" w:eastAsia="宋体" w:cs="宋体"/>
                <w:color w:val="auto"/>
                <w:szCs w:val="21"/>
                <w:highlight w:val="none"/>
              </w:rPr>
            </w:pPr>
          </w:p>
        </w:tc>
        <w:tc>
          <w:tcPr>
            <w:tcW w:w="843" w:type="pct"/>
            <w:tcBorders>
              <w:top w:val="single" w:color="auto" w:sz="4" w:space="0"/>
              <w:left w:val="single" w:color="auto" w:sz="4" w:space="0"/>
              <w:bottom w:val="single" w:color="auto" w:sz="4" w:space="0"/>
              <w:right w:val="single" w:color="auto" w:sz="4" w:space="0"/>
            </w:tcBorders>
            <w:vAlign w:val="center"/>
          </w:tcPr>
          <w:p w14:paraId="7A79DD91">
            <w:pPr>
              <w:jc w:val="center"/>
              <w:rPr>
                <w:rFonts w:ascii="宋体" w:hAnsi="宋体" w:eastAsia="宋体" w:cs="宋体"/>
                <w:color w:val="auto"/>
                <w:szCs w:val="21"/>
                <w:highlight w:val="none"/>
              </w:rPr>
            </w:pPr>
          </w:p>
        </w:tc>
        <w:tc>
          <w:tcPr>
            <w:tcW w:w="843" w:type="pct"/>
            <w:vMerge w:val="continue"/>
            <w:tcBorders>
              <w:left w:val="single" w:color="auto" w:sz="4" w:space="0"/>
              <w:right w:val="single" w:color="auto" w:sz="4" w:space="0"/>
            </w:tcBorders>
            <w:vAlign w:val="center"/>
          </w:tcPr>
          <w:p w14:paraId="75C73F39">
            <w:pPr>
              <w:jc w:val="center"/>
              <w:rPr>
                <w:rFonts w:ascii="宋体" w:hAnsi="宋体" w:eastAsia="宋体" w:cs="宋体"/>
                <w:color w:val="auto"/>
                <w:szCs w:val="21"/>
                <w:highlight w:val="none"/>
              </w:rPr>
            </w:pPr>
          </w:p>
        </w:tc>
        <w:tc>
          <w:tcPr>
            <w:tcW w:w="766" w:type="pct"/>
            <w:tcBorders>
              <w:left w:val="single" w:color="auto" w:sz="4" w:space="0"/>
              <w:right w:val="single" w:color="auto" w:sz="4" w:space="0"/>
            </w:tcBorders>
            <w:vAlign w:val="center"/>
          </w:tcPr>
          <w:p w14:paraId="1B9515E2">
            <w:pPr>
              <w:jc w:val="center"/>
              <w:rPr>
                <w:rFonts w:ascii="宋体" w:hAnsi="宋体" w:eastAsia="宋体" w:cs="宋体"/>
                <w:color w:val="auto"/>
                <w:szCs w:val="21"/>
                <w:highlight w:val="none"/>
              </w:rPr>
            </w:pPr>
          </w:p>
        </w:tc>
        <w:tc>
          <w:tcPr>
            <w:tcW w:w="444" w:type="pct"/>
            <w:tcBorders>
              <w:left w:val="single" w:color="auto" w:sz="4" w:space="0"/>
              <w:right w:val="single" w:color="auto" w:sz="4" w:space="0"/>
            </w:tcBorders>
            <w:vAlign w:val="center"/>
          </w:tcPr>
          <w:p w14:paraId="6C836235">
            <w:pPr>
              <w:jc w:val="center"/>
              <w:rPr>
                <w:rFonts w:ascii="宋体" w:hAnsi="宋体" w:eastAsia="宋体" w:cs="宋体"/>
                <w:color w:val="auto"/>
                <w:szCs w:val="21"/>
                <w:highlight w:val="none"/>
              </w:rPr>
            </w:pPr>
          </w:p>
        </w:tc>
        <w:tc>
          <w:tcPr>
            <w:tcW w:w="587" w:type="pct"/>
            <w:tcBorders>
              <w:top w:val="single" w:color="auto" w:sz="4" w:space="0"/>
              <w:left w:val="single" w:color="auto" w:sz="4" w:space="0"/>
              <w:bottom w:val="single" w:color="auto" w:sz="4" w:space="0"/>
              <w:right w:val="single" w:color="auto" w:sz="4" w:space="0"/>
            </w:tcBorders>
            <w:vAlign w:val="center"/>
          </w:tcPr>
          <w:p w14:paraId="4825C106">
            <w:pPr>
              <w:jc w:val="center"/>
              <w:rPr>
                <w:rFonts w:ascii="宋体" w:hAnsi="宋体" w:eastAsia="宋体" w:cs="宋体"/>
                <w:color w:val="auto"/>
                <w:szCs w:val="21"/>
                <w:highlight w:val="none"/>
              </w:rPr>
            </w:pPr>
          </w:p>
        </w:tc>
      </w:tr>
      <w:tr w14:paraId="2C68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32" w:type="pct"/>
            <w:tcBorders>
              <w:top w:val="single" w:color="auto" w:sz="4" w:space="0"/>
              <w:left w:val="single" w:color="auto" w:sz="4" w:space="0"/>
              <w:bottom w:val="single" w:color="auto" w:sz="4" w:space="0"/>
              <w:right w:val="single" w:color="auto" w:sz="4" w:space="0"/>
            </w:tcBorders>
            <w:vAlign w:val="center"/>
          </w:tcPr>
          <w:p w14:paraId="3AFD8B4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182" w:type="pct"/>
            <w:tcBorders>
              <w:top w:val="single" w:color="auto" w:sz="4" w:space="0"/>
              <w:left w:val="single" w:color="auto" w:sz="4" w:space="0"/>
              <w:bottom w:val="single" w:color="auto" w:sz="4" w:space="0"/>
              <w:right w:val="single" w:color="auto" w:sz="4" w:space="0"/>
            </w:tcBorders>
            <w:vAlign w:val="center"/>
          </w:tcPr>
          <w:p w14:paraId="05CF2DA8">
            <w:pPr>
              <w:jc w:val="center"/>
              <w:rPr>
                <w:rFonts w:ascii="宋体" w:hAnsi="宋体" w:eastAsia="宋体" w:cs="宋体"/>
                <w:color w:val="auto"/>
                <w:szCs w:val="21"/>
                <w:highlight w:val="none"/>
              </w:rPr>
            </w:pPr>
          </w:p>
        </w:tc>
        <w:tc>
          <w:tcPr>
            <w:tcW w:w="843" w:type="pct"/>
            <w:tcBorders>
              <w:top w:val="single" w:color="auto" w:sz="4" w:space="0"/>
              <w:left w:val="single" w:color="auto" w:sz="4" w:space="0"/>
              <w:bottom w:val="single" w:color="auto" w:sz="4" w:space="0"/>
              <w:right w:val="single" w:color="auto" w:sz="4" w:space="0"/>
            </w:tcBorders>
            <w:vAlign w:val="center"/>
          </w:tcPr>
          <w:p w14:paraId="5BB61F2E">
            <w:pPr>
              <w:jc w:val="center"/>
              <w:rPr>
                <w:rFonts w:ascii="宋体" w:hAnsi="宋体" w:eastAsia="宋体" w:cs="宋体"/>
                <w:color w:val="auto"/>
                <w:szCs w:val="21"/>
                <w:highlight w:val="none"/>
              </w:rPr>
            </w:pPr>
          </w:p>
        </w:tc>
        <w:tc>
          <w:tcPr>
            <w:tcW w:w="843" w:type="pct"/>
            <w:vMerge w:val="continue"/>
            <w:tcBorders>
              <w:left w:val="single" w:color="auto" w:sz="4" w:space="0"/>
              <w:right w:val="single" w:color="auto" w:sz="4" w:space="0"/>
            </w:tcBorders>
            <w:vAlign w:val="center"/>
          </w:tcPr>
          <w:p w14:paraId="21BABD0B">
            <w:pPr>
              <w:jc w:val="center"/>
              <w:rPr>
                <w:rFonts w:ascii="宋体" w:hAnsi="宋体" w:eastAsia="宋体" w:cs="宋体"/>
                <w:color w:val="auto"/>
                <w:szCs w:val="21"/>
                <w:highlight w:val="none"/>
              </w:rPr>
            </w:pPr>
          </w:p>
        </w:tc>
        <w:tc>
          <w:tcPr>
            <w:tcW w:w="766" w:type="pct"/>
            <w:tcBorders>
              <w:left w:val="single" w:color="auto" w:sz="4" w:space="0"/>
              <w:right w:val="single" w:color="auto" w:sz="4" w:space="0"/>
            </w:tcBorders>
            <w:vAlign w:val="center"/>
          </w:tcPr>
          <w:p w14:paraId="2C6BAAB3">
            <w:pPr>
              <w:jc w:val="center"/>
              <w:rPr>
                <w:rFonts w:ascii="宋体" w:hAnsi="宋体" w:eastAsia="宋体" w:cs="宋体"/>
                <w:color w:val="auto"/>
                <w:szCs w:val="21"/>
                <w:highlight w:val="none"/>
              </w:rPr>
            </w:pPr>
          </w:p>
        </w:tc>
        <w:tc>
          <w:tcPr>
            <w:tcW w:w="444" w:type="pct"/>
            <w:tcBorders>
              <w:left w:val="single" w:color="auto" w:sz="4" w:space="0"/>
              <w:right w:val="single" w:color="auto" w:sz="4" w:space="0"/>
            </w:tcBorders>
            <w:vAlign w:val="center"/>
          </w:tcPr>
          <w:p w14:paraId="21A8B5E8">
            <w:pPr>
              <w:jc w:val="center"/>
              <w:rPr>
                <w:rFonts w:ascii="宋体" w:hAnsi="宋体" w:eastAsia="宋体" w:cs="宋体"/>
                <w:color w:val="auto"/>
                <w:szCs w:val="21"/>
                <w:highlight w:val="none"/>
              </w:rPr>
            </w:pPr>
          </w:p>
        </w:tc>
        <w:tc>
          <w:tcPr>
            <w:tcW w:w="587" w:type="pct"/>
            <w:tcBorders>
              <w:top w:val="single" w:color="auto" w:sz="4" w:space="0"/>
              <w:left w:val="single" w:color="auto" w:sz="4" w:space="0"/>
              <w:bottom w:val="single" w:color="auto" w:sz="4" w:space="0"/>
              <w:right w:val="single" w:color="auto" w:sz="4" w:space="0"/>
            </w:tcBorders>
            <w:vAlign w:val="center"/>
          </w:tcPr>
          <w:p w14:paraId="49D1AA68">
            <w:pPr>
              <w:jc w:val="center"/>
              <w:rPr>
                <w:rFonts w:ascii="宋体" w:hAnsi="宋体" w:eastAsia="宋体" w:cs="宋体"/>
                <w:color w:val="auto"/>
                <w:szCs w:val="21"/>
                <w:highlight w:val="none"/>
              </w:rPr>
            </w:pPr>
          </w:p>
        </w:tc>
      </w:tr>
      <w:tr w14:paraId="1BCF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32" w:type="pct"/>
            <w:tcBorders>
              <w:top w:val="single" w:color="auto" w:sz="4" w:space="0"/>
              <w:left w:val="single" w:color="auto" w:sz="4" w:space="0"/>
              <w:bottom w:val="single" w:color="auto" w:sz="4" w:space="0"/>
              <w:right w:val="single" w:color="auto" w:sz="4" w:space="0"/>
            </w:tcBorders>
            <w:vAlign w:val="center"/>
          </w:tcPr>
          <w:p w14:paraId="3860E57F">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182" w:type="pct"/>
            <w:tcBorders>
              <w:top w:val="single" w:color="auto" w:sz="4" w:space="0"/>
              <w:left w:val="single" w:color="auto" w:sz="4" w:space="0"/>
              <w:bottom w:val="single" w:color="auto" w:sz="4" w:space="0"/>
              <w:right w:val="single" w:color="auto" w:sz="4" w:space="0"/>
            </w:tcBorders>
            <w:vAlign w:val="center"/>
          </w:tcPr>
          <w:p w14:paraId="5D9AC09D">
            <w:pPr>
              <w:jc w:val="center"/>
              <w:rPr>
                <w:rFonts w:ascii="宋体" w:hAnsi="宋体" w:eastAsia="宋体" w:cs="宋体"/>
                <w:color w:val="auto"/>
                <w:szCs w:val="21"/>
                <w:highlight w:val="none"/>
              </w:rPr>
            </w:pPr>
          </w:p>
        </w:tc>
        <w:tc>
          <w:tcPr>
            <w:tcW w:w="843" w:type="pct"/>
            <w:tcBorders>
              <w:top w:val="single" w:color="auto" w:sz="4" w:space="0"/>
              <w:left w:val="single" w:color="auto" w:sz="4" w:space="0"/>
              <w:bottom w:val="single" w:color="auto" w:sz="4" w:space="0"/>
              <w:right w:val="single" w:color="auto" w:sz="4" w:space="0"/>
            </w:tcBorders>
            <w:vAlign w:val="center"/>
          </w:tcPr>
          <w:p w14:paraId="657A5863">
            <w:pPr>
              <w:jc w:val="center"/>
              <w:rPr>
                <w:rFonts w:ascii="宋体" w:hAnsi="宋体" w:eastAsia="宋体" w:cs="宋体"/>
                <w:color w:val="auto"/>
                <w:szCs w:val="21"/>
                <w:highlight w:val="none"/>
              </w:rPr>
            </w:pPr>
          </w:p>
        </w:tc>
        <w:tc>
          <w:tcPr>
            <w:tcW w:w="843" w:type="pct"/>
            <w:vMerge w:val="continue"/>
            <w:tcBorders>
              <w:left w:val="single" w:color="auto" w:sz="4" w:space="0"/>
              <w:right w:val="single" w:color="auto" w:sz="4" w:space="0"/>
            </w:tcBorders>
            <w:vAlign w:val="center"/>
          </w:tcPr>
          <w:p w14:paraId="56A5EA62">
            <w:pPr>
              <w:jc w:val="center"/>
              <w:rPr>
                <w:rFonts w:ascii="宋体" w:hAnsi="宋体" w:eastAsia="宋体" w:cs="宋体"/>
                <w:color w:val="auto"/>
                <w:szCs w:val="21"/>
                <w:highlight w:val="none"/>
              </w:rPr>
            </w:pPr>
          </w:p>
        </w:tc>
        <w:tc>
          <w:tcPr>
            <w:tcW w:w="766" w:type="pct"/>
            <w:tcBorders>
              <w:left w:val="single" w:color="auto" w:sz="4" w:space="0"/>
              <w:right w:val="single" w:color="auto" w:sz="4" w:space="0"/>
            </w:tcBorders>
            <w:vAlign w:val="center"/>
          </w:tcPr>
          <w:p w14:paraId="7CA8AD27">
            <w:pPr>
              <w:jc w:val="center"/>
              <w:rPr>
                <w:rFonts w:ascii="宋体" w:hAnsi="宋体" w:eastAsia="宋体" w:cs="宋体"/>
                <w:color w:val="auto"/>
                <w:szCs w:val="21"/>
                <w:highlight w:val="none"/>
              </w:rPr>
            </w:pPr>
          </w:p>
        </w:tc>
        <w:tc>
          <w:tcPr>
            <w:tcW w:w="444" w:type="pct"/>
            <w:tcBorders>
              <w:left w:val="single" w:color="auto" w:sz="4" w:space="0"/>
              <w:right w:val="single" w:color="auto" w:sz="4" w:space="0"/>
            </w:tcBorders>
            <w:vAlign w:val="center"/>
          </w:tcPr>
          <w:p w14:paraId="0B1003EE">
            <w:pPr>
              <w:jc w:val="center"/>
              <w:rPr>
                <w:rFonts w:ascii="宋体" w:hAnsi="宋体" w:eastAsia="宋体" w:cs="宋体"/>
                <w:color w:val="auto"/>
                <w:szCs w:val="21"/>
                <w:highlight w:val="none"/>
              </w:rPr>
            </w:pPr>
          </w:p>
        </w:tc>
        <w:tc>
          <w:tcPr>
            <w:tcW w:w="587" w:type="pct"/>
            <w:tcBorders>
              <w:top w:val="single" w:color="auto" w:sz="4" w:space="0"/>
              <w:left w:val="single" w:color="auto" w:sz="4" w:space="0"/>
              <w:bottom w:val="single" w:color="auto" w:sz="4" w:space="0"/>
              <w:right w:val="single" w:color="auto" w:sz="4" w:space="0"/>
            </w:tcBorders>
            <w:vAlign w:val="center"/>
          </w:tcPr>
          <w:p w14:paraId="1AB27B2D">
            <w:pPr>
              <w:jc w:val="center"/>
              <w:rPr>
                <w:rFonts w:ascii="宋体" w:hAnsi="宋体" w:eastAsia="宋体" w:cs="宋体"/>
                <w:color w:val="auto"/>
                <w:szCs w:val="21"/>
                <w:highlight w:val="none"/>
              </w:rPr>
            </w:pPr>
          </w:p>
        </w:tc>
      </w:tr>
    </w:tbl>
    <w:p w14:paraId="59613A9A">
      <w:pPr>
        <w:spacing w:line="300" w:lineRule="exact"/>
        <w:ind w:right="-325" w:rightChars="-155"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备注：定标委员会对合格中标候选人投标报价进行打分，</w:t>
      </w:r>
      <w:r>
        <w:rPr>
          <w:rFonts w:hint="eastAsia" w:ascii="宋体" w:hAnsi="宋体" w:eastAsia="宋体" w:cs="宋体"/>
          <w:b w:val="0"/>
          <w:bCs w:val="0"/>
          <w:color w:val="auto"/>
          <w:szCs w:val="21"/>
          <w:highlight w:val="none"/>
        </w:rPr>
        <w:t>以合格中标候选人中投标总报价高于成本警示价的最低投标报价为定标基准价</w:t>
      </w:r>
      <w:r>
        <w:rPr>
          <w:rFonts w:hint="eastAsia" w:ascii="宋体" w:hAnsi="宋体" w:eastAsia="宋体" w:cs="宋体"/>
          <w:b w:val="0"/>
          <w:bCs w:val="0"/>
          <w:color w:val="auto"/>
          <w:szCs w:val="21"/>
          <w:highlight w:val="none"/>
          <w:u w:val="none"/>
        </w:rPr>
        <w:t>（如合格中标候选人</w:t>
      </w:r>
      <w:r>
        <w:rPr>
          <w:rFonts w:hint="eastAsia" w:ascii="宋体" w:hAnsi="宋体" w:eastAsia="宋体" w:cs="宋体"/>
          <w:b w:val="0"/>
          <w:bCs w:val="0"/>
          <w:color w:val="auto"/>
          <w:szCs w:val="21"/>
          <w:highlight w:val="none"/>
          <w:u w:val="none"/>
          <w:lang w:val="en-US" w:eastAsia="zh-CN"/>
        </w:rPr>
        <w:t>的</w:t>
      </w:r>
      <w:r>
        <w:rPr>
          <w:rFonts w:hint="eastAsia" w:ascii="宋体" w:hAnsi="宋体" w:eastAsia="宋体" w:cs="宋体"/>
          <w:b w:val="0"/>
          <w:bCs w:val="0"/>
          <w:color w:val="auto"/>
          <w:szCs w:val="21"/>
          <w:highlight w:val="none"/>
          <w:u w:val="none"/>
        </w:rPr>
        <w:t>投标报价</w:t>
      </w:r>
      <w:r>
        <w:rPr>
          <w:rFonts w:hint="eastAsia" w:ascii="宋体" w:hAnsi="宋体" w:eastAsia="宋体" w:cs="宋体"/>
          <w:b w:val="0"/>
          <w:bCs w:val="0"/>
          <w:color w:val="auto"/>
          <w:szCs w:val="21"/>
          <w:highlight w:val="none"/>
          <w:u w:val="none"/>
          <w:lang w:val="en-US" w:eastAsia="zh-CN"/>
        </w:rPr>
        <w:t>均</w:t>
      </w:r>
      <w:r>
        <w:rPr>
          <w:rFonts w:hint="eastAsia" w:ascii="宋体" w:hAnsi="宋体" w:eastAsia="宋体" w:cs="宋体"/>
          <w:b w:val="0"/>
          <w:bCs w:val="0"/>
          <w:color w:val="auto"/>
          <w:szCs w:val="21"/>
          <w:highlight w:val="none"/>
          <w:u w:val="none"/>
        </w:rPr>
        <w:t>低于或等于成本警示价</w:t>
      </w:r>
      <w:r>
        <w:rPr>
          <w:rFonts w:hint="eastAsia" w:ascii="宋体" w:hAnsi="宋体" w:eastAsia="宋体" w:cs="宋体"/>
          <w:b w:val="0"/>
          <w:bCs w:val="0"/>
          <w:color w:val="auto"/>
          <w:szCs w:val="21"/>
          <w:highlight w:val="none"/>
          <w:u w:val="none"/>
          <w:lang w:val="en-US" w:eastAsia="zh-CN"/>
        </w:rPr>
        <w:t>,则成本警示价为定标基准价）</w:t>
      </w:r>
      <w:r>
        <w:rPr>
          <w:rFonts w:hint="eastAsia" w:ascii="宋体" w:hAnsi="宋体" w:eastAsia="宋体" w:cs="宋体"/>
          <w:b w:val="0"/>
          <w:bCs w:val="0"/>
          <w:color w:val="auto"/>
          <w:szCs w:val="21"/>
          <w:highlight w:val="none"/>
        </w:rPr>
        <w:t>，投标总报价等于定标基准价时得100分。</w:t>
      </w:r>
      <w:r>
        <w:rPr>
          <w:rFonts w:hint="eastAsia" w:ascii="宋体" w:hAnsi="宋体" w:eastAsia="宋体" w:cs="宋体"/>
          <w:color w:val="auto"/>
          <w:szCs w:val="21"/>
          <w:highlight w:val="none"/>
        </w:rPr>
        <w:t>投标报价比定标基准价每高1%扣1.5分；每低1%扣1.0分，扣至0分为止。得出价格因素得分，分数出现小数点时，保留小数点后二位，第三位小数四舍五入。</w:t>
      </w:r>
    </w:p>
    <w:p w14:paraId="64A72CDC">
      <w:pPr>
        <w:spacing w:line="276" w:lineRule="auto"/>
        <w:ind w:right="-2" w:rightChars="-1" w:firstLine="0"/>
        <w:rPr>
          <w:rFonts w:ascii="宋体" w:hAnsi="宋体" w:eastAsia="宋体" w:cs="宋体"/>
          <w:color w:val="auto"/>
          <w:szCs w:val="21"/>
          <w:highlight w:val="none"/>
        </w:rPr>
      </w:pPr>
    </w:p>
    <w:p w14:paraId="4F05CD69">
      <w:pPr>
        <w:spacing w:line="276" w:lineRule="auto"/>
        <w:ind w:right="420" w:firstLine="426"/>
        <w:rPr>
          <w:rFonts w:ascii="宋体" w:hAnsi="宋体" w:eastAsia="宋体" w:cs="宋体"/>
          <w:color w:val="auto"/>
          <w:szCs w:val="21"/>
          <w:highlight w:val="none"/>
        </w:rPr>
      </w:pPr>
    </w:p>
    <w:p w14:paraId="363829BD">
      <w:pPr>
        <w:spacing w:line="276" w:lineRule="auto"/>
        <w:ind w:right="420" w:firstLine="426"/>
        <w:rPr>
          <w:rFonts w:ascii="宋体" w:hAnsi="宋体" w:eastAsia="宋体" w:cs="宋体"/>
          <w:color w:val="auto"/>
          <w:szCs w:val="21"/>
          <w:highlight w:val="none"/>
        </w:rPr>
      </w:pPr>
      <w:r>
        <w:rPr>
          <w:rFonts w:hint="eastAsia" w:ascii="宋体" w:hAnsi="宋体" w:eastAsia="宋体" w:cs="宋体"/>
          <w:color w:val="auto"/>
          <w:szCs w:val="21"/>
          <w:highlight w:val="none"/>
        </w:rPr>
        <w:t>定标委员会全体成员签名：</w:t>
      </w:r>
    </w:p>
    <w:p w14:paraId="58372E38">
      <w:pPr>
        <w:spacing w:line="276" w:lineRule="auto"/>
        <w:ind w:right="420" w:firstLine="426"/>
        <w:rPr>
          <w:rFonts w:ascii="宋体" w:hAnsi="宋体" w:eastAsia="宋体" w:cs="宋体"/>
          <w:color w:val="auto"/>
          <w:szCs w:val="21"/>
          <w:highlight w:val="none"/>
        </w:rPr>
      </w:pPr>
      <w:r>
        <w:rPr>
          <w:rFonts w:hint="eastAsia" w:ascii="宋体" w:hAnsi="宋体" w:eastAsia="宋体" w:cs="宋体"/>
          <w:color w:val="auto"/>
          <w:szCs w:val="21"/>
          <w:highlight w:val="none"/>
        </w:rPr>
        <w:t>日期：</w:t>
      </w:r>
    </w:p>
    <w:p w14:paraId="23083A3A">
      <w:pPr>
        <w:rPr>
          <w:rFonts w:ascii="宋体" w:hAnsi="宋体" w:eastAsia="宋体" w:cs="仿宋"/>
          <w:color w:val="auto"/>
          <w:kern w:val="0"/>
          <w:szCs w:val="21"/>
          <w:highlight w:val="none"/>
        </w:rPr>
      </w:pPr>
    </w:p>
    <w:p w14:paraId="5AC0DE46">
      <w:pPr>
        <w:widowControl/>
        <w:spacing w:line="360" w:lineRule="auto"/>
        <w:jc w:val="left"/>
        <w:outlineLvl w:val="2"/>
        <w:rPr>
          <w:rFonts w:ascii="宋体" w:hAnsi="宋体" w:eastAsia="宋体" w:cs="仿宋"/>
          <w:color w:val="auto"/>
          <w:szCs w:val="21"/>
          <w:highlight w:val="none"/>
        </w:rPr>
      </w:pPr>
      <w:r>
        <w:rPr>
          <w:rFonts w:ascii="宋体" w:hAnsi="宋体" w:eastAsia="宋体" w:cs="仿宋"/>
          <w:color w:val="auto"/>
          <w:szCs w:val="21"/>
          <w:highlight w:val="none"/>
        </w:rPr>
        <w:br w:type="page"/>
      </w:r>
      <w:bookmarkStart w:id="45" w:name="_Toc202907299"/>
      <w:r>
        <w:rPr>
          <w:rFonts w:hint="eastAsia" w:ascii="宋体" w:hAnsi="宋体" w:eastAsia="宋体" w:cs="宋体"/>
          <w:color w:val="auto"/>
          <w:kern w:val="0"/>
          <w:sz w:val="24"/>
          <w:szCs w:val="24"/>
          <w:highlight w:val="none"/>
        </w:rPr>
        <w:t>附表十二：</w:t>
      </w:r>
      <w:bookmarkEnd w:id="45"/>
    </w:p>
    <w:p w14:paraId="5B827DA1">
      <w:pPr>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定标因素得分汇总及排序表（定标委员会汇总用表）</w:t>
      </w:r>
    </w:p>
    <w:p w14:paraId="186C7176">
      <w:pPr>
        <w:rPr>
          <w:rFonts w:ascii="宋体" w:hAnsi="宋体" w:eastAsia="宋体" w:cs="宋体"/>
          <w:color w:val="auto"/>
          <w:highlight w:val="none"/>
        </w:rPr>
      </w:pPr>
      <w:r>
        <w:rPr>
          <w:rFonts w:hint="eastAsia" w:ascii="宋体" w:hAnsi="宋体" w:eastAsia="宋体" w:cs="宋体"/>
          <w:color w:val="auto"/>
          <w:highlight w:val="none"/>
        </w:rPr>
        <w:t>招标项目名称：</w:t>
      </w:r>
    </w:p>
    <w:tbl>
      <w:tblPr>
        <w:tblStyle w:val="50"/>
        <w:tblW w:w="50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828"/>
        <w:gridCol w:w="757"/>
        <w:gridCol w:w="759"/>
        <w:gridCol w:w="1173"/>
        <w:gridCol w:w="663"/>
        <w:gridCol w:w="759"/>
        <w:gridCol w:w="1205"/>
        <w:gridCol w:w="893"/>
        <w:gridCol w:w="682"/>
      </w:tblGrid>
      <w:tr w14:paraId="682C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70" w:type="pct"/>
            <w:tcBorders>
              <w:top w:val="single" w:color="auto" w:sz="4" w:space="0"/>
              <w:left w:val="single" w:color="auto" w:sz="4" w:space="0"/>
              <w:bottom w:val="single" w:color="auto" w:sz="4" w:space="0"/>
              <w:right w:val="single" w:color="auto" w:sz="4" w:space="0"/>
            </w:tcBorders>
            <w:vAlign w:val="center"/>
          </w:tcPr>
          <w:p w14:paraId="4EB6426C">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序号</w:t>
            </w:r>
          </w:p>
        </w:tc>
        <w:tc>
          <w:tcPr>
            <w:tcW w:w="971" w:type="pct"/>
            <w:tcBorders>
              <w:top w:val="single" w:color="auto" w:sz="4" w:space="0"/>
              <w:left w:val="single" w:color="auto" w:sz="4" w:space="0"/>
              <w:bottom w:val="single" w:color="auto" w:sz="4" w:space="0"/>
              <w:right w:val="single" w:color="auto" w:sz="4" w:space="0"/>
            </w:tcBorders>
            <w:vAlign w:val="center"/>
          </w:tcPr>
          <w:p w14:paraId="0AFFEE59">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合格中标候选人名称</w:t>
            </w:r>
          </w:p>
        </w:tc>
        <w:tc>
          <w:tcPr>
            <w:tcW w:w="402" w:type="pct"/>
            <w:tcBorders>
              <w:top w:val="single" w:color="auto" w:sz="4" w:space="0"/>
              <w:left w:val="single" w:color="auto" w:sz="4" w:space="0"/>
              <w:bottom w:val="single" w:color="auto" w:sz="4" w:space="0"/>
              <w:right w:val="single" w:color="auto" w:sz="4" w:space="0"/>
            </w:tcBorders>
            <w:vAlign w:val="center"/>
          </w:tcPr>
          <w:p w14:paraId="38E6A065">
            <w:pPr>
              <w:jc w:val="center"/>
              <w:rPr>
                <w:rFonts w:ascii="宋体" w:hAnsi="宋体" w:eastAsia="宋体" w:cs="宋体"/>
                <w:color w:val="auto"/>
                <w:szCs w:val="21"/>
                <w:highlight w:val="none"/>
                <w:shd w:val="clear" w:color="auto" w:fill="FFFFFF"/>
                <w:lang w:val="zh-CN"/>
              </w:rPr>
            </w:pPr>
            <w:bookmarkStart w:id="46" w:name="OLE_LINK201"/>
            <w:r>
              <w:rPr>
                <w:rFonts w:hint="eastAsia" w:ascii="宋体" w:hAnsi="宋体" w:eastAsia="宋体" w:cs="宋体"/>
                <w:color w:val="auto"/>
                <w:szCs w:val="21"/>
                <w:highlight w:val="none"/>
                <w:shd w:val="clear" w:color="auto" w:fill="FFFFFF"/>
                <w:lang w:val="zh-CN"/>
              </w:rPr>
              <w:t>方案因素</w:t>
            </w:r>
            <w:bookmarkEnd w:id="46"/>
            <w:r>
              <w:rPr>
                <w:rFonts w:hint="eastAsia" w:ascii="宋体" w:hAnsi="宋体" w:eastAsia="宋体" w:cs="宋体"/>
                <w:color w:val="auto"/>
                <w:szCs w:val="21"/>
                <w:highlight w:val="none"/>
                <w:shd w:val="clear" w:color="auto" w:fill="FFFFFF"/>
                <w:lang w:val="zh-CN"/>
              </w:rPr>
              <w:t>得分</w:t>
            </w:r>
          </w:p>
        </w:tc>
        <w:tc>
          <w:tcPr>
            <w:tcW w:w="403" w:type="pct"/>
            <w:tcBorders>
              <w:top w:val="single" w:color="auto" w:sz="4" w:space="0"/>
              <w:left w:val="single" w:color="auto" w:sz="4" w:space="0"/>
              <w:bottom w:val="single" w:color="auto" w:sz="4" w:space="0"/>
              <w:right w:val="single" w:color="auto" w:sz="4" w:space="0"/>
            </w:tcBorders>
            <w:vAlign w:val="center"/>
          </w:tcPr>
          <w:p w14:paraId="3905B78A">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权重（</w:t>
            </w:r>
            <w:r>
              <w:rPr>
                <w:rFonts w:ascii="宋体" w:hAnsi="宋体" w:eastAsia="宋体" w:cs="宋体"/>
                <w:color w:val="auto"/>
                <w:szCs w:val="21"/>
                <w:highlight w:val="none"/>
                <w:shd w:val="clear" w:color="auto" w:fill="FFFFFF"/>
                <w:lang w:val="zh-CN"/>
              </w:rPr>
              <w:t>%</w:t>
            </w:r>
            <w:r>
              <w:rPr>
                <w:rFonts w:hint="eastAsia" w:ascii="宋体" w:hAnsi="宋体" w:eastAsia="宋体" w:cs="宋体"/>
                <w:color w:val="auto"/>
                <w:szCs w:val="21"/>
                <w:highlight w:val="none"/>
                <w:shd w:val="clear" w:color="auto" w:fill="FFFFFF"/>
                <w:lang w:val="zh-CN"/>
              </w:rPr>
              <w:t>）</w:t>
            </w:r>
          </w:p>
        </w:tc>
        <w:tc>
          <w:tcPr>
            <w:tcW w:w="623" w:type="pct"/>
            <w:tcBorders>
              <w:top w:val="single" w:color="auto" w:sz="4" w:space="0"/>
              <w:left w:val="single" w:color="auto" w:sz="4" w:space="0"/>
              <w:bottom w:val="single" w:color="auto" w:sz="4" w:space="0"/>
              <w:right w:val="single" w:color="auto" w:sz="4" w:space="0"/>
            </w:tcBorders>
            <w:vAlign w:val="center"/>
          </w:tcPr>
          <w:p w14:paraId="053D7E23">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方案因素权重得分</w:t>
            </w:r>
          </w:p>
        </w:tc>
        <w:tc>
          <w:tcPr>
            <w:tcW w:w="352" w:type="pct"/>
            <w:tcBorders>
              <w:top w:val="single" w:color="auto" w:sz="4" w:space="0"/>
              <w:left w:val="single" w:color="auto" w:sz="4" w:space="0"/>
              <w:bottom w:val="single" w:color="auto" w:sz="4" w:space="0"/>
              <w:right w:val="single" w:color="auto" w:sz="4" w:space="0"/>
            </w:tcBorders>
            <w:vAlign w:val="center"/>
          </w:tcPr>
          <w:p w14:paraId="07CB2D2C">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价格因素得分</w:t>
            </w:r>
          </w:p>
        </w:tc>
        <w:tc>
          <w:tcPr>
            <w:tcW w:w="403" w:type="pct"/>
            <w:tcBorders>
              <w:top w:val="single" w:color="auto" w:sz="4" w:space="0"/>
              <w:left w:val="single" w:color="auto" w:sz="4" w:space="0"/>
              <w:bottom w:val="single" w:color="auto" w:sz="4" w:space="0"/>
              <w:right w:val="single" w:color="auto" w:sz="4" w:space="0"/>
            </w:tcBorders>
            <w:vAlign w:val="center"/>
          </w:tcPr>
          <w:p w14:paraId="1056BAA4">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权重（</w:t>
            </w:r>
            <w:r>
              <w:rPr>
                <w:rFonts w:ascii="宋体" w:hAnsi="宋体" w:eastAsia="宋体" w:cs="宋体"/>
                <w:color w:val="auto"/>
                <w:szCs w:val="21"/>
                <w:highlight w:val="none"/>
                <w:shd w:val="clear" w:color="auto" w:fill="FFFFFF"/>
                <w:lang w:val="zh-CN"/>
              </w:rPr>
              <w:t>%</w:t>
            </w:r>
            <w:r>
              <w:rPr>
                <w:rFonts w:hint="eastAsia" w:ascii="宋体" w:hAnsi="宋体" w:eastAsia="宋体" w:cs="宋体"/>
                <w:color w:val="auto"/>
                <w:szCs w:val="21"/>
                <w:highlight w:val="none"/>
                <w:shd w:val="clear" w:color="auto" w:fill="FFFFFF"/>
                <w:lang w:val="zh-CN"/>
              </w:rPr>
              <w:t>）</w:t>
            </w:r>
          </w:p>
        </w:tc>
        <w:tc>
          <w:tcPr>
            <w:tcW w:w="640" w:type="pct"/>
            <w:tcBorders>
              <w:top w:val="single" w:color="auto" w:sz="4" w:space="0"/>
              <w:left w:val="single" w:color="auto" w:sz="4" w:space="0"/>
              <w:bottom w:val="single" w:color="auto" w:sz="4" w:space="0"/>
              <w:right w:val="single" w:color="auto" w:sz="4" w:space="0"/>
            </w:tcBorders>
            <w:vAlign w:val="center"/>
          </w:tcPr>
          <w:p w14:paraId="73737CAF">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价格因素权重得分</w:t>
            </w:r>
          </w:p>
        </w:tc>
        <w:tc>
          <w:tcPr>
            <w:tcW w:w="474" w:type="pct"/>
            <w:tcBorders>
              <w:top w:val="single" w:color="auto" w:sz="4" w:space="0"/>
              <w:left w:val="single" w:color="auto" w:sz="4" w:space="0"/>
              <w:bottom w:val="single" w:color="auto" w:sz="4" w:space="0"/>
              <w:right w:val="single" w:color="auto" w:sz="4" w:space="0"/>
            </w:tcBorders>
            <w:vAlign w:val="center"/>
          </w:tcPr>
          <w:p w14:paraId="201579FF">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总得分</w:t>
            </w:r>
          </w:p>
        </w:tc>
        <w:tc>
          <w:tcPr>
            <w:tcW w:w="362" w:type="pct"/>
            <w:tcBorders>
              <w:top w:val="single" w:color="auto" w:sz="4" w:space="0"/>
              <w:left w:val="single" w:color="auto" w:sz="4" w:space="0"/>
              <w:bottom w:val="single" w:color="auto" w:sz="4" w:space="0"/>
              <w:right w:val="single" w:color="auto" w:sz="4" w:space="0"/>
            </w:tcBorders>
            <w:vAlign w:val="center"/>
          </w:tcPr>
          <w:p w14:paraId="0C0AE07B">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排序</w:t>
            </w:r>
          </w:p>
        </w:tc>
      </w:tr>
      <w:tr w14:paraId="497E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70" w:type="pct"/>
            <w:tcBorders>
              <w:top w:val="single" w:color="auto" w:sz="4" w:space="0"/>
              <w:left w:val="single" w:color="auto" w:sz="4" w:space="0"/>
              <w:bottom w:val="single" w:color="auto" w:sz="4" w:space="0"/>
              <w:right w:val="single" w:color="auto" w:sz="4" w:space="0"/>
            </w:tcBorders>
            <w:vAlign w:val="center"/>
          </w:tcPr>
          <w:p w14:paraId="1EC5CFA0">
            <w:pPr>
              <w:jc w:val="center"/>
              <w:rPr>
                <w:rFonts w:ascii="宋体" w:hAnsi="宋体" w:eastAsia="宋体" w:cs="宋体"/>
                <w:color w:val="auto"/>
                <w:szCs w:val="21"/>
                <w:highlight w:val="none"/>
                <w:shd w:val="clear" w:color="auto" w:fill="FFFFFF"/>
                <w:lang w:val="zh-CN"/>
              </w:rPr>
            </w:pPr>
            <w:r>
              <w:rPr>
                <w:rFonts w:ascii="宋体" w:hAnsi="宋体" w:eastAsia="宋体" w:cs="宋体"/>
                <w:color w:val="auto"/>
                <w:szCs w:val="21"/>
                <w:highlight w:val="none"/>
                <w:shd w:val="clear" w:color="auto" w:fill="FFFFFF"/>
                <w:lang w:val="zh-CN"/>
              </w:rPr>
              <w:t>1</w:t>
            </w:r>
          </w:p>
        </w:tc>
        <w:tc>
          <w:tcPr>
            <w:tcW w:w="971" w:type="pct"/>
            <w:tcBorders>
              <w:top w:val="single" w:color="auto" w:sz="4" w:space="0"/>
              <w:left w:val="single" w:color="auto" w:sz="4" w:space="0"/>
              <w:bottom w:val="single" w:color="auto" w:sz="4" w:space="0"/>
              <w:right w:val="single" w:color="auto" w:sz="4" w:space="0"/>
            </w:tcBorders>
            <w:vAlign w:val="center"/>
          </w:tcPr>
          <w:p w14:paraId="63B01607">
            <w:pPr>
              <w:jc w:val="center"/>
              <w:rPr>
                <w:rFonts w:ascii="宋体" w:hAnsi="宋体" w:eastAsia="宋体" w:cs="宋体"/>
                <w:color w:val="auto"/>
                <w:szCs w:val="21"/>
                <w:highlight w:val="none"/>
                <w:shd w:val="clear" w:color="auto" w:fill="FFFFFF"/>
                <w:lang w:val="zh-CN"/>
              </w:rPr>
            </w:pPr>
          </w:p>
        </w:tc>
        <w:tc>
          <w:tcPr>
            <w:tcW w:w="402" w:type="pct"/>
            <w:tcBorders>
              <w:top w:val="single" w:color="auto" w:sz="4" w:space="0"/>
              <w:left w:val="single" w:color="auto" w:sz="4" w:space="0"/>
              <w:bottom w:val="single" w:color="auto" w:sz="4" w:space="0"/>
              <w:right w:val="single" w:color="auto" w:sz="4" w:space="0"/>
            </w:tcBorders>
            <w:vAlign w:val="center"/>
          </w:tcPr>
          <w:p w14:paraId="22A4CEC7">
            <w:pPr>
              <w:jc w:val="center"/>
              <w:rPr>
                <w:rFonts w:ascii="宋体" w:hAnsi="宋体" w:eastAsia="宋体" w:cs="宋体"/>
                <w:color w:val="auto"/>
                <w:szCs w:val="21"/>
                <w:highlight w:val="none"/>
                <w:shd w:val="clear" w:color="auto" w:fill="FFFFFF"/>
                <w:lang w:val="zh-CN"/>
              </w:rPr>
            </w:pPr>
          </w:p>
        </w:tc>
        <w:tc>
          <w:tcPr>
            <w:tcW w:w="403" w:type="pct"/>
            <w:vMerge w:val="restart"/>
            <w:tcBorders>
              <w:top w:val="single" w:color="auto" w:sz="4" w:space="0"/>
              <w:left w:val="single" w:color="auto" w:sz="4" w:space="0"/>
              <w:right w:val="single" w:color="auto" w:sz="4" w:space="0"/>
            </w:tcBorders>
            <w:vAlign w:val="center"/>
          </w:tcPr>
          <w:p w14:paraId="22474F50">
            <w:pPr>
              <w:jc w:val="center"/>
              <w:rPr>
                <w:rFonts w:ascii="宋体" w:hAnsi="宋体" w:eastAsia="宋体" w:cs="宋体"/>
                <w:color w:val="auto"/>
                <w:szCs w:val="21"/>
                <w:highlight w:val="none"/>
                <w:shd w:val="clear" w:color="auto" w:fill="FFFFFF"/>
                <w:lang w:val="zh-CN"/>
              </w:rPr>
            </w:pPr>
            <w:r>
              <w:rPr>
                <w:rFonts w:ascii="宋体" w:hAnsi="宋体" w:eastAsia="宋体" w:cs="宋体"/>
                <w:color w:val="auto"/>
                <w:szCs w:val="21"/>
                <w:highlight w:val="none"/>
                <w:shd w:val="clear" w:color="auto" w:fill="FFFFFF"/>
                <w:lang w:val="zh-CN"/>
              </w:rPr>
              <w:t>70</w:t>
            </w:r>
          </w:p>
        </w:tc>
        <w:tc>
          <w:tcPr>
            <w:tcW w:w="623" w:type="pct"/>
            <w:tcBorders>
              <w:top w:val="single" w:color="auto" w:sz="4" w:space="0"/>
              <w:left w:val="single" w:color="auto" w:sz="4" w:space="0"/>
              <w:bottom w:val="single" w:color="auto" w:sz="4" w:space="0"/>
              <w:right w:val="single" w:color="auto" w:sz="4" w:space="0"/>
            </w:tcBorders>
            <w:vAlign w:val="center"/>
          </w:tcPr>
          <w:p w14:paraId="0359E2DC">
            <w:pPr>
              <w:jc w:val="center"/>
              <w:rPr>
                <w:rFonts w:ascii="宋体" w:hAnsi="宋体" w:eastAsia="宋体" w:cs="宋体"/>
                <w:color w:val="auto"/>
                <w:szCs w:val="21"/>
                <w:highlight w:val="none"/>
                <w:shd w:val="clear" w:color="auto" w:fill="FFFFFF"/>
                <w:lang w:val="zh-CN"/>
              </w:rPr>
            </w:pPr>
          </w:p>
        </w:tc>
        <w:tc>
          <w:tcPr>
            <w:tcW w:w="352" w:type="pct"/>
            <w:tcBorders>
              <w:top w:val="single" w:color="auto" w:sz="4" w:space="0"/>
              <w:left w:val="single" w:color="auto" w:sz="4" w:space="0"/>
              <w:bottom w:val="single" w:color="auto" w:sz="4" w:space="0"/>
              <w:right w:val="single" w:color="auto" w:sz="4" w:space="0"/>
            </w:tcBorders>
            <w:vAlign w:val="center"/>
          </w:tcPr>
          <w:p w14:paraId="32C45196">
            <w:pPr>
              <w:jc w:val="center"/>
              <w:rPr>
                <w:rFonts w:ascii="宋体" w:hAnsi="宋体" w:eastAsia="宋体" w:cs="宋体"/>
                <w:color w:val="auto"/>
                <w:szCs w:val="21"/>
                <w:highlight w:val="none"/>
                <w:shd w:val="clear" w:color="auto" w:fill="FFFFFF"/>
                <w:lang w:val="zh-CN"/>
              </w:rPr>
            </w:pPr>
          </w:p>
        </w:tc>
        <w:tc>
          <w:tcPr>
            <w:tcW w:w="403" w:type="pct"/>
            <w:vMerge w:val="restart"/>
            <w:tcBorders>
              <w:top w:val="single" w:color="auto" w:sz="4" w:space="0"/>
              <w:left w:val="single" w:color="auto" w:sz="4" w:space="0"/>
              <w:right w:val="single" w:color="auto" w:sz="4" w:space="0"/>
            </w:tcBorders>
            <w:vAlign w:val="center"/>
          </w:tcPr>
          <w:p w14:paraId="782BFA92">
            <w:pPr>
              <w:jc w:val="center"/>
              <w:rPr>
                <w:rFonts w:ascii="宋体" w:hAnsi="宋体" w:eastAsia="宋体" w:cs="宋体"/>
                <w:color w:val="auto"/>
                <w:szCs w:val="21"/>
                <w:highlight w:val="none"/>
                <w:shd w:val="clear" w:color="auto" w:fill="FFFFFF"/>
                <w:lang w:val="zh-CN"/>
              </w:rPr>
            </w:pPr>
            <w:r>
              <w:rPr>
                <w:rFonts w:ascii="宋体" w:hAnsi="宋体" w:eastAsia="宋体" w:cs="宋体"/>
                <w:color w:val="auto"/>
                <w:szCs w:val="21"/>
                <w:highlight w:val="none"/>
                <w:shd w:val="clear" w:color="auto" w:fill="FFFFFF"/>
                <w:lang w:val="zh-CN"/>
              </w:rPr>
              <w:t>30</w:t>
            </w:r>
          </w:p>
        </w:tc>
        <w:tc>
          <w:tcPr>
            <w:tcW w:w="640" w:type="pct"/>
            <w:tcBorders>
              <w:top w:val="single" w:color="auto" w:sz="4" w:space="0"/>
              <w:left w:val="single" w:color="auto" w:sz="4" w:space="0"/>
              <w:bottom w:val="single" w:color="auto" w:sz="4" w:space="0"/>
              <w:right w:val="single" w:color="auto" w:sz="4" w:space="0"/>
            </w:tcBorders>
            <w:vAlign w:val="center"/>
          </w:tcPr>
          <w:p w14:paraId="41DB73E9">
            <w:pPr>
              <w:jc w:val="center"/>
              <w:rPr>
                <w:rFonts w:ascii="宋体" w:hAnsi="宋体" w:eastAsia="宋体" w:cs="宋体"/>
                <w:color w:val="auto"/>
                <w:szCs w:val="21"/>
                <w:highlight w:val="none"/>
                <w:shd w:val="clear" w:color="auto" w:fill="FFFFFF"/>
                <w:lang w:val="zh-CN"/>
              </w:rPr>
            </w:pPr>
          </w:p>
        </w:tc>
        <w:tc>
          <w:tcPr>
            <w:tcW w:w="474" w:type="pct"/>
            <w:tcBorders>
              <w:top w:val="single" w:color="auto" w:sz="4" w:space="0"/>
              <w:left w:val="single" w:color="auto" w:sz="4" w:space="0"/>
              <w:bottom w:val="single" w:color="auto" w:sz="4" w:space="0"/>
              <w:right w:val="single" w:color="auto" w:sz="4" w:space="0"/>
            </w:tcBorders>
            <w:vAlign w:val="center"/>
          </w:tcPr>
          <w:p w14:paraId="715CB21F">
            <w:pPr>
              <w:jc w:val="center"/>
              <w:rPr>
                <w:rFonts w:ascii="宋体" w:hAnsi="宋体" w:eastAsia="宋体" w:cs="宋体"/>
                <w:color w:val="auto"/>
                <w:szCs w:val="21"/>
                <w:highlight w:val="none"/>
                <w:shd w:val="clear" w:color="auto" w:fill="FFFFFF"/>
                <w:lang w:val="zh-CN"/>
              </w:rPr>
            </w:pPr>
          </w:p>
        </w:tc>
        <w:tc>
          <w:tcPr>
            <w:tcW w:w="362" w:type="pct"/>
            <w:tcBorders>
              <w:top w:val="single" w:color="auto" w:sz="4" w:space="0"/>
              <w:left w:val="single" w:color="auto" w:sz="4" w:space="0"/>
              <w:bottom w:val="single" w:color="auto" w:sz="4" w:space="0"/>
              <w:right w:val="single" w:color="auto" w:sz="4" w:space="0"/>
            </w:tcBorders>
            <w:vAlign w:val="center"/>
          </w:tcPr>
          <w:p w14:paraId="736E813E">
            <w:pPr>
              <w:jc w:val="center"/>
              <w:rPr>
                <w:rFonts w:ascii="宋体" w:hAnsi="宋体" w:eastAsia="宋体" w:cs="宋体"/>
                <w:color w:val="auto"/>
                <w:szCs w:val="21"/>
                <w:highlight w:val="none"/>
                <w:shd w:val="clear" w:color="auto" w:fill="FFFFFF"/>
                <w:lang w:val="zh-CN"/>
              </w:rPr>
            </w:pPr>
          </w:p>
        </w:tc>
      </w:tr>
      <w:tr w14:paraId="67A5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70" w:type="pct"/>
            <w:tcBorders>
              <w:top w:val="single" w:color="auto" w:sz="4" w:space="0"/>
              <w:left w:val="single" w:color="auto" w:sz="4" w:space="0"/>
              <w:bottom w:val="single" w:color="auto" w:sz="4" w:space="0"/>
              <w:right w:val="single" w:color="auto" w:sz="4" w:space="0"/>
            </w:tcBorders>
            <w:vAlign w:val="center"/>
          </w:tcPr>
          <w:p w14:paraId="462A5974">
            <w:pPr>
              <w:jc w:val="center"/>
              <w:rPr>
                <w:rFonts w:ascii="宋体" w:hAnsi="宋体" w:eastAsia="宋体" w:cs="宋体"/>
                <w:color w:val="auto"/>
                <w:szCs w:val="21"/>
                <w:highlight w:val="none"/>
                <w:shd w:val="clear" w:color="auto" w:fill="FFFFFF"/>
                <w:lang w:val="zh-CN"/>
              </w:rPr>
            </w:pPr>
            <w:r>
              <w:rPr>
                <w:rFonts w:ascii="宋体" w:hAnsi="宋体" w:eastAsia="宋体" w:cs="宋体"/>
                <w:color w:val="auto"/>
                <w:szCs w:val="21"/>
                <w:highlight w:val="none"/>
                <w:shd w:val="clear" w:color="auto" w:fill="FFFFFF"/>
                <w:lang w:val="zh-CN"/>
              </w:rPr>
              <w:t>2</w:t>
            </w:r>
          </w:p>
        </w:tc>
        <w:tc>
          <w:tcPr>
            <w:tcW w:w="971" w:type="pct"/>
            <w:tcBorders>
              <w:top w:val="single" w:color="auto" w:sz="4" w:space="0"/>
              <w:left w:val="single" w:color="auto" w:sz="4" w:space="0"/>
              <w:bottom w:val="single" w:color="auto" w:sz="4" w:space="0"/>
              <w:right w:val="single" w:color="auto" w:sz="4" w:space="0"/>
            </w:tcBorders>
            <w:vAlign w:val="center"/>
          </w:tcPr>
          <w:p w14:paraId="464C1B3D">
            <w:pPr>
              <w:jc w:val="center"/>
              <w:rPr>
                <w:rFonts w:ascii="宋体" w:hAnsi="宋体" w:eastAsia="宋体" w:cs="宋体"/>
                <w:color w:val="auto"/>
                <w:szCs w:val="21"/>
                <w:highlight w:val="none"/>
                <w:shd w:val="clear" w:color="auto" w:fill="FFFFFF"/>
                <w:lang w:val="zh-CN"/>
              </w:rPr>
            </w:pPr>
          </w:p>
        </w:tc>
        <w:tc>
          <w:tcPr>
            <w:tcW w:w="402" w:type="pct"/>
            <w:tcBorders>
              <w:top w:val="single" w:color="auto" w:sz="4" w:space="0"/>
              <w:left w:val="single" w:color="auto" w:sz="4" w:space="0"/>
              <w:bottom w:val="single" w:color="auto" w:sz="4" w:space="0"/>
              <w:right w:val="single" w:color="auto" w:sz="4" w:space="0"/>
            </w:tcBorders>
            <w:vAlign w:val="center"/>
          </w:tcPr>
          <w:p w14:paraId="46FB6CF2">
            <w:pPr>
              <w:jc w:val="center"/>
              <w:rPr>
                <w:rFonts w:ascii="宋体" w:hAnsi="宋体" w:eastAsia="宋体" w:cs="宋体"/>
                <w:color w:val="auto"/>
                <w:szCs w:val="21"/>
                <w:highlight w:val="none"/>
                <w:shd w:val="clear" w:color="auto" w:fill="FFFFFF"/>
                <w:lang w:val="zh-CN"/>
              </w:rPr>
            </w:pPr>
          </w:p>
        </w:tc>
        <w:tc>
          <w:tcPr>
            <w:tcW w:w="403" w:type="pct"/>
            <w:vMerge w:val="continue"/>
            <w:tcBorders>
              <w:left w:val="single" w:color="auto" w:sz="4" w:space="0"/>
              <w:right w:val="single" w:color="auto" w:sz="4" w:space="0"/>
            </w:tcBorders>
            <w:vAlign w:val="center"/>
          </w:tcPr>
          <w:p w14:paraId="45013930">
            <w:pPr>
              <w:jc w:val="center"/>
              <w:rPr>
                <w:rFonts w:ascii="宋体" w:hAnsi="宋体" w:eastAsia="宋体" w:cs="宋体"/>
                <w:color w:val="auto"/>
                <w:szCs w:val="21"/>
                <w:highlight w:val="none"/>
                <w:shd w:val="clear" w:color="auto" w:fill="FFFFFF"/>
                <w:lang w:val="zh-CN"/>
              </w:rPr>
            </w:pPr>
          </w:p>
        </w:tc>
        <w:tc>
          <w:tcPr>
            <w:tcW w:w="623" w:type="pct"/>
            <w:tcBorders>
              <w:top w:val="single" w:color="auto" w:sz="4" w:space="0"/>
              <w:left w:val="single" w:color="auto" w:sz="4" w:space="0"/>
              <w:bottom w:val="single" w:color="auto" w:sz="4" w:space="0"/>
              <w:right w:val="single" w:color="auto" w:sz="4" w:space="0"/>
            </w:tcBorders>
            <w:vAlign w:val="center"/>
          </w:tcPr>
          <w:p w14:paraId="5B37D1BB">
            <w:pPr>
              <w:jc w:val="center"/>
              <w:rPr>
                <w:rFonts w:ascii="宋体" w:hAnsi="宋体" w:eastAsia="宋体" w:cs="宋体"/>
                <w:color w:val="auto"/>
                <w:szCs w:val="21"/>
                <w:highlight w:val="none"/>
                <w:shd w:val="clear" w:color="auto" w:fill="FFFFFF"/>
                <w:lang w:val="zh-CN"/>
              </w:rPr>
            </w:pPr>
          </w:p>
        </w:tc>
        <w:tc>
          <w:tcPr>
            <w:tcW w:w="352" w:type="pct"/>
            <w:tcBorders>
              <w:top w:val="single" w:color="auto" w:sz="4" w:space="0"/>
              <w:left w:val="single" w:color="auto" w:sz="4" w:space="0"/>
              <w:bottom w:val="single" w:color="auto" w:sz="4" w:space="0"/>
              <w:right w:val="single" w:color="auto" w:sz="4" w:space="0"/>
            </w:tcBorders>
            <w:vAlign w:val="center"/>
          </w:tcPr>
          <w:p w14:paraId="59F589CC">
            <w:pPr>
              <w:jc w:val="center"/>
              <w:rPr>
                <w:rFonts w:ascii="宋体" w:hAnsi="宋体" w:eastAsia="宋体" w:cs="宋体"/>
                <w:color w:val="auto"/>
                <w:szCs w:val="21"/>
                <w:highlight w:val="none"/>
                <w:shd w:val="clear" w:color="auto" w:fill="FFFFFF"/>
                <w:lang w:val="zh-CN"/>
              </w:rPr>
            </w:pPr>
          </w:p>
        </w:tc>
        <w:tc>
          <w:tcPr>
            <w:tcW w:w="403" w:type="pct"/>
            <w:vMerge w:val="continue"/>
            <w:tcBorders>
              <w:left w:val="single" w:color="auto" w:sz="4" w:space="0"/>
              <w:right w:val="single" w:color="auto" w:sz="4" w:space="0"/>
            </w:tcBorders>
            <w:vAlign w:val="center"/>
          </w:tcPr>
          <w:p w14:paraId="28BA61DD">
            <w:pPr>
              <w:jc w:val="center"/>
              <w:rPr>
                <w:rFonts w:ascii="宋体" w:hAnsi="宋体" w:eastAsia="宋体" w:cs="宋体"/>
                <w:color w:val="auto"/>
                <w:szCs w:val="21"/>
                <w:highlight w:val="none"/>
                <w:shd w:val="clear" w:color="auto" w:fill="FFFFFF"/>
                <w:lang w:val="zh-CN"/>
              </w:rPr>
            </w:pPr>
          </w:p>
        </w:tc>
        <w:tc>
          <w:tcPr>
            <w:tcW w:w="640" w:type="pct"/>
            <w:tcBorders>
              <w:top w:val="single" w:color="auto" w:sz="4" w:space="0"/>
              <w:left w:val="single" w:color="auto" w:sz="4" w:space="0"/>
              <w:bottom w:val="single" w:color="auto" w:sz="4" w:space="0"/>
              <w:right w:val="single" w:color="auto" w:sz="4" w:space="0"/>
            </w:tcBorders>
            <w:vAlign w:val="center"/>
          </w:tcPr>
          <w:p w14:paraId="7FCDFF76">
            <w:pPr>
              <w:jc w:val="center"/>
              <w:rPr>
                <w:rFonts w:ascii="宋体" w:hAnsi="宋体" w:eastAsia="宋体" w:cs="宋体"/>
                <w:color w:val="auto"/>
                <w:szCs w:val="21"/>
                <w:highlight w:val="none"/>
                <w:shd w:val="clear" w:color="auto" w:fill="FFFFFF"/>
                <w:lang w:val="zh-CN"/>
              </w:rPr>
            </w:pPr>
          </w:p>
        </w:tc>
        <w:tc>
          <w:tcPr>
            <w:tcW w:w="474" w:type="pct"/>
            <w:tcBorders>
              <w:top w:val="single" w:color="auto" w:sz="4" w:space="0"/>
              <w:left w:val="single" w:color="auto" w:sz="4" w:space="0"/>
              <w:bottom w:val="single" w:color="auto" w:sz="4" w:space="0"/>
              <w:right w:val="single" w:color="auto" w:sz="4" w:space="0"/>
            </w:tcBorders>
            <w:vAlign w:val="center"/>
          </w:tcPr>
          <w:p w14:paraId="72967335">
            <w:pPr>
              <w:jc w:val="center"/>
              <w:rPr>
                <w:rFonts w:ascii="宋体" w:hAnsi="宋体" w:eastAsia="宋体" w:cs="宋体"/>
                <w:color w:val="auto"/>
                <w:szCs w:val="21"/>
                <w:highlight w:val="none"/>
                <w:shd w:val="clear" w:color="auto" w:fill="FFFFFF"/>
                <w:lang w:val="zh-CN"/>
              </w:rPr>
            </w:pPr>
          </w:p>
        </w:tc>
        <w:tc>
          <w:tcPr>
            <w:tcW w:w="362" w:type="pct"/>
            <w:tcBorders>
              <w:top w:val="single" w:color="auto" w:sz="4" w:space="0"/>
              <w:left w:val="single" w:color="auto" w:sz="4" w:space="0"/>
              <w:bottom w:val="single" w:color="auto" w:sz="4" w:space="0"/>
              <w:right w:val="single" w:color="auto" w:sz="4" w:space="0"/>
            </w:tcBorders>
            <w:vAlign w:val="center"/>
          </w:tcPr>
          <w:p w14:paraId="2ECE20F4">
            <w:pPr>
              <w:jc w:val="center"/>
              <w:rPr>
                <w:rFonts w:ascii="宋体" w:hAnsi="宋体" w:eastAsia="宋体" w:cs="宋体"/>
                <w:color w:val="auto"/>
                <w:szCs w:val="21"/>
                <w:highlight w:val="none"/>
                <w:shd w:val="clear" w:color="auto" w:fill="FFFFFF"/>
                <w:lang w:val="zh-CN"/>
              </w:rPr>
            </w:pPr>
          </w:p>
        </w:tc>
      </w:tr>
      <w:tr w14:paraId="2D39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70" w:type="pct"/>
            <w:tcBorders>
              <w:top w:val="single" w:color="auto" w:sz="4" w:space="0"/>
              <w:left w:val="single" w:color="auto" w:sz="4" w:space="0"/>
              <w:bottom w:val="single" w:color="auto" w:sz="4" w:space="0"/>
              <w:right w:val="single" w:color="auto" w:sz="4" w:space="0"/>
            </w:tcBorders>
            <w:vAlign w:val="center"/>
          </w:tcPr>
          <w:p w14:paraId="1158D469">
            <w:pPr>
              <w:jc w:val="center"/>
              <w:rPr>
                <w:rFonts w:ascii="宋体" w:hAnsi="宋体" w:eastAsia="宋体" w:cs="宋体"/>
                <w:color w:val="auto"/>
                <w:szCs w:val="21"/>
                <w:highlight w:val="none"/>
                <w:shd w:val="clear" w:color="auto" w:fill="FFFFFF"/>
                <w:lang w:val="zh-CN"/>
              </w:rPr>
            </w:pPr>
            <w:r>
              <w:rPr>
                <w:rFonts w:ascii="宋体" w:hAnsi="宋体" w:eastAsia="宋体" w:cs="宋体"/>
                <w:color w:val="auto"/>
                <w:szCs w:val="21"/>
                <w:highlight w:val="none"/>
                <w:shd w:val="clear" w:color="auto" w:fill="FFFFFF"/>
                <w:lang w:val="zh-CN"/>
              </w:rPr>
              <w:t>3</w:t>
            </w:r>
          </w:p>
        </w:tc>
        <w:tc>
          <w:tcPr>
            <w:tcW w:w="971" w:type="pct"/>
            <w:tcBorders>
              <w:top w:val="single" w:color="auto" w:sz="4" w:space="0"/>
              <w:left w:val="single" w:color="auto" w:sz="4" w:space="0"/>
              <w:bottom w:val="single" w:color="auto" w:sz="4" w:space="0"/>
              <w:right w:val="single" w:color="auto" w:sz="4" w:space="0"/>
            </w:tcBorders>
            <w:vAlign w:val="center"/>
          </w:tcPr>
          <w:p w14:paraId="148DAA03">
            <w:pPr>
              <w:jc w:val="center"/>
              <w:rPr>
                <w:rFonts w:ascii="宋体" w:hAnsi="宋体" w:eastAsia="宋体" w:cs="宋体"/>
                <w:color w:val="auto"/>
                <w:szCs w:val="21"/>
                <w:highlight w:val="none"/>
                <w:shd w:val="clear" w:color="auto" w:fill="FFFFFF"/>
                <w:lang w:val="zh-CN"/>
              </w:rPr>
            </w:pPr>
          </w:p>
        </w:tc>
        <w:tc>
          <w:tcPr>
            <w:tcW w:w="402" w:type="pct"/>
            <w:tcBorders>
              <w:top w:val="single" w:color="auto" w:sz="4" w:space="0"/>
              <w:left w:val="single" w:color="auto" w:sz="4" w:space="0"/>
              <w:bottom w:val="single" w:color="auto" w:sz="4" w:space="0"/>
              <w:right w:val="single" w:color="auto" w:sz="4" w:space="0"/>
            </w:tcBorders>
            <w:vAlign w:val="center"/>
          </w:tcPr>
          <w:p w14:paraId="44AA5262">
            <w:pPr>
              <w:jc w:val="center"/>
              <w:rPr>
                <w:rFonts w:ascii="宋体" w:hAnsi="宋体" w:eastAsia="宋体" w:cs="宋体"/>
                <w:color w:val="auto"/>
                <w:szCs w:val="21"/>
                <w:highlight w:val="none"/>
                <w:shd w:val="clear" w:color="auto" w:fill="FFFFFF"/>
                <w:lang w:val="zh-CN"/>
              </w:rPr>
            </w:pPr>
          </w:p>
        </w:tc>
        <w:tc>
          <w:tcPr>
            <w:tcW w:w="403" w:type="pct"/>
            <w:vMerge w:val="continue"/>
            <w:tcBorders>
              <w:left w:val="single" w:color="auto" w:sz="4" w:space="0"/>
              <w:right w:val="single" w:color="auto" w:sz="4" w:space="0"/>
            </w:tcBorders>
            <w:vAlign w:val="center"/>
          </w:tcPr>
          <w:p w14:paraId="5FA41AC6">
            <w:pPr>
              <w:jc w:val="center"/>
              <w:rPr>
                <w:rFonts w:ascii="宋体" w:hAnsi="宋体" w:eastAsia="宋体" w:cs="宋体"/>
                <w:color w:val="auto"/>
                <w:szCs w:val="21"/>
                <w:highlight w:val="none"/>
                <w:shd w:val="clear" w:color="auto" w:fill="FFFFFF"/>
                <w:lang w:val="zh-CN"/>
              </w:rPr>
            </w:pPr>
          </w:p>
        </w:tc>
        <w:tc>
          <w:tcPr>
            <w:tcW w:w="623" w:type="pct"/>
            <w:tcBorders>
              <w:top w:val="single" w:color="auto" w:sz="4" w:space="0"/>
              <w:left w:val="single" w:color="auto" w:sz="4" w:space="0"/>
              <w:bottom w:val="single" w:color="auto" w:sz="4" w:space="0"/>
              <w:right w:val="single" w:color="auto" w:sz="4" w:space="0"/>
            </w:tcBorders>
            <w:vAlign w:val="center"/>
          </w:tcPr>
          <w:p w14:paraId="4E8970DC">
            <w:pPr>
              <w:jc w:val="center"/>
              <w:rPr>
                <w:rFonts w:ascii="宋体" w:hAnsi="宋体" w:eastAsia="宋体" w:cs="宋体"/>
                <w:color w:val="auto"/>
                <w:szCs w:val="21"/>
                <w:highlight w:val="none"/>
                <w:shd w:val="clear" w:color="auto" w:fill="FFFFFF"/>
                <w:lang w:val="zh-CN"/>
              </w:rPr>
            </w:pPr>
          </w:p>
        </w:tc>
        <w:tc>
          <w:tcPr>
            <w:tcW w:w="352" w:type="pct"/>
            <w:tcBorders>
              <w:top w:val="single" w:color="auto" w:sz="4" w:space="0"/>
              <w:left w:val="single" w:color="auto" w:sz="4" w:space="0"/>
              <w:bottom w:val="single" w:color="auto" w:sz="4" w:space="0"/>
              <w:right w:val="single" w:color="auto" w:sz="4" w:space="0"/>
            </w:tcBorders>
            <w:vAlign w:val="center"/>
          </w:tcPr>
          <w:p w14:paraId="0B968FB9">
            <w:pPr>
              <w:jc w:val="center"/>
              <w:rPr>
                <w:rFonts w:ascii="宋体" w:hAnsi="宋体" w:eastAsia="宋体" w:cs="宋体"/>
                <w:color w:val="auto"/>
                <w:szCs w:val="21"/>
                <w:highlight w:val="none"/>
                <w:shd w:val="clear" w:color="auto" w:fill="FFFFFF"/>
                <w:lang w:val="zh-CN"/>
              </w:rPr>
            </w:pPr>
          </w:p>
        </w:tc>
        <w:tc>
          <w:tcPr>
            <w:tcW w:w="403" w:type="pct"/>
            <w:vMerge w:val="continue"/>
            <w:tcBorders>
              <w:left w:val="single" w:color="auto" w:sz="4" w:space="0"/>
              <w:right w:val="single" w:color="auto" w:sz="4" w:space="0"/>
            </w:tcBorders>
            <w:vAlign w:val="center"/>
          </w:tcPr>
          <w:p w14:paraId="6F72BB5B">
            <w:pPr>
              <w:jc w:val="center"/>
              <w:rPr>
                <w:rFonts w:ascii="宋体" w:hAnsi="宋体" w:eastAsia="宋体" w:cs="宋体"/>
                <w:color w:val="auto"/>
                <w:szCs w:val="21"/>
                <w:highlight w:val="none"/>
                <w:shd w:val="clear" w:color="auto" w:fill="FFFFFF"/>
                <w:lang w:val="zh-CN"/>
              </w:rPr>
            </w:pPr>
          </w:p>
        </w:tc>
        <w:tc>
          <w:tcPr>
            <w:tcW w:w="640" w:type="pct"/>
            <w:tcBorders>
              <w:top w:val="single" w:color="auto" w:sz="4" w:space="0"/>
              <w:left w:val="single" w:color="auto" w:sz="4" w:space="0"/>
              <w:bottom w:val="single" w:color="auto" w:sz="4" w:space="0"/>
              <w:right w:val="single" w:color="auto" w:sz="4" w:space="0"/>
            </w:tcBorders>
            <w:vAlign w:val="center"/>
          </w:tcPr>
          <w:p w14:paraId="4CE374B8">
            <w:pPr>
              <w:jc w:val="center"/>
              <w:rPr>
                <w:rFonts w:ascii="宋体" w:hAnsi="宋体" w:eastAsia="宋体" w:cs="宋体"/>
                <w:color w:val="auto"/>
                <w:szCs w:val="21"/>
                <w:highlight w:val="none"/>
                <w:shd w:val="clear" w:color="auto" w:fill="FFFFFF"/>
                <w:lang w:val="zh-CN"/>
              </w:rPr>
            </w:pPr>
          </w:p>
        </w:tc>
        <w:tc>
          <w:tcPr>
            <w:tcW w:w="474" w:type="pct"/>
            <w:tcBorders>
              <w:top w:val="single" w:color="auto" w:sz="4" w:space="0"/>
              <w:left w:val="single" w:color="auto" w:sz="4" w:space="0"/>
              <w:bottom w:val="single" w:color="auto" w:sz="4" w:space="0"/>
              <w:right w:val="single" w:color="auto" w:sz="4" w:space="0"/>
            </w:tcBorders>
            <w:vAlign w:val="center"/>
          </w:tcPr>
          <w:p w14:paraId="661C0176">
            <w:pPr>
              <w:jc w:val="center"/>
              <w:rPr>
                <w:rFonts w:ascii="宋体" w:hAnsi="宋体" w:eastAsia="宋体" w:cs="宋体"/>
                <w:color w:val="auto"/>
                <w:szCs w:val="21"/>
                <w:highlight w:val="none"/>
                <w:shd w:val="clear" w:color="auto" w:fill="FFFFFF"/>
                <w:lang w:val="zh-CN"/>
              </w:rPr>
            </w:pPr>
          </w:p>
        </w:tc>
        <w:tc>
          <w:tcPr>
            <w:tcW w:w="362" w:type="pct"/>
            <w:tcBorders>
              <w:top w:val="single" w:color="auto" w:sz="4" w:space="0"/>
              <w:left w:val="single" w:color="auto" w:sz="4" w:space="0"/>
              <w:bottom w:val="single" w:color="auto" w:sz="4" w:space="0"/>
              <w:right w:val="single" w:color="auto" w:sz="4" w:space="0"/>
            </w:tcBorders>
            <w:vAlign w:val="center"/>
          </w:tcPr>
          <w:p w14:paraId="799B054F">
            <w:pPr>
              <w:jc w:val="center"/>
              <w:rPr>
                <w:rFonts w:ascii="宋体" w:hAnsi="宋体" w:eastAsia="宋体" w:cs="宋体"/>
                <w:color w:val="auto"/>
                <w:szCs w:val="21"/>
                <w:highlight w:val="none"/>
                <w:shd w:val="clear" w:color="auto" w:fill="FFFFFF"/>
                <w:lang w:val="zh-CN"/>
              </w:rPr>
            </w:pPr>
          </w:p>
        </w:tc>
      </w:tr>
      <w:tr w14:paraId="3331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70" w:type="pct"/>
            <w:tcBorders>
              <w:top w:val="single" w:color="auto" w:sz="4" w:space="0"/>
              <w:left w:val="single" w:color="auto" w:sz="4" w:space="0"/>
              <w:bottom w:val="single" w:color="auto" w:sz="4" w:space="0"/>
              <w:right w:val="single" w:color="auto" w:sz="4" w:space="0"/>
            </w:tcBorders>
            <w:vAlign w:val="center"/>
          </w:tcPr>
          <w:p w14:paraId="4B71BA33">
            <w:pPr>
              <w:jc w:val="center"/>
              <w:rPr>
                <w:rFonts w:ascii="宋体" w:hAnsi="宋体" w:eastAsia="宋体" w:cs="宋体"/>
                <w:color w:val="auto"/>
                <w:szCs w:val="21"/>
                <w:highlight w:val="none"/>
                <w:shd w:val="clear" w:color="auto" w:fill="FFFFFF"/>
                <w:lang w:val="zh-CN"/>
              </w:rPr>
            </w:pPr>
            <w:r>
              <w:rPr>
                <w:rFonts w:ascii="宋体" w:hAnsi="宋体" w:eastAsia="宋体" w:cs="宋体"/>
                <w:color w:val="auto"/>
                <w:szCs w:val="21"/>
                <w:highlight w:val="none"/>
                <w:shd w:val="clear" w:color="auto" w:fill="FFFFFF"/>
                <w:lang w:val="zh-CN"/>
              </w:rPr>
              <w:t>4</w:t>
            </w:r>
          </w:p>
        </w:tc>
        <w:tc>
          <w:tcPr>
            <w:tcW w:w="971" w:type="pct"/>
            <w:tcBorders>
              <w:top w:val="single" w:color="auto" w:sz="4" w:space="0"/>
              <w:left w:val="single" w:color="auto" w:sz="4" w:space="0"/>
              <w:bottom w:val="single" w:color="auto" w:sz="4" w:space="0"/>
              <w:right w:val="single" w:color="auto" w:sz="4" w:space="0"/>
            </w:tcBorders>
            <w:vAlign w:val="center"/>
          </w:tcPr>
          <w:p w14:paraId="4E248AAA">
            <w:pPr>
              <w:jc w:val="center"/>
              <w:rPr>
                <w:rFonts w:ascii="宋体" w:hAnsi="宋体" w:eastAsia="宋体" w:cs="宋体"/>
                <w:color w:val="auto"/>
                <w:szCs w:val="21"/>
                <w:highlight w:val="none"/>
                <w:shd w:val="clear" w:color="auto" w:fill="FFFFFF"/>
                <w:lang w:val="zh-CN"/>
              </w:rPr>
            </w:pPr>
          </w:p>
        </w:tc>
        <w:tc>
          <w:tcPr>
            <w:tcW w:w="402" w:type="pct"/>
            <w:tcBorders>
              <w:top w:val="single" w:color="auto" w:sz="4" w:space="0"/>
              <w:left w:val="single" w:color="auto" w:sz="4" w:space="0"/>
              <w:bottom w:val="single" w:color="auto" w:sz="4" w:space="0"/>
              <w:right w:val="single" w:color="auto" w:sz="4" w:space="0"/>
            </w:tcBorders>
            <w:vAlign w:val="center"/>
          </w:tcPr>
          <w:p w14:paraId="35112746">
            <w:pPr>
              <w:jc w:val="center"/>
              <w:rPr>
                <w:rFonts w:ascii="宋体" w:hAnsi="宋体" w:eastAsia="宋体" w:cs="宋体"/>
                <w:color w:val="auto"/>
                <w:szCs w:val="21"/>
                <w:highlight w:val="none"/>
                <w:shd w:val="clear" w:color="auto" w:fill="FFFFFF"/>
                <w:lang w:val="zh-CN"/>
              </w:rPr>
            </w:pPr>
          </w:p>
        </w:tc>
        <w:tc>
          <w:tcPr>
            <w:tcW w:w="403" w:type="pct"/>
            <w:vMerge w:val="continue"/>
            <w:tcBorders>
              <w:left w:val="single" w:color="auto" w:sz="4" w:space="0"/>
              <w:right w:val="single" w:color="auto" w:sz="4" w:space="0"/>
            </w:tcBorders>
            <w:vAlign w:val="center"/>
          </w:tcPr>
          <w:p w14:paraId="1ADE003C">
            <w:pPr>
              <w:jc w:val="center"/>
              <w:rPr>
                <w:rFonts w:ascii="宋体" w:hAnsi="宋体" w:eastAsia="宋体" w:cs="宋体"/>
                <w:color w:val="auto"/>
                <w:szCs w:val="21"/>
                <w:highlight w:val="none"/>
                <w:shd w:val="clear" w:color="auto" w:fill="FFFFFF"/>
                <w:lang w:val="zh-CN"/>
              </w:rPr>
            </w:pPr>
          </w:p>
        </w:tc>
        <w:tc>
          <w:tcPr>
            <w:tcW w:w="623" w:type="pct"/>
            <w:tcBorders>
              <w:top w:val="single" w:color="auto" w:sz="4" w:space="0"/>
              <w:left w:val="single" w:color="auto" w:sz="4" w:space="0"/>
              <w:bottom w:val="single" w:color="auto" w:sz="4" w:space="0"/>
              <w:right w:val="single" w:color="auto" w:sz="4" w:space="0"/>
            </w:tcBorders>
            <w:vAlign w:val="center"/>
          </w:tcPr>
          <w:p w14:paraId="42FFF931">
            <w:pPr>
              <w:jc w:val="center"/>
              <w:rPr>
                <w:rFonts w:ascii="宋体" w:hAnsi="宋体" w:eastAsia="宋体" w:cs="宋体"/>
                <w:color w:val="auto"/>
                <w:szCs w:val="21"/>
                <w:highlight w:val="none"/>
                <w:shd w:val="clear" w:color="auto" w:fill="FFFFFF"/>
                <w:lang w:val="zh-CN"/>
              </w:rPr>
            </w:pPr>
          </w:p>
        </w:tc>
        <w:tc>
          <w:tcPr>
            <w:tcW w:w="352" w:type="pct"/>
            <w:tcBorders>
              <w:top w:val="single" w:color="auto" w:sz="4" w:space="0"/>
              <w:left w:val="single" w:color="auto" w:sz="4" w:space="0"/>
              <w:bottom w:val="single" w:color="auto" w:sz="4" w:space="0"/>
              <w:right w:val="single" w:color="auto" w:sz="4" w:space="0"/>
            </w:tcBorders>
            <w:vAlign w:val="center"/>
          </w:tcPr>
          <w:p w14:paraId="1905AFEF">
            <w:pPr>
              <w:jc w:val="center"/>
              <w:rPr>
                <w:rFonts w:ascii="宋体" w:hAnsi="宋体" w:eastAsia="宋体" w:cs="宋体"/>
                <w:color w:val="auto"/>
                <w:szCs w:val="21"/>
                <w:highlight w:val="none"/>
                <w:shd w:val="clear" w:color="auto" w:fill="FFFFFF"/>
                <w:lang w:val="zh-CN"/>
              </w:rPr>
            </w:pPr>
          </w:p>
        </w:tc>
        <w:tc>
          <w:tcPr>
            <w:tcW w:w="403" w:type="pct"/>
            <w:vMerge w:val="continue"/>
            <w:tcBorders>
              <w:left w:val="single" w:color="auto" w:sz="4" w:space="0"/>
              <w:right w:val="single" w:color="auto" w:sz="4" w:space="0"/>
            </w:tcBorders>
            <w:vAlign w:val="center"/>
          </w:tcPr>
          <w:p w14:paraId="06A0E8BE">
            <w:pPr>
              <w:jc w:val="center"/>
              <w:rPr>
                <w:rFonts w:ascii="宋体" w:hAnsi="宋体" w:eastAsia="宋体" w:cs="宋体"/>
                <w:color w:val="auto"/>
                <w:szCs w:val="21"/>
                <w:highlight w:val="none"/>
                <w:shd w:val="clear" w:color="auto" w:fill="FFFFFF"/>
                <w:lang w:val="zh-CN"/>
              </w:rPr>
            </w:pPr>
          </w:p>
        </w:tc>
        <w:tc>
          <w:tcPr>
            <w:tcW w:w="640" w:type="pct"/>
            <w:tcBorders>
              <w:top w:val="single" w:color="auto" w:sz="4" w:space="0"/>
              <w:left w:val="single" w:color="auto" w:sz="4" w:space="0"/>
              <w:bottom w:val="single" w:color="auto" w:sz="4" w:space="0"/>
              <w:right w:val="single" w:color="auto" w:sz="4" w:space="0"/>
            </w:tcBorders>
            <w:vAlign w:val="center"/>
          </w:tcPr>
          <w:p w14:paraId="01198E1F">
            <w:pPr>
              <w:jc w:val="center"/>
              <w:rPr>
                <w:rFonts w:ascii="宋体" w:hAnsi="宋体" w:eastAsia="宋体" w:cs="宋体"/>
                <w:color w:val="auto"/>
                <w:szCs w:val="21"/>
                <w:highlight w:val="none"/>
                <w:shd w:val="clear" w:color="auto" w:fill="FFFFFF"/>
                <w:lang w:val="zh-CN"/>
              </w:rPr>
            </w:pPr>
          </w:p>
        </w:tc>
        <w:tc>
          <w:tcPr>
            <w:tcW w:w="474" w:type="pct"/>
            <w:tcBorders>
              <w:top w:val="single" w:color="auto" w:sz="4" w:space="0"/>
              <w:left w:val="single" w:color="auto" w:sz="4" w:space="0"/>
              <w:bottom w:val="single" w:color="auto" w:sz="4" w:space="0"/>
              <w:right w:val="single" w:color="auto" w:sz="4" w:space="0"/>
            </w:tcBorders>
            <w:vAlign w:val="center"/>
          </w:tcPr>
          <w:p w14:paraId="626143DC">
            <w:pPr>
              <w:jc w:val="center"/>
              <w:rPr>
                <w:rFonts w:ascii="宋体" w:hAnsi="宋体" w:eastAsia="宋体" w:cs="宋体"/>
                <w:color w:val="auto"/>
                <w:szCs w:val="21"/>
                <w:highlight w:val="none"/>
                <w:shd w:val="clear" w:color="auto" w:fill="FFFFFF"/>
                <w:lang w:val="zh-CN"/>
              </w:rPr>
            </w:pPr>
          </w:p>
        </w:tc>
        <w:tc>
          <w:tcPr>
            <w:tcW w:w="362" w:type="pct"/>
            <w:tcBorders>
              <w:top w:val="single" w:color="auto" w:sz="4" w:space="0"/>
              <w:left w:val="single" w:color="auto" w:sz="4" w:space="0"/>
              <w:bottom w:val="single" w:color="auto" w:sz="4" w:space="0"/>
              <w:right w:val="single" w:color="auto" w:sz="4" w:space="0"/>
            </w:tcBorders>
            <w:vAlign w:val="center"/>
          </w:tcPr>
          <w:p w14:paraId="60613E33">
            <w:pPr>
              <w:jc w:val="center"/>
              <w:rPr>
                <w:rFonts w:ascii="宋体" w:hAnsi="宋体" w:eastAsia="宋体" w:cs="宋体"/>
                <w:color w:val="auto"/>
                <w:szCs w:val="21"/>
                <w:highlight w:val="none"/>
                <w:shd w:val="clear" w:color="auto" w:fill="FFFFFF"/>
                <w:lang w:val="zh-CN"/>
              </w:rPr>
            </w:pPr>
          </w:p>
        </w:tc>
      </w:tr>
      <w:tr w14:paraId="3EC6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70" w:type="pct"/>
            <w:tcBorders>
              <w:top w:val="single" w:color="auto" w:sz="4" w:space="0"/>
              <w:left w:val="single" w:color="auto" w:sz="4" w:space="0"/>
              <w:bottom w:val="single" w:color="auto" w:sz="4" w:space="0"/>
              <w:right w:val="single" w:color="auto" w:sz="4" w:space="0"/>
            </w:tcBorders>
            <w:vAlign w:val="center"/>
          </w:tcPr>
          <w:p w14:paraId="0E2E58E1">
            <w:pPr>
              <w:jc w:val="center"/>
              <w:rPr>
                <w:rFonts w:ascii="宋体" w:hAnsi="宋体" w:eastAsia="宋体" w:cs="宋体"/>
                <w:color w:val="auto"/>
                <w:szCs w:val="21"/>
                <w:highlight w:val="none"/>
                <w:shd w:val="clear" w:color="auto" w:fill="FFFFFF"/>
                <w:lang w:val="zh-CN"/>
              </w:rPr>
            </w:pPr>
            <w:r>
              <w:rPr>
                <w:rFonts w:ascii="宋体" w:hAnsi="宋体" w:eastAsia="宋体" w:cs="宋体"/>
                <w:color w:val="auto"/>
                <w:szCs w:val="21"/>
                <w:highlight w:val="none"/>
                <w:shd w:val="clear" w:color="auto" w:fill="FFFFFF"/>
                <w:lang w:val="zh-CN"/>
              </w:rPr>
              <w:t>5</w:t>
            </w:r>
          </w:p>
        </w:tc>
        <w:tc>
          <w:tcPr>
            <w:tcW w:w="971" w:type="pct"/>
            <w:tcBorders>
              <w:top w:val="single" w:color="auto" w:sz="4" w:space="0"/>
              <w:left w:val="single" w:color="auto" w:sz="4" w:space="0"/>
              <w:bottom w:val="single" w:color="auto" w:sz="4" w:space="0"/>
              <w:right w:val="single" w:color="auto" w:sz="4" w:space="0"/>
            </w:tcBorders>
            <w:vAlign w:val="center"/>
          </w:tcPr>
          <w:p w14:paraId="17BF3C58">
            <w:pPr>
              <w:jc w:val="center"/>
              <w:rPr>
                <w:rFonts w:ascii="宋体" w:hAnsi="宋体" w:eastAsia="宋体" w:cs="宋体"/>
                <w:color w:val="auto"/>
                <w:szCs w:val="21"/>
                <w:highlight w:val="none"/>
                <w:shd w:val="clear" w:color="auto" w:fill="FFFFFF"/>
                <w:lang w:val="zh-CN"/>
              </w:rPr>
            </w:pPr>
          </w:p>
        </w:tc>
        <w:tc>
          <w:tcPr>
            <w:tcW w:w="402" w:type="pct"/>
            <w:tcBorders>
              <w:top w:val="single" w:color="auto" w:sz="4" w:space="0"/>
              <w:left w:val="single" w:color="auto" w:sz="4" w:space="0"/>
              <w:bottom w:val="single" w:color="auto" w:sz="4" w:space="0"/>
              <w:right w:val="single" w:color="auto" w:sz="4" w:space="0"/>
            </w:tcBorders>
            <w:vAlign w:val="center"/>
          </w:tcPr>
          <w:p w14:paraId="0204B0A8">
            <w:pPr>
              <w:jc w:val="center"/>
              <w:rPr>
                <w:rFonts w:ascii="宋体" w:hAnsi="宋体" w:eastAsia="宋体" w:cs="宋体"/>
                <w:color w:val="auto"/>
                <w:szCs w:val="21"/>
                <w:highlight w:val="none"/>
                <w:shd w:val="clear" w:color="auto" w:fill="FFFFFF"/>
                <w:lang w:val="zh-CN"/>
              </w:rPr>
            </w:pPr>
          </w:p>
        </w:tc>
        <w:tc>
          <w:tcPr>
            <w:tcW w:w="403" w:type="pct"/>
            <w:vMerge w:val="continue"/>
            <w:tcBorders>
              <w:left w:val="single" w:color="auto" w:sz="4" w:space="0"/>
              <w:right w:val="single" w:color="auto" w:sz="4" w:space="0"/>
            </w:tcBorders>
            <w:vAlign w:val="center"/>
          </w:tcPr>
          <w:p w14:paraId="2E700A60">
            <w:pPr>
              <w:jc w:val="center"/>
              <w:rPr>
                <w:rFonts w:ascii="宋体" w:hAnsi="宋体" w:eastAsia="宋体" w:cs="宋体"/>
                <w:color w:val="auto"/>
                <w:szCs w:val="21"/>
                <w:highlight w:val="none"/>
                <w:shd w:val="clear" w:color="auto" w:fill="FFFFFF"/>
                <w:lang w:val="zh-CN"/>
              </w:rPr>
            </w:pPr>
          </w:p>
        </w:tc>
        <w:tc>
          <w:tcPr>
            <w:tcW w:w="623" w:type="pct"/>
            <w:tcBorders>
              <w:top w:val="single" w:color="auto" w:sz="4" w:space="0"/>
              <w:left w:val="single" w:color="auto" w:sz="4" w:space="0"/>
              <w:bottom w:val="single" w:color="auto" w:sz="4" w:space="0"/>
              <w:right w:val="single" w:color="auto" w:sz="4" w:space="0"/>
            </w:tcBorders>
            <w:vAlign w:val="center"/>
          </w:tcPr>
          <w:p w14:paraId="4F34578D">
            <w:pPr>
              <w:jc w:val="center"/>
              <w:rPr>
                <w:rFonts w:ascii="宋体" w:hAnsi="宋体" w:eastAsia="宋体" w:cs="宋体"/>
                <w:color w:val="auto"/>
                <w:szCs w:val="21"/>
                <w:highlight w:val="none"/>
                <w:shd w:val="clear" w:color="auto" w:fill="FFFFFF"/>
                <w:lang w:val="zh-CN"/>
              </w:rPr>
            </w:pPr>
          </w:p>
        </w:tc>
        <w:tc>
          <w:tcPr>
            <w:tcW w:w="352" w:type="pct"/>
            <w:tcBorders>
              <w:top w:val="single" w:color="auto" w:sz="4" w:space="0"/>
              <w:left w:val="single" w:color="auto" w:sz="4" w:space="0"/>
              <w:bottom w:val="single" w:color="auto" w:sz="4" w:space="0"/>
              <w:right w:val="single" w:color="auto" w:sz="4" w:space="0"/>
            </w:tcBorders>
            <w:vAlign w:val="center"/>
          </w:tcPr>
          <w:p w14:paraId="7261A115">
            <w:pPr>
              <w:jc w:val="center"/>
              <w:rPr>
                <w:rFonts w:ascii="宋体" w:hAnsi="宋体" w:eastAsia="宋体" w:cs="宋体"/>
                <w:color w:val="auto"/>
                <w:szCs w:val="21"/>
                <w:highlight w:val="none"/>
                <w:shd w:val="clear" w:color="auto" w:fill="FFFFFF"/>
                <w:lang w:val="zh-CN"/>
              </w:rPr>
            </w:pPr>
          </w:p>
        </w:tc>
        <w:tc>
          <w:tcPr>
            <w:tcW w:w="403" w:type="pct"/>
            <w:vMerge w:val="continue"/>
            <w:tcBorders>
              <w:left w:val="single" w:color="auto" w:sz="4" w:space="0"/>
              <w:right w:val="single" w:color="auto" w:sz="4" w:space="0"/>
            </w:tcBorders>
            <w:vAlign w:val="center"/>
          </w:tcPr>
          <w:p w14:paraId="6AD51D4C">
            <w:pPr>
              <w:jc w:val="center"/>
              <w:rPr>
                <w:rFonts w:ascii="宋体" w:hAnsi="宋体" w:eastAsia="宋体" w:cs="宋体"/>
                <w:color w:val="auto"/>
                <w:szCs w:val="21"/>
                <w:highlight w:val="none"/>
                <w:shd w:val="clear" w:color="auto" w:fill="FFFFFF"/>
                <w:lang w:val="zh-CN"/>
              </w:rPr>
            </w:pPr>
          </w:p>
        </w:tc>
        <w:tc>
          <w:tcPr>
            <w:tcW w:w="640" w:type="pct"/>
            <w:tcBorders>
              <w:top w:val="single" w:color="auto" w:sz="4" w:space="0"/>
              <w:left w:val="single" w:color="auto" w:sz="4" w:space="0"/>
              <w:bottom w:val="single" w:color="auto" w:sz="4" w:space="0"/>
              <w:right w:val="single" w:color="auto" w:sz="4" w:space="0"/>
            </w:tcBorders>
            <w:vAlign w:val="center"/>
          </w:tcPr>
          <w:p w14:paraId="36258496">
            <w:pPr>
              <w:jc w:val="center"/>
              <w:rPr>
                <w:rFonts w:ascii="宋体" w:hAnsi="宋体" w:eastAsia="宋体" w:cs="宋体"/>
                <w:color w:val="auto"/>
                <w:szCs w:val="21"/>
                <w:highlight w:val="none"/>
                <w:shd w:val="clear" w:color="auto" w:fill="FFFFFF"/>
                <w:lang w:val="zh-CN"/>
              </w:rPr>
            </w:pPr>
          </w:p>
        </w:tc>
        <w:tc>
          <w:tcPr>
            <w:tcW w:w="474" w:type="pct"/>
            <w:tcBorders>
              <w:top w:val="single" w:color="auto" w:sz="4" w:space="0"/>
              <w:left w:val="single" w:color="auto" w:sz="4" w:space="0"/>
              <w:bottom w:val="single" w:color="auto" w:sz="4" w:space="0"/>
              <w:right w:val="single" w:color="auto" w:sz="4" w:space="0"/>
            </w:tcBorders>
            <w:vAlign w:val="center"/>
          </w:tcPr>
          <w:p w14:paraId="5C3C3590">
            <w:pPr>
              <w:jc w:val="center"/>
              <w:rPr>
                <w:rFonts w:ascii="宋体" w:hAnsi="宋体" w:eastAsia="宋体" w:cs="宋体"/>
                <w:color w:val="auto"/>
                <w:szCs w:val="21"/>
                <w:highlight w:val="none"/>
                <w:shd w:val="clear" w:color="auto" w:fill="FFFFFF"/>
                <w:lang w:val="zh-CN"/>
              </w:rPr>
            </w:pPr>
          </w:p>
        </w:tc>
        <w:tc>
          <w:tcPr>
            <w:tcW w:w="362" w:type="pct"/>
            <w:tcBorders>
              <w:top w:val="single" w:color="auto" w:sz="4" w:space="0"/>
              <w:left w:val="single" w:color="auto" w:sz="4" w:space="0"/>
              <w:bottom w:val="single" w:color="auto" w:sz="4" w:space="0"/>
              <w:right w:val="single" w:color="auto" w:sz="4" w:space="0"/>
            </w:tcBorders>
            <w:vAlign w:val="center"/>
          </w:tcPr>
          <w:p w14:paraId="4037329E">
            <w:pPr>
              <w:jc w:val="center"/>
              <w:rPr>
                <w:rFonts w:ascii="宋体" w:hAnsi="宋体" w:eastAsia="宋体" w:cs="宋体"/>
                <w:color w:val="auto"/>
                <w:szCs w:val="21"/>
                <w:highlight w:val="none"/>
                <w:shd w:val="clear" w:color="auto" w:fill="FFFFFF"/>
                <w:lang w:val="zh-CN"/>
              </w:rPr>
            </w:pPr>
          </w:p>
        </w:tc>
      </w:tr>
      <w:tr w14:paraId="689B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70" w:type="pct"/>
            <w:tcBorders>
              <w:top w:val="single" w:color="auto" w:sz="4" w:space="0"/>
              <w:left w:val="single" w:color="auto" w:sz="4" w:space="0"/>
              <w:bottom w:val="single" w:color="auto" w:sz="4" w:space="0"/>
              <w:right w:val="single" w:color="auto" w:sz="4" w:space="0"/>
            </w:tcBorders>
            <w:vAlign w:val="center"/>
          </w:tcPr>
          <w:p w14:paraId="5E7B7222">
            <w:pPr>
              <w:jc w:val="center"/>
              <w:rPr>
                <w:rFonts w:ascii="宋体" w:hAnsi="宋体" w:eastAsia="宋体" w:cs="宋体"/>
                <w:color w:val="auto"/>
                <w:szCs w:val="21"/>
                <w:highlight w:val="none"/>
                <w:shd w:val="clear" w:color="auto" w:fill="FFFFFF"/>
              </w:rPr>
            </w:pPr>
            <w:r>
              <w:rPr>
                <w:rFonts w:ascii="宋体" w:hAnsi="宋体" w:eastAsia="宋体" w:cs="宋体"/>
                <w:color w:val="auto"/>
                <w:szCs w:val="21"/>
                <w:highlight w:val="none"/>
                <w:shd w:val="clear" w:color="auto" w:fill="FFFFFF"/>
              </w:rPr>
              <w:t>6</w:t>
            </w:r>
          </w:p>
        </w:tc>
        <w:tc>
          <w:tcPr>
            <w:tcW w:w="971" w:type="pct"/>
            <w:tcBorders>
              <w:top w:val="single" w:color="auto" w:sz="4" w:space="0"/>
              <w:left w:val="single" w:color="auto" w:sz="4" w:space="0"/>
              <w:bottom w:val="single" w:color="auto" w:sz="4" w:space="0"/>
              <w:right w:val="single" w:color="auto" w:sz="4" w:space="0"/>
            </w:tcBorders>
            <w:vAlign w:val="center"/>
          </w:tcPr>
          <w:p w14:paraId="1CDFA868">
            <w:pPr>
              <w:jc w:val="center"/>
              <w:rPr>
                <w:rFonts w:ascii="宋体" w:hAnsi="宋体" w:eastAsia="宋体" w:cs="宋体"/>
                <w:color w:val="auto"/>
                <w:szCs w:val="21"/>
                <w:highlight w:val="none"/>
                <w:shd w:val="clear" w:color="auto" w:fill="FFFFFF"/>
                <w:lang w:val="zh-CN"/>
              </w:rPr>
            </w:pPr>
          </w:p>
        </w:tc>
        <w:tc>
          <w:tcPr>
            <w:tcW w:w="402" w:type="pct"/>
            <w:tcBorders>
              <w:top w:val="single" w:color="auto" w:sz="4" w:space="0"/>
              <w:left w:val="single" w:color="auto" w:sz="4" w:space="0"/>
              <w:bottom w:val="single" w:color="auto" w:sz="4" w:space="0"/>
              <w:right w:val="single" w:color="auto" w:sz="4" w:space="0"/>
            </w:tcBorders>
            <w:vAlign w:val="center"/>
          </w:tcPr>
          <w:p w14:paraId="0ADC8D6D">
            <w:pPr>
              <w:jc w:val="center"/>
              <w:rPr>
                <w:rFonts w:ascii="宋体" w:hAnsi="宋体" w:eastAsia="宋体" w:cs="宋体"/>
                <w:color w:val="auto"/>
                <w:szCs w:val="21"/>
                <w:highlight w:val="none"/>
                <w:shd w:val="clear" w:color="auto" w:fill="FFFFFF"/>
                <w:lang w:val="zh-CN"/>
              </w:rPr>
            </w:pPr>
          </w:p>
        </w:tc>
        <w:tc>
          <w:tcPr>
            <w:tcW w:w="403" w:type="pct"/>
            <w:vMerge w:val="continue"/>
            <w:tcBorders>
              <w:left w:val="single" w:color="auto" w:sz="4" w:space="0"/>
              <w:right w:val="single" w:color="auto" w:sz="4" w:space="0"/>
            </w:tcBorders>
            <w:vAlign w:val="center"/>
          </w:tcPr>
          <w:p w14:paraId="533040AB">
            <w:pPr>
              <w:jc w:val="center"/>
              <w:rPr>
                <w:rFonts w:ascii="宋体" w:hAnsi="宋体" w:eastAsia="宋体" w:cs="宋体"/>
                <w:color w:val="auto"/>
                <w:szCs w:val="21"/>
                <w:highlight w:val="none"/>
                <w:shd w:val="clear" w:color="auto" w:fill="FFFFFF"/>
                <w:lang w:val="zh-CN"/>
              </w:rPr>
            </w:pPr>
          </w:p>
        </w:tc>
        <w:tc>
          <w:tcPr>
            <w:tcW w:w="623" w:type="pct"/>
            <w:tcBorders>
              <w:top w:val="single" w:color="auto" w:sz="4" w:space="0"/>
              <w:left w:val="single" w:color="auto" w:sz="4" w:space="0"/>
              <w:bottom w:val="single" w:color="auto" w:sz="4" w:space="0"/>
              <w:right w:val="single" w:color="auto" w:sz="4" w:space="0"/>
            </w:tcBorders>
            <w:vAlign w:val="center"/>
          </w:tcPr>
          <w:p w14:paraId="7704E997">
            <w:pPr>
              <w:jc w:val="center"/>
              <w:rPr>
                <w:rFonts w:ascii="宋体" w:hAnsi="宋体" w:eastAsia="宋体" w:cs="宋体"/>
                <w:color w:val="auto"/>
                <w:szCs w:val="21"/>
                <w:highlight w:val="none"/>
                <w:shd w:val="clear" w:color="auto" w:fill="FFFFFF"/>
                <w:lang w:val="zh-CN"/>
              </w:rPr>
            </w:pPr>
          </w:p>
        </w:tc>
        <w:tc>
          <w:tcPr>
            <w:tcW w:w="352" w:type="pct"/>
            <w:tcBorders>
              <w:top w:val="single" w:color="auto" w:sz="4" w:space="0"/>
              <w:left w:val="single" w:color="auto" w:sz="4" w:space="0"/>
              <w:bottom w:val="single" w:color="auto" w:sz="4" w:space="0"/>
              <w:right w:val="single" w:color="auto" w:sz="4" w:space="0"/>
            </w:tcBorders>
            <w:vAlign w:val="center"/>
          </w:tcPr>
          <w:p w14:paraId="2D75A067">
            <w:pPr>
              <w:jc w:val="center"/>
              <w:rPr>
                <w:rFonts w:ascii="宋体" w:hAnsi="宋体" w:eastAsia="宋体" w:cs="宋体"/>
                <w:color w:val="auto"/>
                <w:szCs w:val="21"/>
                <w:highlight w:val="none"/>
                <w:shd w:val="clear" w:color="auto" w:fill="FFFFFF"/>
                <w:lang w:val="zh-CN"/>
              </w:rPr>
            </w:pPr>
          </w:p>
        </w:tc>
        <w:tc>
          <w:tcPr>
            <w:tcW w:w="403" w:type="pct"/>
            <w:vMerge w:val="continue"/>
            <w:tcBorders>
              <w:left w:val="single" w:color="auto" w:sz="4" w:space="0"/>
              <w:right w:val="single" w:color="auto" w:sz="4" w:space="0"/>
            </w:tcBorders>
            <w:vAlign w:val="center"/>
          </w:tcPr>
          <w:p w14:paraId="4DDEF17C">
            <w:pPr>
              <w:jc w:val="center"/>
              <w:rPr>
                <w:rFonts w:ascii="宋体" w:hAnsi="宋体" w:eastAsia="宋体" w:cs="宋体"/>
                <w:color w:val="auto"/>
                <w:szCs w:val="21"/>
                <w:highlight w:val="none"/>
                <w:shd w:val="clear" w:color="auto" w:fill="FFFFFF"/>
                <w:lang w:val="zh-CN"/>
              </w:rPr>
            </w:pPr>
          </w:p>
        </w:tc>
        <w:tc>
          <w:tcPr>
            <w:tcW w:w="640" w:type="pct"/>
            <w:tcBorders>
              <w:top w:val="single" w:color="auto" w:sz="4" w:space="0"/>
              <w:left w:val="single" w:color="auto" w:sz="4" w:space="0"/>
              <w:bottom w:val="single" w:color="auto" w:sz="4" w:space="0"/>
              <w:right w:val="single" w:color="auto" w:sz="4" w:space="0"/>
            </w:tcBorders>
            <w:vAlign w:val="center"/>
          </w:tcPr>
          <w:p w14:paraId="158F13D4">
            <w:pPr>
              <w:jc w:val="center"/>
              <w:rPr>
                <w:rFonts w:ascii="宋体" w:hAnsi="宋体" w:eastAsia="宋体" w:cs="宋体"/>
                <w:color w:val="auto"/>
                <w:szCs w:val="21"/>
                <w:highlight w:val="none"/>
                <w:shd w:val="clear" w:color="auto" w:fill="FFFFFF"/>
                <w:lang w:val="zh-CN"/>
              </w:rPr>
            </w:pPr>
          </w:p>
        </w:tc>
        <w:tc>
          <w:tcPr>
            <w:tcW w:w="474" w:type="pct"/>
            <w:tcBorders>
              <w:top w:val="single" w:color="auto" w:sz="4" w:space="0"/>
              <w:left w:val="single" w:color="auto" w:sz="4" w:space="0"/>
              <w:bottom w:val="single" w:color="auto" w:sz="4" w:space="0"/>
              <w:right w:val="single" w:color="auto" w:sz="4" w:space="0"/>
            </w:tcBorders>
            <w:vAlign w:val="center"/>
          </w:tcPr>
          <w:p w14:paraId="1C1DB276">
            <w:pPr>
              <w:jc w:val="center"/>
              <w:rPr>
                <w:rFonts w:ascii="宋体" w:hAnsi="宋体" w:eastAsia="宋体" w:cs="宋体"/>
                <w:color w:val="auto"/>
                <w:szCs w:val="21"/>
                <w:highlight w:val="none"/>
                <w:shd w:val="clear" w:color="auto" w:fill="FFFFFF"/>
                <w:lang w:val="zh-CN"/>
              </w:rPr>
            </w:pPr>
          </w:p>
        </w:tc>
        <w:tc>
          <w:tcPr>
            <w:tcW w:w="362" w:type="pct"/>
            <w:tcBorders>
              <w:top w:val="single" w:color="auto" w:sz="4" w:space="0"/>
              <w:left w:val="single" w:color="auto" w:sz="4" w:space="0"/>
              <w:bottom w:val="single" w:color="auto" w:sz="4" w:space="0"/>
              <w:right w:val="single" w:color="auto" w:sz="4" w:space="0"/>
            </w:tcBorders>
            <w:vAlign w:val="center"/>
          </w:tcPr>
          <w:p w14:paraId="21A8B465">
            <w:pPr>
              <w:jc w:val="center"/>
              <w:rPr>
                <w:rFonts w:ascii="宋体" w:hAnsi="宋体" w:eastAsia="宋体" w:cs="宋体"/>
                <w:color w:val="auto"/>
                <w:szCs w:val="21"/>
                <w:highlight w:val="none"/>
                <w:shd w:val="clear" w:color="auto" w:fill="FFFFFF"/>
                <w:lang w:val="zh-CN"/>
              </w:rPr>
            </w:pPr>
          </w:p>
        </w:tc>
      </w:tr>
      <w:tr w14:paraId="7B8F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70" w:type="pct"/>
            <w:tcBorders>
              <w:top w:val="single" w:color="auto" w:sz="4" w:space="0"/>
              <w:left w:val="single" w:color="auto" w:sz="4" w:space="0"/>
              <w:bottom w:val="single" w:color="auto" w:sz="4" w:space="0"/>
              <w:right w:val="single" w:color="auto" w:sz="4" w:space="0"/>
            </w:tcBorders>
            <w:vAlign w:val="center"/>
          </w:tcPr>
          <w:p w14:paraId="7DD36589">
            <w:pPr>
              <w:jc w:val="center"/>
              <w:rPr>
                <w:rFonts w:ascii="宋体" w:hAnsi="宋体" w:eastAsia="宋体" w:cs="宋体"/>
                <w:color w:val="auto"/>
                <w:szCs w:val="21"/>
                <w:highlight w:val="none"/>
                <w:shd w:val="clear" w:color="auto" w:fill="FFFFFF"/>
              </w:rPr>
            </w:pPr>
            <w:r>
              <w:rPr>
                <w:rFonts w:ascii="宋体" w:hAnsi="宋体" w:eastAsia="宋体" w:cs="宋体"/>
                <w:color w:val="auto"/>
                <w:szCs w:val="21"/>
                <w:highlight w:val="none"/>
                <w:shd w:val="clear" w:color="auto" w:fill="FFFFFF"/>
              </w:rPr>
              <w:t>7</w:t>
            </w:r>
          </w:p>
        </w:tc>
        <w:tc>
          <w:tcPr>
            <w:tcW w:w="971" w:type="pct"/>
            <w:tcBorders>
              <w:top w:val="single" w:color="auto" w:sz="4" w:space="0"/>
              <w:left w:val="single" w:color="auto" w:sz="4" w:space="0"/>
              <w:bottom w:val="single" w:color="auto" w:sz="4" w:space="0"/>
              <w:right w:val="single" w:color="auto" w:sz="4" w:space="0"/>
            </w:tcBorders>
            <w:vAlign w:val="center"/>
          </w:tcPr>
          <w:p w14:paraId="73AA1875">
            <w:pPr>
              <w:jc w:val="center"/>
              <w:rPr>
                <w:rFonts w:ascii="宋体" w:hAnsi="宋体" w:eastAsia="宋体" w:cs="宋体"/>
                <w:color w:val="auto"/>
                <w:szCs w:val="21"/>
                <w:highlight w:val="none"/>
                <w:shd w:val="clear" w:color="auto" w:fill="FFFFFF"/>
                <w:lang w:val="zh-CN"/>
              </w:rPr>
            </w:pPr>
          </w:p>
        </w:tc>
        <w:tc>
          <w:tcPr>
            <w:tcW w:w="402" w:type="pct"/>
            <w:tcBorders>
              <w:top w:val="single" w:color="auto" w:sz="4" w:space="0"/>
              <w:left w:val="single" w:color="auto" w:sz="4" w:space="0"/>
              <w:bottom w:val="single" w:color="auto" w:sz="4" w:space="0"/>
              <w:right w:val="single" w:color="auto" w:sz="4" w:space="0"/>
            </w:tcBorders>
            <w:vAlign w:val="center"/>
          </w:tcPr>
          <w:p w14:paraId="1923DD9A">
            <w:pPr>
              <w:jc w:val="center"/>
              <w:rPr>
                <w:rFonts w:ascii="宋体" w:hAnsi="宋体" w:eastAsia="宋体" w:cs="宋体"/>
                <w:color w:val="auto"/>
                <w:szCs w:val="21"/>
                <w:highlight w:val="none"/>
                <w:shd w:val="clear" w:color="auto" w:fill="FFFFFF"/>
                <w:lang w:val="zh-CN"/>
              </w:rPr>
            </w:pPr>
          </w:p>
        </w:tc>
        <w:tc>
          <w:tcPr>
            <w:tcW w:w="403" w:type="pct"/>
            <w:vMerge w:val="continue"/>
            <w:tcBorders>
              <w:left w:val="single" w:color="auto" w:sz="4" w:space="0"/>
              <w:bottom w:val="single" w:color="auto" w:sz="4" w:space="0"/>
              <w:right w:val="single" w:color="auto" w:sz="4" w:space="0"/>
            </w:tcBorders>
            <w:vAlign w:val="center"/>
          </w:tcPr>
          <w:p w14:paraId="17F67AE7">
            <w:pPr>
              <w:jc w:val="center"/>
              <w:rPr>
                <w:rFonts w:ascii="宋体" w:hAnsi="宋体" w:eastAsia="宋体" w:cs="宋体"/>
                <w:color w:val="auto"/>
                <w:szCs w:val="21"/>
                <w:highlight w:val="none"/>
                <w:shd w:val="clear" w:color="auto" w:fill="FFFFFF"/>
                <w:lang w:val="zh-CN"/>
              </w:rPr>
            </w:pPr>
          </w:p>
        </w:tc>
        <w:tc>
          <w:tcPr>
            <w:tcW w:w="623" w:type="pct"/>
            <w:tcBorders>
              <w:top w:val="single" w:color="auto" w:sz="4" w:space="0"/>
              <w:left w:val="single" w:color="auto" w:sz="4" w:space="0"/>
              <w:bottom w:val="single" w:color="auto" w:sz="4" w:space="0"/>
              <w:right w:val="single" w:color="auto" w:sz="4" w:space="0"/>
            </w:tcBorders>
            <w:vAlign w:val="center"/>
          </w:tcPr>
          <w:p w14:paraId="5F37C0DF">
            <w:pPr>
              <w:jc w:val="center"/>
              <w:rPr>
                <w:rFonts w:ascii="宋体" w:hAnsi="宋体" w:eastAsia="宋体" w:cs="宋体"/>
                <w:color w:val="auto"/>
                <w:szCs w:val="21"/>
                <w:highlight w:val="none"/>
                <w:shd w:val="clear" w:color="auto" w:fill="FFFFFF"/>
                <w:lang w:val="zh-CN"/>
              </w:rPr>
            </w:pPr>
          </w:p>
        </w:tc>
        <w:tc>
          <w:tcPr>
            <w:tcW w:w="352" w:type="pct"/>
            <w:tcBorders>
              <w:top w:val="single" w:color="auto" w:sz="4" w:space="0"/>
              <w:left w:val="single" w:color="auto" w:sz="4" w:space="0"/>
              <w:bottom w:val="single" w:color="auto" w:sz="4" w:space="0"/>
              <w:right w:val="single" w:color="auto" w:sz="4" w:space="0"/>
            </w:tcBorders>
            <w:vAlign w:val="center"/>
          </w:tcPr>
          <w:p w14:paraId="661116A9">
            <w:pPr>
              <w:jc w:val="center"/>
              <w:rPr>
                <w:rFonts w:ascii="宋体" w:hAnsi="宋体" w:eastAsia="宋体" w:cs="宋体"/>
                <w:color w:val="auto"/>
                <w:szCs w:val="21"/>
                <w:highlight w:val="none"/>
                <w:shd w:val="clear" w:color="auto" w:fill="FFFFFF"/>
                <w:lang w:val="zh-CN"/>
              </w:rPr>
            </w:pPr>
          </w:p>
        </w:tc>
        <w:tc>
          <w:tcPr>
            <w:tcW w:w="403" w:type="pct"/>
            <w:vMerge w:val="continue"/>
            <w:tcBorders>
              <w:left w:val="single" w:color="auto" w:sz="4" w:space="0"/>
              <w:bottom w:val="single" w:color="auto" w:sz="4" w:space="0"/>
              <w:right w:val="single" w:color="auto" w:sz="4" w:space="0"/>
            </w:tcBorders>
            <w:vAlign w:val="center"/>
          </w:tcPr>
          <w:p w14:paraId="3E830D46">
            <w:pPr>
              <w:jc w:val="center"/>
              <w:rPr>
                <w:rFonts w:ascii="宋体" w:hAnsi="宋体" w:eastAsia="宋体" w:cs="宋体"/>
                <w:color w:val="auto"/>
                <w:szCs w:val="21"/>
                <w:highlight w:val="none"/>
                <w:shd w:val="clear" w:color="auto" w:fill="FFFFFF"/>
                <w:lang w:val="zh-CN"/>
              </w:rPr>
            </w:pPr>
          </w:p>
        </w:tc>
        <w:tc>
          <w:tcPr>
            <w:tcW w:w="640" w:type="pct"/>
            <w:tcBorders>
              <w:top w:val="single" w:color="auto" w:sz="4" w:space="0"/>
              <w:left w:val="single" w:color="auto" w:sz="4" w:space="0"/>
              <w:bottom w:val="single" w:color="auto" w:sz="4" w:space="0"/>
              <w:right w:val="single" w:color="auto" w:sz="4" w:space="0"/>
            </w:tcBorders>
            <w:vAlign w:val="center"/>
          </w:tcPr>
          <w:p w14:paraId="178CD012">
            <w:pPr>
              <w:jc w:val="center"/>
              <w:rPr>
                <w:rFonts w:ascii="宋体" w:hAnsi="宋体" w:eastAsia="宋体" w:cs="宋体"/>
                <w:color w:val="auto"/>
                <w:szCs w:val="21"/>
                <w:highlight w:val="none"/>
                <w:shd w:val="clear" w:color="auto" w:fill="FFFFFF"/>
                <w:lang w:val="zh-CN"/>
              </w:rPr>
            </w:pPr>
          </w:p>
        </w:tc>
        <w:tc>
          <w:tcPr>
            <w:tcW w:w="474" w:type="pct"/>
            <w:tcBorders>
              <w:top w:val="single" w:color="auto" w:sz="4" w:space="0"/>
              <w:left w:val="single" w:color="auto" w:sz="4" w:space="0"/>
              <w:bottom w:val="single" w:color="auto" w:sz="4" w:space="0"/>
              <w:right w:val="single" w:color="auto" w:sz="4" w:space="0"/>
            </w:tcBorders>
            <w:vAlign w:val="center"/>
          </w:tcPr>
          <w:p w14:paraId="514F9B10">
            <w:pPr>
              <w:jc w:val="center"/>
              <w:rPr>
                <w:rFonts w:ascii="宋体" w:hAnsi="宋体" w:eastAsia="宋体" w:cs="宋体"/>
                <w:color w:val="auto"/>
                <w:szCs w:val="21"/>
                <w:highlight w:val="none"/>
                <w:shd w:val="clear" w:color="auto" w:fill="FFFFFF"/>
                <w:lang w:val="zh-CN"/>
              </w:rPr>
            </w:pPr>
          </w:p>
        </w:tc>
        <w:tc>
          <w:tcPr>
            <w:tcW w:w="362" w:type="pct"/>
            <w:tcBorders>
              <w:top w:val="single" w:color="auto" w:sz="4" w:space="0"/>
              <w:left w:val="single" w:color="auto" w:sz="4" w:space="0"/>
              <w:bottom w:val="single" w:color="auto" w:sz="4" w:space="0"/>
              <w:right w:val="single" w:color="auto" w:sz="4" w:space="0"/>
            </w:tcBorders>
            <w:vAlign w:val="center"/>
          </w:tcPr>
          <w:p w14:paraId="761616AC">
            <w:pPr>
              <w:jc w:val="center"/>
              <w:rPr>
                <w:rFonts w:ascii="宋体" w:hAnsi="宋体" w:eastAsia="宋体" w:cs="宋体"/>
                <w:color w:val="auto"/>
                <w:szCs w:val="21"/>
                <w:highlight w:val="none"/>
                <w:shd w:val="clear" w:color="auto" w:fill="FFFFFF"/>
                <w:lang w:val="zh-CN"/>
              </w:rPr>
            </w:pPr>
          </w:p>
        </w:tc>
      </w:tr>
    </w:tbl>
    <w:p w14:paraId="52830AC8">
      <w:pPr>
        <w:spacing w:line="276" w:lineRule="auto"/>
        <w:ind w:right="420" w:firstLine="420" w:firstLineChars="200"/>
        <w:rPr>
          <w:rFonts w:ascii="宋体" w:hAnsi="宋体" w:eastAsia="宋体" w:cs="宋体"/>
          <w:color w:val="auto"/>
          <w:highlight w:val="none"/>
        </w:rPr>
      </w:pPr>
      <w:r>
        <w:rPr>
          <w:rFonts w:hint="eastAsia" w:ascii="宋体" w:hAnsi="宋体" w:eastAsia="宋体" w:cs="宋体"/>
          <w:color w:val="auto"/>
          <w:highlight w:val="none"/>
        </w:rPr>
        <w:t>备注：</w:t>
      </w:r>
    </w:p>
    <w:p w14:paraId="540633FC">
      <w:pPr>
        <w:spacing w:line="276" w:lineRule="auto"/>
        <w:ind w:right="-3" w:firstLine="420" w:firstLineChars="200"/>
        <w:rPr>
          <w:rFonts w:ascii="宋体" w:hAnsi="宋体" w:eastAsia="宋体" w:cs="宋体"/>
          <w:color w:val="auto"/>
          <w:highlight w:val="none"/>
        </w:rPr>
      </w:pPr>
      <w:r>
        <w:rPr>
          <w:rFonts w:hint="eastAsia" w:ascii="宋体" w:hAnsi="宋体" w:eastAsia="宋体" w:cs="宋体"/>
          <w:color w:val="auto"/>
          <w:highlight w:val="none"/>
        </w:rPr>
        <w:t>1、若合格中标候选人总得分相同且影响定标排序的，以方案因素得分高的排前；若方案因素得分仍相同的，以报价低的排前，若报价仍相同的，由定标委员会投票确定排序。</w:t>
      </w:r>
    </w:p>
    <w:p w14:paraId="06D4B2A6">
      <w:pPr>
        <w:spacing w:line="276" w:lineRule="auto"/>
        <w:ind w:right="-3" w:firstLine="420" w:firstLineChars="200"/>
        <w:rPr>
          <w:rFonts w:ascii="宋体" w:hAnsi="宋体" w:eastAsia="宋体" w:cs="宋体"/>
          <w:color w:val="auto"/>
          <w:highlight w:val="none"/>
        </w:rPr>
      </w:pPr>
      <w:r>
        <w:rPr>
          <w:rFonts w:hint="eastAsia" w:ascii="宋体" w:hAnsi="宋体" w:eastAsia="宋体" w:cs="宋体"/>
          <w:color w:val="auto"/>
          <w:highlight w:val="none"/>
        </w:rPr>
        <w:t>2、总得分（100分）=方案因素得分（100分）×方案因素权重（70%）+价格因素得分（100分）×价格因素权重（30%）（若分数出现小数点时，保留小数点后二位，第三位小数四舍五入）。</w:t>
      </w:r>
    </w:p>
    <w:p w14:paraId="13B35A01">
      <w:pPr>
        <w:spacing w:line="276" w:lineRule="auto"/>
        <w:ind w:right="-325" w:rightChars="-155"/>
        <w:rPr>
          <w:rFonts w:ascii="宋体" w:hAnsi="宋体" w:eastAsia="宋体" w:cs="宋体"/>
          <w:bCs/>
          <w:color w:val="auto"/>
          <w:highlight w:val="none"/>
        </w:rPr>
      </w:pPr>
    </w:p>
    <w:p w14:paraId="0E026464">
      <w:pPr>
        <w:spacing w:line="276" w:lineRule="auto"/>
        <w:ind w:right="-325" w:rightChars="-155"/>
        <w:rPr>
          <w:rFonts w:ascii="宋体" w:hAnsi="宋体" w:eastAsia="宋体" w:cs="宋体"/>
          <w:bCs/>
          <w:color w:val="auto"/>
          <w:highlight w:val="none"/>
        </w:rPr>
      </w:pPr>
      <w:r>
        <w:rPr>
          <w:rFonts w:hint="eastAsia" w:ascii="宋体" w:hAnsi="宋体" w:eastAsia="宋体" w:cs="宋体"/>
          <w:bCs/>
          <w:color w:val="auto"/>
          <w:highlight w:val="none"/>
        </w:rPr>
        <w:t>定标委员会全体成员签名：</w:t>
      </w:r>
    </w:p>
    <w:p w14:paraId="58669912">
      <w:pPr>
        <w:spacing w:line="276" w:lineRule="auto"/>
        <w:ind w:right="-2" w:rightChars="-1"/>
        <w:rPr>
          <w:rFonts w:ascii="宋体" w:hAnsi="宋体" w:eastAsia="宋体" w:cs="宋体"/>
          <w:bCs/>
          <w:color w:val="auto"/>
          <w:highlight w:val="none"/>
        </w:rPr>
      </w:pPr>
      <w:r>
        <w:rPr>
          <w:rFonts w:hint="eastAsia" w:ascii="宋体" w:hAnsi="宋体" w:eastAsia="宋体" w:cs="宋体"/>
          <w:bCs/>
          <w:color w:val="auto"/>
          <w:highlight w:val="none"/>
        </w:rPr>
        <w:t>日期：</w:t>
      </w:r>
    </w:p>
    <w:p w14:paraId="6840C618">
      <w:pPr>
        <w:pStyle w:val="7"/>
        <w:spacing w:line="360" w:lineRule="exact"/>
        <w:ind w:right="-2" w:rightChars="-1"/>
        <w:jc w:val="right"/>
        <w:rPr>
          <w:rFonts w:ascii="仿宋" w:hAnsi="仿宋" w:eastAsia="仿宋" w:cs="仿宋"/>
          <w:color w:val="auto"/>
          <w:szCs w:val="21"/>
          <w:highlight w:val="none"/>
        </w:rPr>
        <w:sectPr>
          <w:footerReference r:id="rId8" w:type="default"/>
          <w:pgSz w:w="11905" w:h="16838"/>
          <w:pgMar w:top="1134" w:right="1418" w:bottom="1247" w:left="1418" w:header="851" w:footer="992" w:gutter="0"/>
          <w:pgNumType w:fmt="decimal"/>
          <w:cols w:space="720" w:num="1"/>
          <w:titlePg/>
          <w:docGrid w:type="lines" w:linePitch="318" w:charSpace="0"/>
        </w:sectPr>
      </w:pPr>
    </w:p>
    <w:p w14:paraId="07504D20">
      <w:pPr>
        <w:widowControl/>
        <w:spacing w:line="360" w:lineRule="auto"/>
        <w:jc w:val="left"/>
        <w:outlineLvl w:val="2"/>
        <w:rPr>
          <w:rFonts w:ascii="宋体" w:hAnsi="宋体" w:eastAsia="宋体" w:cs="宋体"/>
          <w:color w:val="auto"/>
          <w:kern w:val="0"/>
          <w:sz w:val="24"/>
          <w:szCs w:val="24"/>
          <w:highlight w:val="none"/>
        </w:rPr>
      </w:pPr>
      <w:bookmarkStart w:id="47" w:name="_Toc202907301"/>
      <w:r>
        <w:rPr>
          <w:rFonts w:hint="eastAsia" w:ascii="宋体" w:hAnsi="宋体" w:eastAsia="宋体" w:cs="宋体"/>
          <w:color w:val="auto"/>
          <w:kern w:val="0"/>
          <w:sz w:val="24"/>
          <w:szCs w:val="24"/>
          <w:highlight w:val="none"/>
        </w:rPr>
        <w:t>附表十三：</w:t>
      </w:r>
      <w:bookmarkEnd w:id="47"/>
    </w:p>
    <w:p w14:paraId="498B1D6B">
      <w:pPr>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组第</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轮）附加投票表（如有）</w:t>
      </w:r>
    </w:p>
    <w:p w14:paraId="3884AFDB">
      <w:pPr>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（定标委员会个人用表）</w:t>
      </w:r>
    </w:p>
    <w:p w14:paraId="1E4E5403">
      <w:pPr>
        <w:rPr>
          <w:rFonts w:ascii="宋体" w:hAnsi="宋体" w:eastAsia="宋体" w:cs="宋体"/>
          <w:color w:val="auto"/>
          <w:highlight w:val="none"/>
        </w:rPr>
      </w:pPr>
      <w:r>
        <w:rPr>
          <w:rFonts w:hint="eastAsia" w:ascii="宋体" w:hAnsi="宋体" w:eastAsia="宋体" w:cs="宋体"/>
          <w:color w:val="auto"/>
          <w:highlight w:val="none"/>
        </w:rPr>
        <w:t>招标项目名称：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5"/>
        <w:gridCol w:w="2445"/>
        <w:gridCol w:w="2445"/>
        <w:gridCol w:w="2445"/>
      </w:tblGrid>
      <w:tr w14:paraId="1FF0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445" w:type="dxa"/>
            <w:tcBorders>
              <w:top w:val="single" w:color="auto" w:sz="4" w:space="0"/>
              <w:left w:val="single" w:color="auto" w:sz="4" w:space="0"/>
              <w:bottom w:val="single" w:color="auto" w:sz="4" w:space="0"/>
              <w:right w:val="single" w:color="auto" w:sz="4" w:space="0"/>
            </w:tcBorders>
            <w:vAlign w:val="center"/>
          </w:tcPr>
          <w:p w14:paraId="623EBDB0">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合格中标候选人名称</w:t>
            </w:r>
          </w:p>
        </w:tc>
        <w:tc>
          <w:tcPr>
            <w:tcW w:w="2445" w:type="dxa"/>
            <w:tcBorders>
              <w:top w:val="single" w:color="auto" w:sz="4" w:space="0"/>
              <w:left w:val="single" w:color="auto" w:sz="4" w:space="0"/>
              <w:bottom w:val="single" w:color="auto" w:sz="4" w:space="0"/>
              <w:right w:val="single" w:color="auto" w:sz="4" w:space="0"/>
            </w:tcBorders>
            <w:vAlign w:val="center"/>
          </w:tcPr>
          <w:p w14:paraId="492BE8D8">
            <w:pPr>
              <w:jc w:val="center"/>
              <w:rPr>
                <w:rFonts w:ascii="宋体" w:hAnsi="宋体" w:eastAsia="宋体" w:cs="宋体"/>
                <w:color w:val="auto"/>
                <w:szCs w:val="21"/>
                <w:highlight w:val="none"/>
                <w:shd w:val="clear" w:color="auto" w:fill="FFFFFF"/>
                <w:lang w:val="zh-CN"/>
              </w:rPr>
            </w:pPr>
          </w:p>
        </w:tc>
        <w:tc>
          <w:tcPr>
            <w:tcW w:w="2445" w:type="dxa"/>
            <w:tcBorders>
              <w:top w:val="single" w:color="auto" w:sz="4" w:space="0"/>
              <w:left w:val="single" w:color="auto" w:sz="4" w:space="0"/>
              <w:bottom w:val="single" w:color="auto" w:sz="4" w:space="0"/>
              <w:right w:val="single" w:color="auto" w:sz="4" w:space="0"/>
            </w:tcBorders>
            <w:vAlign w:val="center"/>
          </w:tcPr>
          <w:p w14:paraId="403ABA35">
            <w:pPr>
              <w:jc w:val="center"/>
              <w:rPr>
                <w:rFonts w:ascii="宋体" w:hAnsi="宋体" w:eastAsia="宋体" w:cs="宋体"/>
                <w:color w:val="auto"/>
                <w:szCs w:val="21"/>
                <w:highlight w:val="none"/>
                <w:shd w:val="clear" w:color="auto" w:fill="FFFFFF"/>
                <w:lang w:val="zh-CN"/>
              </w:rPr>
            </w:pPr>
          </w:p>
        </w:tc>
        <w:tc>
          <w:tcPr>
            <w:tcW w:w="2445" w:type="dxa"/>
            <w:tcBorders>
              <w:top w:val="single" w:color="auto" w:sz="4" w:space="0"/>
              <w:left w:val="single" w:color="auto" w:sz="4" w:space="0"/>
              <w:bottom w:val="single" w:color="auto" w:sz="4" w:space="0"/>
              <w:right w:val="single" w:color="auto" w:sz="4" w:space="0"/>
            </w:tcBorders>
          </w:tcPr>
          <w:p w14:paraId="644E7C58">
            <w:pPr>
              <w:jc w:val="center"/>
              <w:rPr>
                <w:rFonts w:ascii="宋体" w:hAnsi="宋体" w:eastAsia="宋体" w:cs="宋体"/>
                <w:color w:val="auto"/>
                <w:szCs w:val="21"/>
                <w:highlight w:val="none"/>
                <w:shd w:val="clear" w:color="auto" w:fill="FFFFFF"/>
                <w:lang w:val="zh-CN"/>
              </w:rPr>
            </w:pPr>
          </w:p>
        </w:tc>
      </w:tr>
      <w:tr w14:paraId="40B9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445" w:type="dxa"/>
            <w:tcBorders>
              <w:top w:val="single" w:color="auto" w:sz="4" w:space="0"/>
              <w:left w:val="single" w:color="auto" w:sz="4" w:space="0"/>
              <w:bottom w:val="single" w:color="auto" w:sz="4" w:space="0"/>
              <w:right w:val="single" w:color="auto" w:sz="4" w:space="0"/>
            </w:tcBorders>
            <w:vAlign w:val="center"/>
          </w:tcPr>
          <w:p w14:paraId="72918F28">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定标人票决意见</w:t>
            </w:r>
          </w:p>
        </w:tc>
        <w:tc>
          <w:tcPr>
            <w:tcW w:w="2445" w:type="dxa"/>
            <w:tcBorders>
              <w:top w:val="single" w:color="auto" w:sz="4" w:space="0"/>
              <w:left w:val="single" w:color="auto" w:sz="4" w:space="0"/>
              <w:bottom w:val="single" w:color="auto" w:sz="4" w:space="0"/>
              <w:right w:val="single" w:color="auto" w:sz="4" w:space="0"/>
            </w:tcBorders>
            <w:vAlign w:val="center"/>
          </w:tcPr>
          <w:p w14:paraId="198B460B">
            <w:pPr>
              <w:jc w:val="center"/>
              <w:rPr>
                <w:rFonts w:ascii="宋体" w:hAnsi="宋体" w:eastAsia="宋体" w:cs="宋体"/>
                <w:color w:val="auto"/>
                <w:szCs w:val="21"/>
                <w:highlight w:val="none"/>
                <w:shd w:val="clear" w:color="auto" w:fill="FFFFFF"/>
                <w:lang w:val="zh-CN"/>
              </w:rPr>
            </w:pPr>
          </w:p>
        </w:tc>
        <w:tc>
          <w:tcPr>
            <w:tcW w:w="2445" w:type="dxa"/>
            <w:tcBorders>
              <w:top w:val="single" w:color="auto" w:sz="4" w:space="0"/>
              <w:left w:val="single" w:color="auto" w:sz="4" w:space="0"/>
              <w:bottom w:val="single" w:color="auto" w:sz="4" w:space="0"/>
              <w:right w:val="single" w:color="auto" w:sz="4" w:space="0"/>
            </w:tcBorders>
            <w:vAlign w:val="center"/>
          </w:tcPr>
          <w:p w14:paraId="45A25991">
            <w:pPr>
              <w:jc w:val="center"/>
              <w:rPr>
                <w:rFonts w:ascii="宋体" w:hAnsi="宋体" w:eastAsia="宋体" w:cs="宋体"/>
                <w:color w:val="auto"/>
                <w:szCs w:val="21"/>
                <w:highlight w:val="none"/>
                <w:shd w:val="clear" w:color="auto" w:fill="FFFFFF"/>
                <w:lang w:val="zh-CN"/>
              </w:rPr>
            </w:pPr>
          </w:p>
        </w:tc>
        <w:tc>
          <w:tcPr>
            <w:tcW w:w="2445" w:type="dxa"/>
            <w:tcBorders>
              <w:top w:val="single" w:color="auto" w:sz="4" w:space="0"/>
              <w:left w:val="single" w:color="auto" w:sz="4" w:space="0"/>
              <w:bottom w:val="single" w:color="auto" w:sz="4" w:space="0"/>
              <w:right w:val="single" w:color="auto" w:sz="4" w:space="0"/>
            </w:tcBorders>
          </w:tcPr>
          <w:p w14:paraId="21862820">
            <w:pPr>
              <w:jc w:val="center"/>
              <w:rPr>
                <w:rFonts w:ascii="宋体" w:hAnsi="宋体" w:eastAsia="宋体" w:cs="宋体"/>
                <w:color w:val="auto"/>
                <w:szCs w:val="21"/>
                <w:highlight w:val="none"/>
                <w:shd w:val="clear" w:color="auto" w:fill="FFFFFF"/>
                <w:lang w:val="zh-CN"/>
              </w:rPr>
            </w:pPr>
          </w:p>
        </w:tc>
      </w:tr>
    </w:tbl>
    <w:p w14:paraId="6733F1D2">
      <w:pPr>
        <w:spacing w:line="276" w:lineRule="auto"/>
        <w:ind w:right="420" w:firstLine="426"/>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15465C46">
      <w:pPr>
        <w:spacing w:line="276" w:lineRule="auto"/>
        <w:ind w:right="420" w:firstLine="426"/>
        <w:rPr>
          <w:rFonts w:ascii="宋体" w:hAnsi="宋体" w:eastAsia="宋体" w:cs="宋体"/>
          <w:color w:val="auto"/>
          <w:szCs w:val="21"/>
          <w:highlight w:val="none"/>
        </w:rPr>
      </w:pPr>
      <w:r>
        <w:rPr>
          <w:rFonts w:hint="eastAsia" w:ascii="宋体" w:hAnsi="宋体" w:eastAsia="宋体" w:cs="宋体"/>
          <w:color w:val="auto"/>
          <w:szCs w:val="21"/>
          <w:highlight w:val="none"/>
        </w:rPr>
        <w:t>1、若出现总得分、方案因素得分、价格因素得分均相同的情况，按总分、方案因素得分、价格因素得分相同的合格中标候选人为一组，由高至低依次分组，总得分高的组别为第一组，以此类推，出现总得分、方案因素得分、价格因素得分相同情况的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组，本组为第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组，共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名合格中标候选人，总得分为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分，分别为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B637674">
      <w:pPr>
        <w:spacing w:line="276" w:lineRule="auto"/>
        <w:ind w:right="420" w:firstLine="426"/>
        <w:rPr>
          <w:rFonts w:ascii="宋体" w:hAnsi="宋体" w:eastAsia="宋体" w:cs="宋体"/>
          <w:color w:val="auto"/>
          <w:szCs w:val="21"/>
          <w:highlight w:val="none"/>
        </w:rPr>
      </w:pPr>
      <w:r>
        <w:rPr>
          <w:rFonts w:hint="eastAsia" w:ascii="宋体" w:hAnsi="宋体" w:eastAsia="宋体" w:cs="宋体"/>
          <w:color w:val="auto"/>
          <w:szCs w:val="21"/>
          <w:highlight w:val="none"/>
        </w:rPr>
        <w:t>2、由定标委员会成员进行附加投票，票决意见分别为“投票”或“不投票”，各定标委员会成员只有1票表决权（即只能对其中一名合格中标候选人“投票”），票决意见为“投票”的，用“○”表示；票决意见为“不投票”，用“×”表示。</w:t>
      </w:r>
    </w:p>
    <w:p w14:paraId="6EA32A7B">
      <w:pPr>
        <w:spacing w:line="276" w:lineRule="auto"/>
        <w:ind w:right="420" w:firstLine="426"/>
        <w:rPr>
          <w:rFonts w:ascii="宋体" w:hAnsi="宋体" w:eastAsia="宋体" w:cs="宋体"/>
          <w:color w:val="auto"/>
          <w:szCs w:val="21"/>
          <w:highlight w:val="none"/>
        </w:rPr>
      </w:pPr>
      <w:r>
        <w:rPr>
          <w:rFonts w:hint="eastAsia" w:ascii="宋体" w:hAnsi="宋体" w:eastAsia="宋体" w:cs="宋体"/>
          <w:color w:val="auto"/>
          <w:szCs w:val="21"/>
          <w:highlight w:val="none"/>
        </w:rPr>
        <w:t>3、若汇总出现得票数相同的情况按此表进行第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组第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轮票决确定排序。</w:t>
      </w:r>
    </w:p>
    <w:p w14:paraId="34057658">
      <w:pPr>
        <w:spacing w:line="276" w:lineRule="auto"/>
        <w:ind w:right="420" w:firstLine="426"/>
        <w:rPr>
          <w:rFonts w:ascii="宋体" w:hAnsi="宋体" w:eastAsia="宋体" w:cs="宋体"/>
          <w:color w:val="auto"/>
          <w:szCs w:val="21"/>
          <w:highlight w:val="none"/>
        </w:rPr>
      </w:pPr>
    </w:p>
    <w:p w14:paraId="5ADC5F83">
      <w:pPr>
        <w:spacing w:line="276" w:lineRule="auto"/>
        <w:ind w:right="420" w:firstLine="426"/>
        <w:rPr>
          <w:rFonts w:ascii="宋体" w:hAnsi="宋体" w:eastAsia="宋体" w:cs="宋体"/>
          <w:color w:val="auto"/>
          <w:szCs w:val="21"/>
          <w:highlight w:val="none"/>
        </w:rPr>
      </w:pPr>
      <w:r>
        <w:rPr>
          <w:rFonts w:hint="eastAsia" w:ascii="宋体" w:hAnsi="宋体" w:eastAsia="宋体" w:cs="宋体"/>
          <w:color w:val="auto"/>
          <w:szCs w:val="21"/>
          <w:highlight w:val="none"/>
        </w:rPr>
        <w:t>定标委员签名：</w:t>
      </w:r>
    </w:p>
    <w:p w14:paraId="7BB290EB">
      <w:pPr>
        <w:spacing w:line="276" w:lineRule="auto"/>
        <w:ind w:right="420" w:firstLine="426"/>
        <w:rPr>
          <w:rFonts w:ascii="宋体" w:hAnsi="宋体" w:eastAsia="宋体" w:cs="宋体"/>
          <w:color w:val="auto"/>
          <w:szCs w:val="21"/>
          <w:highlight w:val="none"/>
        </w:rPr>
      </w:pPr>
      <w:r>
        <w:rPr>
          <w:rFonts w:hint="eastAsia" w:ascii="宋体" w:hAnsi="宋体" w:eastAsia="宋体" w:cs="宋体"/>
          <w:color w:val="auto"/>
          <w:szCs w:val="21"/>
          <w:highlight w:val="none"/>
        </w:rPr>
        <w:t>日期：</w:t>
      </w:r>
    </w:p>
    <w:p w14:paraId="145D9FFF">
      <w:pPr>
        <w:spacing w:line="276" w:lineRule="auto"/>
        <w:ind w:right="420" w:firstLine="426"/>
        <w:rPr>
          <w:rFonts w:ascii="宋体" w:hAnsi="宋体" w:eastAsia="宋体" w:cs="宋体"/>
          <w:color w:val="auto"/>
          <w:szCs w:val="21"/>
          <w:highlight w:val="none"/>
        </w:rPr>
        <w:sectPr>
          <w:headerReference r:id="rId10" w:type="first"/>
          <w:headerReference r:id="rId9" w:type="default"/>
          <w:footerReference r:id="rId11" w:type="default"/>
          <w:pgSz w:w="11906" w:h="16838"/>
          <w:pgMar w:top="1440" w:right="1080" w:bottom="1440" w:left="1080" w:header="850" w:footer="992" w:gutter="0"/>
          <w:pgNumType w:fmt="decimal"/>
          <w:cols w:space="720" w:num="1"/>
          <w:titlePg/>
          <w:docGrid w:type="lines" w:linePitch="318" w:charSpace="0"/>
        </w:sectPr>
      </w:pPr>
    </w:p>
    <w:p w14:paraId="51BA5664">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14:paraId="5CD3240F">
      <w:pPr>
        <w:widowControl/>
        <w:spacing w:line="360" w:lineRule="auto"/>
        <w:jc w:val="left"/>
        <w:outlineLvl w:val="2"/>
        <w:rPr>
          <w:rFonts w:ascii="宋体" w:hAnsi="宋体" w:eastAsia="宋体" w:cs="宋体"/>
          <w:color w:val="auto"/>
          <w:kern w:val="0"/>
          <w:sz w:val="24"/>
          <w:szCs w:val="24"/>
          <w:highlight w:val="none"/>
        </w:rPr>
      </w:pPr>
      <w:bookmarkStart w:id="48" w:name="_Toc202907302"/>
      <w:r>
        <w:rPr>
          <w:rFonts w:hint="eastAsia" w:ascii="宋体" w:hAnsi="宋体" w:eastAsia="宋体" w:cs="宋体"/>
          <w:color w:val="auto"/>
          <w:kern w:val="0"/>
          <w:sz w:val="24"/>
          <w:szCs w:val="24"/>
          <w:highlight w:val="none"/>
        </w:rPr>
        <w:t>附表十四：</w:t>
      </w:r>
      <w:bookmarkEnd w:id="48"/>
    </w:p>
    <w:p w14:paraId="6B14AD93">
      <w:pPr>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组第</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轮）附加投票统计表（如有）</w:t>
      </w:r>
    </w:p>
    <w:p w14:paraId="4B72A9BC">
      <w:pPr>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（定标委员会汇总用表）</w:t>
      </w:r>
    </w:p>
    <w:p w14:paraId="0087B00D">
      <w:pPr>
        <w:rPr>
          <w:rFonts w:ascii="宋体" w:hAnsi="宋体" w:eastAsia="宋体" w:cs="宋体"/>
          <w:color w:val="auto"/>
          <w:highlight w:val="none"/>
        </w:rPr>
      </w:pPr>
      <w:r>
        <w:rPr>
          <w:rFonts w:hint="eastAsia" w:ascii="宋体" w:hAnsi="宋体" w:eastAsia="宋体" w:cs="宋体"/>
          <w:color w:val="auto"/>
          <w:highlight w:val="none"/>
        </w:rPr>
        <w:t>招标项目名称：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136"/>
        <w:gridCol w:w="1142"/>
        <w:gridCol w:w="1142"/>
        <w:gridCol w:w="1142"/>
        <w:gridCol w:w="1142"/>
        <w:gridCol w:w="1146"/>
      </w:tblGrid>
      <w:tr w14:paraId="3872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14:paraId="12D1A576">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序号</w:t>
            </w:r>
          </w:p>
        </w:tc>
        <w:tc>
          <w:tcPr>
            <w:tcW w:w="3136" w:type="dxa"/>
            <w:tcBorders>
              <w:top w:val="single" w:color="auto" w:sz="4" w:space="0"/>
              <w:left w:val="single" w:color="auto" w:sz="4" w:space="0"/>
              <w:bottom w:val="single" w:color="auto" w:sz="4" w:space="0"/>
              <w:right w:val="single" w:color="auto" w:sz="4" w:space="0"/>
            </w:tcBorders>
            <w:vAlign w:val="center"/>
          </w:tcPr>
          <w:p w14:paraId="17B370D7">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合格中标候选人名称</w:t>
            </w:r>
          </w:p>
        </w:tc>
        <w:tc>
          <w:tcPr>
            <w:tcW w:w="1142" w:type="dxa"/>
            <w:tcBorders>
              <w:top w:val="single" w:color="auto" w:sz="4" w:space="0"/>
              <w:left w:val="single" w:color="auto" w:sz="4" w:space="0"/>
              <w:bottom w:val="single" w:color="auto" w:sz="4" w:space="0"/>
              <w:right w:val="single" w:color="auto" w:sz="4" w:space="0"/>
            </w:tcBorders>
            <w:vAlign w:val="center"/>
          </w:tcPr>
          <w:p w14:paraId="5496F6AC">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定标因素得分排序</w:t>
            </w:r>
          </w:p>
        </w:tc>
        <w:tc>
          <w:tcPr>
            <w:tcW w:w="1142" w:type="dxa"/>
            <w:tcBorders>
              <w:top w:val="single" w:color="auto" w:sz="4" w:space="0"/>
              <w:left w:val="single" w:color="auto" w:sz="4" w:space="0"/>
              <w:bottom w:val="single" w:color="auto" w:sz="4" w:space="0"/>
              <w:right w:val="single" w:color="auto" w:sz="4" w:space="0"/>
            </w:tcBorders>
          </w:tcPr>
          <w:p w14:paraId="237B89D5">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第1轮得票数</w:t>
            </w:r>
          </w:p>
        </w:tc>
        <w:tc>
          <w:tcPr>
            <w:tcW w:w="1142" w:type="dxa"/>
            <w:tcBorders>
              <w:top w:val="single" w:color="auto" w:sz="4" w:space="0"/>
              <w:left w:val="single" w:color="auto" w:sz="4" w:space="0"/>
              <w:bottom w:val="single" w:color="auto" w:sz="4" w:space="0"/>
              <w:right w:val="single" w:color="auto" w:sz="4" w:space="0"/>
            </w:tcBorders>
          </w:tcPr>
          <w:p w14:paraId="759B7B08">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第1轮排序</w:t>
            </w:r>
          </w:p>
        </w:tc>
        <w:tc>
          <w:tcPr>
            <w:tcW w:w="1142" w:type="dxa"/>
            <w:tcBorders>
              <w:top w:val="single" w:color="auto" w:sz="4" w:space="0"/>
              <w:left w:val="single" w:color="auto" w:sz="4" w:space="0"/>
              <w:bottom w:val="single" w:color="auto" w:sz="4" w:space="0"/>
              <w:right w:val="single" w:color="auto" w:sz="4" w:space="0"/>
            </w:tcBorders>
          </w:tcPr>
          <w:p w14:paraId="34B4523C">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第…轮得票数</w:t>
            </w:r>
          </w:p>
        </w:tc>
        <w:tc>
          <w:tcPr>
            <w:tcW w:w="1146" w:type="dxa"/>
            <w:tcBorders>
              <w:top w:val="single" w:color="auto" w:sz="4" w:space="0"/>
              <w:left w:val="single" w:color="auto" w:sz="4" w:space="0"/>
              <w:bottom w:val="single" w:color="auto" w:sz="4" w:space="0"/>
              <w:right w:val="single" w:color="auto" w:sz="4" w:space="0"/>
            </w:tcBorders>
          </w:tcPr>
          <w:p w14:paraId="573EE576">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第…轮排序</w:t>
            </w:r>
          </w:p>
        </w:tc>
      </w:tr>
      <w:tr w14:paraId="0D1C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14:paraId="59996742">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1</w:t>
            </w:r>
          </w:p>
        </w:tc>
        <w:tc>
          <w:tcPr>
            <w:tcW w:w="3136" w:type="dxa"/>
            <w:tcBorders>
              <w:top w:val="single" w:color="auto" w:sz="4" w:space="0"/>
              <w:left w:val="single" w:color="auto" w:sz="4" w:space="0"/>
              <w:bottom w:val="single" w:color="auto" w:sz="4" w:space="0"/>
              <w:right w:val="single" w:color="auto" w:sz="4" w:space="0"/>
            </w:tcBorders>
            <w:vAlign w:val="center"/>
          </w:tcPr>
          <w:p w14:paraId="722082E9">
            <w:pPr>
              <w:jc w:val="center"/>
              <w:rPr>
                <w:rFonts w:ascii="宋体" w:hAnsi="宋体" w:eastAsia="宋体" w:cs="宋体"/>
                <w:color w:val="auto"/>
                <w:szCs w:val="21"/>
                <w:highlight w:val="none"/>
                <w:shd w:val="clear" w:color="auto" w:fill="FFFFFF"/>
                <w:lang w:val="zh-CN"/>
              </w:rPr>
            </w:pPr>
          </w:p>
        </w:tc>
        <w:tc>
          <w:tcPr>
            <w:tcW w:w="1142" w:type="dxa"/>
            <w:tcBorders>
              <w:top w:val="single" w:color="auto" w:sz="4" w:space="0"/>
              <w:left w:val="single" w:color="auto" w:sz="4" w:space="0"/>
              <w:bottom w:val="single" w:color="auto" w:sz="4" w:space="0"/>
              <w:right w:val="single" w:color="auto" w:sz="4" w:space="0"/>
            </w:tcBorders>
            <w:vAlign w:val="center"/>
          </w:tcPr>
          <w:p w14:paraId="0E9222E1">
            <w:pPr>
              <w:jc w:val="center"/>
              <w:rPr>
                <w:rFonts w:ascii="宋体" w:hAnsi="宋体" w:eastAsia="宋体" w:cs="宋体"/>
                <w:color w:val="auto"/>
                <w:szCs w:val="21"/>
                <w:highlight w:val="none"/>
                <w:shd w:val="clear" w:color="auto" w:fill="FFFFFF"/>
                <w:lang w:val="zh-CN"/>
              </w:rPr>
            </w:pPr>
          </w:p>
        </w:tc>
        <w:tc>
          <w:tcPr>
            <w:tcW w:w="1142" w:type="dxa"/>
            <w:tcBorders>
              <w:top w:val="single" w:color="auto" w:sz="4" w:space="0"/>
              <w:left w:val="single" w:color="auto" w:sz="4" w:space="0"/>
              <w:bottom w:val="single" w:color="auto" w:sz="4" w:space="0"/>
              <w:right w:val="single" w:color="auto" w:sz="4" w:space="0"/>
            </w:tcBorders>
          </w:tcPr>
          <w:p w14:paraId="2290DEB9">
            <w:pPr>
              <w:jc w:val="center"/>
              <w:rPr>
                <w:rFonts w:ascii="宋体" w:hAnsi="宋体" w:eastAsia="宋体" w:cs="宋体"/>
                <w:color w:val="auto"/>
                <w:szCs w:val="21"/>
                <w:highlight w:val="none"/>
                <w:shd w:val="clear" w:color="auto" w:fill="FFFFFF"/>
                <w:lang w:val="zh-CN"/>
              </w:rPr>
            </w:pPr>
          </w:p>
        </w:tc>
        <w:tc>
          <w:tcPr>
            <w:tcW w:w="1142" w:type="dxa"/>
            <w:tcBorders>
              <w:top w:val="single" w:color="auto" w:sz="4" w:space="0"/>
              <w:left w:val="single" w:color="auto" w:sz="4" w:space="0"/>
              <w:bottom w:val="single" w:color="auto" w:sz="4" w:space="0"/>
              <w:right w:val="single" w:color="auto" w:sz="4" w:space="0"/>
            </w:tcBorders>
          </w:tcPr>
          <w:p w14:paraId="0F2709EC">
            <w:pPr>
              <w:jc w:val="center"/>
              <w:rPr>
                <w:rFonts w:ascii="宋体" w:hAnsi="宋体" w:eastAsia="宋体" w:cs="宋体"/>
                <w:color w:val="auto"/>
                <w:szCs w:val="21"/>
                <w:highlight w:val="none"/>
                <w:shd w:val="clear" w:color="auto" w:fill="FFFFFF"/>
                <w:lang w:val="zh-CN"/>
              </w:rPr>
            </w:pPr>
          </w:p>
        </w:tc>
        <w:tc>
          <w:tcPr>
            <w:tcW w:w="1142" w:type="dxa"/>
            <w:tcBorders>
              <w:top w:val="single" w:color="auto" w:sz="4" w:space="0"/>
              <w:left w:val="single" w:color="auto" w:sz="4" w:space="0"/>
              <w:bottom w:val="single" w:color="auto" w:sz="4" w:space="0"/>
              <w:right w:val="single" w:color="auto" w:sz="4" w:space="0"/>
            </w:tcBorders>
          </w:tcPr>
          <w:p w14:paraId="6021A688">
            <w:pPr>
              <w:jc w:val="center"/>
              <w:rPr>
                <w:rFonts w:ascii="宋体" w:hAnsi="宋体" w:eastAsia="宋体" w:cs="宋体"/>
                <w:color w:val="auto"/>
                <w:szCs w:val="21"/>
                <w:highlight w:val="none"/>
                <w:shd w:val="clear" w:color="auto" w:fill="FFFFFF"/>
                <w:lang w:val="zh-CN"/>
              </w:rPr>
            </w:pPr>
          </w:p>
        </w:tc>
        <w:tc>
          <w:tcPr>
            <w:tcW w:w="1146" w:type="dxa"/>
            <w:tcBorders>
              <w:top w:val="single" w:color="auto" w:sz="4" w:space="0"/>
              <w:left w:val="single" w:color="auto" w:sz="4" w:space="0"/>
              <w:bottom w:val="single" w:color="auto" w:sz="4" w:space="0"/>
              <w:right w:val="single" w:color="auto" w:sz="4" w:space="0"/>
            </w:tcBorders>
          </w:tcPr>
          <w:p w14:paraId="6C95C992">
            <w:pPr>
              <w:jc w:val="center"/>
              <w:rPr>
                <w:rFonts w:ascii="宋体" w:hAnsi="宋体" w:eastAsia="宋体" w:cs="宋体"/>
                <w:color w:val="auto"/>
                <w:szCs w:val="21"/>
                <w:highlight w:val="none"/>
                <w:shd w:val="clear" w:color="auto" w:fill="FFFFFF"/>
                <w:lang w:val="zh-CN"/>
              </w:rPr>
            </w:pPr>
          </w:p>
        </w:tc>
      </w:tr>
      <w:tr w14:paraId="2BA6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14:paraId="3BB79CC6">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2</w:t>
            </w:r>
          </w:p>
        </w:tc>
        <w:tc>
          <w:tcPr>
            <w:tcW w:w="3136" w:type="dxa"/>
            <w:tcBorders>
              <w:top w:val="single" w:color="auto" w:sz="4" w:space="0"/>
              <w:left w:val="single" w:color="auto" w:sz="4" w:space="0"/>
              <w:bottom w:val="single" w:color="auto" w:sz="4" w:space="0"/>
              <w:right w:val="single" w:color="auto" w:sz="4" w:space="0"/>
            </w:tcBorders>
            <w:vAlign w:val="center"/>
          </w:tcPr>
          <w:p w14:paraId="34C028BD">
            <w:pPr>
              <w:jc w:val="center"/>
              <w:rPr>
                <w:rFonts w:ascii="宋体" w:hAnsi="宋体" w:eastAsia="宋体" w:cs="宋体"/>
                <w:color w:val="auto"/>
                <w:szCs w:val="21"/>
                <w:highlight w:val="none"/>
                <w:shd w:val="clear" w:color="auto" w:fill="FFFFFF"/>
                <w:lang w:val="zh-CN"/>
              </w:rPr>
            </w:pPr>
          </w:p>
        </w:tc>
        <w:tc>
          <w:tcPr>
            <w:tcW w:w="1142" w:type="dxa"/>
            <w:tcBorders>
              <w:top w:val="single" w:color="auto" w:sz="4" w:space="0"/>
              <w:left w:val="single" w:color="auto" w:sz="4" w:space="0"/>
              <w:bottom w:val="single" w:color="auto" w:sz="4" w:space="0"/>
              <w:right w:val="single" w:color="auto" w:sz="4" w:space="0"/>
            </w:tcBorders>
            <w:vAlign w:val="center"/>
          </w:tcPr>
          <w:p w14:paraId="2368A8A9">
            <w:pPr>
              <w:jc w:val="center"/>
              <w:rPr>
                <w:rFonts w:ascii="宋体" w:hAnsi="宋体" w:eastAsia="宋体" w:cs="宋体"/>
                <w:color w:val="auto"/>
                <w:szCs w:val="21"/>
                <w:highlight w:val="none"/>
                <w:shd w:val="clear" w:color="auto" w:fill="FFFFFF"/>
                <w:lang w:val="zh-CN"/>
              </w:rPr>
            </w:pPr>
          </w:p>
        </w:tc>
        <w:tc>
          <w:tcPr>
            <w:tcW w:w="1142" w:type="dxa"/>
            <w:tcBorders>
              <w:top w:val="single" w:color="auto" w:sz="4" w:space="0"/>
              <w:left w:val="single" w:color="auto" w:sz="4" w:space="0"/>
              <w:bottom w:val="single" w:color="auto" w:sz="4" w:space="0"/>
              <w:right w:val="single" w:color="auto" w:sz="4" w:space="0"/>
            </w:tcBorders>
          </w:tcPr>
          <w:p w14:paraId="0C7855A3">
            <w:pPr>
              <w:jc w:val="center"/>
              <w:rPr>
                <w:rFonts w:ascii="宋体" w:hAnsi="宋体" w:eastAsia="宋体" w:cs="宋体"/>
                <w:color w:val="auto"/>
                <w:szCs w:val="21"/>
                <w:highlight w:val="none"/>
                <w:shd w:val="clear" w:color="auto" w:fill="FFFFFF"/>
                <w:lang w:val="zh-CN"/>
              </w:rPr>
            </w:pPr>
          </w:p>
        </w:tc>
        <w:tc>
          <w:tcPr>
            <w:tcW w:w="1142" w:type="dxa"/>
            <w:tcBorders>
              <w:top w:val="single" w:color="auto" w:sz="4" w:space="0"/>
              <w:left w:val="single" w:color="auto" w:sz="4" w:space="0"/>
              <w:bottom w:val="single" w:color="auto" w:sz="4" w:space="0"/>
              <w:right w:val="single" w:color="auto" w:sz="4" w:space="0"/>
            </w:tcBorders>
          </w:tcPr>
          <w:p w14:paraId="5B3E3BF9">
            <w:pPr>
              <w:jc w:val="center"/>
              <w:rPr>
                <w:rFonts w:ascii="宋体" w:hAnsi="宋体" w:eastAsia="宋体" w:cs="宋体"/>
                <w:color w:val="auto"/>
                <w:szCs w:val="21"/>
                <w:highlight w:val="none"/>
                <w:shd w:val="clear" w:color="auto" w:fill="FFFFFF"/>
                <w:lang w:val="zh-CN"/>
              </w:rPr>
            </w:pPr>
          </w:p>
        </w:tc>
        <w:tc>
          <w:tcPr>
            <w:tcW w:w="1142" w:type="dxa"/>
            <w:tcBorders>
              <w:top w:val="single" w:color="auto" w:sz="4" w:space="0"/>
              <w:left w:val="single" w:color="auto" w:sz="4" w:space="0"/>
              <w:bottom w:val="single" w:color="auto" w:sz="4" w:space="0"/>
              <w:right w:val="single" w:color="auto" w:sz="4" w:space="0"/>
            </w:tcBorders>
          </w:tcPr>
          <w:p w14:paraId="7EC12A88">
            <w:pPr>
              <w:jc w:val="center"/>
              <w:rPr>
                <w:rFonts w:ascii="宋体" w:hAnsi="宋体" w:eastAsia="宋体" w:cs="宋体"/>
                <w:color w:val="auto"/>
                <w:szCs w:val="21"/>
                <w:highlight w:val="none"/>
                <w:shd w:val="clear" w:color="auto" w:fill="FFFFFF"/>
                <w:lang w:val="zh-CN"/>
              </w:rPr>
            </w:pPr>
          </w:p>
        </w:tc>
        <w:tc>
          <w:tcPr>
            <w:tcW w:w="1146" w:type="dxa"/>
            <w:tcBorders>
              <w:top w:val="single" w:color="auto" w:sz="4" w:space="0"/>
              <w:left w:val="single" w:color="auto" w:sz="4" w:space="0"/>
              <w:bottom w:val="single" w:color="auto" w:sz="4" w:space="0"/>
              <w:right w:val="single" w:color="auto" w:sz="4" w:space="0"/>
            </w:tcBorders>
          </w:tcPr>
          <w:p w14:paraId="66825225">
            <w:pPr>
              <w:jc w:val="center"/>
              <w:rPr>
                <w:rFonts w:ascii="宋体" w:hAnsi="宋体" w:eastAsia="宋体" w:cs="宋体"/>
                <w:color w:val="auto"/>
                <w:szCs w:val="21"/>
                <w:highlight w:val="none"/>
                <w:shd w:val="clear" w:color="auto" w:fill="FFFFFF"/>
                <w:lang w:val="zh-CN"/>
              </w:rPr>
            </w:pPr>
          </w:p>
        </w:tc>
      </w:tr>
      <w:tr w14:paraId="217D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14:paraId="3C3FFACE">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3</w:t>
            </w:r>
          </w:p>
        </w:tc>
        <w:tc>
          <w:tcPr>
            <w:tcW w:w="3136" w:type="dxa"/>
            <w:tcBorders>
              <w:top w:val="single" w:color="auto" w:sz="4" w:space="0"/>
              <w:left w:val="single" w:color="auto" w:sz="4" w:space="0"/>
              <w:bottom w:val="single" w:color="auto" w:sz="4" w:space="0"/>
              <w:right w:val="single" w:color="auto" w:sz="4" w:space="0"/>
            </w:tcBorders>
            <w:vAlign w:val="center"/>
          </w:tcPr>
          <w:p w14:paraId="6A5640D5">
            <w:pPr>
              <w:jc w:val="center"/>
              <w:rPr>
                <w:rFonts w:ascii="宋体" w:hAnsi="宋体" w:eastAsia="宋体" w:cs="宋体"/>
                <w:color w:val="auto"/>
                <w:szCs w:val="21"/>
                <w:highlight w:val="none"/>
                <w:shd w:val="clear" w:color="auto" w:fill="FFFFFF"/>
                <w:lang w:val="zh-CN"/>
              </w:rPr>
            </w:pPr>
          </w:p>
        </w:tc>
        <w:tc>
          <w:tcPr>
            <w:tcW w:w="1142" w:type="dxa"/>
            <w:tcBorders>
              <w:top w:val="single" w:color="auto" w:sz="4" w:space="0"/>
              <w:left w:val="single" w:color="auto" w:sz="4" w:space="0"/>
              <w:bottom w:val="single" w:color="auto" w:sz="4" w:space="0"/>
              <w:right w:val="single" w:color="auto" w:sz="4" w:space="0"/>
            </w:tcBorders>
            <w:vAlign w:val="center"/>
          </w:tcPr>
          <w:p w14:paraId="4F01907A">
            <w:pPr>
              <w:jc w:val="center"/>
              <w:rPr>
                <w:rFonts w:ascii="宋体" w:hAnsi="宋体" w:eastAsia="宋体" w:cs="宋体"/>
                <w:color w:val="auto"/>
                <w:szCs w:val="21"/>
                <w:highlight w:val="none"/>
                <w:shd w:val="clear" w:color="auto" w:fill="FFFFFF"/>
                <w:lang w:val="zh-CN"/>
              </w:rPr>
            </w:pPr>
          </w:p>
        </w:tc>
        <w:tc>
          <w:tcPr>
            <w:tcW w:w="1142" w:type="dxa"/>
            <w:tcBorders>
              <w:top w:val="single" w:color="auto" w:sz="4" w:space="0"/>
              <w:left w:val="single" w:color="auto" w:sz="4" w:space="0"/>
              <w:bottom w:val="single" w:color="auto" w:sz="4" w:space="0"/>
              <w:right w:val="single" w:color="auto" w:sz="4" w:space="0"/>
            </w:tcBorders>
          </w:tcPr>
          <w:p w14:paraId="4E17A9AB">
            <w:pPr>
              <w:jc w:val="center"/>
              <w:rPr>
                <w:rFonts w:ascii="宋体" w:hAnsi="宋体" w:eastAsia="宋体" w:cs="宋体"/>
                <w:color w:val="auto"/>
                <w:szCs w:val="21"/>
                <w:highlight w:val="none"/>
                <w:shd w:val="clear" w:color="auto" w:fill="FFFFFF"/>
                <w:lang w:val="zh-CN"/>
              </w:rPr>
            </w:pPr>
          </w:p>
        </w:tc>
        <w:tc>
          <w:tcPr>
            <w:tcW w:w="1142" w:type="dxa"/>
            <w:tcBorders>
              <w:top w:val="single" w:color="auto" w:sz="4" w:space="0"/>
              <w:left w:val="single" w:color="auto" w:sz="4" w:space="0"/>
              <w:bottom w:val="single" w:color="auto" w:sz="4" w:space="0"/>
              <w:right w:val="single" w:color="auto" w:sz="4" w:space="0"/>
            </w:tcBorders>
          </w:tcPr>
          <w:p w14:paraId="2F52C90A">
            <w:pPr>
              <w:jc w:val="center"/>
              <w:rPr>
                <w:rFonts w:ascii="宋体" w:hAnsi="宋体" w:eastAsia="宋体" w:cs="宋体"/>
                <w:color w:val="auto"/>
                <w:szCs w:val="21"/>
                <w:highlight w:val="none"/>
                <w:shd w:val="clear" w:color="auto" w:fill="FFFFFF"/>
                <w:lang w:val="zh-CN"/>
              </w:rPr>
            </w:pPr>
          </w:p>
        </w:tc>
        <w:tc>
          <w:tcPr>
            <w:tcW w:w="1142" w:type="dxa"/>
            <w:tcBorders>
              <w:top w:val="single" w:color="auto" w:sz="4" w:space="0"/>
              <w:left w:val="single" w:color="auto" w:sz="4" w:space="0"/>
              <w:bottom w:val="single" w:color="auto" w:sz="4" w:space="0"/>
              <w:right w:val="single" w:color="auto" w:sz="4" w:space="0"/>
            </w:tcBorders>
          </w:tcPr>
          <w:p w14:paraId="045A5240">
            <w:pPr>
              <w:jc w:val="center"/>
              <w:rPr>
                <w:rFonts w:ascii="宋体" w:hAnsi="宋体" w:eastAsia="宋体" w:cs="宋体"/>
                <w:color w:val="auto"/>
                <w:szCs w:val="21"/>
                <w:highlight w:val="none"/>
                <w:shd w:val="clear" w:color="auto" w:fill="FFFFFF"/>
                <w:lang w:val="zh-CN"/>
              </w:rPr>
            </w:pPr>
          </w:p>
        </w:tc>
        <w:tc>
          <w:tcPr>
            <w:tcW w:w="1146" w:type="dxa"/>
            <w:tcBorders>
              <w:top w:val="single" w:color="auto" w:sz="4" w:space="0"/>
              <w:left w:val="single" w:color="auto" w:sz="4" w:space="0"/>
              <w:bottom w:val="single" w:color="auto" w:sz="4" w:space="0"/>
              <w:right w:val="single" w:color="auto" w:sz="4" w:space="0"/>
            </w:tcBorders>
          </w:tcPr>
          <w:p w14:paraId="00EEDED8">
            <w:pPr>
              <w:jc w:val="center"/>
              <w:rPr>
                <w:rFonts w:ascii="宋体" w:hAnsi="宋体" w:eastAsia="宋体" w:cs="宋体"/>
                <w:color w:val="auto"/>
                <w:szCs w:val="21"/>
                <w:highlight w:val="none"/>
                <w:shd w:val="clear" w:color="auto" w:fill="FFFFFF"/>
                <w:lang w:val="zh-CN"/>
              </w:rPr>
            </w:pPr>
          </w:p>
        </w:tc>
      </w:tr>
    </w:tbl>
    <w:p w14:paraId="00832C2C">
      <w:pPr>
        <w:tabs>
          <w:tab w:val="left" w:pos="9660"/>
        </w:tabs>
        <w:spacing w:line="276" w:lineRule="auto"/>
        <w:ind w:right="86" w:rightChars="0" w:firstLine="426"/>
        <w:rPr>
          <w:rFonts w:ascii="宋体" w:hAnsi="宋体" w:eastAsia="宋体" w:cs="宋体"/>
          <w:color w:val="auto"/>
          <w:szCs w:val="21"/>
          <w:highlight w:val="none"/>
        </w:rPr>
      </w:pPr>
      <w:r>
        <w:rPr>
          <w:rFonts w:hint="eastAsia" w:ascii="宋体" w:hAnsi="宋体" w:eastAsia="宋体" w:cs="宋体"/>
          <w:color w:val="auto"/>
          <w:szCs w:val="21"/>
          <w:highlight w:val="none"/>
        </w:rPr>
        <w:t>备注：按得票数由多至少，在延续定标因素得分排序的基础上进行排序，票数多的排序靠前，得票数相同的合格中标候选人进行再次票决确定排序。</w:t>
      </w:r>
    </w:p>
    <w:p w14:paraId="76222D8A">
      <w:pPr>
        <w:spacing w:line="276" w:lineRule="auto"/>
        <w:ind w:right="420" w:firstLine="426"/>
        <w:rPr>
          <w:rFonts w:ascii="宋体" w:hAnsi="宋体" w:eastAsia="宋体" w:cs="宋体"/>
          <w:color w:val="auto"/>
          <w:szCs w:val="21"/>
          <w:highlight w:val="none"/>
        </w:rPr>
      </w:pPr>
    </w:p>
    <w:p w14:paraId="1505269F">
      <w:pPr>
        <w:spacing w:line="276" w:lineRule="auto"/>
        <w:ind w:right="420" w:firstLine="426"/>
        <w:rPr>
          <w:rFonts w:ascii="宋体" w:hAnsi="宋体" w:eastAsia="宋体" w:cs="宋体"/>
          <w:color w:val="auto"/>
          <w:szCs w:val="21"/>
          <w:highlight w:val="none"/>
        </w:rPr>
      </w:pPr>
      <w:r>
        <w:rPr>
          <w:rFonts w:hint="eastAsia" w:ascii="宋体" w:hAnsi="宋体" w:eastAsia="宋体" w:cs="宋体"/>
          <w:color w:val="auto"/>
          <w:szCs w:val="21"/>
          <w:highlight w:val="none"/>
        </w:rPr>
        <w:t>定标委员会全体成员签名：</w:t>
      </w:r>
    </w:p>
    <w:p w14:paraId="595A0FB5">
      <w:pPr>
        <w:spacing w:line="276" w:lineRule="auto"/>
        <w:ind w:right="420" w:firstLine="426"/>
        <w:rPr>
          <w:rFonts w:ascii="宋体" w:hAnsi="宋体" w:eastAsia="宋体" w:cs="宋体"/>
          <w:color w:val="auto"/>
          <w:szCs w:val="21"/>
          <w:highlight w:val="none"/>
        </w:rPr>
      </w:pPr>
      <w:r>
        <w:rPr>
          <w:rFonts w:hint="eastAsia" w:ascii="宋体" w:hAnsi="宋体" w:eastAsia="宋体" w:cs="宋体"/>
          <w:color w:val="auto"/>
          <w:szCs w:val="21"/>
          <w:highlight w:val="none"/>
        </w:rPr>
        <w:t>日期：</w:t>
      </w:r>
    </w:p>
    <w:p w14:paraId="1CE1F2C3">
      <w:pPr>
        <w:spacing w:line="276" w:lineRule="auto"/>
        <w:ind w:right="420" w:firstLine="426"/>
        <w:rPr>
          <w:rFonts w:ascii="宋体" w:hAnsi="宋体" w:eastAsia="宋体" w:cs="宋体"/>
          <w:color w:val="auto"/>
          <w:szCs w:val="21"/>
          <w:highlight w:val="none"/>
        </w:rPr>
      </w:pPr>
      <w:r>
        <w:rPr>
          <w:rFonts w:ascii="宋体" w:hAnsi="宋体" w:eastAsia="宋体" w:cs="宋体"/>
          <w:color w:val="auto"/>
          <w:szCs w:val="21"/>
          <w:highlight w:val="none"/>
        </w:rPr>
        <w:br w:type="page"/>
      </w:r>
    </w:p>
    <w:p w14:paraId="09361047">
      <w:pPr>
        <w:widowControl/>
        <w:spacing w:line="360" w:lineRule="auto"/>
        <w:jc w:val="left"/>
        <w:outlineLvl w:val="2"/>
        <w:rPr>
          <w:rFonts w:ascii="宋体" w:hAnsi="宋体" w:eastAsia="宋体" w:cs="宋体"/>
          <w:color w:val="auto"/>
          <w:kern w:val="0"/>
          <w:sz w:val="24"/>
          <w:szCs w:val="24"/>
          <w:highlight w:val="none"/>
        </w:rPr>
      </w:pPr>
      <w:bookmarkStart w:id="49" w:name="_Toc202907303"/>
      <w:r>
        <w:rPr>
          <w:rFonts w:hint="eastAsia" w:ascii="宋体" w:hAnsi="宋体" w:eastAsia="宋体" w:cs="宋体"/>
          <w:color w:val="auto"/>
          <w:kern w:val="0"/>
          <w:sz w:val="24"/>
          <w:szCs w:val="24"/>
          <w:highlight w:val="none"/>
        </w:rPr>
        <w:t>附表十五：</w:t>
      </w:r>
      <w:bookmarkEnd w:id="49"/>
    </w:p>
    <w:p w14:paraId="58BDC861">
      <w:pPr>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定标情况汇总表（定标阶段）</w:t>
      </w:r>
    </w:p>
    <w:p w14:paraId="167F6D86">
      <w:pPr>
        <w:rPr>
          <w:rFonts w:ascii="宋体" w:hAnsi="宋体" w:eastAsia="宋体" w:cs="宋体"/>
          <w:color w:val="auto"/>
          <w:highlight w:val="none"/>
        </w:rPr>
      </w:pPr>
      <w:r>
        <w:rPr>
          <w:rFonts w:hint="eastAsia" w:ascii="宋体" w:hAnsi="宋体" w:eastAsia="宋体" w:cs="宋体"/>
          <w:color w:val="auto"/>
          <w:highlight w:val="none"/>
        </w:rPr>
        <w:t>招标项目名称：</w:t>
      </w:r>
    </w:p>
    <w:tbl>
      <w:tblPr>
        <w:tblStyle w:val="50"/>
        <w:tblW w:w="49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3701"/>
        <w:gridCol w:w="1544"/>
        <w:gridCol w:w="1521"/>
        <w:gridCol w:w="2432"/>
      </w:tblGrid>
      <w:tr w14:paraId="3523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14CED12F">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序号</w:t>
            </w:r>
          </w:p>
        </w:tc>
        <w:tc>
          <w:tcPr>
            <w:tcW w:w="1879" w:type="pct"/>
            <w:tcBorders>
              <w:top w:val="single" w:color="auto" w:sz="4" w:space="0"/>
              <w:left w:val="nil"/>
              <w:bottom w:val="single" w:color="auto" w:sz="4" w:space="0"/>
              <w:right w:val="single" w:color="auto" w:sz="4" w:space="0"/>
            </w:tcBorders>
            <w:vAlign w:val="center"/>
          </w:tcPr>
          <w:p w14:paraId="5BAEB8A0">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合格中标候选人名称</w:t>
            </w:r>
          </w:p>
        </w:tc>
        <w:tc>
          <w:tcPr>
            <w:tcW w:w="784" w:type="pct"/>
            <w:tcBorders>
              <w:top w:val="single" w:color="auto" w:sz="4" w:space="0"/>
              <w:left w:val="nil"/>
              <w:bottom w:val="single" w:color="auto" w:sz="4" w:space="0"/>
              <w:right w:val="single" w:color="auto" w:sz="4" w:space="0"/>
            </w:tcBorders>
            <w:vAlign w:val="center"/>
          </w:tcPr>
          <w:p w14:paraId="24EE2816">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总得分</w:t>
            </w:r>
          </w:p>
        </w:tc>
        <w:tc>
          <w:tcPr>
            <w:tcW w:w="772" w:type="pct"/>
            <w:tcBorders>
              <w:top w:val="single" w:color="auto" w:sz="4" w:space="0"/>
              <w:left w:val="nil"/>
              <w:bottom w:val="single" w:color="auto" w:sz="4" w:space="0"/>
              <w:right w:val="single" w:color="auto" w:sz="4" w:space="0"/>
            </w:tcBorders>
          </w:tcPr>
          <w:p w14:paraId="459B5474">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附加得票数</w:t>
            </w:r>
          </w:p>
          <w:p w14:paraId="6C244451">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（如有）</w:t>
            </w:r>
          </w:p>
        </w:tc>
        <w:tc>
          <w:tcPr>
            <w:tcW w:w="1235" w:type="pct"/>
            <w:tcBorders>
              <w:top w:val="single" w:color="auto" w:sz="4" w:space="0"/>
              <w:left w:val="nil"/>
              <w:bottom w:val="single" w:color="auto" w:sz="4" w:space="0"/>
              <w:right w:val="single" w:color="auto" w:sz="4" w:space="0"/>
            </w:tcBorders>
            <w:vAlign w:val="center"/>
          </w:tcPr>
          <w:p w14:paraId="7488E74C">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是否被确定为中标人</w:t>
            </w:r>
          </w:p>
        </w:tc>
      </w:tr>
      <w:tr w14:paraId="5924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15DAC1C9">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1</w:t>
            </w:r>
          </w:p>
        </w:tc>
        <w:tc>
          <w:tcPr>
            <w:tcW w:w="1879" w:type="pct"/>
            <w:tcBorders>
              <w:top w:val="single" w:color="auto" w:sz="4" w:space="0"/>
              <w:left w:val="nil"/>
              <w:bottom w:val="single" w:color="auto" w:sz="4" w:space="0"/>
              <w:right w:val="single" w:color="auto" w:sz="4" w:space="0"/>
            </w:tcBorders>
            <w:vAlign w:val="center"/>
          </w:tcPr>
          <w:p w14:paraId="74B3A124">
            <w:pPr>
              <w:jc w:val="center"/>
              <w:rPr>
                <w:rFonts w:ascii="宋体" w:hAnsi="宋体" w:eastAsia="宋体" w:cs="宋体"/>
                <w:color w:val="auto"/>
                <w:szCs w:val="21"/>
                <w:highlight w:val="none"/>
                <w:shd w:val="clear" w:color="auto" w:fill="FFFFFF"/>
                <w:lang w:val="zh-CN"/>
              </w:rPr>
            </w:pPr>
          </w:p>
        </w:tc>
        <w:tc>
          <w:tcPr>
            <w:tcW w:w="784" w:type="pct"/>
            <w:tcBorders>
              <w:top w:val="single" w:color="auto" w:sz="4" w:space="0"/>
              <w:left w:val="nil"/>
              <w:bottom w:val="single" w:color="auto" w:sz="4" w:space="0"/>
              <w:right w:val="single" w:color="auto" w:sz="4" w:space="0"/>
            </w:tcBorders>
            <w:vAlign w:val="center"/>
          </w:tcPr>
          <w:p w14:paraId="09628DA1">
            <w:pPr>
              <w:jc w:val="center"/>
              <w:rPr>
                <w:rFonts w:ascii="宋体" w:hAnsi="宋体" w:eastAsia="宋体" w:cs="宋体"/>
                <w:color w:val="auto"/>
                <w:szCs w:val="21"/>
                <w:highlight w:val="none"/>
                <w:shd w:val="clear" w:color="auto" w:fill="FFFFFF"/>
                <w:lang w:val="zh-CN"/>
              </w:rPr>
            </w:pPr>
          </w:p>
        </w:tc>
        <w:tc>
          <w:tcPr>
            <w:tcW w:w="772" w:type="pct"/>
            <w:tcBorders>
              <w:top w:val="single" w:color="auto" w:sz="4" w:space="0"/>
              <w:left w:val="nil"/>
              <w:bottom w:val="single" w:color="auto" w:sz="4" w:space="0"/>
              <w:right w:val="single" w:color="auto" w:sz="4" w:space="0"/>
            </w:tcBorders>
          </w:tcPr>
          <w:p w14:paraId="726D3D5E">
            <w:pPr>
              <w:jc w:val="center"/>
              <w:rPr>
                <w:rFonts w:ascii="宋体" w:hAnsi="宋体" w:eastAsia="宋体" w:cs="宋体"/>
                <w:color w:val="auto"/>
                <w:szCs w:val="21"/>
                <w:highlight w:val="none"/>
                <w:shd w:val="clear" w:color="auto" w:fill="FFFFFF"/>
                <w:lang w:val="zh-CN"/>
              </w:rPr>
            </w:pPr>
          </w:p>
        </w:tc>
        <w:tc>
          <w:tcPr>
            <w:tcW w:w="1235" w:type="pct"/>
            <w:tcBorders>
              <w:top w:val="single" w:color="auto" w:sz="4" w:space="0"/>
              <w:left w:val="nil"/>
              <w:bottom w:val="single" w:color="auto" w:sz="4" w:space="0"/>
              <w:right w:val="single" w:color="auto" w:sz="4" w:space="0"/>
            </w:tcBorders>
          </w:tcPr>
          <w:p w14:paraId="3D61F107">
            <w:pPr>
              <w:jc w:val="center"/>
              <w:rPr>
                <w:rFonts w:ascii="宋体" w:hAnsi="宋体" w:eastAsia="宋体" w:cs="宋体"/>
                <w:color w:val="auto"/>
                <w:szCs w:val="21"/>
                <w:highlight w:val="none"/>
                <w:shd w:val="clear" w:color="auto" w:fill="FFFFFF"/>
                <w:lang w:val="zh-CN"/>
              </w:rPr>
            </w:pPr>
          </w:p>
        </w:tc>
      </w:tr>
      <w:tr w14:paraId="1DBF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5ACD2543">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2</w:t>
            </w:r>
          </w:p>
        </w:tc>
        <w:tc>
          <w:tcPr>
            <w:tcW w:w="1879" w:type="pct"/>
            <w:tcBorders>
              <w:top w:val="single" w:color="auto" w:sz="4" w:space="0"/>
              <w:left w:val="nil"/>
              <w:bottom w:val="single" w:color="auto" w:sz="4" w:space="0"/>
              <w:right w:val="single" w:color="auto" w:sz="4" w:space="0"/>
            </w:tcBorders>
            <w:vAlign w:val="center"/>
          </w:tcPr>
          <w:p w14:paraId="6806CB2A">
            <w:pPr>
              <w:jc w:val="center"/>
              <w:rPr>
                <w:rFonts w:ascii="宋体" w:hAnsi="宋体" w:eastAsia="宋体" w:cs="宋体"/>
                <w:color w:val="auto"/>
                <w:szCs w:val="21"/>
                <w:highlight w:val="none"/>
                <w:shd w:val="clear" w:color="auto" w:fill="FFFFFF"/>
                <w:lang w:val="zh-CN"/>
              </w:rPr>
            </w:pPr>
          </w:p>
        </w:tc>
        <w:tc>
          <w:tcPr>
            <w:tcW w:w="784" w:type="pct"/>
            <w:tcBorders>
              <w:top w:val="single" w:color="auto" w:sz="4" w:space="0"/>
              <w:left w:val="nil"/>
              <w:bottom w:val="single" w:color="auto" w:sz="4" w:space="0"/>
              <w:right w:val="single" w:color="auto" w:sz="4" w:space="0"/>
            </w:tcBorders>
            <w:vAlign w:val="center"/>
          </w:tcPr>
          <w:p w14:paraId="3568B1DB">
            <w:pPr>
              <w:jc w:val="center"/>
              <w:rPr>
                <w:rFonts w:ascii="宋体" w:hAnsi="宋体" w:eastAsia="宋体" w:cs="宋体"/>
                <w:color w:val="auto"/>
                <w:szCs w:val="21"/>
                <w:highlight w:val="none"/>
                <w:shd w:val="clear" w:color="auto" w:fill="FFFFFF"/>
                <w:lang w:val="zh-CN"/>
              </w:rPr>
            </w:pPr>
          </w:p>
        </w:tc>
        <w:tc>
          <w:tcPr>
            <w:tcW w:w="772" w:type="pct"/>
            <w:tcBorders>
              <w:top w:val="single" w:color="auto" w:sz="4" w:space="0"/>
              <w:left w:val="nil"/>
              <w:bottom w:val="single" w:color="auto" w:sz="4" w:space="0"/>
              <w:right w:val="single" w:color="auto" w:sz="4" w:space="0"/>
            </w:tcBorders>
          </w:tcPr>
          <w:p w14:paraId="2144FDF3">
            <w:pPr>
              <w:jc w:val="center"/>
              <w:rPr>
                <w:rFonts w:ascii="宋体" w:hAnsi="宋体" w:eastAsia="宋体" w:cs="宋体"/>
                <w:color w:val="auto"/>
                <w:szCs w:val="21"/>
                <w:highlight w:val="none"/>
                <w:shd w:val="clear" w:color="auto" w:fill="FFFFFF"/>
                <w:lang w:val="zh-CN"/>
              </w:rPr>
            </w:pPr>
          </w:p>
        </w:tc>
        <w:tc>
          <w:tcPr>
            <w:tcW w:w="1235" w:type="pct"/>
            <w:tcBorders>
              <w:top w:val="single" w:color="auto" w:sz="4" w:space="0"/>
              <w:left w:val="nil"/>
              <w:bottom w:val="single" w:color="auto" w:sz="4" w:space="0"/>
              <w:right w:val="single" w:color="auto" w:sz="4" w:space="0"/>
            </w:tcBorders>
          </w:tcPr>
          <w:p w14:paraId="33898BED">
            <w:pPr>
              <w:jc w:val="center"/>
              <w:rPr>
                <w:rFonts w:ascii="宋体" w:hAnsi="宋体" w:eastAsia="宋体" w:cs="宋体"/>
                <w:color w:val="auto"/>
                <w:szCs w:val="21"/>
                <w:highlight w:val="none"/>
                <w:shd w:val="clear" w:color="auto" w:fill="FFFFFF"/>
                <w:lang w:val="zh-CN"/>
              </w:rPr>
            </w:pPr>
          </w:p>
        </w:tc>
      </w:tr>
      <w:tr w14:paraId="2F33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7BB413F9">
            <w:pPr>
              <w:jc w:val="center"/>
              <w:rPr>
                <w:rFonts w:ascii="宋体" w:hAnsi="宋体" w:eastAsia="宋体" w:cs="宋体"/>
                <w:color w:val="auto"/>
                <w:szCs w:val="21"/>
                <w:highlight w:val="none"/>
                <w:shd w:val="clear" w:color="auto" w:fill="FFFFFF"/>
                <w:lang w:val="zh-CN"/>
              </w:rPr>
            </w:pPr>
            <w:r>
              <w:rPr>
                <w:rFonts w:hint="eastAsia" w:ascii="宋体" w:hAnsi="宋体" w:eastAsia="宋体" w:cs="宋体"/>
                <w:color w:val="auto"/>
                <w:szCs w:val="21"/>
                <w:highlight w:val="none"/>
                <w:shd w:val="clear" w:color="auto" w:fill="FFFFFF"/>
                <w:lang w:val="zh-CN"/>
              </w:rPr>
              <w:t>3</w:t>
            </w:r>
          </w:p>
        </w:tc>
        <w:tc>
          <w:tcPr>
            <w:tcW w:w="1879" w:type="pct"/>
            <w:tcBorders>
              <w:top w:val="single" w:color="auto" w:sz="4" w:space="0"/>
              <w:left w:val="nil"/>
              <w:bottom w:val="single" w:color="auto" w:sz="4" w:space="0"/>
              <w:right w:val="single" w:color="auto" w:sz="4" w:space="0"/>
            </w:tcBorders>
            <w:vAlign w:val="center"/>
          </w:tcPr>
          <w:p w14:paraId="5B809287">
            <w:pPr>
              <w:jc w:val="center"/>
              <w:rPr>
                <w:rFonts w:ascii="宋体" w:hAnsi="宋体" w:eastAsia="宋体" w:cs="宋体"/>
                <w:color w:val="auto"/>
                <w:szCs w:val="21"/>
                <w:highlight w:val="none"/>
                <w:shd w:val="clear" w:color="auto" w:fill="FFFFFF"/>
                <w:lang w:val="zh-CN"/>
              </w:rPr>
            </w:pPr>
          </w:p>
        </w:tc>
        <w:tc>
          <w:tcPr>
            <w:tcW w:w="784" w:type="pct"/>
            <w:tcBorders>
              <w:top w:val="single" w:color="auto" w:sz="4" w:space="0"/>
              <w:left w:val="nil"/>
              <w:bottom w:val="single" w:color="auto" w:sz="4" w:space="0"/>
              <w:right w:val="single" w:color="auto" w:sz="4" w:space="0"/>
            </w:tcBorders>
            <w:vAlign w:val="center"/>
          </w:tcPr>
          <w:p w14:paraId="2B9457CD">
            <w:pPr>
              <w:jc w:val="center"/>
              <w:rPr>
                <w:rFonts w:ascii="宋体" w:hAnsi="宋体" w:eastAsia="宋体" w:cs="宋体"/>
                <w:color w:val="auto"/>
                <w:szCs w:val="21"/>
                <w:highlight w:val="none"/>
                <w:shd w:val="clear" w:color="auto" w:fill="FFFFFF"/>
                <w:lang w:val="zh-CN"/>
              </w:rPr>
            </w:pPr>
          </w:p>
        </w:tc>
        <w:tc>
          <w:tcPr>
            <w:tcW w:w="772" w:type="pct"/>
            <w:tcBorders>
              <w:top w:val="single" w:color="auto" w:sz="4" w:space="0"/>
              <w:left w:val="nil"/>
              <w:bottom w:val="single" w:color="auto" w:sz="4" w:space="0"/>
              <w:right w:val="single" w:color="auto" w:sz="4" w:space="0"/>
            </w:tcBorders>
          </w:tcPr>
          <w:p w14:paraId="3BC481FC">
            <w:pPr>
              <w:jc w:val="center"/>
              <w:rPr>
                <w:rFonts w:ascii="宋体" w:hAnsi="宋体" w:eastAsia="宋体" w:cs="宋体"/>
                <w:color w:val="auto"/>
                <w:szCs w:val="21"/>
                <w:highlight w:val="none"/>
                <w:shd w:val="clear" w:color="auto" w:fill="FFFFFF"/>
                <w:lang w:val="zh-CN"/>
              </w:rPr>
            </w:pPr>
          </w:p>
        </w:tc>
        <w:tc>
          <w:tcPr>
            <w:tcW w:w="1235" w:type="pct"/>
            <w:tcBorders>
              <w:top w:val="single" w:color="auto" w:sz="4" w:space="0"/>
              <w:left w:val="nil"/>
              <w:bottom w:val="single" w:color="auto" w:sz="4" w:space="0"/>
              <w:right w:val="single" w:color="auto" w:sz="4" w:space="0"/>
            </w:tcBorders>
          </w:tcPr>
          <w:p w14:paraId="08DE4EFE">
            <w:pPr>
              <w:jc w:val="center"/>
              <w:rPr>
                <w:rFonts w:ascii="宋体" w:hAnsi="宋体" w:eastAsia="宋体" w:cs="宋体"/>
                <w:color w:val="auto"/>
                <w:szCs w:val="21"/>
                <w:highlight w:val="none"/>
                <w:shd w:val="clear" w:color="auto" w:fill="FFFFFF"/>
                <w:lang w:val="zh-CN"/>
              </w:rPr>
            </w:pPr>
          </w:p>
        </w:tc>
      </w:tr>
      <w:tr w14:paraId="095F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40405CB2">
            <w:pPr>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4</w:t>
            </w:r>
          </w:p>
        </w:tc>
        <w:tc>
          <w:tcPr>
            <w:tcW w:w="1879" w:type="pct"/>
            <w:tcBorders>
              <w:top w:val="single" w:color="auto" w:sz="4" w:space="0"/>
              <w:left w:val="nil"/>
              <w:bottom w:val="single" w:color="auto" w:sz="4" w:space="0"/>
              <w:right w:val="single" w:color="auto" w:sz="4" w:space="0"/>
            </w:tcBorders>
            <w:vAlign w:val="center"/>
          </w:tcPr>
          <w:p w14:paraId="62C724F1">
            <w:pPr>
              <w:jc w:val="center"/>
              <w:rPr>
                <w:rFonts w:ascii="宋体" w:hAnsi="宋体" w:eastAsia="宋体" w:cs="宋体"/>
                <w:color w:val="auto"/>
                <w:szCs w:val="21"/>
                <w:highlight w:val="none"/>
                <w:shd w:val="clear" w:color="auto" w:fill="FFFFFF"/>
                <w:lang w:val="zh-CN"/>
              </w:rPr>
            </w:pPr>
          </w:p>
        </w:tc>
        <w:tc>
          <w:tcPr>
            <w:tcW w:w="784" w:type="pct"/>
            <w:tcBorders>
              <w:top w:val="single" w:color="auto" w:sz="4" w:space="0"/>
              <w:left w:val="nil"/>
              <w:bottom w:val="single" w:color="auto" w:sz="4" w:space="0"/>
              <w:right w:val="single" w:color="auto" w:sz="4" w:space="0"/>
            </w:tcBorders>
            <w:vAlign w:val="center"/>
          </w:tcPr>
          <w:p w14:paraId="693BD2AD">
            <w:pPr>
              <w:jc w:val="center"/>
              <w:rPr>
                <w:rFonts w:ascii="宋体" w:hAnsi="宋体" w:eastAsia="宋体" w:cs="宋体"/>
                <w:color w:val="auto"/>
                <w:szCs w:val="21"/>
                <w:highlight w:val="none"/>
                <w:shd w:val="clear" w:color="auto" w:fill="FFFFFF"/>
                <w:lang w:val="zh-CN"/>
              </w:rPr>
            </w:pPr>
          </w:p>
        </w:tc>
        <w:tc>
          <w:tcPr>
            <w:tcW w:w="772" w:type="pct"/>
            <w:tcBorders>
              <w:top w:val="single" w:color="auto" w:sz="4" w:space="0"/>
              <w:left w:val="nil"/>
              <w:bottom w:val="single" w:color="auto" w:sz="4" w:space="0"/>
              <w:right w:val="single" w:color="auto" w:sz="4" w:space="0"/>
            </w:tcBorders>
          </w:tcPr>
          <w:p w14:paraId="1A94BC81">
            <w:pPr>
              <w:jc w:val="center"/>
              <w:rPr>
                <w:rFonts w:ascii="宋体" w:hAnsi="宋体" w:eastAsia="宋体" w:cs="宋体"/>
                <w:color w:val="auto"/>
                <w:szCs w:val="21"/>
                <w:highlight w:val="none"/>
                <w:shd w:val="clear" w:color="auto" w:fill="FFFFFF"/>
                <w:lang w:val="zh-CN"/>
              </w:rPr>
            </w:pPr>
          </w:p>
        </w:tc>
        <w:tc>
          <w:tcPr>
            <w:tcW w:w="1235" w:type="pct"/>
            <w:tcBorders>
              <w:top w:val="single" w:color="auto" w:sz="4" w:space="0"/>
              <w:left w:val="nil"/>
              <w:bottom w:val="single" w:color="auto" w:sz="4" w:space="0"/>
              <w:right w:val="single" w:color="auto" w:sz="4" w:space="0"/>
            </w:tcBorders>
          </w:tcPr>
          <w:p w14:paraId="10FD0F74">
            <w:pPr>
              <w:jc w:val="center"/>
              <w:rPr>
                <w:rFonts w:ascii="宋体" w:hAnsi="宋体" w:eastAsia="宋体" w:cs="宋体"/>
                <w:color w:val="auto"/>
                <w:szCs w:val="21"/>
                <w:highlight w:val="none"/>
                <w:shd w:val="clear" w:color="auto" w:fill="FFFFFF"/>
                <w:lang w:val="zh-CN"/>
              </w:rPr>
            </w:pPr>
          </w:p>
        </w:tc>
      </w:tr>
      <w:tr w14:paraId="3DC0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410ED4B3">
            <w:pPr>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5</w:t>
            </w:r>
          </w:p>
        </w:tc>
        <w:tc>
          <w:tcPr>
            <w:tcW w:w="1879" w:type="pct"/>
            <w:tcBorders>
              <w:top w:val="single" w:color="auto" w:sz="4" w:space="0"/>
              <w:left w:val="nil"/>
              <w:bottom w:val="single" w:color="auto" w:sz="4" w:space="0"/>
              <w:right w:val="single" w:color="auto" w:sz="4" w:space="0"/>
            </w:tcBorders>
            <w:vAlign w:val="center"/>
          </w:tcPr>
          <w:p w14:paraId="40F2A60B">
            <w:pPr>
              <w:jc w:val="center"/>
              <w:rPr>
                <w:rFonts w:ascii="宋体" w:hAnsi="宋体" w:eastAsia="宋体" w:cs="宋体"/>
                <w:color w:val="auto"/>
                <w:szCs w:val="21"/>
                <w:highlight w:val="none"/>
                <w:shd w:val="clear" w:color="auto" w:fill="FFFFFF"/>
                <w:lang w:val="zh-CN"/>
              </w:rPr>
            </w:pPr>
          </w:p>
        </w:tc>
        <w:tc>
          <w:tcPr>
            <w:tcW w:w="784" w:type="pct"/>
            <w:tcBorders>
              <w:top w:val="single" w:color="auto" w:sz="4" w:space="0"/>
              <w:left w:val="nil"/>
              <w:bottom w:val="single" w:color="auto" w:sz="4" w:space="0"/>
              <w:right w:val="single" w:color="auto" w:sz="4" w:space="0"/>
            </w:tcBorders>
            <w:vAlign w:val="center"/>
          </w:tcPr>
          <w:p w14:paraId="53CFACFA">
            <w:pPr>
              <w:jc w:val="center"/>
              <w:rPr>
                <w:rFonts w:ascii="宋体" w:hAnsi="宋体" w:eastAsia="宋体" w:cs="宋体"/>
                <w:color w:val="auto"/>
                <w:szCs w:val="21"/>
                <w:highlight w:val="none"/>
                <w:shd w:val="clear" w:color="auto" w:fill="FFFFFF"/>
                <w:lang w:val="zh-CN"/>
              </w:rPr>
            </w:pPr>
          </w:p>
        </w:tc>
        <w:tc>
          <w:tcPr>
            <w:tcW w:w="772" w:type="pct"/>
            <w:tcBorders>
              <w:top w:val="single" w:color="auto" w:sz="4" w:space="0"/>
              <w:left w:val="nil"/>
              <w:bottom w:val="single" w:color="auto" w:sz="4" w:space="0"/>
              <w:right w:val="single" w:color="auto" w:sz="4" w:space="0"/>
            </w:tcBorders>
          </w:tcPr>
          <w:p w14:paraId="73E52BB3">
            <w:pPr>
              <w:jc w:val="center"/>
              <w:rPr>
                <w:rFonts w:ascii="宋体" w:hAnsi="宋体" w:eastAsia="宋体" w:cs="宋体"/>
                <w:color w:val="auto"/>
                <w:szCs w:val="21"/>
                <w:highlight w:val="none"/>
                <w:shd w:val="clear" w:color="auto" w:fill="FFFFFF"/>
                <w:lang w:val="zh-CN"/>
              </w:rPr>
            </w:pPr>
          </w:p>
        </w:tc>
        <w:tc>
          <w:tcPr>
            <w:tcW w:w="1235" w:type="pct"/>
            <w:tcBorders>
              <w:top w:val="single" w:color="auto" w:sz="4" w:space="0"/>
              <w:left w:val="nil"/>
              <w:bottom w:val="single" w:color="auto" w:sz="4" w:space="0"/>
              <w:right w:val="single" w:color="auto" w:sz="4" w:space="0"/>
            </w:tcBorders>
          </w:tcPr>
          <w:p w14:paraId="11CE9D3C">
            <w:pPr>
              <w:jc w:val="center"/>
              <w:rPr>
                <w:rFonts w:ascii="宋体" w:hAnsi="宋体" w:eastAsia="宋体" w:cs="宋体"/>
                <w:color w:val="auto"/>
                <w:szCs w:val="21"/>
                <w:highlight w:val="none"/>
                <w:shd w:val="clear" w:color="auto" w:fill="FFFFFF"/>
                <w:lang w:val="zh-CN"/>
              </w:rPr>
            </w:pPr>
          </w:p>
        </w:tc>
      </w:tr>
      <w:tr w14:paraId="7EFB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67AC38CC">
            <w:pPr>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6</w:t>
            </w:r>
          </w:p>
        </w:tc>
        <w:tc>
          <w:tcPr>
            <w:tcW w:w="1879" w:type="pct"/>
            <w:tcBorders>
              <w:top w:val="single" w:color="auto" w:sz="4" w:space="0"/>
              <w:left w:val="nil"/>
              <w:bottom w:val="single" w:color="auto" w:sz="4" w:space="0"/>
              <w:right w:val="single" w:color="auto" w:sz="4" w:space="0"/>
            </w:tcBorders>
            <w:vAlign w:val="center"/>
          </w:tcPr>
          <w:p w14:paraId="2909DDE6">
            <w:pPr>
              <w:jc w:val="center"/>
              <w:rPr>
                <w:rFonts w:ascii="宋体" w:hAnsi="宋体" w:eastAsia="宋体" w:cs="宋体"/>
                <w:color w:val="auto"/>
                <w:szCs w:val="21"/>
                <w:highlight w:val="none"/>
                <w:shd w:val="clear" w:color="auto" w:fill="FFFFFF"/>
                <w:lang w:val="zh-CN"/>
              </w:rPr>
            </w:pPr>
          </w:p>
        </w:tc>
        <w:tc>
          <w:tcPr>
            <w:tcW w:w="784" w:type="pct"/>
            <w:tcBorders>
              <w:top w:val="single" w:color="auto" w:sz="4" w:space="0"/>
              <w:left w:val="nil"/>
              <w:bottom w:val="single" w:color="auto" w:sz="4" w:space="0"/>
              <w:right w:val="single" w:color="auto" w:sz="4" w:space="0"/>
            </w:tcBorders>
            <w:vAlign w:val="center"/>
          </w:tcPr>
          <w:p w14:paraId="6FEB8F40">
            <w:pPr>
              <w:jc w:val="center"/>
              <w:rPr>
                <w:rFonts w:ascii="宋体" w:hAnsi="宋体" w:eastAsia="宋体" w:cs="宋体"/>
                <w:color w:val="auto"/>
                <w:szCs w:val="21"/>
                <w:highlight w:val="none"/>
                <w:shd w:val="clear" w:color="auto" w:fill="FFFFFF"/>
                <w:lang w:val="zh-CN"/>
              </w:rPr>
            </w:pPr>
          </w:p>
        </w:tc>
        <w:tc>
          <w:tcPr>
            <w:tcW w:w="772" w:type="pct"/>
            <w:tcBorders>
              <w:top w:val="single" w:color="auto" w:sz="4" w:space="0"/>
              <w:left w:val="nil"/>
              <w:bottom w:val="single" w:color="auto" w:sz="4" w:space="0"/>
              <w:right w:val="single" w:color="auto" w:sz="4" w:space="0"/>
            </w:tcBorders>
          </w:tcPr>
          <w:p w14:paraId="2A595550">
            <w:pPr>
              <w:jc w:val="center"/>
              <w:rPr>
                <w:rFonts w:ascii="宋体" w:hAnsi="宋体" w:eastAsia="宋体" w:cs="宋体"/>
                <w:color w:val="auto"/>
                <w:szCs w:val="21"/>
                <w:highlight w:val="none"/>
                <w:shd w:val="clear" w:color="auto" w:fill="FFFFFF"/>
                <w:lang w:val="zh-CN"/>
              </w:rPr>
            </w:pPr>
          </w:p>
        </w:tc>
        <w:tc>
          <w:tcPr>
            <w:tcW w:w="1235" w:type="pct"/>
            <w:tcBorders>
              <w:top w:val="single" w:color="auto" w:sz="4" w:space="0"/>
              <w:left w:val="nil"/>
              <w:bottom w:val="single" w:color="auto" w:sz="4" w:space="0"/>
              <w:right w:val="single" w:color="auto" w:sz="4" w:space="0"/>
            </w:tcBorders>
          </w:tcPr>
          <w:p w14:paraId="23911D41">
            <w:pPr>
              <w:jc w:val="center"/>
              <w:rPr>
                <w:rFonts w:ascii="宋体" w:hAnsi="宋体" w:eastAsia="宋体" w:cs="宋体"/>
                <w:color w:val="auto"/>
                <w:szCs w:val="21"/>
                <w:highlight w:val="none"/>
                <w:shd w:val="clear" w:color="auto" w:fill="FFFFFF"/>
                <w:lang w:val="zh-CN"/>
              </w:rPr>
            </w:pPr>
          </w:p>
        </w:tc>
      </w:tr>
      <w:tr w14:paraId="27CC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529F4C3A">
            <w:pPr>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7</w:t>
            </w:r>
          </w:p>
        </w:tc>
        <w:tc>
          <w:tcPr>
            <w:tcW w:w="1879" w:type="pct"/>
            <w:tcBorders>
              <w:top w:val="single" w:color="auto" w:sz="4" w:space="0"/>
              <w:left w:val="nil"/>
              <w:bottom w:val="single" w:color="auto" w:sz="4" w:space="0"/>
              <w:right w:val="single" w:color="auto" w:sz="4" w:space="0"/>
            </w:tcBorders>
            <w:vAlign w:val="center"/>
          </w:tcPr>
          <w:p w14:paraId="7501F5DC">
            <w:pPr>
              <w:jc w:val="center"/>
              <w:rPr>
                <w:rFonts w:ascii="宋体" w:hAnsi="宋体" w:eastAsia="宋体" w:cs="宋体"/>
                <w:color w:val="auto"/>
                <w:szCs w:val="21"/>
                <w:highlight w:val="none"/>
                <w:shd w:val="clear" w:color="auto" w:fill="FFFFFF"/>
                <w:lang w:val="zh-CN"/>
              </w:rPr>
            </w:pPr>
          </w:p>
        </w:tc>
        <w:tc>
          <w:tcPr>
            <w:tcW w:w="784" w:type="pct"/>
            <w:tcBorders>
              <w:top w:val="single" w:color="auto" w:sz="4" w:space="0"/>
              <w:left w:val="nil"/>
              <w:bottom w:val="single" w:color="auto" w:sz="4" w:space="0"/>
              <w:right w:val="single" w:color="auto" w:sz="4" w:space="0"/>
            </w:tcBorders>
            <w:vAlign w:val="center"/>
          </w:tcPr>
          <w:p w14:paraId="663ABA06">
            <w:pPr>
              <w:jc w:val="center"/>
              <w:rPr>
                <w:rFonts w:ascii="宋体" w:hAnsi="宋体" w:eastAsia="宋体" w:cs="宋体"/>
                <w:color w:val="auto"/>
                <w:szCs w:val="21"/>
                <w:highlight w:val="none"/>
                <w:shd w:val="clear" w:color="auto" w:fill="FFFFFF"/>
                <w:lang w:val="zh-CN"/>
              </w:rPr>
            </w:pPr>
          </w:p>
        </w:tc>
        <w:tc>
          <w:tcPr>
            <w:tcW w:w="772" w:type="pct"/>
            <w:tcBorders>
              <w:top w:val="single" w:color="auto" w:sz="4" w:space="0"/>
              <w:left w:val="nil"/>
              <w:bottom w:val="single" w:color="auto" w:sz="4" w:space="0"/>
              <w:right w:val="single" w:color="auto" w:sz="4" w:space="0"/>
            </w:tcBorders>
          </w:tcPr>
          <w:p w14:paraId="64FE6B0D">
            <w:pPr>
              <w:jc w:val="center"/>
              <w:rPr>
                <w:rFonts w:ascii="宋体" w:hAnsi="宋体" w:eastAsia="宋体" w:cs="宋体"/>
                <w:color w:val="auto"/>
                <w:szCs w:val="21"/>
                <w:highlight w:val="none"/>
                <w:shd w:val="clear" w:color="auto" w:fill="FFFFFF"/>
                <w:lang w:val="zh-CN"/>
              </w:rPr>
            </w:pPr>
          </w:p>
        </w:tc>
        <w:tc>
          <w:tcPr>
            <w:tcW w:w="1235" w:type="pct"/>
            <w:tcBorders>
              <w:top w:val="single" w:color="auto" w:sz="4" w:space="0"/>
              <w:left w:val="nil"/>
              <w:bottom w:val="single" w:color="auto" w:sz="4" w:space="0"/>
              <w:right w:val="single" w:color="auto" w:sz="4" w:space="0"/>
            </w:tcBorders>
          </w:tcPr>
          <w:p w14:paraId="6711AA23">
            <w:pPr>
              <w:jc w:val="center"/>
              <w:rPr>
                <w:rFonts w:ascii="宋体" w:hAnsi="宋体" w:eastAsia="宋体" w:cs="宋体"/>
                <w:color w:val="auto"/>
                <w:szCs w:val="21"/>
                <w:highlight w:val="none"/>
                <w:shd w:val="clear" w:color="auto" w:fill="FFFFFF"/>
                <w:lang w:val="zh-CN"/>
              </w:rPr>
            </w:pPr>
          </w:p>
        </w:tc>
      </w:tr>
    </w:tbl>
    <w:p w14:paraId="58386A3C">
      <w:pPr>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备注：得分最高的合格中标候选人直接确定为中标人。</w:t>
      </w:r>
    </w:p>
    <w:p w14:paraId="5355000E">
      <w:pPr>
        <w:spacing w:line="400" w:lineRule="exact"/>
        <w:ind w:firstLine="480"/>
        <w:rPr>
          <w:rFonts w:ascii="宋体" w:hAnsi="宋体" w:eastAsia="宋体" w:cs="Times New Roman"/>
          <w:color w:val="auto"/>
          <w:szCs w:val="21"/>
          <w:highlight w:val="none"/>
        </w:rPr>
      </w:pPr>
    </w:p>
    <w:p w14:paraId="1136563E">
      <w:pPr>
        <w:spacing w:line="360" w:lineRule="exact"/>
        <w:ind w:right="-325" w:rightChars="-155" w:firstLine="48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定标委员会全体成员签名： </w:t>
      </w:r>
    </w:p>
    <w:p w14:paraId="0BEA77A0">
      <w:pPr>
        <w:spacing w:line="360" w:lineRule="exact"/>
        <w:ind w:right="-325" w:rightChars="-155" w:firstLine="480"/>
        <w:jc w:val="left"/>
        <w:rPr>
          <w:rFonts w:ascii="宋体" w:hAnsi="宋体" w:eastAsia="宋体" w:cs="宋体"/>
          <w:color w:val="auto"/>
          <w:highlight w:val="none"/>
        </w:rPr>
      </w:pPr>
      <w:r>
        <w:rPr>
          <w:rFonts w:hint="eastAsia" w:ascii="宋体" w:hAnsi="宋体" w:eastAsia="宋体" w:cs="宋体"/>
          <w:color w:val="auto"/>
          <w:szCs w:val="21"/>
          <w:highlight w:val="none"/>
        </w:rPr>
        <w:t>日期：</w:t>
      </w:r>
      <w:bookmarkEnd w:id="36"/>
    </w:p>
    <w:p w14:paraId="0BD92C71">
      <w:pPr>
        <w:ind w:firstLine="484" w:firstLineChars="202"/>
        <w:rPr>
          <w:rFonts w:ascii="宋体" w:hAnsi="宋体" w:eastAsia="宋体" w:cs="宋体"/>
          <w:color w:val="auto"/>
          <w:sz w:val="24"/>
          <w:szCs w:val="24"/>
          <w:highlight w:val="none"/>
        </w:rPr>
        <w:sectPr>
          <w:headerReference r:id="rId13" w:type="first"/>
          <w:headerReference r:id="rId12" w:type="default"/>
          <w:footerReference r:id="rId14" w:type="default"/>
          <w:type w:val="continuous"/>
          <w:pgSz w:w="11906" w:h="16838"/>
          <w:pgMar w:top="1440" w:right="1080" w:bottom="1440" w:left="1080" w:header="850" w:footer="992" w:gutter="0"/>
          <w:pgNumType w:fmt="decimal"/>
          <w:cols w:space="720" w:num="1"/>
          <w:titlePg/>
          <w:docGrid w:type="lines" w:linePitch="318" w:charSpace="0"/>
        </w:sectPr>
      </w:pPr>
    </w:p>
    <w:p w14:paraId="7C16B2B9">
      <w:pPr>
        <w:keepNext/>
        <w:keepLines/>
        <w:spacing w:line="360" w:lineRule="auto"/>
        <w:jc w:val="center"/>
        <w:outlineLvl w:val="0"/>
        <w:rPr>
          <w:rFonts w:ascii="宋体" w:hAnsi="宋体" w:eastAsia="宋体" w:cs="宋体"/>
          <w:b/>
          <w:color w:val="auto"/>
          <w:kern w:val="44"/>
          <w:sz w:val="28"/>
          <w:szCs w:val="28"/>
          <w:highlight w:val="none"/>
        </w:rPr>
      </w:pPr>
      <w:bookmarkStart w:id="50" w:name="_Toc500249621"/>
      <w:bookmarkStart w:id="51" w:name="_Toc202907304"/>
      <w:bookmarkStart w:id="52" w:name="_Toc504659100"/>
      <w:bookmarkStart w:id="53" w:name="_Toc504053942"/>
      <w:r>
        <w:rPr>
          <w:rFonts w:hint="eastAsia" w:ascii="宋体" w:hAnsi="宋体" w:eastAsia="宋体" w:cs="宋体"/>
          <w:b/>
          <w:color w:val="auto"/>
          <w:kern w:val="44"/>
          <w:sz w:val="28"/>
          <w:szCs w:val="28"/>
          <w:highlight w:val="none"/>
        </w:rPr>
        <w:t>第三章 合同条款</w:t>
      </w:r>
      <w:bookmarkEnd w:id="50"/>
      <w:bookmarkEnd w:id="51"/>
      <w:bookmarkEnd w:id="52"/>
      <w:bookmarkEnd w:id="53"/>
    </w:p>
    <w:p w14:paraId="2CEE9584">
      <w:pPr>
        <w:rPr>
          <w:rFonts w:ascii="宋体" w:hAnsi="宋体" w:eastAsia="宋体"/>
          <w:color w:val="auto"/>
          <w:highlight w:val="none"/>
        </w:rPr>
      </w:pPr>
    </w:p>
    <w:p w14:paraId="1905A07F">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合同编号：</w:t>
      </w:r>
      <w:r>
        <w:rPr>
          <w:rFonts w:hint="eastAsia" w:ascii="宋体" w:hAnsi="宋体" w:eastAsia="宋体" w:cs="宋体"/>
          <w:color w:val="auto"/>
          <w:szCs w:val="21"/>
          <w:highlight w:val="none"/>
        </w:rPr>
        <w:t>中新知建管施[</w:t>
      </w:r>
      <w:r>
        <w:rPr>
          <w:rFonts w:hint="eastAsia" w:ascii="宋体" w:hAnsi="宋体" w:eastAsia="宋体" w:cs="宋体"/>
          <w:color w:val="auto"/>
          <w:szCs w:val="21"/>
          <w:highlight w:val="none"/>
          <w:lang w:val="en-US" w:eastAsia="zh-CN"/>
        </w:rPr>
        <w:t>2026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号/</w:t>
      </w:r>
    </w:p>
    <w:p w14:paraId="74B48392">
      <w:pPr>
        <w:spacing w:line="360" w:lineRule="auto"/>
        <w:rPr>
          <w:rFonts w:ascii="宋体" w:hAnsi="宋体" w:eastAsia="宋体" w:cs="宋体"/>
          <w:color w:val="auto"/>
          <w:highlight w:val="none"/>
        </w:rPr>
      </w:pPr>
      <w:r>
        <w:rPr>
          <w:rFonts w:hint="eastAsia" w:ascii="宋体" w:hAnsi="宋体" w:eastAsia="宋体" w:cs="宋体"/>
          <w:color w:val="auto"/>
          <w:sz w:val="30"/>
          <w:szCs w:val="24"/>
          <w:highlight w:val="none"/>
        </w:rPr>
        <w:drawing>
          <wp:anchor distT="0" distB="0" distL="114300" distR="114300" simplePos="0" relativeHeight="251668480" behindDoc="1" locked="0" layoutInCell="1" allowOverlap="1">
            <wp:simplePos x="0" y="0"/>
            <wp:positionH relativeFrom="column">
              <wp:posOffset>29210</wp:posOffset>
            </wp:positionH>
            <wp:positionV relativeFrom="paragraph">
              <wp:posOffset>83820</wp:posOffset>
            </wp:positionV>
            <wp:extent cx="4730115" cy="1774190"/>
            <wp:effectExtent l="0" t="0" r="9525" b="8890"/>
            <wp:wrapNone/>
            <wp:docPr id="2" name="图片 25" descr="说明: D:\我的文档\Documents\Tencent Files\294312491\FileRecv\SSGKC Inline_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5" descr="说明: D:\我的文档\Documents\Tencent Files\294312491\FileRecv\SSGKC Inline_Colour Logo.jpg"/>
                    <pic:cNvPicPr>
                      <a:picLocks noChangeAspect="1"/>
                    </pic:cNvPicPr>
                  </pic:nvPicPr>
                  <pic:blipFill>
                    <a:blip r:embed="rId28"/>
                    <a:stretch>
                      <a:fillRect/>
                    </a:stretch>
                  </pic:blipFill>
                  <pic:spPr>
                    <a:xfrm>
                      <a:off x="0" y="0"/>
                      <a:ext cx="4730115" cy="1774190"/>
                    </a:xfrm>
                    <a:prstGeom prst="rect">
                      <a:avLst/>
                    </a:prstGeom>
                    <a:noFill/>
                    <a:ln>
                      <a:noFill/>
                    </a:ln>
                  </pic:spPr>
                </pic:pic>
              </a:graphicData>
            </a:graphic>
          </wp:anchor>
        </w:drawing>
      </w:r>
    </w:p>
    <w:p w14:paraId="08037456">
      <w:pPr>
        <w:spacing w:line="360" w:lineRule="auto"/>
        <w:rPr>
          <w:rFonts w:ascii="宋体" w:hAnsi="宋体" w:eastAsia="宋体" w:cs="宋体"/>
          <w:color w:val="auto"/>
          <w:highlight w:val="none"/>
        </w:rPr>
      </w:pPr>
    </w:p>
    <w:p w14:paraId="2247FBCB">
      <w:pPr>
        <w:spacing w:line="360" w:lineRule="auto"/>
        <w:rPr>
          <w:rFonts w:ascii="宋体" w:hAnsi="宋体" w:eastAsia="宋体" w:cs="宋体"/>
          <w:color w:val="auto"/>
          <w:highlight w:val="none"/>
        </w:rPr>
      </w:pPr>
    </w:p>
    <w:p w14:paraId="6802DA46">
      <w:pPr>
        <w:spacing w:line="360" w:lineRule="auto"/>
        <w:rPr>
          <w:rFonts w:ascii="宋体" w:hAnsi="宋体" w:eastAsia="宋体" w:cs="宋体"/>
          <w:color w:val="auto"/>
          <w:highlight w:val="none"/>
        </w:rPr>
      </w:pPr>
      <w:r>
        <w:rPr>
          <w:rFonts w:hint="eastAsia" w:ascii="宋体" w:hAnsi="宋体" w:eastAsia="宋体" w:cs="宋体"/>
          <w:color w:val="auto"/>
          <w:highlight w:val="none"/>
        </w:rPr>
        <w:t xml:space="preserve"> </w:t>
      </w:r>
    </w:p>
    <w:p w14:paraId="67ABD350">
      <w:pPr>
        <w:spacing w:line="360" w:lineRule="auto"/>
        <w:jc w:val="center"/>
        <w:rPr>
          <w:rFonts w:hint="eastAsia" w:ascii="宋体" w:hAnsi="宋体" w:eastAsia="宋体" w:cs="宋体"/>
          <w:b/>
          <w:color w:val="auto"/>
          <w:sz w:val="84"/>
          <w:szCs w:val="84"/>
          <w:highlight w:val="none"/>
        </w:rPr>
      </w:pPr>
    </w:p>
    <w:p w14:paraId="5FABF040">
      <w:pPr>
        <w:spacing w:line="360" w:lineRule="auto"/>
        <w:jc w:val="center"/>
        <w:rPr>
          <w:rFonts w:ascii="宋体" w:hAnsi="宋体" w:eastAsia="宋体" w:cs="宋体"/>
          <w:b/>
          <w:color w:val="auto"/>
          <w:sz w:val="84"/>
          <w:szCs w:val="84"/>
          <w:highlight w:val="none"/>
        </w:rPr>
      </w:pPr>
      <w:r>
        <w:rPr>
          <w:rFonts w:hint="eastAsia" w:ascii="宋体" w:hAnsi="宋体" w:eastAsia="宋体" w:cs="宋体"/>
          <w:b/>
          <w:color w:val="auto"/>
          <w:sz w:val="84"/>
          <w:szCs w:val="84"/>
          <w:highlight w:val="none"/>
        </w:rPr>
        <w:t>建设工程施工合同</w:t>
      </w:r>
    </w:p>
    <w:p w14:paraId="5C6416F5">
      <w:pPr>
        <w:spacing w:line="360" w:lineRule="auto"/>
        <w:ind w:firstLine="420"/>
        <w:rPr>
          <w:rFonts w:ascii="宋体" w:hAnsi="宋体" w:eastAsia="宋体" w:cs="宋体"/>
          <w:color w:val="auto"/>
          <w:szCs w:val="20"/>
          <w:highlight w:val="none"/>
        </w:rPr>
      </w:pPr>
    </w:p>
    <w:p w14:paraId="32538728">
      <w:pPr>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 xml:space="preserve">          项目名称：</w:t>
      </w:r>
      <w:r>
        <w:rPr>
          <w:rFonts w:hint="eastAsia" w:ascii="宋体" w:hAnsi="宋体" w:eastAsia="宋体" w:cs="宋体"/>
          <w:color w:val="auto"/>
          <w:sz w:val="21"/>
          <w:szCs w:val="21"/>
          <w:highlight w:val="none"/>
          <w:u w:val="single"/>
          <w:lang w:val="en-US" w:eastAsia="zh-CN"/>
        </w:rPr>
        <w:t xml:space="preserve"> </w:t>
      </w:r>
    </w:p>
    <w:p w14:paraId="7E89AD1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发包人：</w:t>
      </w:r>
      <w:r>
        <w:rPr>
          <w:rFonts w:hint="eastAsia" w:ascii="宋体" w:hAnsi="宋体" w:eastAsia="宋体" w:cs="宋体"/>
          <w:color w:val="auto"/>
          <w:sz w:val="21"/>
          <w:szCs w:val="21"/>
          <w:highlight w:val="none"/>
          <w:u w:val="single"/>
        </w:rPr>
        <w:t>中新广州知识城财政投资建设项目管理中心</w:t>
      </w:r>
    </w:p>
    <w:p w14:paraId="3DA25893">
      <w:pPr>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 xml:space="preserve">          承包人：</w:t>
      </w:r>
      <w:r>
        <w:rPr>
          <w:rFonts w:hint="eastAsia" w:ascii="宋体" w:hAnsi="宋体" w:eastAsia="宋体" w:cs="宋体"/>
          <w:color w:val="auto"/>
          <w:sz w:val="21"/>
          <w:szCs w:val="21"/>
          <w:highlight w:val="none"/>
          <w:u w:val="single"/>
          <w:lang w:val="en-US" w:eastAsia="zh-CN"/>
        </w:rPr>
        <w:t xml:space="preserve"> </w:t>
      </w:r>
    </w:p>
    <w:p w14:paraId="366EECC1">
      <w:pPr>
        <w:spacing w:line="360" w:lineRule="auto"/>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合同签订日期：</w:t>
      </w:r>
      <w:r>
        <w:rPr>
          <w:rFonts w:hint="eastAsia" w:ascii="宋体" w:hAnsi="宋体" w:eastAsia="宋体" w:cs="宋体"/>
          <w:color w:val="auto"/>
          <w:sz w:val="21"/>
          <w:szCs w:val="21"/>
          <w:highlight w:val="none"/>
          <w:u w:val="single"/>
          <w:lang w:val="en-US" w:eastAsia="zh-CN"/>
        </w:rPr>
        <w:t xml:space="preserve">202 </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日</w:t>
      </w:r>
    </w:p>
    <w:p w14:paraId="285CC084">
      <w:pPr>
        <w:spacing w:line="360" w:lineRule="auto"/>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drawing>
          <wp:anchor distT="0" distB="0" distL="114300" distR="114300" simplePos="0" relativeHeight="251669504" behindDoc="0" locked="0" layoutInCell="1" allowOverlap="0">
            <wp:simplePos x="0" y="0"/>
            <wp:positionH relativeFrom="column">
              <wp:posOffset>-840105</wp:posOffset>
            </wp:positionH>
            <wp:positionV relativeFrom="paragraph">
              <wp:posOffset>979805</wp:posOffset>
            </wp:positionV>
            <wp:extent cx="6882765" cy="2524125"/>
            <wp:effectExtent l="0" t="0" r="5715" b="5715"/>
            <wp:wrapSquare wrapText="bothSides"/>
            <wp:docPr id="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6"/>
                    <pic:cNvPicPr>
                      <a:picLocks noChangeAspect="1"/>
                    </pic:cNvPicPr>
                  </pic:nvPicPr>
                  <pic:blipFill>
                    <a:blip r:embed="rId29"/>
                    <a:stretch>
                      <a:fillRect/>
                    </a:stretch>
                  </pic:blipFill>
                  <pic:spPr>
                    <a:xfrm>
                      <a:off x="0" y="0"/>
                      <a:ext cx="6882765" cy="2524125"/>
                    </a:xfrm>
                    <a:prstGeom prst="rect">
                      <a:avLst/>
                    </a:prstGeom>
                    <a:noFill/>
                    <a:ln>
                      <a:noFill/>
                    </a:ln>
                  </pic:spPr>
                </pic:pic>
              </a:graphicData>
            </a:graphic>
          </wp:anchor>
        </w:drawing>
      </w:r>
      <w:r>
        <w:rPr>
          <w:rFonts w:hint="eastAsia" w:ascii="宋体" w:hAnsi="宋体" w:eastAsia="宋体" w:cs="宋体"/>
          <w:color w:val="auto"/>
          <w:sz w:val="21"/>
          <w:szCs w:val="21"/>
          <w:highlight w:val="none"/>
        </w:rPr>
        <w:t xml:space="preserve">          签订地点：</w:t>
      </w:r>
      <w:r>
        <w:rPr>
          <w:rFonts w:hint="eastAsia" w:ascii="宋体" w:hAnsi="宋体" w:eastAsia="宋体" w:cs="宋体"/>
          <w:color w:val="auto"/>
          <w:sz w:val="21"/>
          <w:szCs w:val="21"/>
          <w:highlight w:val="none"/>
          <w:u w:val="single"/>
        </w:rPr>
        <w:t>广州市黄埔区</w:t>
      </w:r>
    </w:p>
    <w:p w14:paraId="4814AF6C">
      <w:pPr>
        <w:snapToGrid w:val="0"/>
        <w:spacing w:line="440" w:lineRule="exact"/>
        <w:jc w:val="both"/>
        <w:rPr>
          <w:rFonts w:hint="eastAsia" w:ascii="宋体" w:hAnsi="宋体"/>
          <w:b/>
          <w:color w:val="auto"/>
          <w:sz w:val="28"/>
          <w:szCs w:val="28"/>
          <w:highlight w:val="none"/>
        </w:rPr>
        <w:sectPr>
          <w:headerReference r:id="rId15" w:type="default"/>
          <w:footerReference r:id="rId16" w:type="default"/>
          <w:pgSz w:w="11907" w:h="16840"/>
          <w:pgMar w:top="1134" w:right="1418" w:bottom="1134" w:left="1418" w:header="851" w:footer="992" w:gutter="0"/>
          <w:cols w:space="720" w:num="1"/>
          <w:docGrid w:linePitch="312" w:charSpace="0"/>
        </w:sectPr>
      </w:pPr>
    </w:p>
    <w:p w14:paraId="14E35E03">
      <w:pPr>
        <w:snapToGrid w:val="0"/>
        <w:spacing w:line="440" w:lineRule="exact"/>
        <w:jc w:val="both"/>
        <w:rPr>
          <w:rFonts w:ascii="宋体" w:hAnsi="宋体"/>
          <w:b/>
          <w:bCs/>
          <w:color w:val="auto"/>
          <w:sz w:val="28"/>
          <w:szCs w:val="28"/>
          <w:highlight w:val="none"/>
        </w:rPr>
      </w:pPr>
      <w:r>
        <w:rPr>
          <w:rFonts w:hint="eastAsia" w:ascii="宋体" w:hAnsi="宋体"/>
          <w:b/>
          <w:color w:val="auto"/>
          <w:sz w:val="28"/>
          <w:szCs w:val="28"/>
          <w:highlight w:val="none"/>
        </w:rPr>
        <w:t>第一部分</w:t>
      </w:r>
      <w:r>
        <w:rPr>
          <w:rFonts w:ascii="宋体" w:hAnsi="宋体"/>
          <w:b/>
          <w:color w:val="auto"/>
          <w:sz w:val="28"/>
          <w:szCs w:val="28"/>
          <w:highlight w:val="none"/>
        </w:rPr>
        <w:t xml:space="preserve">   </w:t>
      </w:r>
      <w:r>
        <w:rPr>
          <w:rFonts w:hint="eastAsia" w:ascii="宋体" w:hAnsi="宋体"/>
          <w:b/>
          <w:color w:val="auto"/>
          <w:sz w:val="28"/>
          <w:szCs w:val="28"/>
          <w:highlight w:val="none"/>
        </w:rPr>
        <w:t>协议书</w:t>
      </w:r>
    </w:p>
    <w:p w14:paraId="63C174AD">
      <w:pPr>
        <w:snapToGrid w:val="0"/>
        <w:spacing w:line="440" w:lineRule="exact"/>
        <w:ind w:firstLine="480"/>
        <w:rPr>
          <w:rFonts w:hint="eastAsia" w:ascii="宋体" w:hAnsi="宋体"/>
          <w:color w:val="auto"/>
          <w:sz w:val="24"/>
          <w:highlight w:val="none"/>
        </w:rPr>
      </w:pPr>
    </w:p>
    <w:p w14:paraId="7EE4F0A6">
      <w:pPr>
        <w:snapToGrid w:val="0"/>
        <w:spacing w:line="440" w:lineRule="exact"/>
        <w:ind w:firstLine="480"/>
        <w:rPr>
          <w:rFonts w:ascii="宋体" w:hAnsi="宋体"/>
          <w:color w:val="auto"/>
          <w:sz w:val="24"/>
          <w:highlight w:val="none"/>
          <w:u w:val="single"/>
        </w:rPr>
      </w:pPr>
      <w:r>
        <w:rPr>
          <w:rFonts w:hint="eastAsia" w:ascii="宋体" w:hAnsi="宋体"/>
          <w:color w:val="auto"/>
          <w:sz w:val="24"/>
          <w:highlight w:val="none"/>
        </w:rPr>
        <w:t>发包人（甲方）：</w:t>
      </w:r>
      <w:r>
        <w:rPr>
          <w:rFonts w:ascii="宋体" w:hAnsi="宋体"/>
          <w:color w:val="auto"/>
          <w:sz w:val="24"/>
          <w:highlight w:val="none"/>
          <w:u w:val="single"/>
        </w:rPr>
        <w:t xml:space="preserve">                             </w:t>
      </w:r>
      <w:r>
        <w:rPr>
          <w:rFonts w:hint="eastAsia" w:ascii="宋体" w:hAnsi="宋体"/>
          <w:color w:val="auto"/>
          <w:sz w:val="24"/>
          <w:highlight w:val="none"/>
        </w:rPr>
        <w:t>。</w:t>
      </w:r>
    </w:p>
    <w:p w14:paraId="49D4A255">
      <w:pPr>
        <w:snapToGrid w:val="0"/>
        <w:spacing w:line="440" w:lineRule="exact"/>
        <w:ind w:firstLine="480"/>
        <w:rPr>
          <w:rFonts w:ascii="宋体" w:hAnsi="宋体"/>
          <w:color w:val="auto"/>
          <w:sz w:val="24"/>
          <w:highlight w:val="none"/>
          <w:u w:val="single"/>
        </w:rPr>
      </w:pPr>
      <w:r>
        <w:rPr>
          <w:rFonts w:hint="eastAsia" w:ascii="宋体" w:hAnsi="宋体"/>
          <w:color w:val="auto"/>
          <w:sz w:val="24"/>
          <w:highlight w:val="none"/>
        </w:rPr>
        <w:t>承包人（乙方）：</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w:t>
      </w:r>
    </w:p>
    <w:p w14:paraId="25E4A7D7">
      <w:pPr>
        <w:pStyle w:val="281"/>
        <w:snapToGrid w:val="0"/>
        <w:spacing w:line="440" w:lineRule="exact"/>
        <w:rPr>
          <w:rFonts w:hint="eastAsia" w:ascii="宋体" w:hAnsi="宋体"/>
          <w:color w:val="auto"/>
          <w:szCs w:val="24"/>
          <w:highlight w:val="none"/>
        </w:rPr>
      </w:pPr>
    </w:p>
    <w:p w14:paraId="4A0024BA">
      <w:pPr>
        <w:pStyle w:val="281"/>
        <w:snapToGrid w:val="0"/>
        <w:spacing w:line="440" w:lineRule="exact"/>
        <w:rPr>
          <w:rFonts w:ascii="宋体" w:hAnsi="宋体"/>
          <w:color w:val="auto"/>
          <w:szCs w:val="24"/>
          <w:highlight w:val="none"/>
        </w:rPr>
      </w:pPr>
      <w:r>
        <w:rPr>
          <w:rFonts w:hint="eastAsia" w:ascii="宋体" w:hAnsi="宋体"/>
          <w:color w:val="auto"/>
          <w:szCs w:val="24"/>
          <w:highlight w:val="none"/>
        </w:rPr>
        <w:t>依照《中华人民共和国民法典》、《中华人民共和国建筑法》及其他有关法律、行政法规，遵循平等、自愿、公平和诚实信用的原则，双方就本建设工程施工事项协商一致，订立本合同。</w:t>
      </w:r>
    </w:p>
    <w:p w14:paraId="2C2CF121">
      <w:pPr>
        <w:snapToGrid w:val="0"/>
        <w:spacing w:line="440" w:lineRule="exact"/>
        <w:ind w:firstLine="480" w:firstLineChars="200"/>
        <w:rPr>
          <w:rFonts w:ascii="宋体" w:hAnsi="宋体"/>
          <w:b/>
          <w:bCs/>
          <w:color w:val="auto"/>
          <w:sz w:val="24"/>
          <w:highlight w:val="none"/>
        </w:rPr>
      </w:pPr>
      <w:r>
        <w:rPr>
          <w:rFonts w:hint="eastAsia" w:ascii="宋体" w:hAnsi="宋体"/>
          <w:b/>
          <w:bCs/>
          <w:color w:val="auto"/>
          <w:sz w:val="24"/>
          <w:highlight w:val="none"/>
        </w:rPr>
        <w:t>一、工程概况</w:t>
      </w:r>
    </w:p>
    <w:p w14:paraId="08C4C4EC">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工程名称：</w:t>
      </w:r>
      <w:r>
        <w:rPr>
          <w:rFonts w:ascii="宋体" w:hAnsi="宋体"/>
          <w:bCs/>
          <w:color w:val="auto"/>
          <w:sz w:val="24"/>
          <w:highlight w:val="none"/>
          <w:u w:val="single"/>
        </w:rPr>
        <w:t xml:space="preserve">                            </w:t>
      </w:r>
      <w:r>
        <w:rPr>
          <w:rFonts w:hint="eastAsia" w:ascii="宋体" w:hAnsi="宋体"/>
          <w:bCs/>
          <w:color w:val="auto"/>
          <w:sz w:val="24"/>
          <w:highlight w:val="none"/>
        </w:rPr>
        <w:t>。</w:t>
      </w:r>
    </w:p>
    <w:p w14:paraId="22250221">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工程地点：</w:t>
      </w:r>
      <w:r>
        <w:rPr>
          <w:rFonts w:ascii="宋体" w:hAnsi="宋体"/>
          <w:bCs/>
          <w:color w:val="auto"/>
          <w:sz w:val="24"/>
          <w:highlight w:val="none"/>
          <w:u w:val="single"/>
        </w:rPr>
        <w:t xml:space="preserve">                            </w:t>
      </w:r>
      <w:r>
        <w:rPr>
          <w:rFonts w:hint="eastAsia" w:ascii="宋体" w:hAnsi="宋体"/>
          <w:bCs/>
          <w:color w:val="auto"/>
          <w:sz w:val="24"/>
          <w:highlight w:val="none"/>
        </w:rPr>
        <w:t>。</w:t>
      </w:r>
    </w:p>
    <w:p w14:paraId="35F7F463">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工程内容：</w:t>
      </w:r>
      <w:r>
        <w:rPr>
          <w:rFonts w:ascii="宋体" w:hAnsi="宋体"/>
          <w:color w:val="auto"/>
          <w:sz w:val="24"/>
          <w:highlight w:val="none"/>
          <w:u w:val="single"/>
        </w:rPr>
        <w:t xml:space="preserve">                          </w:t>
      </w:r>
      <w:r>
        <w:rPr>
          <w:rFonts w:hint="eastAsia" w:ascii="宋体" w:hAnsi="宋体"/>
          <w:color w:val="auto"/>
          <w:sz w:val="24"/>
          <w:highlight w:val="none"/>
        </w:rPr>
        <w:t>。具体内容以施工图纸及工程量清单为准。</w:t>
      </w:r>
    </w:p>
    <w:p w14:paraId="60E41D58">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u w:val="single"/>
        </w:rPr>
        <w:t>建设业主有权根据工程实施情况，对承包人的承包范围和承包工程量进行适当调整</w:t>
      </w:r>
      <w:r>
        <w:rPr>
          <w:rFonts w:hint="eastAsia" w:ascii="宋体" w:hAnsi="宋体"/>
          <w:color w:val="auto"/>
          <w:sz w:val="24"/>
          <w:highlight w:val="none"/>
        </w:rPr>
        <w:t>。</w:t>
      </w:r>
    </w:p>
    <w:p w14:paraId="700FCD3F">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工程立项批准文号：</w:t>
      </w:r>
      <w:r>
        <w:rPr>
          <w:rFonts w:ascii="宋体" w:hAnsi="宋体"/>
          <w:color w:val="auto"/>
          <w:sz w:val="24"/>
          <w:highlight w:val="none"/>
          <w:u w:val="single"/>
        </w:rPr>
        <w:t xml:space="preserve">             </w:t>
      </w:r>
      <w:r>
        <w:rPr>
          <w:rFonts w:hint="eastAsia" w:ascii="宋体" w:hAnsi="宋体"/>
          <w:color w:val="auto"/>
          <w:sz w:val="24"/>
          <w:highlight w:val="none"/>
        </w:rPr>
        <w:t>。</w:t>
      </w:r>
    </w:p>
    <w:p w14:paraId="4EE04509">
      <w:pPr>
        <w:snapToGrid w:val="0"/>
        <w:spacing w:line="440" w:lineRule="exact"/>
        <w:ind w:firstLine="480"/>
        <w:jc w:val="left"/>
        <w:rPr>
          <w:rFonts w:ascii="宋体" w:hAnsi="宋体"/>
          <w:color w:val="auto"/>
          <w:sz w:val="24"/>
          <w:highlight w:val="none"/>
          <w:u w:val="single"/>
        </w:rPr>
      </w:pPr>
      <w:r>
        <w:rPr>
          <w:rFonts w:hint="eastAsia" w:ascii="宋体" w:hAnsi="宋体"/>
          <w:color w:val="auto"/>
          <w:sz w:val="24"/>
          <w:highlight w:val="none"/>
        </w:rPr>
        <w:t>资金来源：</w:t>
      </w:r>
      <w:r>
        <w:rPr>
          <w:rFonts w:hint="eastAsia" w:ascii="宋体" w:hAnsi="宋体"/>
          <w:color w:val="auto"/>
          <w:sz w:val="24"/>
          <w:highlight w:val="none"/>
          <w:u w:val="single"/>
        </w:rPr>
        <w:t>财政投资</w:t>
      </w:r>
      <w:r>
        <w:rPr>
          <w:rFonts w:hint="eastAsia" w:ascii="宋体" w:hAnsi="宋体"/>
          <w:color w:val="auto"/>
          <w:sz w:val="24"/>
          <w:highlight w:val="none"/>
        </w:rPr>
        <w:t>。</w:t>
      </w:r>
    </w:p>
    <w:p w14:paraId="6871DDBD">
      <w:pPr>
        <w:snapToGrid w:val="0"/>
        <w:spacing w:line="440" w:lineRule="exact"/>
        <w:ind w:firstLine="480" w:firstLineChars="200"/>
        <w:rPr>
          <w:rFonts w:ascii="宋体" w:hAnsi="宋体"/>
          <w:b/>
          <w:bCs/>
          <w:color w:val="auto"/>
          <w:sz w:val="24"/>
          <w:highlight w:val="none"/>
        </w:rPr>
      </w:pPr>
      <w:r>
        <w:rPr>
          <w:rFonts w:hint="eastAsia" w:ascii="宋体" w:hAnsi="宋体"/>
          <w:b/>
          <w:bCs/>
          <w:color w:val="auto"/>
          <w:sz w:val="24"/>
          <w:highlight w:val="none"/>
        </w:rPr>
        <w:t>二、工程承包范围及承包方式</w:t>
      </w:r>
    </w:p>
    <w:p w14:paraId="3237EC60">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（一）承包范围：</w:t>
      </w:r>
      <w:r>
        <w:rPr>
          <w:rFonts w:hint="eastAsia" w:ascii="宋体" w:hAnsi="宋体"/>
          <w:color w:val="auto"/>
          <w:sz w:val="24"/>
          <w:highlight w:val="none"/>
          <w:u w:val="single"/>
        </w:rPr>
        <w:t>按发包人确认的施工图纸、图纸会审纪录和有关变更文件、资料、招标文件、承包人投标文件以及双方签订的有关协议所包含的内容</w:t>
      </w:r>
      <w:r>
        <w:rPr>
          <w:rFonts w:hint="eastAsia" w:ascii="宋体" w:hAnsi="宋体"/>
          <w:color w:val="auto"/>
          <w:sz w:val="24"/>
          <w:highlight w:val="none"/>
        </w:rPr>
        <w:t>。</w:t>
      </w:r>
    </w:p>
    <w:p w14:paraId="361E7D3C">
      <w:pPr>
        <w:snapToGrid w:val="0"/>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rPr>
        <w:t>（二）承包方式：</w:t>
      </w:r>
      <w:r>
        <w:rPr>
          <w:rFonts w:ascii="宋体" w:hAnsi="宋体"/>
          <w:color w:val="auto"/>
          <w:sz w:val="24"/>
          <w:highlight w:val="none"/>
          <w:u w:val="single"/>
        </w:rPr>
        <w:t>包工、包料、包工期、包质量、包安全、包文</w:t>
      </w:r>
      <w:r>
        <w:rPr>
          <w:rFonts w:hint="eastAsia" w:ascii="宋体" w:hAnsi="宋体"/>
          <w:color w:val="auto"/>
          <w:sz w:val="24"/>
          <w:highlight w:val="none"/>
          <w:u w:val="single"/>
        </w:rPr>
        <w:t>明施工、包验收、包保修、综合单价包干，</w:t>
      </w:r>
      <w:r>
        <w:rPr>
          <w:rFonts w:ascii="宋体" w:hAnsi="宋体"/>
          <w:color w:val="auto"/>
          <w:sz w:val="24"/>
          <w:highlight w:val="none"/>
          <w:u w:val="single"/>
        </w:rPr>
        <w:t>措施项目费</w:t>
      </w:r>
      <w:r>
        <w:rPr>
          <w:rFonts w:hint="eastAsia" w:ascii="宋体" w:hAnsi="宋体"/>
          <w:color w:val="auto"/>
          <w:sz w:val="24"/>
          <w:highlight w:val="none"/>
          <w:u w:val="single"/>
          <w:lang w:val="en-US" w:eastAsia="zh-CN"/>
        </w:rPr>
        <w:t>总价</w:t>
      </w:r>
      <w:r>
        <w:rPr>
          <w:rFonts w:ascii="宋体" w:hAnsi="宋体"/>
          <w:color w:val="auto"/>
          <w:sz w:val="24"/>
          <w:highlight w:val="none"/>
          <w:u w:val="single"/>
        </w:rPr>
        <w:t>包干，工程量按实计量</w:t>
      </w:r>
      <w:r>
        <w:rPr>
          <w:rFonts w:hint="eastAsia" w:ascii="宋体" w:hAnsi="宋体"/>
          <w:color w:val="auto"/>
          <w:sz w:val="24"/>
          <w:highlight w:val="none"/>
        </w:rPr>
        <w:t>。</w:t>
      </w:r>
    </w:p>
    <w:p w14:paraId="6243F3EA">
      <w:pPr>
        <w:snapToGrid w:val="0"/>
        <w:spacing w:line="440" w:lineRule="exact"/>
        <w:ind w:firstLine="480" w:firstLineChars="200"/>
        <w:rPr>
          <w:rFonts w:ascii="宋体" w:hAnsi="宋体"/>
          <w:b/>
          <w:bCs/>
          <w:color w:val="auto"/>
          <w:sz w:val="24"/>
          <w:highlight w:val="none"/>
          <w:u w:val="single"/>
        </w:rPr>
      </w:pPr>
      <w:r>
        <w:rPr>
          <w:rFonts w:hint="eastAsia" w:ascii="宋体" w:hAnsi="宋体"/>
          <w:b/>
          <w:bCs/>
          <w:color w:val="auto"/>
          <w:sz w:val="24"/>
          <w:highlight w:val="none"/>
        </w:rPr>
        <w:t>三、合同工期</w:t>
      </w:r>
    </w:p>
    <w:p w14:paraId="6B5188F4">
      <w:pPr>
        <w:snapToGrid w:val="0"/>
        <w:spacing w:line="440" w:lineRule="exact"/>
        <w:ind w:left="480"/>
        <w:rPr>
          <w:rFonts w:ascii="宋体" w:hAnsi="宋体"/>
          <w:color w:val="auto"/>
          <w:sz w:val="24"/>
          <w:highlight w:val="none"/>
          <w:u w:val="single"/>
        </w:rPr>
      </w:pPr>
      <w:r>
        <w:rPr>
          <w:rFonts w:hint="eastAsia" w:ascii="宋体" w:hAnsi="宋体"/>
          <w:color w:val="auto"/>
          <w:sz w:val="24"/>
          <w:highlight w:val="none"/>
        </w:rPr>
        <w:t>暂定开工日期：</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14:paraId="66AF172F">
      <w:pPr>
        <w:snapToGrid w:val="0"/>
        <w:spacing w:line="440" w:lineRule="exact"/>
        <w:ind w:left="480"/>
        <w:rPr>
          <w:rFonts w:ascii="宋体" w:hAnsi="宋体"/>
          <w:color w:val="auto"/>
          <w:sz w:val="24"/>
          <w:highlight w:val="none"/>
          <w:u w:val="single"/>
        </w:rPr>
      </w:pPr>
      <w:r>
        <w:rPr>
          <w:rFonts w:hint="eastAsia" w:ascii="宋体" w:hAnsi="宋体"/>
          <w:color w:val="auto"/>
          <w:sz w:val="24"/>
          <w:highlight w:val="none"/>
        </w:rPr>
        <w:t>暂定竣工日期：</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14:paraId="4F825D21">
      <w:pPr>
        <w:snapToGrid w:val="0"/>
        <w:spacing w:line="440" w:lineRule="exact"/>
        <w:ind w:left="480"/>
        <w:rPr>
          <w:rFonts w:ascii="宋体" w:hAnsi="宋体"/>
          <w:dstrike/>
          <w:color w:val="auto"/>
          <w:sz w:val="24"/>
          <w:highlight w:val="none"/>
        </w:rPr>
      </w:pPr>
      <w:r>
        <w:rPr>
          <w:rFonts w:hint="eastAsia" w:ascii="宋体" w:hAnsi="宋体"/>
          <w:color w:val="auto"/>
          <w:sz w:val="24"/>
          <w:highlight w:val="none"/>
        </w:rPr>
        <w:t>合同工期为</w:t>
      </w:r>
      <w:r>
        <w:rPr>
          <w:rFonts w:ascii="宋体" w:hAnsi="宋体"/>
          <w:color w:val="auto"/>
          <w:sz w:val="24"/>
          <w:highlight w:val="none"/>
          <w:u w:val="single"/>
        </w:rPr>
        <w:t xml:space="preserve">     </w:t>
      </w:r>
      <w:r>
        <w:rPr>
          <w:rFonts w:hint="eastAsia" w:ascii="宋体" w:hAnsi="宋体"/>
          <w:color w:val="auto"/>
          <w:sz w:val="24"/>
          <w:highlight w:val="none"/>
        </w:rPr>
        <w:t>日历天。</w:t>
      </w:r>
    </w:p>
    <w:p w14:paraId="4CEC9D14">
      <w:pPr>
        <w:snapToGrid w:val="0"/>
        <w:spacing w:line="440" w:lineRule="exact"/>
        <w:ind w:firstLine="480" w:firstLineChars="200"/>
        <w:rPr>
          <w:rFonts w:ascii="宋体" w:hAnsi="宋体"/>
          <w:b/>
          <w:bCs/>
          <w:color w:val="auto"/>
          <w:sz w:val="24"/>
          <w:highlight w:val="none"/>
        </w:rPr>
      </w:pPr>
      <w:r>
        <w:rPr>
          <w:rFonts w:hint="eastAsia" w:ascii="宋体" w:hAnsi="宋体"/>
          <w:b/>
          <w:bCs/>
          <w:color w:val="auto"/>
          <w:sz w:val="24"/>
          <w:highlight w:val="none"/>
        </w:rPr>
        <w:t>四、质量标准</w:t>
      </w:r>
    </w:p>
    <w:p w14:paraId="017D68CD">
      <w:pPr>
        <w:numPr>
          <w:ilvl w:val="0"/>
          <w:numId w:val="10"/>
        </w:numPr>
        <w:spacing w:line="400" w:lineRule="exact"/>
        <w:ind w:firstLine="480" w:firstLineChars="200"/>
        <w:rPr>
          <w:rFonts w:hint="eastAsia" w:ascii="宋体" w:hAnsi="宋体"/>
          <w:color w:val="auto"/>
          <w:kern w:val="0"/>
          <w:sz w:val="24"/>
          <w:highlight w:val="none"/>
          <w:u w:val="single"/>
        </w:rPr>
      </w:pPr>
      <w:r>
        <w:rPr>
          <w:rFonts w:hint="eastAsia" w:ascii="宋体" w:hAnsi="宋体" w:cs="宋体"/>
          <w:color w:val="auto"/>
          <w:sz w:val="24"/>
          <w:highlight w:val="none"/>
          <w:lang w:val="en-US" w:eastAsia="zh-CN"/>
        </w:rPr>
        <w:t>1.工程质量标准：符合设计图纸要求和国家、省、市相关法律法规规定要求及行业颁发的工程质量合格标准，且达到投标承诺的    标准。</w:t>
      </w:r>
    </w:p>
    <w:p w14:paraId="577C7CC7">
      <w:pPr>
        <w:snapToGrid w:val="0"/>
        <w:spacing w:line="360" w:lineRule="auto"/>
        <w:ind w:firstLine="425" w:firstLineChars="177"/>
        <w:rPr>
          <w:rFonts w:ascii="宋体" w:hAnsi="宋体" w:cs="宋体"/>
          <w:color w:val="auto"/>
          <w:sz w:val="24"/>
          <w:szCs w:val="24"/>
          <w:highlight w:val="none"/>
          <w:u w:val="single"/>
        </w:rPr>
      </w:pPr>
      <w:r>
        <w:rPr>
          <w:rFonts w:hint="eastAsia" w:ascii="宋体" w:hAnsi="宋体"/>
          <w:b/>
          <w:bCs/>
          <w:color w:val="auto"/>
          <w:sz w:val="24"/>
          <w:szCs w:val="24"/>
          <w:highlight w:val="none"/>
          <w:lang w:val="en-US" w:eastAsia="zh-CN"/>
        </w:rPr>
        <w:t>2</w:t>
      </w:r>
      <w:r>
        <w:rPr>
          <w:rFonts w:hint="eastAsia" w:ascii="宋体" w:hAnsi="宋体"/>
          <w:b/>
          <w:bCs/>
          <w:color w:val="auto"/>
          <w:sz w:val="24"/>
          <w:szCs w:val="24"/>
          <w:highlight w:val="none"/>
        </w:rPr>
        <w:t>.安全及文明施工目标：</w:t>
      </w:r>
      <w:r>
        <w:rPr>
          <w:rFonts w:hint="eastAsia" w:ascii="宋体" w:hAnsi="宋体" w:cs="宋体"/>
          <w:color w:val="auto"/>
          <w:sz w:val="24"/>
          <w:szCs w:val="24"/>
          <w:highlight w:val="none"/>
          <w:u w:val="single"/>
        </w:rPr>
        <w:t>保证施工场地清洁、扬尘及噪音管理符合环境卫生管理的有关规定，确保不发生一般事故等级及以上的安全生产事故且死亡人数为零。</w:t>
      </w:r>
    </w:p>
    <w:p w14:paraId="020A5A19">
      <w:pPr>
        <w:pStyle w:val="18"/>
        <w:numPr>
          <w:ilvl w:val="0"/>
          <w:numId w:val="0"/>
        </w:numPr>
        <w:rPr>
          <w:color w:val="auto"/>
          <w:highlight w:val="none"/>
        </w:rPr>
      </w:pPr>
    </w:p>
    <w:p w14:paraId="5477ADA9">
      <w:pPr>
        <w:snapToGrid w:val="0"/>
        <w:spacing w:line="440" w:lineRule="exact"/>
        <w:ind w:firstLine="480" w:firstLineChars="200"/>
        <w:rPr>
          <w:rFonts w:ascii="宋体" w:hAnsi="宋体"/>
          <w:b/>
          <w:bCs/>
          <w:color w:val="auto"/>
          <w:sz w:val="24"/>
          <w:highlight w:val="none"/>
        </w:rPr>
      </w:pPr>
      <w:r>
        <w:rPr>
          <w:rFonts w:hint="eastAsia" w:ascii="宋体" w:hAnsi="宋体"/>
          <w:b/>
          <w:bCs/>
          <w:color w:val="auto"/>
          <w:sz w:val="24"/>
          <w:highlight w:val="none"/>
        </w:rPr>
        <w:t>五、合同价款</w:t>
      </w:r>
    </w:p>
    <w:p w14:paraId="50FB472A">
      <w:pPr>
        <w:spacing w:line="440" w:lineRule="exact"/>
        <w:ind w:firstLine="480" w:firstLineChars="200"/>
        <w:rPr>
          <w:rFonts w:hint="eastAsia" w:ascii="宋体" w:hAnsi="宋体"/>
          <w:bCs/>
          <w:snapToGrid w:val="0"/>
          <w:color w:val="auto"/>
          <w:kern w:val="0"/>
          <w:sz w:val="24"/>
          <w:highlight w:val="none"/>
          <w:u w:val="single"/>
        </w:rPr>
      </w:pPr>
      <w:r>
        <w:rPr>
          <w:rFonts w:hint="eastAsia" w:ascii="宋体" w:hAnsi="宋体"/>
          <w:bCs/>
          <w:snapToGrid w:val="0"/>
          <w:color w:val="auto"/>
          <w:kern w:val="0"/>
          <w:sz w:val="24"/>
          <w:highlight w:val="none"/>
          <w:u w:val="single"/>
        </w:rPr>
        <w:t>1.签约合同价为</w:t>
      </w:r>
      <w:r>
        <w:rPr>
          <w:rFonts w:hint="eastAsia" w:ascii="宋体" w:hAnsi="宋体"/>
          <w:bCs/>
          <w:snapToGrid w:val="0"/>
          <w:color w:val="auto"/>
          <w:kern w:val="0"/>
          <w:sz w:val="24"/>
          <w:highlight w:val="none"/>
          <w:u w:val="single"/>
          <w:lang w:val="en-US" w:eastAsia="zh-CN"/>
        </w:rPr>
        <w:t>含税价</w:t>
      </w:r>
      <w:r>
        <w:rPr>
          <w:rFonts w:hint="eastAsia" w:ascii="宋体" w:hAnsi="宋体"/>
          <w:bCs/>
          <w:snapToGrid w:val="0"/>
          <w:color w:val="auto"/>
          <w:kern w:val="0"/>
          <w:sz w:val="24"/>
          <w:highlight w:val="none"/>
          <w:u w:val="single"/>
        </w:rPr>
        <w:t>：</w:t>
      </w:r>
    </w:p>
    <w:p w14:paraId="3B983218">
      <w:pPr>
        <w:spacing w:line="440" w:lineRule="exact"/>
        <w:ind w:firstLine="480" w:firstLineChars="200"/>
        <w:rPr>
          <w:rFonts w:hint="eastAsia" w:ascii="宋体" w:hAnsi="宋体"/>
          <w:bCs/>
          <w:snapToGrid w:val="0"/>
          <w:color w:val="auto"/>
          <w:kern w:val="0"/>
          <w:sz w:val="24"/>
          <w:highlight w:val="none"/>
          <w:u w:val="single"/>
        </w:rPr>
      </w:pPr>
      <w:r>
        <w:rPr>
          <w:rFonts w:hint="eastAsia" w:ascii="宋体" w:hAnsi="宋体"/>
          <w:bCs/>
          <w:snapToGrid w:val="0"/>
          <w:color w:val="auto"/>
          <w:kern w:val="0"/>
          <w:sz w:val="24"/>
          <w:highlight w:val="none"/>
          <w:u w:val="single"/>
        </w:rPr>
        <w:t>人民币（大写）                 (¥            元）；</w:t>
      </w:r>
    </w:p>
    <w:p w14:paraId="1BF5BAED">
      <w:pPr>
        <w:spacing w:line="440" w:lineRule="exact"/>
        <w:ind w:firstLine="480" w:firstLineChars="200"/>
        <w:rPr>
          <w:rFonts w:hint="eastAsia" w:ascii="宋体" w:hAnsi="宋体"/>
          <w:bCs/>
          <w:snapToGrid w:val="0"/>
          <w:color w:val="auto"/>
          <w:kern w:val="0"/>
          <w:sz w:val="24"/>
          <w:highlight w:val="none"/>
          <w:u w:val="single"/>
        </w:rPr>
      </w:pPr>
      <w:r>
        <w:rPr>
          <w:rFonts w:hint="eastAsia" w:ascii="宋体" w:hAnsi="宋体"/>
          <w:bCs/>
          <w:snapToGrid w:val="0"/>
          <w:color w:val="auto"/>
          <w:kern w:val="0"/>
          <w:sz w:val="24"/>
          <w:highlight w:val="none"/>
          <w:u w:val="single"/>
        </w:rPr>
        <w:t>计税方式为： □简易计税</w:t>
      </w:r>
      <w:r>
        <w:rPr>
          <w:rFonts w:hint="eastAsia" w:ascii="宋体" w:hAnsi="宋体"/>
          <w:bCs/>
          <w:snapToGrid w:val="0"/>
          <w:color w:val="auto"/>
          <w:kern w:val="0"/>
          <w:sz w:val="24"/>
          <w:highlight w:val="none"/>
          <w:u w:val="single"/>
          <w:lang w:val="en-US" w:eastAsia="zh-CN"/>
        </w:rPr>
        <w:t xml:space="preserve">   </w:t>
      </w:r>
      <w:r>
        <w:rPr>
          <w:rFonts w:hint="eastAsia" w:ascii="宋体" w:hAnsi="宋体"/>
          <w:bCs/>
          <w:snapToGrid w:val="0"/>
          <w:color w:val="auto"/>
          <w:kern w:val="0"/>
          <w:sz w:val="24"/>
          <w:highlight w:val="none"/>
          <w:u w:val="single"/>
        </w:rPr>
        <w:t>□一般计税</w:t>
      </w:r>
    </w:p>
    <w:p w14:paraId="78ADAB84">
      <w:pPr>
        <w:spacing w:line="440" w:lineRule="exact"/>
        <w:ind w:firstLine="480" w:firstLineChars="200"/>
        <w:rPr>
          <w:rFonts w:hint="eastAsia" w:ascii="宋体" w:hAnsi="宋体"/>
          <w:bCs/>
          <w:snapToGrid w:val="0"/>
          <w:color w:val="auto"/>
          <w:kern w:val="0"/>
          <w:sz w:val="24"/>
          <w:highlight w:val="none"/>
          <w:u w:val="single"/>
        </w:rPr>
      </w:pPr>
      <w:r>
        <w:rPr>
          <w:rFonts w:hint="eastAsia" w:ascii="宋体" w:hAnsi="宋体"/>
          <w:bCs/>
          <w:snapToGrid w:val="0"/>
          <w:color w:val="auto"/>
          <w:kern w:val="0"/>
          <w:sz w:val="24"/>
          <w:highlight w:val="none"/>
          <w:u w:val="single"/>
        </w:rPr>
        <w:t>本合同签订时约定增值税税率为</w:t>
      </w:r>
      <w:r>
        <w:rPr>
          <w:rFonts w:hint="eastAsia" w:ascii="宋体" w:hAnsi="宋体"/>
          <w:bCs/>
          <w:snapToGrid w:val="0"/>
          <w:color w:val="auto"/>
          <w:kern w:val="0"/>
          <w:sz w:val="24"/>
          <w:highlight w:val="none"/>
          <w:u w:val="single"/>
          <w:lang w:val="en-US" w:eastAsia="zh-CN"/>
        </w:rPr>
        <w:t xml:space="preserve">        </w:t>
      </w:r>
      <w:r>
        <w:rPr>
          <w:rFonts w:hint="eastAsia" w:ascii="宋体" w:hAnsi="宋体"/>
          <w:bCs/>
          <w:snapToGrid w:val="0"/>
          <w:color w:val="auto"/>
          <w:kern w:val="0"/>
          <w:sz w:val="24"/>
          <w:highlight w:val="none"/>
          <w:u w:val="single"/>
        </w:rPr>
        <w:t>%。</w:t>
      </w:r>
    </w:p>
    <w:p w14:paraId="0B1A7FB7">
      <w:pPr>
        <w:spacing w:line="440" w:lineRule="exact"/>
        <w:ind w:firstLine="480" w:firstLineChars="200"/>
        <w:rPr>
          <w:rFonts w:hint="eastAsia" w:ascii="宋体" w:hAnsi="宋体"/>
          <w:bCs/>
          <w:snapToGrid w:val="0"/>
          <w:color w:val="auto"/>
          <w:kern w:val="0"/>
          <w:sz w:val="24"/>
          <w:highlight w:val="none"/>
          <w:u w:val="single"/>
        </w:rPr>
      </w:pPr>
      <w:r>
        <w:rPr>
          <w:rFonts w:hint="eastAsia" w:ascii="宋体" w:hAnsi="宋体"/>
          <w:bCs/>
          <w:snapToGrid w:val="0"/>
          <w:color w:val="auto"/>
          <w:kern w:val="0"/>
          <w:sz w:val="24"/>
          <w:highlight w:val="none"/>
          <w:u w:val="single"/>
        </w:rPr>
        <w:t>合同履行期间，因国家税务政策变化或纳税主体类型变更等原因，导致增值税税率发生变动的，按照相关具体规定执行。</w:t>
      </w:r>
    </w:p>
    <w:p w14:paraId="3C40760C">
      <w:pPr>
        <w:spacing w:line="440" w:lineRule="exact"/>
        <w:ind w:firstLine="480" w:firstLineChars="200"/>
        <w:rPr>
          <w:rFonts w:hint="eastAsia" w:ascii="宋体" w:hAnsi="宋体"/>
          <w:bCs/>
          <w:snapToGrid w:val="0"/>
          <w:color w:val="auto"/>
          <w:kern w:val="0"/>
          <w:sz w:val="24"/>
          <w:highlight w:val="none"/>
          <w:u w:val="single"/>
        </w:rPr>
      </w:pPr>
      <w:r>
        <w:rPr>
          <w:rFonts w:hint="eastAsia" w:ascii="宋体" w:hAnsi="宋体"/>
          <w:bCs/>
          <w:snapToGrid w:val="0"/>
          <w:color w:val="auto"/>
          <w:kern w:val="0"/>
          <w:sz w:val="24"/>
          <w:highlight w:val="none"/>
          <w:u w:val="single"/>
        </w:rPr>
        <w:t>其中：</w:t>
      </w:r>
    </w:p>
    <w:p w14:paraId="763E90F8">
      <w:pPr>
        <w:spacing w:line="440" w:lineRule="exact"/>
        <w:ind w:firstLine="480" w:firstLineChars="200"/>
        <w:rPr>
          <w:rFonts w:hint="eastAsia" w:ascii="宋体" w:hAnsi="宋体"/>
          <w:bCs/>
          <w:snapToGrid w:val="0"/>
          <w:color w:val="auto"/>
          <w:kern w:val="0"/>
          <w:sz w:val="24"/>
          <w:highlight w:val="none"/>
          <w:u w:val="single"/>
        </w:rPr>
      </w:pPr>
      <w:r>
        <w:rPr>
          <w:rFonts w:hint="eastAsia" w:ascii="宋体" w:hAnsi="宋体"/>
          <w:bCs/>
          <w:snapToGrid w:val="0"/>
          <w:color w:val="auto"/>
          <w:kern w:val="0"/>
          <w:sz w:val="24"/>
          <w:highlight w:val="none"/>
          <w:u w:val="single"/>
        </w:rPr>
        <w:t>（1）安全生产措施费：</w:t>
      </w:r>
    </w:p>
    <w:p w14:paraId="77B04E35">
      <w:pPr>
        <w:spacing w:line="440" w:lineRule="exact"/>
        <w:ind w:firstLine="480" w:firstLineChars="200"/>
        <w:rPr>
          <w:rFonts w:hint="eastAsia" w:ascii="宋体" w:hAnsi="宋体"/>
          <w:bCs/>
          <w:snapToGrid w:val="0"/>
          <w:color w:val="auto"/>
          <w:kern w:val="0"/>
          <w:sz w:val="24"/>
          <w:highlight w:val="none"/>
          <w:u w:val="single"/>
        </w:rPr>
      </w:pPr>
      <w:r>
        <w:rPr>
          <w:rFonts w:hint="eastAsia" w:ascii="宋体" w:hAnsi="宋体"/>
          <w:bCs/>
          <w:snapToGrid w:val="0"/>
          <w:color w:val="auto"/>
          <w:kern w:val="0"/>
          <w:sz w:val="24"/>
          <w:highlight w:val="none"/>
          <w:u w:val="single"/>
        </w:rPr>
        <w:t>人民币（大写）</w:t>
      </w:r>
      <w:r>
        <w:rPr>
          <w:rFonts w:hint="eastAsia" w:ascii="宋体" w:hAnsi="宋体"/>
          <w:bCs/>
          <w:snapToGrid w:val="0"/>
          <w:color w:val="auto"/>
          <w:kern w:val="0"/>
          <w:sz w:val="24"/>
          <w:highlight w:val="none"/>
          <w:u w:val="single"/>
          <w:lang w:val="en-US" w:eastAsia="zh-CN"/>
        </w:rPr>
        <w:t xml:space="preserve">                      </w:t>
      </w:r>
      <w:r>
        <w:rPr>
          <w:rFonts w:hint="eastAsia" w:ascii="宋体" w:hAnsi="宋体"/>
          <w:bCs/>
          <w:snapToGrid w:val="0"/>
          <w:color w:val="auto"/>
          <w:kern w:val="0"/>
          <w:sz w:val="24"/>
          <w:highlight w:val="none"/>
          <w:u w:val="single"/>
        </w:rPr>
        <w:t xml:space="preserve"> （¥ </w:t>
      </w:r>
      <w:r>
        <w:rPr>
          <w:rFonts w:hint="eastAsia" w:ascii="宋体" w:hAnsi="宋体"/>
          <w:bCs/>
          <w:snapToGrid w:val="0"/>
          <w:color w:val="auto"/>
          <w:kern w:val="0"/>
          <w:sz w:val="24"/>
          <w:highlight w:val="none"/>
          <w:u w:val="single"/>
          <w:lang w:val="en-US" w:eastAsia="zh-CN"/>
        </w:rPr>
        <w:t xml:space="preserve">               </w:t>
      </w:r>
      <w:r>
        <w:rPr>
          <w:rFonts w:hint="eastAsia" w:ascii="宋体" w:hAnsi="宋体"/>
          <w:bCs/>
          <w:snapToGrid w:val="0"/>
          <w:color w:val="auto"/>
          <w:kern w:val="0"/>
          <w:sz w:val="24"/>
          <w:highlight w:val="none"/>
          <w:u w:val="single"/>
        </w:rPr>
        <w:t>元）；</w:t>
      </w:r>
    </w:p>
    <w:p w14:paraId="0C1C0A10">
      <w:pPr>
        <w:spacing w:line="440" w:lineRule="exact"/>
        <w:ind w:firstLine="480" w:firstLineChars="200"/>
        <w:rPr>
          <w:rFonts w:hint="eastAsia" w:ascii="宋体" w:hAnsi="宋体"/>
          <w:bCs/>
          <w:snapToGrid w:val="0"/>
          <w:color w:val="auto"/>
          <w:kern w:val="0"/>
          <w:sz w:val="24"/>
          <w:highlight w:val="none"/>
          <w:u w:val="single"/>
        </w:rPr>
      </w:pPr>
      <w:r>
        <w:rPr>
          <w:rFonts w:hint="eastAsia" w:ascii="宋体" w:hAnsi="宋体"/>
          <w:bCs/>
          <w:snapToGrid w:val="0"/>
          <w:color w:val="auto"/>
          <w:kern w:val="0"/>
          <w:sz w:val="24"/>
          <w:highlight w:val="none"/>
          <w:u w:val="single"/>
        </w:rPr>
        <w:t>（2）材料和工程设备暂估价金额：</w:t>
      </w:r>
    </w:p>
    <w:p w14:paraId="5D105706">
      <w:pPr>
        <w:spacing w:line="440" w:lineRule="exact"/>
        <w:ind w:firstLine="480" w:firstLineChars="200"/>
        <w:rPr>
          <w:rFonts w:hint="eastAsia" w:ascii="宋体" w:hAnsi="宋体"/>
          <w:bCs/>
          <w:snapToGrid w:val="0"/>
          <w:color w:val="auto"/>
          <w:kern w:val="0"/>
          <w:sz w:val="24"/>
          <w:highlight w:val="none"/>
          <w:u w:val="single"/>
        </w:rPr>
      </w:pPr>
      <w:r>
        <w:rPr>
          <w:rFonts w:hint="eastAsia" w:ascii="宋体" w:hAnsi="宋体"/>
          <w:bCs/>
          <w:snapToGrid w:val="0"/>
          <w:color w:val="auto"/>
          <w:kern w:val="0"/>
          <w:sz w:val="24"/>
          <w:highlight w:val="none"/>
          <w:u w:val="single"/>
        </w:rPr>
        <w:t>人民币（大写）</w:t>
      </w:r>
      <w:r>
        <w:rPr>
          <w:rFonts w:hint="eastAsia" w:ascii="宋体" w:hAnsi="宋体"/>
          <w:bCs/>
          <w:snapToGrid w:val="0"/>
          <w:color w:val="auto"/>
          <w:kern w:val="0"/>
          <w:sz w:val="24"/>
          <w:highlight w:val="none"/>
          <w:u w:val="single"/>
          <w:lang w:val="en-US" w:eastAsia="zh-CN"/>
        </w:rPr>
        <w:t xml:space="preserve">                      </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u w:val="single"/>
          <w:lang w:val="en-US" w:eastAsia="zh-CN"/>
        </w:rPr>
        <w:t xml:space="preserve">                </w:t>
      </w:r>
      <w:r>
        <w:rPr>
          <w:rFonts w:hint="eastAsia" w:ascii="宋体" w:hAnsi="宋体"/>
          <w:bCs/>
          <w:snapToGrid w:val="0"/>
          <w:color w:val="auto"/>
          <w:kern w:val="0"/>
          <w:sz w:val="24"/>
          <w:highlight w:val="none"/>
          <w:u w:val="single"/>
        </w:rPr>
        <w:t xml:space="preserve"> 元）；</w:t>
      </w:r>
    </w:p>
    <w:p w14:paraId="4304C70F">
      <w:pPr>
        <w:spacing w:line="440" w:lineRule="exact"/>
        <w:ind w:firstLine="480" w:firstLineChars="200"/>
        <w:rPr>
          <w:rFonts w:hint="eastAsia" w:ascii="宋体" w:hAnsi="宋体"/>
          <w:bCs/>
          <w:snapToGrid w:val="0"/>
          <w:color w:val="auto"/>
          <w:kern w:val="0"/>
          <w:sz w:val="24"/>
          <w:highlight w:val="none"/>
          <w:u w:val="single"/>
        </w:rPr>
      </w:pPr>
      <w:r>
        <w:rPr>
          <w:rFonts w:hint="eastAsia" w:ascii="宋体" w:hAnsi="宋体"/>
          <w:bCs/>
          <w:snapToGrid w:val="0"/>
          <w:color w:val="auto"/>
          <w:kern w:val="0"/>
          <w:sz w:val="24"/>
          <w:highlight w:val="none"/>
          <w:u w:val="single"/>
        </w:rPr>
        <w:t>（3）专业工程暂估价金额：</w:t>
      </w:r>
    </w:p>
    <w:p w14:paraId="5CC1A43D">
      <w:pPr>
        <w:spacing w:line="440" w:lineRule="exact"/>
        <w:ind w:firstLine="480" w:firstLineChars="200"/>
        <w:rPr>
          <w:rFonts w:hint="eastAsia" w:ascii="宋体" w:hAnsi="宋体"/>
          <w:bCs/>
          <w:snapToGrid w:val="0"/>
          <w:color w:val="auto"/>
          <w:kern w:val="0"/>
          <w:sz w:val="24"/>
          <w:highlight w:val="none"/>
          <w:u w:val="single"/>
        </w:rPr>
      </w:pPr>
      <w:r>
        <w:rPr>
          <w:rFonts w:hint="eastAsia" w:ascii="宋体" w:hAnsi="宋体"/>
          <w:bCs/>
          <w:snapToGrid w:val="0"/>
          <w:color w:val="auto"/>
          <w:kern w:val="0"/>
          <w:sz w:val="24"/>
          <w:highlight w:val="none"/>
          <w:u w:val="single"/>
        </w:rPr>
        <w:t>人民币（大写）</w:t>
      </w:r>
      <w:r>
        <w:rPr>
          <w:rFonts w:hint="eastAsia" w:ascii="宋体" w:hAnsi="宋体"/>
          <w:bCs/>
          <w:snapToGrid w:val="0"/>
          <w:color w:val="auto"/>
          <w:kern w:val="0"/>
          <w:sz w:val="24"/>
          <w:highlight w:val="none"/>
          <w:u w:val="single"/>
          <w:lang w:val="en-US" w:eastAsia="zh-CN"/>
        </w:rPr>
        <w:t xml:space="preserve">                      </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u w:val="single"/>
          <w:lang w:val="en-US" w:eastAsia="zh-CN"/>
        </w:rPr>
        <w:t xml:space="preserve">                </w:t>
      </w:r>
      <w:r>
        <w:rPr>
          <w:rFonts w:hint="eastAsia" w:ascii="宋体" w:hAnsi="宋体"/>
          <w:bCs/>
          <w:snapToGrid w:val="0"/>
          <w:color w:val="auto"/>
          <w:kern w:val="0"/>
          <w:sz w:val="24"/>
          <w:highlight w:val="none"/>
          <w:u w:val="single"/>
        </w:rPr>
        <w:t xml:space="preserve"> 元）；</w:t>
      </w:r>
    </w:p>
    <w:p w14:paraId="1D631DCD">
      <w:pPr>
        <w:spacing w:line="440" w:lineRule="exact"/>
        <w:ind w:firstLine="480" w:firstLineChars="200"/>
        <w:rPr>
          <w:rFonts w:hint="eastAsia" w:ascii="宋体" w:hAnsi="宋体"/>
          <w:bCs/>
          <w:snapToGrid w:val="0"/>
          <w:color w:val="auto"/>
          <w:kern w:val="0"/>
          <w:sz w:val="24"/>
          <w:highlight w:val="none"/>
          <w:u w:val="single"/>
        </w:rPr>
      </w:pPr>
      <w:r>
        <w:rPr>
          <w:rFonts w:hint="eastAsia" w:ascii="宋体" w:hAnsi="宋体"/>
          <w:bCs/>
          <w:snapToGrid w:val="0"/>
          <w:color w:val="auto"/>
          <w:kern w:val="0"/>
          <w:sz w:val="24"/>
          <w:highlight w:val="none"/>
          <w:u w:val="single"/>
        </w:rPr>
        <w:t>（4）其他暂估价金额</w:t>
      </w:r>
    </w:p>
    <w:p w14:paraId="5422DF5D">
      <w:pPr>
        <w:spacing w:line="440" w:lineRule="exact"/>
        <w:ind w:firstLine="480" w:firstLineChars="200"/>
        <w:rPr>
          <w:rFonts w:hint="eastAsia" w:ascii="宋体" w:hAnsi="宋体"/>
          <w:bCs/>
          <w:snapToGrid w:val="0"/>
          <w:color w:val="auto"/>
          <w:kern w:val="0"/>
          <w:sz w:val="24"/>
          <w:highlight w:val="none"/>
          <w:u w:val="single"/>
        </w:rPr>
      </w:pPr>
      <w:r>
        <w:rPr>
          <w:rFonts w:hint="eastAsia" w:ascii="宋体" w:hAnsi="宋体"/>
          <w:bCs/>
          <w:snapToGrid w:val="0"/>
          <w:color w:val="auto"/>
          <w:kern w:val="0"/>
          <w:sz w:val="24"/>
          <w:highlight w:val="none"/>
          <w:u w:val="single"/>
        </w:rPr>
        <w:t>人民币</w:t>
      </w:r>
      <w:r>
        <w:rPr>
          <w:rFonts w:hint="eastAsia" w:ascii="宋体" w:hAnsi="宋体"/>
          <w:bCs/>
          <w:snapToGrid w:val="0"/>
          <w:color w:val="auto"/>
          <w:kern w:val="0"/>
          <w:sz w:val="24"/>
          <w:highlight w:val="none"/>
          <w:u w:val="single"/>
          <w:lang w:val="en-US" w:eastAsia="zh-CN"/>
        </w:rPr>
        <w:t xml:space="preserve"> </w:t>
      </w:r>
      <w:r>
        <w:rPr>
          <w:rFonts w:hint="eastAsia" w:ascii="宋体" w:hAnsi="宋体"/>
          <w:bCs/>
          <w:snapToGrid w:val="0"/>
          <w:color w:val="auto"/>
          <w:kern w:val="0"/>
          <w:sz w:val="24"/>
          <w:highlight w:val="none"/>
          <w:u w:val="single"/>
        </w:rPr>
        <w:t>（大写）</w:t>
      </w:r>
      <w:r>
        <w:rPr>
          <w:rFonts w:hint="eastAsia" w:ascii="宋体" w:hAnsi="宋体"/>
          <w:bCs/>
          <w:snapToGrid w:val="0"/>
          <w:color w:val="auto"/>
          <w:kern w:val="0"/>
          <w:sz w:val="24"/>
          <w:highlight w:val="none"/>
          <w:u w:val="single"/>
          <w:lang w:val="en-US" w:eastAsia="zh-CN"/>
        </w:rPr>
        <w:t xml:space="preserve">                     </w:t>
      </w:r>
      <w:r>
        <w:rPr>
          <w:rFonts w:hint="eastAsia" w:ascii="宋体" w:hAnsi="宋体"/>
          <w:bCs/>
          <w:snapToGrid w:val="0"/>
          <w:color w:val="auto"/>
          <w:kern w:val="0"/>
          <w:sz w:val="24"/>
          <w:highlight w:val="none"/>
          <w:u w:val="single"/>
        </w:rPr>
        <w:t xml:space="preserve"> （¥ </w:t>
      </w:r>
      <w:r>
        <w:rPr>
          <w:rFonts w:hint="eastAsia" w:ascii="宋体" w:hAnsi="宋体"/>
          <w:bCs/>
          <w:snapToGrid w:val="0"/>
          <w:color w:val="auto"/>
          <w:kern w:val="0"/>
          <w:sz w:val="24"/>
          <w:highlight w:val="none"/>
          <w:u w:val="single"/>
          <w:lang w:val="en-US" w:eastAsia="zh-CN"/>
        </w:rPr>
        <w:t xml:space="preserve">               </w:t>
      </w:r>
      <w:r>
        <w:rPr>
          <w:rFonts w:hint="eastAsia" w:ascii="宋体" w:hAnsi="宋体"/>
          <w:bCs/>
          <w:snapToGrid w:val="0"/>
          <w:color w:val="auto"/>
          <w:kern w:val="0"/>
          <w:sz w:val="24"/>
          <w:highlight w:val="none"/>
          <w:u w:val="single"/>
        </w:rPr>
        <w:t>元）；</w:t>
      </w:r>
    </w:p>
    <w:p w14:paraId="6828D10E">
      <w:pPr>
        <w:spacing w:line="440" w:lineRule="exact"/>
        <w:ind w:firstLine="480" w:firstLineChars="200"/>
        <w:rPr>
          <w:rFonts w:hint="eastAsia" w:ascii="宋体" w:hAnsi="宋体"/>
          <w:bCs/>
          <w:snapToGrid w:val="0"/>
          <w:color w:val="auto"/>
          <w:kern w:val="0"/>
          <w:sz w:val="24"/>
          <w:highlight w:val="none"/>
          <w:u w:val="single"/>
        </w:rPr>
      </w:pPr>
      <w:r>
        <w:rPr>
          <w:rFonts w:hint="eastAsia" w:ascii="宋体" w:hAnsi="宋体"/>
          <w:bCs/>
          <w:snapToGrid w:val="0"/>
          <w:color w:val="auto"/>
          <w:kern w:val="0"/>
          <w:sz w:val="24"/>
          <w:highlight w:val="none"/>
          <w:u w:val="single"/>
        </w:rPr>
        <w:t>（5）暂列金额：</w:t>
      </w:r>
    </w:p>
    <w:p w14:paraId="55B04D59">
      <w:pPr>
        <w:spacing w:line="440" w:lineRule="exact"/>
        <w:ind w:firstLine="480" w:firstLineChars="200"/>
        <w:rPr>
          <w:rFonts w:hint="eastAsia" w:ascii="宋体" w:hAnsi="宋体"/>
          <w:bCs/>
          <w:snapToGrid w:val="0"/>
          <w:color w:val="auto"/>
          <w:kern w:val="0"/>
          <w:sz w:val="24"/>
          <w:highlight w:val="none"/>
          <w:u w:val="single"/>
        </w:rPr>
      </w:pPr>
      <w:r>
        <w:rPr>
          <w:rFonts w:hint="eastAsia" w:ascii="宋体" w:hAnsi="宋体"/>
          <w:bCs/>
          <w:snapToGrid w:val="0"/>
          <w:color w:val="auto"/>
          <w:kern w:val="0"/>
          <w:sz w:val="24"/>
          <w:highlight w:val="none"/>
          <w:u w:val="single"/>
        </w:rPr>
        <w:t>人民币（大写）</w:t>
      </w:r>
      <w:r>
        <w:rPr>
          <w:rFonts w:hint="eastAsia" w:ascii="宋体" w:hAnsi="宋体"/>
          <w:bCs/>
          <w:snapToGrid w:val="0"/>
          <w:color w:val="auto"/>
          <w:kern w:val="0"/>
          <w:sz w:val="24"/>
          <w:highlight w:val="none"/>
          <w:u w:val="single"/>
          <w:lang w:val="en-US" w:eastAsia="zh-CN"/>
        </w:rPr>
        <w:t xml:space="preserve">                      </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u w:val="single"/>
          <w:lang w:val="en-US" w:eastAsia="zh-CN"/>
        </w:rPr>
        <w:t xml:space="preserve">               </w:t>
      </w:r>
      <w:r>
        <w:rPr>
          <w:rFonts w:hint="eastAsia" w:ascii="宋体" w:hAnsi="宋体"/>
          <w:bCs/>
          <w:snapToGrid w:val="0"/>
          <w:color w:val="auto"/>
          <w:kern w:val="0"/>
          <w:sz w:val="24"/>
          <w:highlight w:val="none"/>
          <w:u w:val="single"/>
        </w:rPr>
        <w:t xml:space="preserve"> 元）。</w:t>
      </w:r>
    </w:p>
    <w:p w14:paraId="4E3930D4">
      <w:pPr>
        <w:spacing w:line="440" w:lineRule="exact"/>
        <w:ind w:firstLine="480" w:firstLineChars="200"/>
        <w:rPr>
          <w:rFonts w:hint="eastAsia" w:ascii="宋体" w:hAnsi="宋体"/>
          <w:bCs/>
          <w:snapToGrid w:val="0"/>
          <w:color w:val="auto"/>
          <w:kern w:val="0"/>
          <w:sz w:val="24"/>
          <w:highlight w:val="none"/>
          <w:u w:val="single"/>
        </w:rPr>
      </w:pPr>
      <w:r>
        <w:rPr>
          <w:rFonts w:hint="eastAsia" w:ascii="宋体" w:hAnsi="宋体"/>
          <w:bCs/>
          <w:snapToGrid w:val="0"/>
          <w:color w:val="auto"/>
          <w:kern w:val="0"/>
          <w:sz w:val="24"/>
          <w:highlight w:val="none"/>
          <w:u w:val="single"/>
        </w:rPr>
        <w:t>2．合同价格形式：</w:t>
      </w:r>
    </w:p>
    <w:p w14:paraId="5DD7290F">
      <w:pPr>
        <w:spacing w:line="440" w:lineRule="exact"/>
        <w:ind w:firstLine="960" w:firstLineChars="400"/>
        <w:rPr>
          <w:rFonts w:hint="eastAsia" w:ascii="宋体" w:hAnsi="宋体"/>
          <w:bCs/>
          <w:snapToGrid w:val="0"/>
          <w:color w:val="auto"/>
          <w:kern w:val="0"/>
          <w:sz w:val="24"/>
          <w:highlight w:val="none"/>
          <w:u w:val="single"/>
        </w:rPr>
      </w:pPr>
      <w:r>
        <w:rPr>
          <w:rFonts w:hint="eastAsia" w:ascii="宋体" w:hAnsi="宋体"/>
          <w:bCs/>
          <w:snapToGrid w:val="0"/>
          <w:color w:val="auto"/>
          <w:kern w:val="0"/>
          <w:sz w:val="24"/>
          <w:highlight w:val="none"/>
          <w:u w:val="single"/>
        </w:rPr>
        <w:t>□总价合同</w:t>
      </w:r>
      <w:r>
        <w:rPr>
          <w:rFonts w:hint="eastAsia" w:ascii="宋体" w:hAnsi="宋体"/>
          <w:bCs/>
          <w:snapToGrid w:val="0"/>
          <w:color w:val="auto"/>
          <w:kern w:val="0"/>
          <w:sz w:val="24"/>
          <w:highlight w:val="none"/>
          <w:u w:val="single"/>
          <w:lang w:val="en-US" w:eastAsia="zh-CN"/>
        </w:rPr>
        <w:t xml:space="preserve">  </w:t>
      </w:r>
      <w:r>
        <w:rPr>
          <w:rFonts w:hint="eastAsia" w:ascii="宋体" w:hAnsi="宋体"/>
          <w:bCs/>
          <w:snapToGrid w:val="0"/>
          <w:color w:val="auto"/>
          <w:kern w:val="0"/>
          <w:sz w:val="24"/>
          <w:highlight w:val="none"/>
          <w:u w:val="single"/>
          <w:lang w:eastAsia="zh-CN"/>
        </w:rPr>
        <w:t>□</w:t>
      </w:r>
      <w:r>
        <w:rPr>
          <w:rFonts w:hint="eastAsia" w:ascii="宋体" w:hAnsi="宋体"/>
          <w:bCs/>
          <w:snapToGrid w:val="0"/>
          <w:color w:val="auto"/>
          <w:kern w:val="0"/>
          <w:sz w:val="24"/>
          <w:highlight w:val="none"/>
          <w:u w:val="single"/>
        </w:rPr>
        <w:t>单价合同</w:t>
      </w:r>
      <w:r>
        <w:rPr>
          <w:rFonts w:hint="eastAsia" w:ascii="宋体" w:hAnsi="宋体"/>
          <w:bCs/>
          <w:snapToGrid w:val="0"/>
          <w:color w:val="auto"/>
          <w:kern w:val="0"/>
          <w:sz w:val="24"/>
          <w:highlight w:val="none"/>
          <w:u w:val="single"/>
          <w:lang w:val="en-US" w:eastAsia="zh-CN"/>
        </w:rPr>
        <w:t xml:space="preserve">   </w:t>
      </w:r>
      <w:r>
        <w:rPr>
          <w:rFonts w:hint="eastAsia" w:ascii="宋体" w:hAnsi="宋体"/>
          <w:bCs/>
          <w:snapToGrid w:val="0"/>
          <w:color w:val="auto"/>
          <w:kern w:val="0"/>
          <w:sz w:val="24"/>
          <w:highlight w:val="none"/>
          <w:u w:val="single"/>
        </w:rPr>
        <w:t>□其他价格形式。</w:t>
      </w:r>
    </w:p>
    <w:p w14:paraId="53A18D8C">
      <w:pPr>
        <w:spacing w:line="440" w:lineRule="exact"/>
        <w:ind w:firstLine="480" w:firstLineChars="200"/>
        <w:rPr>
          <w:rFonts w:ascii="宋体" w:hAnsi="宋体"/>
          <w:bCs/>
          <w:snapToGrid w:val="0"/>
          <w:color w:val="auto"/>
          <w:kern w:val="0"/>
          <w:sz w:val="24"/>
          <w:highlight w:val="none"/>
        </w:rPr>
      </w:pPr>
      <w:r>
        <w:rPr>
          <w:rFonts w:hint="eastAsia" w:ascii="宋体" w:hAnsi="宋体"/>
          <w:bCs/>
          <w:snapToGrid w:val="0"/>
          <w:color w:val="auto"/>
          <w:kern w:val="0"/>
          <w:sz w:val="24"/>
          <w:highlight w:val="none"/>
          <w:u w:val="single"/>
        </w:rPr>
        <w:t>工程结算价款以广州开发区财政局审定结算为准</w:t>
      </w:r>
      <w:r>
        <w:rPr>
          <w:rFonts w:hint="eastAsia" w:ascii="宋体" w:hAnsi="宋体"/>
          <w:bCs/>
          <w:snapToGrid w:val="0"/>
          <w:color w:val="auto"/>
          <w:kern w:val="0"/>
          <w:sz w:val="24"/>
          <w:highlight w:val="none"/>
        </w:rPr>
        <w:t>。如遇审计部门审计发现本合同结算价款存在超付的情形，发包人有权据实要求承包人返还该部分款项。</w:t>
      </w:r>
    </w:p>
    <w:p w14:paraId="4F098B18">
      <w:pPr>
        <w:snapToGrid w:val="0"/>
        <w:spacing w:line="440" w:lineRule="exact"/>
        <w:ind w:firstLine="480" w:firstLineChars="200"/>
        <w:rPr>
          <w:rFonts w:ascii="宋体" w:hAnsi="宋体"/>
          <w:b/>
          <w:bCs/>
          <w:color w:val="auto"/>
          <w:sz w:val="24"/>
          <w:highlight w:val="none"/>
        </w:rPr>
      </w:pPr>
      <w:r>
        <w:rPr>
          <w:rFonts w:hint="eastAsia" w:ascii="宋体" w:hAnsi="宋体"/>
          <w:b/>
          <w:bCs/>
          <w:color w:val="auto"/>
          <w:sz w:val="24"/>
          <w:highlight w:val="none"/>
        </w:rPr>
        <w:t>六、组成合同的文件</w:t>
      </w:r>
    </w:p>
    <w:p w14:paraId="615A1188">
      <w:pPr>
        <w:spacing w:line="440" w:lineRule="exact"/>
        <w:ind w:firstLine="444" w:firstLineChars="185"/>
        <w:rPr>
          <w:rFonts w:ascii="宋体" w:hAnsi="宋体"/>
          <w:color w:val="auto"/>
          <w:sz w:val="24"/>
          <w:highlight w:val="none"/>
        </w:rPr>
      </w:pPr>
      <w:r>
        <w:rPr>
          <w:rFonts w:hint="eastAsia" w:ascii="宋体" w:hAnsi="宋体"/>
          <w:color w:val="auto"/>
          <w:sz w:val="24"/>
          <w:highlight w:val="none"/>
        </w:rPr>
        <w:t>组成本合同的文件包括：</w:t>
      </w:r>
    </w:p>
    <w:p w14:paraId="5DB94223">
      <w:pPr>
        <w:spacing w:line="440" w:lineRule="exact"/>
        <w:ind w:firstLine="444" w:firstLineChars="185"/>
        <w:rPr>
          <w:rFonts w:ascii="宋体" w:hAnsi="宋体"/>
          <w:color w:val="auto"/>
          <w:sz w:val="24"/>
          <w:highlight w:val="none"/>
        </w:rPr>
      </w:pPr>
      <w:r>
        <w:rPr>
          <w:rFonts w:ascii="宋体" w:hAnsi="宋体"/>
          <w:color w:val="auto"/>
          <w:sz w:val="24"/>
          <w:highlight w:val="none"/>
        </w:rPr>
        <w:t>1.本合同履行期间发包人与承包人双方签订的补充合同（协议）或修正文件；</w:t>
      </w:r>
    </w:p>
    <w:p w14:paraId="68305AA0">
      <w:pPr>
        <w:spacing w:line="440" w:lineRule="exact"/>
        <w:ind w:firstLine="444" w:firstLineChars="185"/>
        <w:rPr>
          <w:rFonts w:ascii="宋体" w:hAnsi="宋体"/>
          <w:color w:val="auto"/>
          <w:sz w:val="24"/>
          <w:highlight w:val="none"/>
        </w:rPr>
      </w:pPr>
      <w:r>
        <w:rPr>
          <w:rFonts w:ascii="宋体" w:hAnsi="宋体"/>
          <w:color w:val="auto"/>
          <w:sz w:val="24"/>
          <w:highlight w:val="none"/>
        </w:rPr>
        <w:t>2.本合同协议书</w:t>
      </w:r>
      <w:r>
        <w:rPr>
          <w:rFonts w:hint="eastAsia" w:ascii="宋体" w:hAnsi="宋体"/>
          <w:color w:val="auto"/>
          <w:sz w:val="24"/>
          <w:highlight w:val="none"/>
        </w:rPr>
        <w:t>；</w:t>
      </w:r>
    </w:p>
    <w:p w14:paraId="222C7339">
      <w:pPr>
        <w:spacing w:line="440" w:lineRule="exact"/>
        <w:ind w:firstLine="444" w:firstLineChars="185"/>
        <w:rPr>
          <w:rFonts w:ascii="宋体" w:hAnsi="宋体"/>
          <w:color w:val="auto"/>
          <w:sz w:val="24"/>
          <w:highlight w:val="none"/>
        </w:rPr>
      </w:pPr>
      <w:r>
        <w:rPr>
          <w:rFonts w:ascii="宋体" w:hAnsi="宋体"/>
          <w:color w:val="auto"/>
          <w:sz w:val="24"/>
          <w:highlight w:val="none"/>
        </w:rPr>
        <w:t>3.国家、广东省、广州市、广州开发区、</w:t>
      </w:r>
      <w:r>
        <w:rPr>
          <w:rFonts w:hint="eastAsia" w:ascii="宋体" w:hAnsi="宋体"/>
          <w:color w:val="auto"/>
          <w:sz w:val="24"/>
          <w:highlight w:val="none"/>
        </w:rPr>
        <w:t>黄埔</w:t>
      </w:r>
      <w:r>
        <w:rPr>
          <w:rFonts w:ascii="宋体" w:hAnsi="宋体"/>
          <w:color w:val="auto"/>
          <w:sz w:val="24"/>
          <w:highlight w:val="none"/>
        </w:rPr>
        <w:t>区关于本工程施工的有关文件（发包人在收到后尽快通报给承包人）；</w:t>
      </w:r>
    </w:p>
    <w:p w14:paraId="423C379E">
      <w:pPr>
        <w:spacing w:line="440" w:lineRule="exact"/>
        <w:ind w:firstLine="444" w:firstLineChars="185"/>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建设业主</w:t>
      </w:r>
      <w:r>
        <w:rPr>
          <w:rFonts w:ascii="宋体" w:hAnsi="宋体"/>
          <w:color w:val="auto"/>
          <w:sz w:val="24"/>
          <w:highlight w:val="none"/>
        </w:rPr>
        <w:t>针对本工程建设管理的各项制度、规定；</w:t>
      </w:r>
    </w:p>
    <w:p w14:paraId="061A76C0">
      <w:pPr>
        <w:spacing w:line="440" w:lineRule="exact"/>
        <w:ind w:firstLine="444" w:firstLineChars="185"/>
        <w:rPr>
          <w:rFonts w:ascii="宋体" w:hAnsi="宋体"/>
          <w:color w:val="auto"/>
          <w:sz w:val="24"/>
          <w:highlight w:val="none"/>
        </w:rPr>
      </w:pPr>
      <w:r>
        <w:rPr>
          <w:rFonts w:ascii="宋体" w:hAnsi="宋体"/>
          <w:color w:val="auto"/>
          <w:sz w:val="24"/>
          <w:highlight w:val="none"/>
        </w:rPr>
        <w:t>5.中标通知书</w:t>
      </w:r>
      <w:r>
        <w:rPr>
          <w:rFonts w:hint="eastAsia" w:ascii="宋体" w:hAnsi="宋体"/>
          <w:color w:val="auto"/>
          <w:sz w:val="24"/>
          <w:highlight w:val="none"/>
        </w:rPr>
        <w:t>；</w:t>
      </w:r>
    </w:p>
    <w:p w14:paraId="3BB5286D">
      <w:pPr>
        <w:spacing w:line="440" w:lineRule="exact"/>
        <w:ind w:firstLine="444" w:firstLineChars="185"/>
        <w:rPr>
          <w:rFonts w:ascii="宋体" w:hAnsi="宋体"/>
          <w:color w:val="auto"/>
          <w:sz w:val="24"/>
          <w:highlight w:val="none"/>
        </w:rPr>
      </w:pPr>
      <w:r>
        <w:rPr>
          <w:rFonts w:ascii="宋体" w:hAnsi="宋体"/>
          <w:color w:val="auto"/>
          <w:sz w:val="24"/>
          <w:highlight w:val="none"/>
        </w:rPr>
        <w:t>6.本合同专用条款</w:t>
      </w:r>
      <w:r>
        <w:rPr>
          <w:rFonts w:hint="eastAsia" w:ascii="宋体" w:hAnsi="宋体"/>
          <w:color w:val="auto"/>
          <w:sz w:val="24"/>
          <w:highlight w:val="none"/>
        </w:rPr>
        <w:t>；</w:t>
      </w:r>
    </w:p>
    <w:p w14:paraId="6C247A1D">
      <w:pPr>
        <w:spacing w:line="440" w:lineRule="exact"/>
        <w:ind w:firstLine="444" w:firstLineChars="185"/>
        <w:rPr>
          <w:rFonts w:ascii="宋体" w:hAnsi="宋体"/>
          <w:color w:val="auto"/>
          <w:sz w:val="24"/>
          <w:highlight w:val="none"/>
        </w:rPr>
      </w:pPr>
      <w:r>
        <w:rPr>
          <w:rFonts w:ascii="宋体" w:hAnsi="宋体"/>
          <w:color w:val="auto"/>
          <w:sz w:val="24"/>
          <w:highlight w:val="none"/>
        </w:rPr>
        <w:t>7.招标文件及附件（包括补充、修改、澄清文件及答疑纪要等）</w:t>
      </w:r>
      <w:r>
        <w:rPr>
          <w:rFonts w:hint="eastAsia" w:ascii="宋体" w:hAnsi="宋体"/>
          <w:color w:val="auto"/>
          <w:sz w:val="24"/>
          <w:highlight w:val="none"/>
        </w:rPr>
        <w:t>；</w:t>
      </w:r>
    </w:p>
    <w:p w14:paraId="7C08535A">
      <w:pPr>
        <w:spacing w:line="440" w:lineRule="exact"/>
        <w:ind w:firstLine="444" w:firstLineChars="185"/>
        <w:rPr>
          <w:rFonts w:ascii="宋体" w:hAnsi="宋体"/>
          <w:color w:val="auto"/>
          <w:sz w:val="24"/>
          <w:highlight w:val="none"/>
        </w:rPr>
      </w:pPr>
      <w:r>
        <w:rPr>
          <w:rFonts w:ascii="宋体" w:hAnsi="宋体"/>
          <w:color w:val="auto"/>
          <w:sz w:val="24"/>
          <w:highlight w:val="none"/>
        </w:rPr>
        <w:t>8.本合同通用条款</w:t>
      </w:r>
      <w:r>
        <w:rPr>
          <w:rFonts w:hint="eastAsia" w:ascii="宋体" w:hAnsi="宋体"/>
          <w:color w:val="auto"/>
          <w:sz w:val="24"/>
          <w:highlight w:val="none"/>
        </w:rPr>
        <w:t>；</w:t>
      </w:r>
    </w:p>
    <w:p w14:paraId="204D8A87">
      <w:pPr>
        <w:spacing w:line="440" w:lineRule="exact"/>
        <w:ind w:firstLine="444" w:firstLineChars="185"/>
        <w:rPr>
          <w:rFonts w:ascii="宋体" w:hAnsi="宋体"/>
          <w:color w:val="auto"/>
          <w:sz w:val="24"/>
          <w:highlight w:val="none"/>
        </w:rPr>
      </w:pPr>
      <w:r>
        <w:rPr>
          <w:rFonts w:ascii="宋体" w:hAnsi="宋体"/>
          <w:color w:val="auto"/>
          <w:sz w:val="24"/>
          <w:highlight w:val="none"/>
        </w:rPr>
        <w:t>9.投标文件及附件</w:t>
      </w:r>
      <w:r>
        <w:rPr>
          <w:rFonts w:hint="eastAsia" w:ascii="宋体" w:hAnsi="宋体"/>
          <w:color w:val="auto"/>
          <w:sz w:val="24"/>
          <w:highlight w:val="none"/>
        </w:rPr>
        <w:t>；</w:t>
      </w:r>
    </w:p>
    <w:p w14:paraId="178520B6">
      <w:pPr>
        <w:spacing w:line="440" w:lineRule="exact"/>
        <w:ind w:firstLine="444" w:firstLineChars="185"/>
        <w:rPr>
          <w:rFonts w:ascii="宋体" w:hAnsi="宋体"/>
          <w:color w:val="auto"/>
          <w:sz w:val="24"/>
          <w:highlight w:val="none"/>
        </w:rPr>
      </w:pPr>
      <w:r>
        <w:rPr>
          <w:rFonts w:ascii="宋体" w:hAnsi="宋体"/>
          <w:color w:val="auto"/>
          <w:sz w:val="24"/>
          <w:highlight w:val="none"/>
        </w:rPr>
        <w:t>10.标准、规范和其他有关技术文件</w:t>
      </w:r>
      <w:r>
        <w:rPr>
          <w:rFonts w:hint="eastAsia" w:ascii="宋体" w:hAnsi="宋体"/>
          <w:color w:val="auto"/>
          <w:sz w:val="24"/>
          <w:highlight w:val="none"/>
        </w:rPr>
        <w:t>；</w:t>
      </w:r>
    </w:p>
    <w:p w14:paraId="4F3D877F">
      <w:pPr>
        <w:spacing w:line="440" w:lineRule="exact"/>
        <w:ind w:firstLine="444" w:firstLineChars="185"/>
        <w:rPr>
          <w:rFonts w:ascii="宋体" w:hAnsi="宋体"/>
          <w:color w:val="auto"/>
          <w:sz w:val="24"/>
          <w:highlight w:val="none"/>
        </w:rPr>
      </w:pPr>
      <w:r>
        <w:rPr>
          <w:rFonts w:ascii="宋体" w:hAnsi="宋体"/>
          <w:color w:val="auto"/>
          <w:sz w:val="24"/>
          <w:highlight w:val="none"/>
        </w:rPr>
        <w:t>11.图纸</w:t>
      </w:r>
      <w:r>
        <w:rPr>
          <w:rFonts w:hint="eastAsia" w:ascii="宋体" w:hAnsi="宋体"/>
          <w:color w:val="auto"/>
          <w:sz w:val="24"/>
          <w:highlight w:val="none"/>
        </w:rPr>
        <w:t>；</w:t>
      </w:r>
    </w:p>
    <w:p w14:paraId="591F396B">
      <w:pPr>
        <w:spacing w:line="440" w:lineRule="exact"/>
        <w:ind w:firstLine="444" w:firstLineChars="185"/>
        <w:rPr>
          <w:rFonts w:ascii="宋体" w:hAnsi="宋体"/>
          <w:color w:val="auto"/>
          <w:sz w:val="24"/>
          <w:highlight w:val="none"/>
        </w:rPr>
      </w:pPr>
      <w:r>
        <w:rPr>
          <w:rFonts w:ascii="宋体" w:hAnsi="宋体"/>
          <w:color w:val="auto"/>
          <w:sz w:val="24"/>
          <w:highlight w:val="none"/>
        </w:rPr>
        <w:t>12.</w:t>
      </w:r>
      <w:r>
        <w:rPr>
          <w:rFonts w:hint="eastAsia" w:ascii="宋体" w:hAnsi="宋体" w:cs="宋体"/>
          <w:color w:val="auto"/>
          <w:sz w:val="24"/>
          <w:highlight w:val="none"/>
        </w:rPr>
        <w:t>已标价</w:t>
      </w:r>
      <w:r>
        <w:rPr>
          <w:rFonts w:ascii="宋体" w:hAnsi="宋体" w:cs="宋体"/>
          <w:color w:val="auto"/>
          <w:sz w:val="24"/>
          <w:highlight w:val="none"/>
        </w:rPr>
        <w:t>工程量清单</w:t>
      </w:r>
      <w:r>
        <w:rPr>
          <w:rFonts w:hint="eastAsia" w:ascii="宋体" w:hAnsi="宋体" w:cs="宋体"/>
          <w:color w:val="auto"/>
          <w:sz w:val="24"/>
          <w:highlight w:val="none"/>
          <w:lang w:val="en-US" w:eastAsia="zh-CN"/>
        </w:rPr>
        <w:t>或预算书</w:t>
      </w:r>
      <w:r>
        <w:rPr>
          <w:rFonts w:hint="eastAsia" w:ascii="宋体" w:hAnsi="宋体"/>
          <w:color w:val="auto"/>
          <w:sz w:val="24"/>
          <w:highlight w:val="none"/>
        </w:rPr>
        <w:t>；</w:t>
      </w:r>
    </w:p>
    <w:p w14:paraId="34F4D4D5">
      <w:pPr>
        <w:spacing w:line="440" w:lineRule="exact"/>
        <w:ind w:firstLine="444" w:firstLineChars="185"/>
        <w:rPr>
          <w:rFonts w:ascii="宋体" w:hAnsi="宋体"/>
          <w:color w:val="auto"/>
          <w:sz w:val="24"/>
          <w:highlight w:val="none"/>
        </w:rPr>
      </w:pPr>
      <w:r>
        <w:rPr>
          <w:rFonts w:ascii="宋体" w:hAnsi="宋体"/>
          <w:color w:val="auto"/>
          <w:sz w:val="24"/>
          <w:highlight w:val="none"/>
        </w:rPr>
        <w:t>13.</w:t>
      </w:r>
      <w:r>
        <w:rPr>
          <w:rFonts w:hint="eastAsia"/>
          <w:color w:val="auto"/>
          <w:sz w:val="24"/>
          <w:highlight w:val="none"/>
        </w:rPr>
        <w:t>联合体协议（如果有）</w:t>
      </w:r>
    </w:p>
    <w:p w14:paraId="1D26CFD2">
      <w:pPr>
        <w:spacing w:line="440" w:lineRule="exact"/>
        <w:ind w:firstLine="444" w:firstLineChars="185"/>
        <w:rPr>
          <w:rFonts w:ascii="宋体" w:hAnsi="宋体"/>
          <w:color w:val="auto"/>
          <w:sz w:val="24"/>
          <w:highlight w:val="none"/>
        </w:rPr>
      </w:pPr>
      <w:r>
        <w:rPr>
          <w:rFonts w:hint="eastAsia" w:ascii="宋体" w:hAnsi="宋体"/>
          <w:color w:val="auto"/>
          <w:sz w:val="24"/>
          <w:highlight w:val="none"/>
          <w:lang w:val="en-US" w:eastAsia="zh-CN"/>
        </w:rPr>
        <w:t>14</w:t>
      </w:r>
      <w:r>
        <w:rPr>
          <w:rFonts w:ascii="宋体" w:hAnsi="宋体"/>
          <w:color w:val="auto"/>
          <w:sz w:val="24"/>
          <w:highlight w:val="none"/>
        </w:rPr>
        <w:t>合同附件（工程质量保修责任书、</w:t>
      </w:r>
      <w:r>
        <w:rPr>
          <w:rFonts w:hint="eastAsia" w:ascii="宋体" w:hAnsi="宋体"/>
          <w:color w:val="auto"/>
          <w:sz w:val="24"/>
          <w:highlight w:val="none"/>
        </w:rPr>
        <w:t>标函承诺书、项目负责人驻场承诺书、工程建设廉政协议书等）；</w:t>
      </w:r>
    </w:p>
    <w:p w14:paraId="57C15A32">
      <w:pPr>
        <w:pStyle w:val="241"/>
        <w:spacing w:line="440" w:lineRule="exact"/>
        <w:ind w:left="0" w:firstLine="480" w:firstLineChars="200"/>
        <w:rPr>
          <w:rFonts w:ascii="宋体" w:hAnsi="宋体" w:eastAsia="宋体"/>
          <w:color w:val="auto"/>
          <w:sz w:val="24"/>
          <w:highlight w:val="none"/>
        </w:rPr>
      </w:pPr>
      <w:r>
        <w:rPr>
          <w:rFonts w:hint="eastAsia" w:ascii="宋体" w:hAnsi="宋体" w:eastAsia="宋体"/>
          <w:color w:val="auto"/>
          <w:sz w:val="24"/>
          <w:highlight w:val="none"/>
        </w:rPr>
        <w:t>双方有关工程的洽商、变更等书面协议或文件视为本合同的组成部分。</w:t>
      </w:r>
    </w:p>
    <w:p w14:paraId="4A5BB8EC">
      <w:pPr>
        <w:snapToGrid w:val="0"/>
        <w:spacing w:line="440" w:lineRule="exact"/>
        <w:ind w:firstLine="480" w:firstLineChars="200"/>
        <w:rPr>
          <w:rFonts w:ascii="宋体" w:hAnsi="宋体"/>
          <w:bCs/>
          <w:color w:val="auto"/>
          <w:sz w:val="24"/>
          <w:highlight w:val="none"/>
        </w:rPr>
      </w:pPr>
      <w:r>
        <w:rPr>
          <w:rFonts w:hint="eastAsia" w:ascii="宋体" w:hAnsi="宋体"/>
          <w:b/>
          <w:bCs/>
          <w:color w:val="auto"/>
          <w:sz w:val="24"/>
          <w:highlight w:val="none"/>
        </w:rPr>
        <w:t>七、协议书中有关词语含义与本合同第二部分《通用条款》中分别赋予它们的定义相同。</w:t>
      </w:r>
    </w:p>
    <w:p w14:paraId="2283D305">
      <w:pPr>
        <w:snapToGrid w:val="0"/>
        <w:spacing w:line="440" w:lineRule="exact"/>
        <w:ind w:firstLine="480" w:firstLineChars="200"/>
        <w:rPr>
          <w:rFonts w:ascii="宋体" w:hAnsi="宋体"/>
          <w:bCs/>
          <w:color w:val="auto"/>
          <w:sz w:val="24"/>
          <w:highlight w:val="none"/>
        </w:rPr>
      </w:pPr>
      <w:r>
        <w:rPr>
          <w:rFonts w:hint="eastAsia" w:ascii="宋体" w:hAnsi="宋体"/>
          <w:b/>
          <w:bCs/>
          <w:color w:val="auto"/>
          <w:sz w:val="24"/>
          <w:highlight w:val="none"/>
        </w:rPr>
        <w:t>八、承包人向发包人承诺按照合同约定进行施工、竣工并在质量保修期内承担工程质量保修责任。</w:t>
      </w:r>
    </w:p>
    <w:p w14:paraId="46C3EE50">
      <w:pPr>
        <w:pStyle w:val="27"/>
        <w:snapToGrid w:val="0"/>
        <w:spacing w:line="440" w:lineRule="exact"/>
        <w:ind w:left="0" w:leftChars="0" w:firstLine="480"/>
        <w:rPr>
          <w:rFonts w:hint="eastAsia" w:ascii="宋体" w:hAnsi="宋体" w:cs="宋体"/>
          <w:b/>
          <w:bCs/>
          <w:color w:val="auto"/>
          <w:sz w:val="24"/>
          <w:highlight w:val="none"/>
        </w:rPr>
      </w:pPr>
      <w:r>
        <w:rPr>
          <w:rFonts w:hint="eastAsia" w:ascii="宋体" w:hAnsi="宋体" w:cs="宋体"/>
          <w:b/>
          <w:bCs/>
          <w:color w:val="auto"/>
          <w:sz w:val="24"/>
          <w:highlight w:val="none"/>
        </w:rPr>
        <w:t>九、发包人向承包人承诺按照合同约定的期限和方式支付合同价款及其他应当支付的款项。为保证工程款专款专用和合理使用，本项目建安工程预付款（扣除工人工资款项，以下简称“工程预付款”）采用共管方式支出，在经由发包人、承包人双方协商一致后选择的银行设立发包人、承包人、银行三方共管银行账户，专用于本项目工程预付款的收支。发包人按本合同约定支付的工程预付款应直接支付至该账户并专款专用。具体实施方式按本合同附件《共管工程预付款使用监管办法》（详见附件）及各方另行签订的《工程资金共管协议》执行。 工程预付款中的工人工资部分，仍按本合同关于工人工资支付及管理的约定执行。</w:t>
      </w:r>
    </w:p>
    <w:p w14:paraId="7C1AE29A">
      <w:pPr>
        <w:ind w:firstLine="480" w:firstLineChars="200"/>
        <w:rPr>
          <w:color w:val="auto"/>
          <w:highlight w:val="none"/>
        </w:rPr>
      </w:pPr>
      <w:r>
        <w:rPr>
          <w:rFonts w:hint="eastAsia" w:ascii="宋体" w:hAnsi="宋体" w:cs="宋体"/>
          <w:bCs/>
          <w:color w:val="auto"/>
          <w:sz w:val="24"/>
          <w:highlight w:val="none"/>
          <w:lang w:eastAsia="zh-CN"/>
        </w:rPr>
        <w:t>注</w:t>
      </w:r>
      <w:r>
        <w:rPr>
          <w:rFonts w:hint="eastAsia" w:ascii="宋体" w:hAnsi="宋体" w:cs="宋体"/>
          <w:bCs/>
          <w:color w:val="auto"/>
          <w:sz w:val="24"/>
          <w:highlight w:val="none"/>
          <w:lang w:val="en-US" w:eastAsia="zh-CN"/>
        </w:rPr>
        <w:t>:如上级要求本项目开展资金管理的，则发包人、承包人需按相关要求另行签署补充协议约定相关事宜。</w:t>
      </w:r>
    </w:p>
    <w:p w14:paraId="50DE5CC7">
      <w:pPr>
        <w:pStyle w:val="3"/>
        <w:keepNext/>
        <w:keepLines/>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eastAsia="宋体"/>
          <w:color w:val="auto"/>
          <w:highlight w:val="none"/>
          <w:lang w:eastAsia="zh-CN"/>
        </w:rPr>
      </w:pPr>
      <w:r>
        <w:rPr>
          <w:rFonts w:hint="eastAsia" w:ascii="宋体" w:hAnsi="宋体"/>
          <w:b/>
          <w:bCs/>
          <w:color w:val="auto"/>
          <w:sz w:val="24"/>
          <w:highlight w:val="none"/>
          <w:lang w:eastAsia="zh-CN"/>
        </w:rPr>
        <w:t>十、承包人在本项目中存在《广州开发区财政投资建设项目管理中心拒绝投标资格惩戒措施清单》应予惩戒事实情形的，将被拒绝一定时期内参与发包人后续工程投标。惩戒期限3个月起，情形严重的，可视严重程度延长对承包人的拒绝投标时限，最长不超过3年。</w:t>
      </w:r>
    </w:p>
    <w:p w14:paraId="71EE568E">
      <w:pPr>
        <w:pStyle w:val="3"/>
        <w:keepNext/>
        <w:keepLines/>
        <w:snapToGrid/>
        <w:spacing w:line="240" w:lineRule="auto"/>
        <w:ind w:left="0" w:firstLine="482" w:firstLineChars="200"/>
        <w:jc w:val="left"/>
        <w:rPr>
          <w:rFonts w:ascii="宋体" w:hAnsi="宋体"/>
          <w:b/>
          <w:bCs/>
          <w:color w:val="auto"/>
          <w:sz w:val="24"/>
          <w:highlight w:val="none"/>
        </w:rPr>
      </w:pPr>
      <w:r>
        <w:rPr>
          <w:rFonts w:hint="eastAsia" w:ascii="宋体" w:hAnsi="宋体"/>
          <w:b/>
          <w:bCs/>
          <w:color w:val="auto"/>
          <w:sz w:val="24"/>
          <w:highlight w:val="none"/>
        </w:rPr>
        <w:t>十</w:t>
      </w:r>
      <w:r>
        <w:rPr>
          <w:rFonts w:hint="eastAsia" w:ascii="宋体" w:hAnsi="宋体"/>
          <w:b/>
          <w:bCs/>
          <w:color w:val="auto"/>
          <w:sz w:val="24"/>
          <w:highlight w:val="none"/>
          <w:lang w:eastAsia="zh-CN"/>
        </w:rPr>
        <w:t>一</w:t>
      </w:r>
      <w:r>
        <w:rPr>
          <w:rFonts w:hint="eastAsia" w:ascii="宋体" w:hAnsi="宋体"/>
          <w:b/>
          <w:bCs/>
          <w:color w:val="auto"/>
          <w:sz w:val="24"/>
          <w:highlight w:val="none"/>
        </w:rPr>
        <w:t>、合同生效</w:t>
      </w:r>
    </w:p>
    <w:p w14:paraId="63CF3E14">
      <w:pPr>
        <w:snapToGrid w:val="0"/>
        <w:spacing w:line="440" w:lineRule="exact"/>
        <w:ind w:firstLine="482"/>
        <w:rPr>
          <w:rFonts w:ascii="宋体" w:hAnsi="宋体"/>
          <w:color w:val="auto"/>
          <w:sz w:val="24"/>
          <w:highlight w:val="none"/>
        </w:rPr>
      </w:pPr>
      <w:r>
        <w:rPr>
          <w:rFonts w:hint="eastAsia" w:ascii="宋体" w:hAnsi="宋体"/>
          <w:color w:val="auto"/>
          <w:sz w:val="24"/>
          <w:highlight w:val="none"/>
        </w:rPr>
        <w:t>合同订立时间：</w:t>
      </w:r>
      <w:r>
        <w:rPr>
          <w:rFonts w:ascii="宋体" w:hAnsi="宋体"/>
          <w:color w:val="auto"/>
          <w:sz w:val="24"/>
          <w:highlight w:val="none"/>
          <w:u w:val="single"/>
        </w:rPr>
        <w:t xml:space="preserve">     </w:t>
      </w:r>
      <w:r>
        <w:rPr>
          <w:rFonts w:hint="eastAsia" w:ascii="宋体" w:hAnsi="宋体"/>
          <w:color w:val="auto"/>
          <w:sz w:val="24"/>
          <w:highlight w:val="none"/>
          <w:u w:val="single"/>
        </w:rPr>
        <w:t>年</w:t>
      </w:r>
      <w:r>
        <w:rPr>
          <w:rFonts w:ascii="宋体" w:hAnsi="宋体"/>
          <w:color w:val="auto"/>
          <w:sz w:val="24"/>
          <w:highlight w:val="none"/>
          <w:u w:val="single"/>
        </w:rPr>
        <w:t xml:space="preserve">   </w:t>
      </w:r>
      <w:r>
        <w:rPr>
          <w:rFonts w:hint="eastAsia" w:ascii="宋体" w:hAnsi="宋体"/>
          <w:color w:val="auto"/>
          <w:sz w:val="24"/>
          <w:highlight w:val="none"/>
          <w:u w:val="single"/>
        </w:rPr>
        <w:t>月</w:t>
      </w:r>
      <w:r>
        <w:rPr>
          <w:rFonts w:ascii="宋体" w:hAnsi="宋体"/>
          <w:color w:val="auto"/>
          <w:sz w:val="24"/>
          <w:highlight w:val="none"/>
          <w:u w:val="single"/>
        </w:rPr>
        <w:t xml:space="preserve">    </w:t>
      </w:r>
      <w:r>
        <w:rPr>
          <w:rFonts w:hint="eastAsia" w:ascii="宋体" w:hAnsi="宋体"/>
          <w:color w:val="auto"/>
          <w:sz w:val="24"/>
          <w:highlight w:val="none"/>
          <w:u w:val="single"/>
        </w:rPr>
        <w:t>日</w:t>
      </w:r>
    </w:p>
    <w:p w14:paraId="4780096A">
      <w:pPr>
        <w:snapToGrid w:val="0"/>
        <w:spacing w:line="440" w:lineRule="exact"/>
        <w:ind w:firstLine="480"/>
        <w:rPr>
          <w:rFonts w:ascii="宋体" w:hAnsi="宋体"/>
          <w:color w:val="auto"/>
          <w:sz w:val="24"/>
          <w:highlight w:val="none"/>
        </w:rPr>
      </w:pPr>
      <w:r>
        <w:rPr>
          <w:rFonts w:hint="eastAsia" w:ascii="宋体" w:hAnsi="宋体"/>
          <w:color w:val="auto"/>
          <w:sz w:val="24"/>
          <w:highlight w:val="none"/>
        </w:rPr>
        <w:t>合同订立地点：</w:t>
      </w:r>
      <w:r>
        <w:rPr>
          <w:rFonts w:hint="eastAsia" w:ascii="宋体" w:hAnsi="宋体"/>
          <w:color w:val="auto"/>
          <w:sz w:val="24"/>
          <w:highlight w:val="none"/>
          <w:u w:val="single"/>
        </w:rPr>
        <w:t>广州市黄埔区</w:t>
      </w:r>
    </w:p>
    <w:p w14:paraId="0324A876">
      <w:pPr>
        <w:snapToGrid w:val="0"/>
        <w:spacing w:line="440" w:lineRule="exact"/>
        <w:ind w:firstLine="480"/>
        <w:rPr>
          <w:rFonts w:hint="eastAsia" w:ascii="宋体" w:hAnsi="宋体"/>
          <w:color w:val="auto"/>
          <w:sz w:val="24"/>
          <w:highlight w:val="none"/>
        </w:rPr>
      </w:pPr>
      <w:r>
        <w:rPr>
          <w:rFonts w:hint="eastAsia" w:ascii="宋体" w:hAnsi="宋体"/>
          <w:color w:val="auto"/>
          <w:sz w:val="24"/>
          <w:highlight w:val="none"/>
        </w:rPr>
        <w:t>本合同双方约定：</w:t>
      </w:r>
      <w:r>
        <w:rPr>
          <w:rFonts w:hint="eastAsia" w:ascii="宋体" w:hAnsi="宋体"/>
          <w:color w:val="auto"/>
          <w:sz w:val="24"/>
          <w:highlight w:val="none"/>
          <w:u w:val="single"/>
        </w:rPr>
        <w:t>双方签名、盖章并在承包人提交履约担保后生效</w:t>
      </w:r>
      <w:r>
        <w:rPr>
          <w:rFonts w:hint="eastAsia" w:ascii="宋体" w:hAnsi="宋体"/>
          <w:color w:val="auto"/>
          <w:sz w:val="24"/>
          <w:highlight w:val="none"/>
        </w:rPr>
        <w:t>。</w:t>
      </w:r>
    </w:p>
    <w:p w14:paraId="12C60DD4">
      <w:pPr>
        <w:pStyle w:val="35"/>
        <w:jc w:val="both"/>
        <w:rPr>
          <w:color w:val="auto"/>
          <w:highlight w:val="none"/>
        </w:rPr>
      </w:pPr>
    </w:p>
    <w:tbl>
      <w:tblPr>
        <w:tblStyle w:val="50"/>
        <w:tblW w:w="0" w:type="auto"/>
        <w:tblInd w:w="232" w:type="dxa"/>
        <w:tblLayout w:type="fixed"/>
        <w:tblCellMar>
          <w:top w:w="0" w:type="dxa"/>
          <w:left w:w="108" w:type="dxa"/>
          <w:bottom w:w="0" w:type="dxa"/>
          <w:right w:w="108" w:type="dxa"/>
        </w:tblCellMar>
      </w:tblPr>
      <w:tblGrid>
        <w:gridCol w:w="1388"/>
        <w:gridCol w:w="3178"/>
        <w:gridCol w:w="1393"/>
        <w:gridCol w:w="2991"/>
      </w:tblGrid>
      <w:tr w14:paraId="1F215D86">
        <w:tblPrEx>
          <w:tblCellMar>
            <w:top w:w="0" w:type="dxa"/>
            <w:left w:w="108" w:type="dxa"/>
            <w:bottom w:w="0" w:type="dxa"/>
            <w:right w:w="108" w:type="dxa"/>
          </w:tblCellMar>
        </w:tblPrEx>
        <w:trPr>
          <w:trHeight w:val="434" w:hRule="atLeast"/>
        </w:trPr>
        <w:tc>
          <w:tcPr>
            <w:tcW w:w="1388" w:type="dxa"/>
            <w:vAlign w:val="center"/>
          </w:tcPr>
          <w:p w14:paraId="27DE6842">
            <w:pPr>
              <w:snapToGrid w:val="0"/>
              <w:spacing w:line="440" w:lineRule="exact"/>
              <w:rPr>
                <w:rFonts w:hint="eastAsia" w:ascii="宋体" w:hAnsi="宋体" w:eastAsia="宋体" w:cs="宋体"/>
                <w:color w:val="auto"/>
                <w:sz w:val="21"/>
                <w:szCs w:val="21"/>
                <w:highlight w:val="none"/>
              </w:rPr>
            </w:pPr>
            <w:r>
              <w:rPr>
                <w:rFonts w:ascii="宋体" w:hAnsi="宋体"/>
                <w:color w:val="auto"/>
                <w:sz w:val="24"/>
                <w:highlight w:val="none"/>
              </w:rPr>
              <w:br w:type="page"/>
            </w:r>
            <w:r>
              <w:rPr>
                <w:rFonts w:hint="eastAsia" w:ascii="宋体" w:hAnsi="宋体" w:eastAsia="宋体" w:cs="宋体"/>
                <w:color w:val="auto"/>
                <w:sz w:val="21"/>
                <w:szCs w:val="21"/>
                <w:highlight w:val="none"/>
              </w:rPr>
              <w:t>发  包  人：</w:t>
            </w:r>
          </w:p>
        </w:tc>
        <w:tc>
          <w:tcPr>
            <w:tcW w:w="3178" w:type="dxa"/>
            <w:shd w:val="clear" w:color="auto" w:fill="auto"/>
            <w:vAlign w:val="center"/>
          </w:tcPr>
          <w:p w14:paraId="69984EF6">
            <w:pPr>
              <w:keepNext w:val="0"/>
              <w:keepLines w:val="0"/>
              <w:pageBreakBefore w:val="0"/>
              <w:widowControl/>
              <w:kinsoku/>
              <w:overflowPunct/>
              <w:topLinePunct/>
              <w:autoSpaceDE/>
              <w:autoSpaceDN/>
              <w:bidi w:val="0"/>
              <w:adjustRightInd w:val="0"/>
              <w:snapToGrid w:val="0"/>
              <w:spacing w:before="0" w:after="0" w:line="2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single"/>
              </w:rPr>
              <w:t>中新广州知识城财政投资建设项目管理中心</w:t>
            </w:r>
          </w:p>
        </w:tc>
        <w:tc>
          <w:tcPr>
            <w:tcW w:w="1393" w:type="dxa"/>
            <w:vAlign w:val="center"/>
          </w:tcPr>
          <w:p w14:paraId="095FAE25">
            <w:pPr>
              <w:keepNext w:val="0"/>
              <w:keepLines w:val="0"/>
              <w:pageBreakBefore w:val="0"/>
              <w:widowControl/>
              <w:kinsoku/>
              <w:wordWrap w:val="0"/>
              <w:overflowPunct/>
              <w:topLinePunct/>
              <w:autoSpaceDE/>
              <w:autoSpaceDN/>
              <w:bidi w:val="0"/>
              <w:adjustRightInd w:val="0"/>
              <w:snapToGrid w:val="0"/>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  包  人：</w:t>
            </w:r>
          </w:p>
        </w:tc>
        <w:tc>
          <w:tcPr>
            <w:tcW w:w="2991" w:type="dxa"/>
            <w:vAlign w:val="center"/>
          </w:tcPr>
          <w:p w14:paraId="1F0C98A4">
            <w:pPr>
              <w:keepNext w:val="0"/>
              <w:keepLines w:val="0"/>
              <w:pageBreakBefore w:val="0"/>
              <w:widowControl/>
              <w:kinsoku/>
              <w:wordWrap w:val="0"/>
              <w:overflowPunct/>
              <w:topLinePunct/>
              <w:autoSpaceDE/>
              <w:autoSpaceDN/>
              <w:bidi w:val="0"/>
              <w:adjustRightInd w:val="0"/>
              <w:snapToGrid w:val="0"/>
              <w:spacing w:line="260" w:lineRule="exact"/>
              <w:textAlignment w:val="auto"/>
              <w:rPr>
                <w:rFonts w:hint="eastAsia" w:ascii="宋体" w:hAnsi="宋体" w:eastAsia="宋体" w:cs="宋体"/>
                <w:color w:val="auto"/>
                <w:sz w:val="21"/>
                <w:szCs w:val="21"/>
                <w:highlight w:val="none"/>
              </w:rPr>
            </w:pPr>
          </w:p>
        </w:tc>
      </w:tr>
      <w:tr w14:paraId="3CE6E462">
        <w:tblPrEx>
          <w:tblCellMar>
            <w:top w:w="0" w:type="dxa"/>
            <w:left w:w="108" w:type="dxa"/>
            <w:bottom w:w="0" w:type="dxa"/>
            <w:right w:w="108" w:type="dxa"/>
          </w:tblCellMar>
        </w:tblPrEx>
        <w:trPr>
          <w:trHeight w:val="445" w:hRule="atLeast"/>
        </w:trPr>
        <w:tc>
          <w:tcPr>
            <w:tcW w:w="1388" w:type="dxa"/>
            <w:vAlign w:val="center"/>
          </w:tcPr>
          <w:p w14:paraId="1FC86DBE">
            <w:pPr>
              <w:keepNext w:val="0"/>
              <w:keepLines w:val="0"/>
              <w:pageBreakBefore w:val="0"/>
              <w:widowControl/>
              <w:kinsoku/>
              <w:wordWrap w:val="0"/>
              <w:overflowPunct/>
              <w:topLinePunct/>
              <w:autoSpaceDE/>
              <w:autoSpaceDN/>
              <w:bidi w:val="0"/>
              <w:adjustRightInd w:val="0"/>
              <w:snapToGrid w:val="0"/>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      所：</w:t>
            </w:r>
          </w:p>
        </w:tc>
        <w:tc>
          <w:tcPr>
            <w:tcW w:w="3178" w:type="dxa"/>
            <w:vAlign w:val="center"/>
          </w:tcPr>
          <w:p w14:paraId="3922B4A0">
            <w:pPr>
              <w:keepNext w:val="0"/>
              <w:keepLines w:val="0"/>
              <w:pageBreakBefore w:val="0"/>
              <w:widowControl/>
              <w:kinsoku/>
              <w:wordWrap w:val="0"/>
              <w:overflowPunct/>
              <w:topLinePunct/>
              <w:autoSpaceDE/>
              <w:autoSpaceDN/>
              <w:bidi w:val="0"/>
              <w:adjustRightInd w:val="0"/>
              <w:snapToGrid w:val="0"/>
              <w:spacing w:line="260" w:lineRule="exact"/>
              <w:textAlignment w:val="auto"/>
              <w:rPr>
                <w:rFonts w:hint="eastAsia" w:ascii="宋体" w:hAnsi="宋体" w:eastAsia="宋体" w:cs="宋体"/>
                <w:color w:val="auto"/>
                <w:sz w:val="21"/>
                <w:szCs w:val="21"/>
                <w:highlight w:val="none"/>
              </w:rPr>
            </w:pPr>
          </w:p>
        </w:tc>
        <w:tc>
          <w:tcPr>
            <w:tcW w:w="1393" w:type="dxa"/>
            <w:vAlign w:val="center"/>
          </w:tcPr>
          <w:p w14:paraId="663F2096">
            <w:pPr>
              <w:keepNext w:val="0"/>
              <w:keepLines w:val="0"/>
              <w:pageBreakBefore w:val="0"/>
              <w:widowControl/>
              <w:kinsoku/>
              <w:wordWrap w:val="0"/>
              <w:overflowPunct/>
              <w:topLinePunct/>
              <w:autoSpaceDE/>
              <w:autoSpaceDN/>
              <w:bidi w:val="0"/>
              <w:adjustRightInd w:val="0"/>
              <w:snapToGrid w:val="0"/>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      所：</w:t>
            </w:r>
          </w:p>
        </w:tc>
        <w:tc>
          <w:tcPr>
            <w:tcW w:w="2991" w:type="dxa"/>
            <w:vAlign w:val="center"/>
          </w:tcPr>
          <w:p w14:paraId="02EDE78D">
            <w:pPr>
              <w:keepNext w:val="0"/>
              <w:keepLines w:val="0"/>
              <w:pageBreakBefore w:val="0"/>
              <w:widowControl/>
              <w:kinsoku/>
              <w:wordWrap w:val="0"/>
              <w:overflowPunct/>
              <w:topLinePunct/>
              <w:autoSpaceDE/>
              <w:autoSpaceDN/>
              <w:bidi w:val="0"/>
              <w:adjustRightInd w:val="0"/>
              <w:snapToGrid w:val="0"/>
              <w:spacing w:line="260" w:lineRule="exact"/>
              <w:textAlignment w:val="auto"/>
              <w:rPr>
                <w:rFonts w:hint="eastAsia" w:ascii="宋体" w:hAnsi="宋体" w:eastAsia="宋体" w:cs="宋体"/>
                <w:color w:val="auto"/>
                <w:sz w:val="21"/>
                <w:szCs w:val="21"/>
                <w:highlight w:val="none"/>
                <w:lang w:val="en-US" w:eastAsia="zh-CN"/>
              </w:rPr>
            </w:pPr>
          </w:p>
        </w:tc>
      </w:tr>
      <w:tr w14:paraId="7969E5C4">
        <w:tblPrEx>
          <w:tblCellMar>
            <w:top w:w="0" w:type="dxa"/>
            <w:left w:w="108" w:type="dxa"/>
            <w:bottom w:w="0" w:type="dxa"/>
            <w:right w:w="108" w:type="dxa"/>
          </w:tblCellMar>
        </w:tblPrEx>
        <w:trPr>
          <w:trHeight w:val="651" w:hRule="atLeast"/>
        </w:trPr>
        <w:tc>
          <w:tcPr>
            <w:tcW w:w="1388" w:type="dxa"/>
            <w:vAlign w:val="center"/>
          </w:tcPr>
          <w:p w14:paraId="3F6D3842">
            <w:pPr>
              <w:keepNext w:val="0"/>
              <w:keepLines w:val="0"/>
              <w:pageBreakBefore w:val="0"/>
              <w:widowControl/>
              <w:tabs>
                <w:tab w:val="center" w:pos="4153"/>
                <w:tab w:val="right" w:pos="8306"/>
              </w:tabs>
              <w:kinsoku/>
              <w:wordWrap w:val="0"/>
              <w:overflowPunct/>
              <w:topLinePunct/>
              <w:autoSpaceDE/>
              <w:autoSpaceDN/>
              <w:bidi w:val="0"/>
              <w:adjustRightInd w:val="0"/>
              <w:snapToGrid w:val="0"/>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3178" w:type="dxa"/>
            <w:vAlign w:val="center"/>
          </w:tcPr>
          <w:p w14:paraId="7B6C8772">
            <w:pPr>
              <w:keepNext w:val="0"/>
              <w:keepLines w:val="0"/>
              <w:pageBreakBefore w:val="0"/>
              <w:widowControl/>
              <w:kinsoku/>
              <w:wordWrap w:val="0"/>
              <w:overflowPunct/>
              <w:topLinePunct/>
              <w:autoSpaceDE/>
              <w:autoSpaceDN/>
              <w:bidi w:val="0"/>
              <w:adjustRightInd w:val="0"/>
              <w:snapToGrid w:val="0"/>
              <w:spacing w:line="260" w:lineRule="exact"/>
              <w:textAlignment w:val="auto"/>
              <w:rPr>
                <w:rFonts w:hint="eastAsia" w:ascii="宋体" w:hAnsi="宋体" w:eastAsia="宋体" w:cs="宋体"/>
                <w:color w:val="auto"/>
                <w:sz w:val="21"/>
                <w:szCs w:val="21"/>
                <w:highlight w:val="none"/>
              </w:rPr>
            </w:pPr>
          </w:p>
        </w:tc>
        <w:tc>
          <w:tcPr>
            <w:tcW w:w="1393" w:type="dxa"/>
            <w:vAlign w:val="center"/>
          </w:tcPr>
          <w:p w14:paraId="12FBC0F3">
            <w:pPr>
              <w:keepNext w:val="0"/>
              <w:keepLines w:val="0"/>
              <w:pageBreakBefore w:val="0"/>
              <w:widowControl/>
              <w:kinsoku/>
              <w:wordWrap w:val="0"/>
              <w:overflowPunct/>
              <w:topLinePunct/>
              <w:autoSpaceDE/>
              <w:autoSpaceDN/>
              <w:bidi w:val="0"/>
              <w:adjustRightInd w:val="0"/>
              <w:snapToGrid w:val="0"/>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2991" w:type="dxa"/>
            <w:vAlign w:val="center"/>
          </w:tcPr>
          <w:p w14:paraId="33E16CB1">
            <w:pPr>
              <w:keepNext w:val="0"/>
              <w:keepLines w:val="0"/>
              <w:pageBreakBefore w:val="0"/>
              <w:widowControl/>
              <w:kinsoku/>
              <w:wordWrap w:val="0"/>
              <w:overflowPunct/>
              <w:topLinePunct/>
              <w:autoSpaceDE/>
              <w:autoSpaceDN/>
              <w:bidi w:val="0"/>
              <w:adjustRightInd w:val="0"/>
              <w:snapToGrid w:val="0"/>
              <w:spacing w:line="260" w:lineRule="exact"/>
              <w:textAlignment w:val="auto"/>
              <w:rPr>
                <w:rFonts w:hint="eastAsia" w:ascii="宋体" w:hAnsi="宋体" w:eastAsia="宋体" w:cs="宋体"/>
                <w:color w:val="auto"/>
                <w:sz w:val="21"/>
                <w:szCs w:val="21"/>
                <w:highlight w:val="none"/>
              </w:rPr>
            </w:pPr>
          </w:p>
        </w:tc>
      </w:tr>
      <w:tr w14:paraId="74307EBC">
        <w:tblPrEx>
          <w:tblCellMar>
            <w:top w:w="0" w:type="dxa"/>
            <w:left w:w="108" w:type="dxa"/>
            <w:bottom w:w="0" w:type="dxa"/>
            <w:right w:w="108" w:type="dxa"/>
          </w:tblCellMar>
        </w:tblPrEx>
        <w:trPr>
          <w:trHeight w:val="629" w:hRule="atLeast"/>
        </w:trPr>
        <w:tc>
          <w:tcPr>
            <w:tcW w:w="1388" w:type="dxa"/>
            <w:vAlign w:val="center"/>
          </w:tcPr>
          <w:p w14:paraId="3BAB771D">
            <w:pPr>
              <w:keepNext w:val="0"/>
              <w:keepLines w:val="0"/>
              <w:pageBreakBefore w:val="0"/>
              <w:widowControl/>
              <w:kinsoku/>
              <w:wordWrap w:val="0"/>
              <w:overflowPunct/>
              <w:topLinePunct/>
              <w:autoSpaceDE/>
              <w:autoSpaceDN/>
              <w:bidi w:val="0"/>
              <w:adjustRightInd w:val="0"/>
              <w:snapToGrid w:val="0"/>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3178" w:type="dxa"/>
            <w:vAlign w:val="center"/>
          </w:tcPr>
          <w:p w14:paraId="501D86A9">
            <w:pPr>
              <w:keepNext w:val="0"/>
              <w:keepLines w:val="0"/>
              <w:pageBreakBefore w:val="0"/>
              <w:widowControl/>
              <w:kinsoku/>
              <w:wordWrap w:val="0"/>
              <w:overflowPunct/>
              <w:topLinePunct/>
              <w:autoSpaceDE/>
              <w:autoSpaceDN/>
              <w:bidi w:val="0"/>
              <w:adjustRightInd w:val="0"/>
              <w:snapToGrid w:val="0"/>
              <w:spacing w:line="260" w:lineRule="exact"/>
              <w:textAlignment w:val="auto"/>
              <w:rPr>
                <w:rFonts w:hint="eastAsia" w:ascii="宋体" w:hAnsi="宋体" w:eastAsia="宋体" w:cs="宋体"/>
                <w:color w:val="auto"/>
                <w:sz w:val="21"/>
                <w:szCs w:val="21"/>
                <w:highlight w:val="none"/>
                <w:lang w:val="en-US" w:eastAsia="zh-CN"/>
              </w:rPr>
            </w:pPr>
          </w:p>
        </w:tc>
        <w:tc>
          <w:tcPr>
            <w:tcW w:w="1393" w:type="dxa"/>
            <w:vAlign w:val="center"/>
          </w:tcPr>
          <w:p w14:paraId="6A7C640C">
            <w:pPr>
              <w:keepNext w:val="0"/>
              <w:keepLines w:val="0"/>
              <w:pageBreakBefore w:val="0"/>
              <w:widowControl/>
              <w:kinsoku/>
              <w:wordWrap w:val="0"/>
              <w:overflowPunct/>
              <w:topLinePunct/>
              <w:autoSpaceDE/>
              <w:autoSpaceDN/>
              <w:bidi w:val="0"/>
              <w:adjustRightInd w:val="0"/>
              <w:snapToGrid w:val="0"/>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2991" w:type="dxa"/>
            <w:vAlign w:val="center"/>
          </w:tcPr>
          <w:p w14:paraId="19C6291D">
            <w:pPr>
              <w:keepNext w:val="0"/>
              <w:keepLines w:val="0"/>
              <w:pageBreakBefore w:val="0"/>
              <w:widowControl/>
              <w:kinsoku/>
              <w:wordWrap w:val="0"/>
              <w:overflowPunct/>
              <w:topLinePunct/>
              <w:autoSpaceDE/>
              <w:autoSpaceDN/>
              <w:bidi w:val="0"/>
              <w:adjustRightInd w:val="0"/>
              <w:snapToGrid w:val="0"/>
              <w:spacing w:line="260" w:lineRule="exact"/>
              <w:textAlignment w:val="auto"/>
              <w:rPr>
                <w:rFonts w:hint="eastAsia" w:ascii="宋体" w:hAnsi="宋体" w:eastAsia="宋体" w:cs="宋体"/>
                <w:color w:val="auto"/>
                <w:sz w:val="21"/>
                <w:szCs w:val="21"/>
                <w:highlight w:val="none"/>
              </w:rPr>
            </w:pPr>
          </w:p>
        </w:tc>
      </w:tr>
      <w:tr w14:paraId="3C893477">
        <w:tblPrEx>
          <w:tblCellMar>
            <w:top w:w="0" w:type="dxa"/>
            <w:left w:w="108" w:type="dxa"/>
            <w:bottom w:w="0" w:type="dxa"/>
            <w:right w:w="108" w:type="dxa"/>
          </w:tblCellMar>
        </w:tblPrEx>
        <w:trPr>
          <w:trHeight w:val="363" w:hRule="atLeast"/>
        </w:trPr>
        <w:tc>
          <w:tcPr>
            <w:tcW w:w="1388" w:type="dxa"/>
            <w:vAlign w:val="center"/>
          </w:tcPr>
          <w:p w14:paraId="376DE62B">
            <w:pPr>
              <w:keepNext w:val="0"/>
              <w:keepLines w:val="0"/>
              <w:pageBreakBefore w:val="0"/>
              <w:widowControl/>
              <w:kinsoku/>
              <w:wordWrap w:val="0"/>
              <w:overflowPunct/>
              <w:topLinePunct/>
              <w:autoSpaceDE/>
              <w:autoSpaceDN/>
              <w:bidi w:val="0"/>
              <w:adjustRightInd w:val="0"/>
              <w:snapToGrid w:val="0"/>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tc>
        <w:tc>
          <w:tcPr>
            <w:tcW w:w="3178" w:type="dxa"/>
            <w:vAlign w:val="center"/>
          </w:tcPr>
          <w:p w14:paraId="6AC1E76B">
            <w:pPr>
              <w:keepNext w:val="0"/>
              <w:keepLines w:val="0"/>
              <w:pageBreakBefore w:val="0"/>
              <w:widowControl/>
              <w:kinsoku/>
              <w:wordWrap w:val="0"/>
              <w:overflowPunct/>
              <w:topLinePunct/>
              <w:autoSpaceDE/>
              <w:autoSpaceDN/>
              <w:bidi w:val="0"/>
              <w:adjustRightInd w:val="0"/>
              <w:snapToGrid w:val="0"/>
              <w:spacing w:line="260" w:lineRule="exact"/>
              <w:textAlignment w:val="auto"/>
              <w:rPr>
                <w:rFonts w:hint="eastAsia" w:ascii="宋体" w:hAnsi="宋体" w:eastAsia="宋体" w:cs="宋体"/>
                <w:color w:val="auto"/>
                <w:sz w:val="21"/>
                <w:szCs w:val="21"/>
                <w:highlight w:val="none"/>
                <w:lang w:val="en-US" w:eastAsia="zh-CN"/>
              </w:rPr>
            </w:pPr>
          </w:p>
        </w:tc>
        <w:tc>
          <w:tcPr>
            <w:tcW w:w="1393" w:type="dxa"/>
            <w:vAlign w:val="center"/>
          </w:tcPr>
          <w:p w14:paraId="6E7BE0F4">
            <w:pPr>
              <w:keepNext w:val="0"/>
              <w:keepLines w:val="0"/>
              <w:pageBreakBefore w:val="0"/>
              <w:widowControl/>
              <w:kinsoku/>
              <w:wordWrap w:val="0"/>
              <w:overflowPunct/>
              <w:topLinePunct/>
              <w:autoSpaceDE/>
              <w:autoSpaceDN/>
              <w:bidi w:val="0"/>
              <w:adjustRightInd w:val="0"/>
              <w:snapToGrid w:val="0"/>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tc>
        <w:tc>
          <w:tcPr>
            <w:tcW w:w="2991" w:type="dxa"/>
            <w:vAlign w:val="center"/>
          </w:tcPr>
          <w:p w14:paraId="4A595C17">
            <w:pPr>
              <w:keepNext w:val="0"/>
              <w:keepLines w:val="0"/>
              <w:pageBreakBefore w:val="0"/>
              <w:widowControl/>
              <w:kinsoku/>
              <w:wordWrap w:val="0"/>
              <w:overflowPunct/>
              <w:topLinePunct/>
              <w:autoSpaceDE/>
              <w:autoSpaceDN/>
              <w:bidi w:val="0"/>
              <w:adjustRightInd w:val="0"/>
              <w:snapToGrid w:val="0"/>
              <w:spacing w:line="260" w:lineRule="exact"/>
              <w:textAlignment w:val="auto"/>
              <w:rPr>
                <w:rFonts w:hint="default" w:ascii="宋体" w:hAnsi="宋体" w:eastAsia="宋体" w:cs="宋体"/>
                <w:color w:val="auto"/>
                <w:sz w:val="21"/>
                <w:szCs w:val="21"/>
                <w:highlight w:val="none"/>
                <w:lang w:val="en-US" w:eastAsia="zh-CN"/>
              </w:rPr>
            </w:pPr>
          </w:p>
        </w:tc>
      </w:tr>
      <w:tr w14:paraId="0FEB9EFF">
        <w:tblPrEx>
          <w:tblCellMar>
            <w:top w:w="0" w:type="dxa"/>
            <w:left w:w="108" w:type="dxa"/>
            <w:bottom w:w="0" w:type="dxa"/>
            <w:right w:w="108" w:type="dxa"/>
          </w:tblCellMar>
        </w:tblPrEx>
        <w:trPr>
          <w:trHeight w:val="363" w:hRule="atLeast"/>
        </w:trPr>
        <w:tc>
          <w:tcPr>
            <w:tcW w:w="1388" w:type="dxa"/>
            <w:vAlign w:val="center"/>
          </w:tcPr>
          <w:p w14:paraId="3B71C0AD">
            <w:pPr>
              <w:keepNext w:val="0"/>
              <w:keepLines w:val="0"/>
              <w:pageBreakBefore w:val="0"/>
              <w:widowControl/>
              <w:tabs>
                <w:tab w:val="center" w:pos="4153"/>
                <w:tab w:val="right" w:pos="8306"/>
              </w:tabs>
              <w:kinsoku/>
              <w:wordWrap w:val="0"/>
              <w:overflowPunct/>
              <w:topLinePunct/>
              <w:autoSpaceDE/>
              <w:autoSpaceDN/>
              <w:bidi w:val="0"/>
              <w:adjustRightInd w:val="0"/>
              <w:snapToGrid w:val="0"/>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 银 行：</w:t>
            </w:r>
          </w:p>
        </w:tc>
        <w:tc>
          <w:tcPr>
            <w:tcW w:w="3178" w:type="dxa"/>
            <w:vAlign w:val="center"/>
          </w:tcPr>
          <w:p w14:paraId="101BCAC4">
            <w:pPr>
              <w:keepNext w:val="0"/>
              <w:keepLines w:val="0"/>
              <w:pageBreakBefore w:val="0"/>
              <w:widowControl/>
              <w:kinsoku/>
              <w:wordWrap w:val="0"/>
              <w:overflowPunct/>
              <w:topLinePunct/>
              <w:autoSpaceDE/>
              <w:autoSpaceDN/>
              <w:bidi w:val="0"/>
              <w:adjustRightInd w:val="0"/>
              <w:snapToGrid w:val="0"/>
              <w:spacing w:line="260" w:lineRule="exact"/>
              <w:textAlignment w:val="auto"/>
              <w:rPr>
                <w:rFonts w:hint="eastAsia" w:ascii="宋体" w:hAnsi="宋体" w:eastAsia="宋体" w:cs="宋体"/>
                <w:color w:val="auto"/>
                <w:sz w:val="21"/>
                <w:szCs w:val="21"/>
                <w:highlight w:val="none"/>
              </w:rPr>
            </w:pPr>
          </w:p>
        </w:tc>
        <w:tc>
          <w:tcPr>
            <w:tcW w:w="1393" w:type="dxa"/>
            <w:vAlign w:val="center"/>
          </w:tcPr>
          <w:p w14:paraId="25BC9B93">
            <w:pPr>
              <w:keepNext w:val="0"/>
              <w:keepLines w:val="0"/>
              <w:pageBreakBefore w:val="0"/>
              <w:widowControl/>
              <w:kinsoku/>
              <w:wordWrap w:val="0"/>
              <w:overflowPunct/>
              <w:topLinePunct/>
              <w:autoSpaceDE/>
              <w:autoSpaceDN/>
              <w:bidi w:val="0"/>
              <w:adjustRightInd w:val="0"/>
              <w:snapToGrid w:val="0"/>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 银 行：</w:t>
            </w:r>
          </w:p>
        </w:tc>
        <w:tc>
          <w:tcPr>
            <w:tcW w:w="2991" w:type="dxa"/>
            <w:vAlign w:val="center"/>
          </w:tcPr>
          <w:p w14:paraId="36B8DBB1">
            <w:pPr>
              <w:keepNext w:val="0"/>
              <w:keepLines w:val="0"/>
              <w:pageBreakBefore w:val="0"/>
              <w:widowControl/>
              <w:kinsoku/>
              <w:wordWrap w:val="0"/>
              <w:overflowPunct/>
              <w:topLinePunct/>
              <w:autoSpaceDE/>
              <w:autoSpaceDN/>
              <w:bidi w:val="0"/>
              <w:adjustRightInd w:val="0"/>
              <w:snapToGrid w:val="0"/>
              <w:spacing w:line="260" w:lineRule="exact"/>
              <w:textAlignment w:val="auto"/>
              <w:rPr>
                <w:rFonts w:hint="eastAsia" w:ascii="宋体" w:hAnsi="宋体" w:eastAsia="宋体" w:cs="宋体"/>
                <w:color w:val="auto"/>
                <w:sz w:val="21"/>
                <w:szCs w:val="21"/>
                <w:highlight w:val="none"/>
              </w:rPr>
            </w:pPr>
          </w:p>
        </w:tc>
      </w:tr>
      <w:tr w14:paraId="6AA4775A">
        <w:tblPrEx>
          <w:tblCellMar>
            <w:top w:w="0" w:type="dxa"/>
            <w:left w:w="108" w:type="dxa"/>
            <w:bottom w:w="0" w:type="dxa"/>
            <w:right w:w="108" w:type="dxa"/>
          </w:tblCellMar>
        </w:tblPrEx>
        <w:trPr>
          <w:trHeight w:val="363" w:hRule="atLeast"/>
        </w:trPr>
        <w:tc>
          <w:tcPr>
            <w:tcW w:w="1388" w:type="dxa"/>
            <w:vAlign w:val="center"/>
          </w:tcPr>
          <w:p w14:paraId="7D6C87EF">
            <w:pPr>
              <w:keepNext w:val="0"/>
              <w:keepLines w:val="0"/>
              <w:pageBreakBefore w:val="0"/>
              <w:widowControl/>
              <w:tabs>
                <w:tab w:val="center" w:pos="4153"/>
                <w:tab w:val="right" w:pos="8306"/>
              </w:tabs>
              <w:kinsoku/>
              <w:wordWrap w:val="0"/>
              <w:overflowPunct/>
              <w:topLinePunct/>
              <w:autoSpaceDE/>
              <w:autoSpaceDN/>
              <w:bidi w:val="0"/>
              <w:adjustRightInd w:val="0"/>
              <w:snapToGrid w:val="0"/>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p>
        </w:tc>
        <w:tc>
          <w:tcPr>
            <w:tcW w:w="3178" w:type="dxa"/>
            <w:vAlign w:val="center"/>
          </w:tcPr>
          <w:p w14:paraId="1CF0C806">
            <w:pPr>
              <w:keepNext w:val="0"/>
              <w:keepLines w:val="0"/>
              <w:pageBreakBefore w:val="0"/>
              <w:widowControl/>
              <w:kinsoku/>
              <w:wordWrap w:val="0"/>
              <w:overflowPunct/>
              <w:topLinePunct/>
              <w:autoSpaceDE/>
              <w:autoSpaceDN/>
              <w:bidi w:val="0"/>
              <w:adjustRightInd w:val="0"/>
              <w:snapToGrid w:val="0"/>
              <w:spacing w:line="260" w:lineRule="exact"/>
              <w:textAlignment w:val="auto"/>
              <w:rPr>
                <w:rFonts w:hint="eastAsia" w:ascii="宋体" w:hAnsi="宋体" w:eastAsia="宋体" w:cs="宋体"/>
                <w:color w:val="auto"/>
                <w:sz w:val="21"/>
                <w:szCs w:val="21"/>
                <w:highlight w:val="none"/>
              </w:rPr>
            </w:pPr>
          </w:p>
        </w:tc>
        <w:tc>
          <w:tcPr>
            <w:tcW w:w="1393" w:type="dxa"/>
            <w:vAlign w:val="center"/>
          </w:tcPr>
          <w:p w14:paraId="5D73FB90">
            <w:pPr>
              <w:keepNext w:val="0"/>
              <w:keepLines w:val="0"/>
              <w:pageBreakBefore w:val="0"/>
              <w:widowControl/>
              <w:kinsoku/>
              <w:wordWrap w:val="0"/>
              <w:overflowPunct/>
              <w:topLinePunct/>
              <w:autoSpaceDE/>
              <w:autoSpaceDN/>
              <w:bidi w:val="0"/>
              <w:adjustRightInd w:val="0"/>
              <w:snapToGrid w:val="0"/>
              <w:spacing w:line="2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p>
        </w:tc>
        <w:tc>
          <w:tcPr>
            <w:tcW w:w="2991" w:type="dxa"/>
            <w:vAlign w:val="center"/>
          </w:tcPr>
          <w:p w14:paraId="60CA84C1">
            <w:pPr>
              <w:keepNext w:val="0"/>
              <w:keepLines w:val="0"/>
              <w:pageBreakBefore w:val="0"/>
              <w:widowControl/>
              <w:kinsoku/>
              <w:wordWrap w:val="0"/>
              <w:overflowPunct/>
              <w:topLinePunct/>
              <w:autoSpaceDE/>
              <w:autoSpaceDN/>
              <w:bidi w:val="0"/>
              <w:adjustRightInd w:val="0"/>
              <w:snapToGrid w:val="0"/>
              <w:spacing w:line="260" w:lineRule="exact"/>
              <w:textAlignment w:val="auto"/>
              <w:rPr>
                <w:rFonts w:hint="eastAsia" w:ascii="宋体" w:hAnsi="宋体" w:eastAsia="宋体" w:cs="宋体"/>
                <w:color w:val="auto"/>
                <w:sz w:val="21"/>
                <w:szCs w:val="21"/>
                <w:highlight w:val="none"/>
              </w:rPr>
            </w:pPr>
          </w:p>
        </w:tc>
      </w:tr>
    </w:tbl>
    <w:p w14:paraId="04FADED3">
      <w:pPr>
        <w:snapToGrid w:val="0"/>
        <w:spacing w:line="440" w:lineRule="exact"/>
        <w:ind w:firstLine="120" w:firstLineChars="50"/>
        <w:rPr>
          <w:rFonts w:ascii="宋体" w:hAnsi="宋体"/>
          <w:color w:val="auto"/>
          <w:sz w:val="24"/>
          <w:highlight w:val="none"/>
        </w:rPr>
      </w:pPr>
    </w:p>
    <w:p w14:paraId="75C9BFBE">
      <w:pPr>
        <w:pStyle w:val="18"/>
        <w:spacing w:before="88" w:line="342" w:lineRule="auto"/>
        <w:ind w:right="258"/>
        <w:jc w:val="center"/>
        <w:rPr>
          <w:rFonts w:hint="default" w:ascii="黑体" w:hAnsi="黑体" w:eastAsia="黑体" w:cs="黑体"/>
          <w:color w:val="auto"/>
          <w:spacing w:val="3"/>
          <w:sz w:val="18"/>
          <w:szCs w:val="18"/>
          <w:highlight w:val="none"/>
          <w:vertAlign w:val="baseline"/>
          <w:lang w:val="en-US" w:eastAsia="zh-CN"/>
        </w:rPr>
      </w:pPr>
      <w:r>
        <w:rPr>
          <w:rFonts w:ascii="宋体" w:hAnsi="宋体"/>
          <w:color w:val="auto"/>
          <w:sz w:val="24"/>
          <w:highlight w:val="none"/>
        </w:rPr>
        <w:br w:type="page"/>
      </w:r>
      <w:r>
        <w:rPr>
          <w:rFonts w:hint="eastAsia" w:ascii="宋体" w:hAnsi="宋体" w:eastAsia="宋体" w:cs="宋体"/>
          <w:b/>
          <w:bCs/>
          <w:color w:val="auto"/>
          <w:spacing w:val="3"/>
          <w:sz w:val="24"/>
          <w:szCs w:val="24"/>
          <w:highlight w:val="none"/>
          <w:lang w:val="en-US" w:eastAsia="zh-CN"/>
        </w:rPr>
        <w:t>附件：《广州开发区财政投资建设项目管理中心拒绝投标资格惩戒措施清单》</w:t>
      </w:r>
    </w:p>
    <w:tbl>
      <w:tblPr>
        <w:tblStyle w:val="39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3724"/>
        <w:gridCol w:w="1527"/>
        <w:gridCol w:w="3312"/>
      </w:tblGrid>
      <w:tr w14:paraId="34FD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388" w:type="pct"/>
            <w:vAlign w:val="center"/>
          </w:tcPr>
          <w:p w14:paraId="4E227BDA">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序号</w:t>
            </w:r>
          </w:p>
        </w:tc>
        <w:tc>
          <w:tcPr>
            <w:tcW w:w="2005" w:type="pct"/>
            <w:vAlign w:val="center"/>
          </w:tcPr>
          <w:p w14:paraId="1D71027D">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拒绝投标情形</w:t>
            </w:r>
          </w:p>
        </w:tc>
        <w:tc>
          <w:tcPr>
            <w:tcW w:w="822" w:type="pct"/>
            <w:vAlign w:val="center"/>
          </w:tcPr>
          <w:p w14:paraId="3D1141F3">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惩戒期限</w:t>
            </w:r>
          </w:p>
        </w:tc>
        <w:tc>
          <w:tcPr>
            <w:tcW w:w="1783" w:type="pct"/>
            <w:vAlign w:val="center"/>
          </w:tcPr>
          <w:p w14:paraId="47BA323B">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政策依据</w:t>
            </w:r>
          </w:p>
        </w:tc>
      </w:tr>
      <w:tr w14:paraId="18DE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88" w:type="pct"/>
            <w:vAlign w:val="center"/>
          </w:tcPr>
          <w:p w14:paraId="5FEF133F">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w:t>
            </w:r>
          </w:p>
        </w:tc>
        <w:tc>
          <w:tcPr>
            <w:tcW w:w="2005" w:type="pct"/>
            <w:vAlign w:val="center"/>
          </w:tcPr>
          <w:p w14:paraId="5D109CB6">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将中标工程转包或者违法分包的。</w:t>
            </w:r>
          </w:p>
        </w:tc>
        <w:tc>
          <w:tcPr>
            <w:tcW w:w="822" w:type="pct"/>
            <w:vAlign w:val="center"/>
          </w:tcPr>
          <w:p w14:paraId="757E0D3A">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3个月起</w:t>
            </w:r>
          </w:p>
        </w:tc>
        <w:tc>
          <w:tcPr>
            <w:tcW w:w="1783" w:type="pct"/>
            <w:vAlign w:val="center"/>
          </w:tcPr>
          <w:p w14:paraId="221D521C">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广州市建设工程施工招标文件范本修改表（2024年11月）</w:t>
            </w:r>
          </w:p>
        </w:tc>
      </w:tr>
      <w:tr w14:paraId="6DFB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88" w:type="pct"/>
            <w:vAlign w:val="center"/>
          </w:tcPr>
          <w:p w14:paraId="2494687A">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2</w:t>
            </w:r>
          </w:p>
        </w:tc>
        <w:tc>
          <w:tcPr>
            <w:tcW w:w="2005" w:type="pct"/>
            <w:vAlign w:val="center"/>
          </w:tcPr>
          <w:p w14:paraId="314D69E4">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在中标工程中不执行质量、安全生产相关规定的，造成质量或安全事故的。</w:t>
            </w:r>
          </w:p>
        </w:tc>
        <w:tc>
          <w:tcPr>
            <w:tcW w:w="822" w:type="pct"/>
            <w:vAlign w:val="center"/>
          </w:tcPr>
          <w:p w14:paraId="2039E233">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3个月起</w:t>
            </w:r>
          </w:p>
        </w:tc>
        <w:tc>
          <w:tcPr>
            <w:tcW w:w="1783" w:type="pct"/>
            <w:vAlign w:val="center"/>
          </w:tcPr>
          <w:p w14:paraId="15B44B1E">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广州市建设工程施工招标文件范本修改表（2024年11月）</w:t>
            </w:r>
          </w:p>
        </w:tc>
      </w:tr>
      <w:tr w14:paraId="03B9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5764ECE0">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3</w:t>
            </w:r>
          </w:p>
        </w:tc>
        <w:tc>
          <w:tcPr>
            <w:tcW w:w="2005" w:type="pct"/>
            <w:vAlign w:val="center"/>
          </w:tcPr>
          <w:p w14:paraId="1732A712">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snapToGrid w:val="0"/>
                <w:color w:val="auto"/>
                <w:kern w:val="0"/>
                <w:sz w:val="21"/>
                <w:szCs w:val="21"/>
                <w:highlight w:val="none"/>
                <w:lang w:eastAsia="en-US"/>
              </w:rPr>
              <w:t>出让投标资格的</w:t>
            </w:r>
            <w:r>
              <w:rPr>
                <w:rFonts w:hint="eastAsia" w:ascii="宋体" w:hAnsi="宋体" w:eastAsia="宋体" w:cs="宋体"/>
                <w:snapToGrid w:val="0"/>
                <w:color w:val="auto"/>
                <w:kern w:val="0"/>
                <w:sz w:val="21"/>
                <w:szCs w:val="21"/>
                <w:highlight w:val="none"/>
              </w:rPr>
              <w:t>。</w:t>
            </w:r>
          </w:p>
        </w:tc>
        <w:tc>
          <w:tcPr>
            <w:tcW w:w="822" w:type="pct"/>
            <w:vAlign w:val="center"/>
          </w:tcPr>
          <w:p w14:paraId="474C41F5">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3个月起</w:t>
            </w:r>
          </w:p>
        </w:tc>
        <w:tc>
          <w:tcPr>
            <w:tcW w:w="1783" w:type="pct"/>
            <w:vAlign w:val="center"/>
          </w:tcPr>
          <w:p w14:paraId="503C7C16">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广州市建设工程施工招标文件范本修改表（2024年11月）</w:t>
            </w:r>
          </w:p>
        </w:tc>
      </w:tr>
      <w:tr w14:paraId="07E7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08FF8298">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4</w:t>
            </w:r>
          </w:p>
        </w:tc>
        <w:tc>
          <w:tcPr>
            <w:tcW w:w="2005" w:type="pct"/>
            <w:vAlign w:val="center"/>
          </w:tcPr>
          <w:p w14:paraId="31E7D52D">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存在围标或串标情形的。</w:t>
            </w:r>
          </w:p>
        </w:tc>
        <w:tc>
          <w:tcPr>
            <w:tcW w:w="822" w:type="pct"/>
            <w:vAlign w:val="center"/>
          </w:tcPr>
          <w:p w14:paraId="5252B80A">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snapToGrid w:val="0"/>
                <w:color w:val="auto"/>
                <w:kern w:val="0"/>
                <w:sz w:val="21"/>
                <w:szCs w:val="21"/>
                <w:highlight w:val="none"/>
              </w:rPr>
              <w:t>3个月起</w:t>
            </w:r>
          </w:p>
        </w:tc>
        <w:tc>
          <w:tcPr>
            <w:tcW w:w="1783" w:type="pct"/>
            <w:vAlign w:val="center"/>
          </w:tcPr>
          <w:p w14:paraId="255FA216">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广州市建设工程施工招标文件范本修改表（2024年11月）</w:t>
            </w:r>
          </w:p>
        </w:tc>
      </w:tr>
      <w:tr w14:paraId="5151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630A2C70">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5</w:t>
            </w:r>
          </w:p>
        </w:tc>
        <w:tc>
          <w:tcPr>
            <w:tcW w:w="2005" w:type="pct"/>
            <w:vAlign w:val="center"/>
          </w:tcPr>
          <w:p w14:paraId="37524F06">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snapToGrid w:val="0"/>
                <w:color w:val="auto"/>
                <w:spacing w:val="3"/>
                <w:kern w:val="0"/>
                <w:sz w:val="21"/>
                <w:szCs w:val="21"/>
                <w:highlight w:val="none"/>
              </w:rPr>
              <w:t>在投标文件中提供虚假材料的。</w:t>
            </w:r>
          </w:p>
        </w:tc>
        <w:tc>
          <w:tcPr>
            <w:tcW w:w="822" w:type="pct"/>
            <w:vAlign w:val="center"/>
          </w:tcPr>
          <w:p w14:paraId="2C181486">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snapToGrid w:val="0"/>
                <w:color w:val="auto"/>
                <w:kern w:val="0"/>
                <w:sz w:val="21"/>
                <w:szCs w:val="21"/>
                <w:highlight w:val="none"/>
              </w:rPr>
              <w:t>3个月起</w:t>
            </w:r>
          </w:p>
        </w:tc>
        <w:tc>
          <w:tcPr>
            <w:tcW w:w="1783" w:type="pct"/>
            <w:vAlign w:val="center"/>
          </w:tcPr>
          <w:p w14:paraId="65BC7E7C">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广州市建设工程施工招标文件范本修改表（2024年11月）</w:t>
            </w:r>
          </w:p>
        </w:tc>
      </w:tr>
      <w:tr w14:paraId="2581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57071D38">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6</w:t>
            </w:r>
          </w:p>
        </w:tc>
        <w:tc>
          <w:tcPr>
            <w:tcW w:w="2005" w:type="pct"/>
            <w:vAlign w:val="center"/>
          </w:tcPr>
          <w:p w14:paraId="777CFE5E">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宋体" w:hAnsi="宋体" w:eastAsia="宋体" w:cs="宋体"/>
                <w:snapToGrid w:val="0"/>
                <w:color w:val="auto"/>
                <w:spacing w:val="3"/>
                <w:kern w:val="0"/>
                <w:sz w:val="21"/>
                <w:szCs w:val="21"/>
                <w:highlight w:val="none"/>
              </w:rPr>
            </w:pPr>
            <w:r>
              <w:rPr>
                <w:rFonts w:hint="eastAsia" w:ascii="宋体" w:hAnsi="宋体" w:eastAsia="宋体" w:cs="宋体"/>
                <w:color w:val="auto"/>
                <w:sz w:val="21"/>
                <w:szCs w:val="21"/>
                <w:highlight w:val="none"/>
              </w:rPr>
              <w:t>存在少放、不放业绩、奖项等客观评审资料，减少自身竞争力情形的。</w:t>
            </w:r>
          </w:p>
        </w:tc>
        <w:tc>
          <w:tcPr>
            <w:tcW w:w="822" w:type="pct"/>
            <w:vAlign w:val="center"/>
          </w:tcPr>
          <w:p w14:paraId="19F147DF">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snapToGrid w:val="0"/>
                <w:color w:val="auto"/>
                <w:kern w:val="0"/>
                <w:sz w:val="21"/>
                <w:szCs w:val="21"/>
                <w:highlight w:val="none"/>
              </w:rPr>
              <w:t>3个月起</w:t>
            </w:r>
          </w:p>
        </w:tc>
        <w:tc>
          <w:tcPr>
            <w:tcW w:w="1783" w:type="pct"/>
            <w:vAlign w:val="center"/>
          </w:tcPr>
          <w:p w14:paraId="76762F2D">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广州市建设工程施工招标文件范本修改表（2024年11月）</w:t>
            </w:r>
          </w:p>
        </w:tc>
      </w:tr>
      <w:tr w14:paraId="6560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04A5DC8B">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7</w:t>
            </w:r>
          </w:p>
        </w:tc>
        <w:tc>
          <w:tcPr>
            <w:tcW w:w="2005" w:type="pct"/>
            <w:vAlign w:val="center"/>
          </w:tcPr>
          <w:p w14:paraId="302E9F24">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snapToGrid w:val="0"/>
                <w:color w:val="auto"/>
                <w:spacing w:val="3"/>
                <w:kern w:val="0"/>
                <w:sz w:val="21"/>
                <w:szCs w:val="21"/>
                <w:highlight w:val="none"/>
              </w:rPr>
              <w:t>存在行贿情形的。</w:t>
            </w:r>
          </w:p>
        </w:tc>
        <w:tc>
          <w:tcPr>
            <w:tcW w:w="822" w:type="pct"/>
            <w:vAlign w:val="center"/>
          </w:tcPr>
          <w:p w14:paraId="102DD041">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snapToGrid w:val="0"/>
                <w:color w:val="auto"/>
                <w:kern w:val="0"/>
                <w:sz w:val="21"/>
                <w:szCs w:val="21"/>
                <w:highlight w:val="none"/>
              </w:rPr>
              <w:t>3个月起</w:t>
            </w:r>
          </w:p>
        </w:tc>
        <w:tc>
          <w:tcPr>
            <w:tcW w:w="1783" w:type="pct"/>
            <w:vAlign w:val="center"/>
          </w:tcPr>
          <w:p w14:paraId="35C823CB">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广州市建设工程施工招标文件范本修改表（2024年11月）</w:t>
            </w:r>
          </w:p>
        </w:tc>
      </w:tr>
      <w:tr w14:paraId="7347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68476924">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8</w:t>
            </w:r>
          </w:p>
        </w:tc>
        <w:tc>
          <w:tcPr>
            <w:tcW w:w="2005" w:type="pct"/>
            <w:vAlign w:val="center"/>
          </w:tcPr>
          <w:p w14:paraId="32B7D2A5">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t>拖欠农民工工资的。</w:t>
            </w:r>
          </w:p>
        </w:tc>
        <w:tc>
          <w:tcPr>
            <w:tcW w:w="822" w:type="pct"/>
            <w:vAlign w:val="center"/>
          </w:tcPr>
          <w:p w14:paraId="69AB09A5">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snapToGrid w:val="0"/>
                <w:color w:val="auto"/>
                <w:kern w:val="0"/>
                <w:sz w:val="21"/>
                <w:szCs w:val="21"/>
                <w:highlight w:val="none"/>
              </w:rPr>
              <w:t>3个月起</w:t>
            </w:r>
          </w:p>
        </w:tc>
        <w:tc>
          <w:tcPr>
            <w:tcW w:w="1783" w:type="pct"/>
            <w:vAlign w:val="center"/>
          </w:tcPr>
          <w:p w14:paraId="3112282D">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snapToGrid w:val="0"/>
                <w:color w:val="auto"/>
                <w:kern w:val="0"/>
                <w:sz w:val="21"/>
                <w:szCs w:val="21"/>
                <w:highlight w:val="none"/>
              </w:rPr>
              <w:t>广州市建设工程施工招标文件范本修改表（2024年11月）</w:t>
            </w:r>
          </w:p>
        </w:tc>
      </w:tr>
      <w:tr w14:paraId="0776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88" w:type="pct"/>
            <w:vAlign w:val="center"/>
          </w:tcPr>
          <w:p w14:paraId="14844493">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9</w:t>
            </w:r>
          </w:p>
        </w:tc>
        <w:tc>
          <w:tcPr>
            <w:tcW w:w="2005" w:type="pct"/>
            <w:vAlign w:val="center"/>
          </w:tcPr>
          <w:p w14:paraId="0367F3E0">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未按照国家、省、市有关建筑施工实名制管理和工人工资支付分账管理的规定执行，被行政监管部门处罚的。</w:t>
            </w:r>
          </w:p>
        </w:tc>
        <w:tc>
          <w:tcPr>
            <w:tcW w:w="822" w:type="pct"/>
            <w:vAlign w:val="center"/>
          </w:tcPr>
          <w:p w14:paraId="3A5C004C">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snapToGrid w:val="0"/>
                <w:color w:val="auto"/>
                <w:kern w:val="0"/>
                <w:sz w:val="21"/>
                <w:szCs w:val="21"/>
                <w:highlight w:val="none"/>
              </w:rPr>
              <w:t>3个月起</w:t>
            </w:r>
          </w:p>
        </w:tc>
        <w:tc>
          <w:tcPr>
            <w:tcW w:w="1783" w:type="pct"/>
            <w:vAlign w:val="center"/>
          </w:tcPr>
          <w:p w14:paraId="7CEE5305">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snapToGrid w:val="0"/>
                <w:color w:val="auto"/>
                <w:kern w:val="0"/>
                <w:sz w:val="21"/>
                <w:szCs w:val="21"/>
                <w:highlight w:val="none"/>
              </w:rPr>
              <w:t>广州市建设工程施工招标文件范本修改表（2024年11月）</w:t>
            </w:r>
          </w:p>
        </w:tc>
      </w:tr>
      <w:tr w14:paraId="7D71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88" w:type="pct"/>
            <w:vAlign w:val="center"/>
          </w:tcPr>
          <w:p w14:paraId="1C45426A">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10</w:t>
            </w:r>
          </w:p>
        </w:tc>
        <w:tc>
          <w:tcPr>
            <w:tcW w:w="2005" w:type="pct"/>
            <w:vAlign w:val="center"/>
          </w:tcPr>
          <w:p w14:paraId="6FB350B6">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在项目实施过程中选取的专业分包单位或劳务企业或劳务班组长与投标承诺不一致的（如有）。</w:t>
            </w:r>
          </w:p>
        </w:tc>
        <w:tc>
          <w:tcPr>
            <w:tcW w:w="822" w:type="pct"/>
            <w:vAlign w:val="center"/>
          </w:tcPr>
          <w:p w14:paraId="625A4214">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snapToGrid w:val="0"/>
                <w:color w:val="auto"/>
                <w:kern w:val="0"/>
                <w:sz w:val="21"/>
                <w:szCs w:val="21"/>
                <w:highlight w:val="none"/>
              </w:rPr>
              <w:t>3个月起</w:t>
            </w:r>
          </w:p>
        </w:tc>
        <w:tc>
          <w:tcPr>
            <w:tcW w:w="1783" w:type="pct"/>
            <w:vAlign w:val="center"/>
          </w:tcPr>
          <w:p w14:paraId="2020089D">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snapToGrid w:val="0"/>
                <w:color w:val="auto"/>
                <w:kern w:val="0"/>
                <w:sz w:val="21"/>
                <w:szCs w:val="21"/>
                <w:highlight w:val="none"/>
              </w:rPr>
              <w:t>广州市建设工程施工招标文件范本修改表（2024年11月）</w:t>
            </w:r>
          </w:p>
        </w:tc>
      </w:tr>
      <w:tr w14:paraId="4FA0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1F4C6B68">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11</w:t>
            </w:r>
          </w:p>
        </w:tc>
        <w:tc>
          <w:tcPr>
            <w:tcW w:w="2005" w:type="pct"/>
            <w:vAlign w:val="center"/>
          </w:tcPr>
          <w:p w14:paraId="1265BFB6">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宋体" w:hAnsi="宋体" w:eastAsia="宋体" w:cs="宋体"/>
                <w:snapToGrid w:val="0"/>
                <w:color w:val="auto"/>
                <w:spacing w:val="3"/>
                <w:kern w:val="0"/>
                <w:sz w:val="21"/>
                <w:szCs w:val="21"/>
                <w:highlight w:val="none"/>
              </w:rPr>
            </w:pPr>
            <w:r>
              <w:rPr>
                <w:rFonts w:hint="eastAsia" w:ascii="宋体" w:hAnsi="宋体" w:eastAsia="宋体" w:cs="宋体"/>
                <w:snapToGrid w:val="0"/>
                <w:color w:val="auto"/>
                <w:spacing w:val="3"/>
                <w:kern w:val="0"/>
                <w:sz w:val="21"/>
                <w:szCs w:val="21"/>
                <w:highlight w:val="none"/>
              </w:rPr>
              <w:t>中标人未按规定购买安全生产责任保险的。</w:t>
            </w:r>
          </w:p>
        </w:tc>
        <w:tc>
          <w:tcPr>
            <w:tcW w:w="822" w:type="pct"/>
            <w:vAlign w:val="center"/>
          </w:tcPr>
          <w:p w14:paraId="4D1B3911">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snapToGrid w:val="0"/>
                <w:color w:val="auto"/>
                <w:kern w:val="0"/>
                <w:sz w:val="21"/>
                <w:szCs w:val="21"/>
                <w:highlight w:val="none"/>
              </w:rPr>
              <w:t>3个月起</w:t>
            </w:r>
          </w:p>
        </w:tc>
        <w:tc>
          <w:tcPr>
            <w:tcW w:w="1783" w:type="pct"/>
            <w:vAlign w:val="center"/>
          </w:tcPr>
          <w:p w14:paraId="7B451309">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广州开发区建设工程招投标管理办公室印发的《于施工项目招投标环节严格落实安全生产要求的指引》关（2021年第4期）</w:t>
            </w:r>
          </w:p>
        </w:tc>
      </w:tr>
      <w:tr w14:paraId="6EDD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631F1E98">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12</w:t>
            </w:r>
          </w:p>
        </w:tc>
        <w:tc>
          <w:tcPr>
            <w:tcW w:w="2005" w:type="pct"/>
            <w:vAlign w:val="center"/>
          </w:tcPr>
          <w:p w14:paraId="06234CC6">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宋体" w:hAnsi="宋体" w:eastAsia="宋体" w:cs="宋体"/>
                <w:snapToGrid w:val="0"/>
                <w:color w:val="auto"/>
                <w:spacing w:val="3"/>
                <w:kern w:val="0"/>
                <w:sz w:val="21"/>
                <w:szCs w:val="21"/>
                <w:highlight w:val="none"/>
              </w:rPr>
            </w:pPr>
            <w:r>
              <w:rPr>
                <w:rFonts w:hint="eastAsia" w:ascii="宋体" w:hAnsi="宋体" w:eastAsia="宋体" w:cs="宋体"/>
                <w:snapToGrid w:val="0"/>
                <w:color w:val="auto"/>
                <w:spacing w:val="3"/>
                <w:kern w:val="0"/>
                <w:sz w:val="21"/>
                <w:szCs w:val="21"/>
                <w:highlight w:val="none"/>
              </w:rPr>
              <w:t>承包人在项目实施过程中因不诚信或不充分履约达到合同列明的拒绝投标程度的。</w:t>
            </w:r>
          </w:p>
        </w:tc>
        <w:tc>
          <w:tcPr>
            <w:tcW w:w="822" w:type="pct"/>
            <w:vAlign w:val="center"/>
          </w:tcPr>
          <w:p w14:paraId="51483642">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snapToGrid w:val="0"/>
                <w:color w:val="auto"/>
                <w:kern w:val="0"/>
                <w:sz w:val="21"/>
                <w:szCs w:val="21"/>
                <w:highlight w:val="none"/>
              </w:rPr>
              <w:t>3个月起</w:t>
            </w:r>
          </w:p>
        </w:tc>
        <w:tc>
          <w:tcPr>
            <w:tcW w:w="1783" w:type="pct"/>
            <w:vAlign w:val="center"/>
          </w:tcPr>
          <w:p w14:paraId="12F5BC1E">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snapToGrid w:val="0"/>
                <w:color w:val="auto"/>
                <w:kern w:val="0"/>
                <w:sz w:val="21"/>
                <w:szCs w:val="21"/>
                <w:highlight w:val="none"/>
              </w:rPr>
              <w:t>《广州市工程建设项目招标投标管理办法》</w:t>
            </w:r>
          </w:p>
        </w:tc>
      </w:tr>
      <w:tr w14:paraId="63D6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388" w:type="pct"/>
            <w:vAlign w:val="center"/>
          </w:tcPr>
          <w:p w14:paraId="292DF974">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13</w:t>
            </w:r>
          </w:p>
        </w:tc>
        <w:tc>
          <w:tcPr>
            <w:tcW w:w="2005" w:type="pct"/>
            <w:vAlign w:val="center"/>
          </w:tcPr>
          <w:p w14:paraId="3A1C580D">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宋体" w:hAnsi="宋体" w:eastAsia="宋体" w:cs="宋体"/>
                <w:snapToGrid w:val="0"/>
                <w:color w:val="auto"/>
                <w:spacing w:val="3"/>
                <w:kern w:val="0"/>
                <w:sz w:val="21"/>
                <w:szCs w:val="21"/>
                <w:highlight w:val="none"/>
              </w:rPr>
            </w:pPr>
            <w:r>
              <w:rPr>
                <w:rFonts w:hint="eastAsia" w:ascii="宋体" w:hAnsi="宋体" w:eastAsia="宋体" w:cs="宋体"/>
                <w:snapToGrid w:val="0"/>
                <w:color w:val="auto"/>
                <w:spacing w:val="3"/>
                <w:kern w:val="0"/>
                <w:sz w:val="21"/>
                <w:szCs w:val="21"/>
                <w:highlight w:val="none"/>
              </w:rPr>
              <w:t>承包人在本项目投标时拟派的专职安全员在其他项目中有任职且在本项目开工前未完成更换确保专职安全员只在本项目上任职的。</w:t>
            </w:r>
          </w:p>
        </w:tc>
        <w:tc>
          <w:tcPr>
            <w:tcW w:w="822" w:type="pct"/>
            <w:vAlign w:val="center"/>
          </w:tcPr>
          <w:p w14:paraId="18D2C50C">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3个月起</w:t>
            </w:r>
          </w:p>
        </w:tc>
        <w:tc>
          <w:tcPr>
            <w:tcW w:w="1783" w:type="pct"/>
            <w:vAlign w:val="center"/>
          </w:tcPr>
          <w:p w14:paraId="16686BF4">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广州市建设工程施工招标文件范本修改表（2025年7月）</w:t>
            </w:r>
          </w:p>
        </w:tc>
      </w:tr>
      <w:tr w14:paraId="2E02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88" w:type="pct"/>
            <w:vAlign w:val="center"/>
          </w:tcPr>
          <w:p w14:paraId="6D7B7EDC">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14</w:t>
            </w:r>
          </w:p>
        </w:tc>
        <w:tc>
          <w:tcPr>
            <w:tcW w:w="2005" w:type="pct"/>
            <w:vAlign w:val="center"/>
          </w:tcPr>
          <w:p w14:paraId="6A2ADAFF">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宋体" w:hAnsi="宋体" w:eastAsia="宋体" w:cs="宋体"/>
                <w:snapToGrid w:val="0"/>
                <w:color w:val="auto"/>
                <w:spacing w:val="3"/>
                <w:kern w:val="0"/>
                <w:sz w:val="21"/>
                <w:szCs w:val="21"/>
                <w:highlight w:val="none"/>
              </w:rPr>
            </w:pPr>
            <w:r>
              <w:rPr>
                <w:rFonts w:hint="eastAsia" w:ascii="宋体" w:hAnsi="宋体" w:eastAsia="宋体" w:cs="宋体"/>
                <w:snapToGrid w:val="0"/>
                <w:color w:val="auto"/>
                <w:spacing w:val="3"/>
                <w:kern w:val="0"/>
                <w:sz w:val="21"/>
                <w:szCs w:val="21"/>
                <w:highlight w:val="none"/>
              </w:rPr>
              <w:t>其他法定情形</w:t>
            </w:r>
          </w:p>
        </w:tc>
        <w:tc>
          <w:tcPr>
            <w:tcW w:w="822" w:type="pct"/>
            <w:vAlign w:val="center"/>
          </w:tcPr>
          <w:p w14:paraId="67671B2F">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snapToGrid w:val="0"/>
                <w:color w:val="auto"/>
                <w:kern w:val="0"/>
                <w:sz w:val="21"/>
                <w:szCs w:val="21"/>
                <w:highlight w:val="none"/>
              </w:rPr>
              <w:t>3个月起</w:t>
            </w:r>
          </w:p>
        </w:tc>
        <w:tc>
          <w:tcPr>
            <w:tcW w:w="1783" w:type="pct"/>
            <w:vAlign w:val="center"/>
          </w:tcPr>
          <w:p w14:paraId="0694FE77">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color w:val="auto"/>
                <w:spacing w:val="3"/>
                <w:sz w:val="21"/>
                <w:szCs w:val="21"/>
                <w:highlight w:val="none"/>
              </w:rPr>
            </w:pPr>
          </w:p>
        </w:tc>
      </w:tr>
    </w:tbl>
    <w:p w14:paraId="00E08732">
      <w:pPr>
        <w:pStyle w:val="18"/>
        <w:spacing w:before="88" w:line="342" w:lineRule="auto"/>
        <w:ind w:right="258" w:firstLine="432" w:firstLineChars="200"/>
        <w:jc w:val="both"/>
        <w:rPr>
          <w:rFonts w:hint="eastAsia" w:ascii="仿宋" w:hAnsi="仿宋" w:eastAsia="仿宋" w:cs="仿宋"/>
          <w:snapToGrid w:val="0"/>
          <w:color w:val="auto"/>
          <w:spacing w:val="3"/>
          <w:kern w:val="0"/>
          <w:sz w:val="21"/>
          <w:szCs w:val="21"/>
          <w:highlight w:val="none"/>
          <w:vertAlign w:val="baseline"/>
          <w:lang w:val="en-US" w:eastAsia="zh-CN" w:bidi="ar-SA"/>
        </w:rPr>
      </w:pPr>
    </w:p>
    <w:p w14:paraId="2B6AB64E">
      <w:pPr>
        <w:snapToGrid w:val="0"/>
        <w:spacing w:line="440" w:lineRule="exact"/>
        <w:jc w:val="center"/>
        <w:rPr>
          <w:rFonts w:hint="eastAsia" w:ascii="宋体" w:hAnsi="宋体"/>
          <w:b/>
          <w:bCs/>
          <w:color w:val="auto"/>
          <w:sz w:val="28"/>
          <w:szCs w:val="28"/>
          <w:highlight w:val="none"/>
        </w:rPr>
      </w:pPr>
    </w:p>
    <w:p w14:paraId="711F6147">
      <w:pPr>
        <w:snapToGrid w:val="0"/>
        <w:spacing w:line="440" w:lineRule="exact"/>
        <w:jc w:val="center"/>
        <w:rPr>
          <w:rFonts w:hint="eastAsia" w:ascii="宋体" w:hAnsi="宋体"/>
          <w:b/>
          <w:bCs/>
          <w:color w:val="auto"/>
          <w:sz w:val="28"/>
          <w:szCs w:val="28"/>
          <w:highlight w:val="none"/>
        </w:rPr>
      </w:pPr>
    </w:p>
    <w:p w14:paraId="047F7D01">
      <w:pPr>
        <w:spacing w:line="500" w:lineRule="exact"/>
        <w:rPr>
          <w:rFonts w:hint="eastAsia" w:ascii="宋体" w:hAnsi="宋体"/>
          <w:b/>
          <w:color w:val="auto"/>
          <w:sz w:val="32"/>
          <w:highlight w:val="none"/>
        </w:rPr>
      </w:pPr>
      <w:r>
        <w:rPr>
          <w:rFonts w:hint="eastAsia" w:ascii="宋体" w:hAnsi="宋体"/>
          <w:b/>
          <w:color w:val="auto"/>
          <w:sz w:val="32"/>
          <w:highlight w:val="none"/>
          <w:lang w:val="en-US" w:eastAsia="zh-CN"/>
        </w:rPr>
        <w:t>附件：</w:t>
      </w:r>
      <w:r>
        <w:rPr>
          <w:rFonts w:hint="eastAsia" w:ascii="宋体" w:hAnsi="宋体"/>
          <w:b/>
          <w:color w:val="auto"/>
          <w:sz w:val="32"/>
          <w:highlight w:val="none"/>
        </w:rPr>
        <w:t>联合体协议（如有）放协议书附件</w:t>
      </w:r>
    </w:p>
    <w:p w14:paraId="1EF0088E">
      <w:pPr>
        <w:snapToGrid w:val="0"/>
        <w:spacing w:line="440" w:lineRule="exact"/>
        <w:jc w:val="center"/>
        <w:rPr>
          <w:rFonts w:hint="eastAsia" w:ascii="宋体" w:hAnsi="宋体"/>
          <w:b/>
          <w:bCs/>
          <w:color w:val="auto"/>
          <w:sz w:val="28"/>
          <w:szCs w:val="28"/>
          <w:highlight w:val="none"/>
        </w:rPr>
      </w:pPr>
    </w:p>
    <w:p w14:paraId="1FE4811E">
      <w:pPr>
        <w:snapToGrid w:val="0"/>
        <w:spacing w:line="440" w:lineRule="exact"/>
        <w:jc w:val="center"/>
        <w:rPr>
          <w:rFonts w:hint="eastAsia" w:ascii="宋体" w:hAnsi="宋体"/>
          <w:b/>
          <w:bCs/>
          <w:color w:val="auto"/>
          <w:sz w:val="28"/>
          <w:szCs w:val="28"/>
          <w:highlight w:val="none"/>
        </w:rPr>
      </w:pPr>
    </w:p>
    <w:p w14:paraId="556B7B21">
      <w:pPr>
        <w:snapToGrid w:val="0"/>
        <w:spacing w:line="440" w:lineRule="exact"/>
        <w:jc w:val="center"/>
        <w:rPr>
          <w:rFonts w:ascii="宋体" w:hAnsi="宋体"/>
          <w:color w:val="auto"/>
          <w:sz w:val="24"/>
          <w:highlight w:val="none"/>
        </w:rPr>
      </w:pPr>
      <w:r>
        <w:rPr>
          <w:rFonts w:hint="eastAsia" w:ascii="宋体" w:hAnsi="宋体"/>
          <w:b/>
          <w:bCs/>
          <w:color w:val="auto"/>
          <w:sz w:val="28"/>
          <w:szCs w:val="28"/>
          <w:highlight w:val="none"/>
        </w:rPr>
        <w:t>第二部分</w:t>
      </w:r>
      <w:r>
        <w:rPr>
          <w:rFonts w:ascii="宋体" w:hAnsi="宋体"/>
          <w:b/>
          <w:bCs/>
          <w:color w:val="auto"/>
          <w:sz w:val="28"/>
          <w:szCs w:val="28"/>
          <w:highlight w:val="none"/>
        </w:rPr>
        <w:t xml:space="preserve"> </w:t>
      </w:r>
      <w:r>
        <w:rPr>
          <w:rFonts w:hint="eastAsia" w:ascii="宋体" w:hAnsi="宋体"/>
          <w:b/>
          <w:bCs/>
          <w:color w:val="auto"/>
          <w:sz w:val="28"/>
          <w:szCs w:val="28"/>
          <w:highlight w:val="none"/>
        </w:rPr>
        <w:t>通用条款</w:t>
      </w:r>
    </w:p>
    <w:p w14:paraId="54BF1151">
      <w:pPr>
        <w:spacing w:line="440" w:lineRule="exact"/>
        <w:jc w:val="center"/>
        <w:rPr>
          <w:rFonts w:ascii="宋体" w:hAnsi="宋体"/>
          <w:color w:val="auto"/>
          <w:sz w:val="24"/>
          <w:highlight w:val="none"/>
        </w:rPr>
      </w:pPr>
    </w:p>
    <w:p w14:paraId="2635E8AF">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一、词语定义及合同文件</w:t>
      </w:r>
      <w:r>
        <w:rPr>
          <w:rFonts w:ascii="宋体" w:hAnsi="宋体"/>
          <w:color w:val="auto"/>
          <w:sz w:val="21"/>
          <w:szCs w:val="21"/>
          <w:highlight w:val="none"/>
        </w:rPr>
        <w:t xml:space="preserve"> </w:t>
      </w:r>
    </w:p>
    <w:p w14:paraId="32D67D6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词语定义</w:t>
      </w:r>
      <w:r>
        <w:rPr>
          <w:rFonts w:ascii="宋体" w:hAnsi="宋体"/>
          <w:color w:val="auto"/>
          <w:sz w:val="21"/>
          <w:szCs w:val="21"/>
          <w:highlight w:val="none"/>
        </w:rPr>
        <w:t xml:space="preserve"> </w:t>
      </w:r>
    </w:p>
    <w:p w14:paraId="67ACBD97">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下列词语除专用条款另有约定外，应具有本条所赋予的定义：</w:t>
      </w:r>
    </w:p>
    <w:p w14:paraId="5B95370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 通用条款：是根据法律、行政法规规定及建设工程施工的需要订立，通用于建设工程施工的条款。 </w:t>
      </w:r>
    </w:p>
    <w:p w14:paraId="5750E1A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1.2 专用条款：是发包人与承包人根据法律、行政法规规定，结合具体工程实际，经协商达成一致意见的条款，是对通用条款的具体化、补充或修改。 </w:t>
      </w:r>
    </w:p>
    <w:p w14:paraId="56C9077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1.3 发包人：指在协议书中约定，具有工程发包主体资格和支付工程价款能力的当事人以及取得该当事人资格的合法继承人。 </w:t>
      </w:r>
    </w:p>
    <w:p w14:paraId="4328F38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1.4 承包人：指在协议书中约定，被发包人接受的具有工程施工承包主体资格的当事人以及取得该当事人资格的合法继承人。 </w:t>
      </w:r>
    </w:p>
    <w:p w14:paraId="04C812C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1.5 </w:t>
      </w:r>
      <w:r>
        <w:rPr>
          <w:rFonts w:hint="eastAsia" w:ascii="宋体" w:hAnsi="宋体"/>
          <w:color w:val="auto"/>
          <w:sz w:val="21"/>
          <w:szCs w:val="21"/>
          <w:highlight w:val="none"/>
        </w:rPr>
        <w:t>项目负责人：指承包人在专用条款中指定的负责施工管理和合同履行的代表。</w:t>
      </w:r>
      <w:r>
        <w:rPr>
          <w:rFonts w:ascii="宋体" w:hAnsi="宋体"/>
          <w:color w:val="auto"/>
          <w:sz w:val="21"/>
          <w:szCs w:val="21"/>
          <w:highlight w:val="none"/>
        </w:rPr>
        <w:t xml:space="preserve"> </w:t>
      </w:r>
    </w:p>
    <w:p w14:paraId="4C9B3F6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1.6 设计单位：指发包人委托的负责本工程设计并取得相应工程设计资质等级证书的单位。 </w:t>
      </w:r>
    </w:p>
    <w:p w14:paraId="7B243BB1">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1.7 监理单位：指发包人委托的负责本工程监理并取得相应在工程监理资质等级证书的单位。 </w:t>
      </w:r>
    </w:p>
    <w:p w14:paraId="691457A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1.8 工程师：指本工程监理单位委派的总监理工程师或发包人指定的履行本合同的代表，其具体身份和职权由发包人承包人在专用条款中约定。 </w:t>
      </w:r>
    </w:p>
    <w:p w14:paraId="2A21771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1.9 工程造价管理部门：指国务院有关部门、县级以上人民政府建设行政主管部门或其委托的工程造价管理机构。 </w:t>
      </w:r>
    </w:p>
    <w:p w14:paraId="316A067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1.10 工程：指发包人承包人在协议书中约定的承包范围内的工程。 </w:t>
      </w:r>
    </w:p>
    <w:p w14:paraId="2D1FA0E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1.11 合同价款：指发包人承包人在协议书中约定，发包人用以支付承包人按照合同约定完成承包范围内全部工程并承担质量保修责任的款项。 </w:t>
      </w:r>
    </w:p>
    <w:p w14:paraId="31DCB15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1.12 追加合同价款：指在合同履行中发生需要增加合同价款的情况，经发包人确认后按计算合同价款的方法增加的合同价款。 </w:t>
      </w:r>
    </w:p>
    <w:p w14:paraId="3E6461C1">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1.13 </w:t>
      </w:r>
      <w:r>
        <w:rPr>
          <w:rFonts w:hint="eastAsia" w:ascii="宋体" w:hAnsi="宋体"/>
          <w:color w:val="auto"/>
          <w:sz w:val="21"/>
          <w:szCs w:val="21"/>
          <w:highlight w:val="none"/>
        </w:rPr>
        <w:t>费用：指不包含在合同价款之内的应当由发包人或承包人承担的经济支出。</w:t>
      </w:r>
    </w:p>
    <w:p w14:paraId="71F3B21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1.14 </w:t>
      </w:r>
      <w:r>
        <w:rPr>
          <w:rFonts w:hint="eastAsia" w:ascii="宋体" w:hAnsi="宋体"/>
          <w:color w:val="auto"/>
          <w:sz w:val="21"/>
          <w:szCs w:val="21"/>
          <w:highlight w:val="none"/>
        </w:rPr>
        <w:t>工期：指发包人承包人在协议书中约定，按总日历天数（包括法定节假日）计算的承包天数。</w:t>
      </w:r>
      <w:r>
        <w:rPr>
          <w:rFonts w:ascii="宋体" w:hAnsi="宋体"/>
          <w:color w:val="auto"/>
          <w:sz w:val="21"/>
          <w:szCs w:val="21"/>
          <w:highlight w:val="none"/>
        </w:rPr>
        <w:t xml:space="preserve"> </w:t>
      </w:r>
    </w:p>
    <w:p w14:paraId="636F621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1.15 开工日期：指发包人承包人在协议书中约定，承包人开始施工的绝对或相对的日期。 </w:t>
      </w:r>
    </w:p>
    <w:p w14:paraId="03B7FD8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1.16 竣工日期：指发包人承包人在协议书中约定，承包人完成承包范围内工程的绝对或相对的日期。 </w:t>
      </w:r>
    </w:p>
    <w:p w14:paraId="086FD8F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1.17 图纸：指由发包人提供或承包人提供并经发包人批准，满足承包人施工需要的所有图纸（包括配套说明和有关资料）。 </w:t>
      </w:r>
    </w:p>
    <w:p w14:paraId="0087168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1.18 施工场地：指由发包人提供的用于工程施工的场所以及发包人在图纸中具体指定的供施工使用的任何其他场所。 </w:t>
      </w:r>
    </w:p>
    <w:p w14:paraId="4FC0724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1.19 书面形式：指合同书、信件和数据电文（包括电报、电传、传真、电子数据交换和电子邮件）等可以有形地表现所载内容的形式。 </w:t>
      </w:r>
    </w:p>
    <w:p w14:paraId="798CD1D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1.20 违约责任：指合同一方不履行合同义务或履行合同义务不符合约定所应承担的责任。 </w:t>
      </w:r>
    </w:p>
    <w:p w14:paraId="57F5B9A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1.21 索赔：指在合同履行过程中，对于并非自己的过错，而是应由对方承担责任的情况造成的实际损失，向对方提出经济补偿和（或）工期顺延的要求。 </w:t>
      </w:r>
    </w:p>
    <w:p w14:paraId="04DBC1E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1.22 不可抗力：指不能预见、不能避免并不能克服的客观情况。 </w:t>
      </w:r>
    </w:p>
    <w:p w14:paraId="1365C81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14:paraId="022D9BE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2、合同文件及解释顺序 </w:t>
      </w:r>
    </w:p>
    <w:p w14:paraId="54403D6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2.1 合同文件应能相互解释，互为说明。除专用条款另有约定外，组成本合同的文件及优先解释顺序如下： </w:t>
      </w:r>
    </w:p>
    <w:p w14:paraId="2DD61359">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 xml:space="preserve">1）本合同协议书 </w:t>
      </w:r>
    </w:p>
    <w:p w14:paraId="1D05B1C0">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 xml:space="preserve">2）中标通知书 </w:t>
      </w:r>
    </w:p>
    <w:p w14:paraId="1A64DAAC">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 xml:space="preserve">3）投标书及其附件 </w:t>
      </w:r>
    </w:p>
    <w:p w14:paraId="14D3923D">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 xml:space="preserve">4）本合同专用条款 </w:t>
      </w:r>
    </w:p>
    <w:p w14:paraId="650B538A">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 xml:space="preserve">5）本合同通用条款 </w:t>
      </w:r>
    </w:p>
    <w:p w14:paraId="04E4C581">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 xml:space="preserve">6）标准、规范及有关技术文件 </w:t>
      </w:r>
    </w:p>
    <w:p w14:paraId="5F87CD01">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 xml:space="preserve">7）图纸 </w:t>
      </w:r>
    </w:p>
    <w:p w14:paraId="2A60EB7B">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 xml:space="preserve">8）工程量清单 </w:t>
      </w:r>
    </w:p>
    <w:p w14:paraId="63A71989">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9）工程报价单或预算书</w:t>
      </w:r>
    </w:p>
    <w:p w14:paraId="1A95A41C">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合同履行中，发包人承包人有关工程的洽商、变更等书面协议或文件视为本合同的组成部分。</w:t>
      </w:r>
      <w:r>
        <w:rPr>
          <w:rFonts w:ascii="宋体" w:hAnsi="宋体"/>
          <w:color w:val="auto"/>
          <w:sz w:val="21"/>
          <w:szCs w:val="21"/>
          <w:highlight w:val="none"/>
        </w:rPr>
        <w:t xml:space="preserve"> </w:t>
      </w:r>
    </w:p>
    <w:p w14:paraId="2EA8161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14:paraId="2205C48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3、语言文字和适用法律、标准及规范 </w:t>
      </w:r>
    </w:p>
    <w:p w14:paraId="7672072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3.1 语言文字 </w:t>
      </w:r>
    </w:p>
    <w:p w14:paraId="0FDCE87B">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本合同文件使用汉语语言文字书写、解释和说明。如专用条款约定使用两种以上（含两种）语言文字时，汉语应为解释和说明本合同的标准语言文字。</w:t>
      </w:r>
    </w:p>
    <w:p w14:paraId="4E8FCB44">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在少数民族地区，双方可以约定使用少数民族语言文字书写和解释、说明本合同。</w:t>
      </w:r>
    </w:p>
    <w:p w14:paraId="103E6D01">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 适用法律和法规 </w:t>
      </w:r>
    </w:p>
    <w:p w14:paraId="45BD66F3">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本合同文件适用国家的法律和行政法规。需要明示的法律、行政法规，由双方在专用条款中约定。</w:t>
      </w:r>
    </w:p>
    <w:p w14:paraId="78F6F48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3.3 适用标准、规范 </w:t>
      </w:r>
    </w:p>
    <w:p w14:paraId="1D740D97">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14:paraId="1176637D">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国内没有相应标准、规范的，由发包人按专用条款约定的时间向承包人</w:t>
      </w:r>
      <w:r>
        <w:rPr>
          <w:rFonts w:hint="eastAsia" w:ascii="宋体" w:hAnsi="宋体"/>
          <w:color w:val="auto"/>
          <w:spacing w:val="4"/>
          <w:sz w:val="21"/>
          <w:szCs w:val="21"/>
          <w:highlight w:val="none"/>
        </w:rPr>
        <w:t>提出施工技术要求，承包人按约定的时间和要求提出施工工艺，经发包人认</w:t>
      </w:r>
      <w:r>
        <w:rPr>
          <w:rFonts w:hint="eastAsia" w:ascii="宋体" w:hAnsi="宋体"/>
          <w:color w:val="auto"/>
          <w:sz w:val="21"/>
          <w:szCs w:val="21"/>
          <w:highlight w:val="none"/>
        </w:rPr>
        <w:t>可后执行。发包人要求使用国外标准、规范的，应负责提供中文译本。</w:t>
      </w:r>
      <w:r>
        <w:rPr>
          <w:rFonts w:ascii="宋体" w:hAnsi="宋体"/>
          <w:color w:val="auto"/>
          <w:sz w:val="21"/>
          <w:szCs w:val="21"/>
          <w:highlight w:val="none"/>
        </w:rPr>
        <w:t xml:space="preserve"> </w:t>
      </w:r>
    </w:p>
    <w:p w14:paraId="3F8CE40C">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本条所发生的购买、翻译标准、规范或制定施工工艺的费用，由发包人承担。</w:t>
      </w:r>
    </w:p>
    <w:p w14:paraId="1B6BBF81">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4、图纸 </w:t>
      </w:r>
    </w:p>
    <w:p w14:paraId="11596F0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4.1 </w:t>
      </w:r>
      <w:r>
        <w:rPr>
          <w:rFonts w:hint="eastAsia" w:ascii="宋体" w:hAnsi="宋体"/>
          <w:color w:val="auto"/>
          <w:sz w:val="21"/>
          <w:szCs w:val="21"/>
          <w:highlight w:val="none"/>
        </w:rPr>
        <w:t>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r>
        <w:rPr>
          <w:rFonts w:ascii="宋体" w:hAnsi="宋体"/>
          <w:color w:val="auto"/>
          <w:sz w:val="21"/>
          <w:szCs w:val="21"/>
          <w:highlight w:val="none"/>
        </w:rPr>
        <w:t xml:space="preserve"> </w:t>
      </w:r>
    </w:p>
    <w:p w14:paraId="538DCCD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4.2 承包人未经发包人同意，不得将本工程图纸转给第三人。工程质量保修期满后，除承包人存档需要的图纸外，应将全部图纸退还给发包人。 </w:t>
      </w:r>
    </w:p>
    <w:p w14:paraId="715AF18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4.3 承包人应在施工现场保留一套完整图纸，供工程师及有关人员进行工程检查时使用。 </w:t>
      </w:r>
    </w:p>
    <w:p w14:paraId="43ECBEF9">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二、双方一般权利和义务</w:t>
      </w:r>
      <w:r>
        <w:rPr>
          <w:rFonts w:ascii="宋体" w:hAnsi="宋体"/>
          <w:color w:val="auto"/>
          <w:sz w:val="21"/>
          <w:szCs w:val="21"/>
          <w:highlight w:val="none"/>
        </w:rPr>
        <w:t xml:space="preserve"> </w:t>
      </w:r>
    </w:p>
    <w:p w14:paraId="466A8D1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5、工程师 </w:t>
      </w:r>
    </w:p>
    <w:p w14:paraId="10E2B28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5.1实行工程监理的，发包人应在实施监理前将委托的监理单位名称、监理内容及监理权限以书面形式通知承包人。 </w:t>
      </w:r>
    </w:p>
    <w:p w14:paraId="01A7CEA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14:paraId="6F68266A">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14:paraId="5E57FDE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5.4 </w:t>
      </w:r>
      <w:r>
        <w:rPr>
          <w:rFonts w:hint="eastAsia" w:ascii="宋体" w:hAnsi="宋体"/>
          <w:color w:val="auto"/>
          <w:sz w:val="21"/>
          <w:szCs w:val="21"/>
          <w:highlight w:val="none"/>
        </w:rPr>
        <w:t>合同履行中，发生影响发包人承包人双方权利或义务的事件时，负责监理的工程师应依据合同在其职权范围内客观公正地进行处理。一方对工程师的处理有异议时，按本通用条款</w:t>
      </w:r>
      <w:r>
        <w:rPr>
          <w:rFonts w:ascii="宋体" w:hAnsi="宋体"/>
          <w:color w:val="auto"/>
          <w:sz w:val="21"/>
          <w:szCs w:val="21"/>
          <w:highlight w:val="none"/>
        </w:rPr>
        <w:t xml:space="preserve">37条关于争议的约定处理。 </w:t>
      </w:r>
    </w:p>
    <w:p w14:paraId="58DCAFB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5.5 </w:t>
      </w:r>
      <w:r>
        <w:rPr>
          <w:rFonts w:hint="eastAsia" w:ascii="宋体" w:hAnsi="宋体"/>
          <w:color w:val="auto"/>
          <w:sz w:val="21"/>
          <w:szCs w:val="21"/>
          <w:highlight w:val="none"/>
        </w:rPr>
        <w:t>除合同内有明确约定或经发包人同意外，负责监理的工程师无权解除本合同约定的承包人的任何权利与义务。</w:t>
      </w:r>
    </w:p>
    <w:p w14:paraId="78C8810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5.6 不实行工程监理的，本合同中工程师专指发包人派驻施工现场履行合同的代表，其具体职权由发包人在专用条款中写明。 </w:t>
      </w:r>
    </w:p>
    <w:p w14:paraId="77E9219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6、工程师的委派和指令 </w:t>
      </w:r>
    </w:p>
    <w:p w14:paraId="578F8EF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 </w:t>
      </w:r>
    </w:p>
    <w:p w14:paraId="4BF8ACC6">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r>
        <w:rPr>
          <w:rFonts w:ascii="宋体" w:hAnsi="宋体"/>
          <w:color w:val="auto"/>
          <w:sz w:val="21"/>
          <w:szCs w:val="21"/>
          <w:highlight w:val="none"/>
        </w:rPr>
        <w:t xml:space="preserve"> </w:t>
      </w:r>
    </w:p>
    <w:p w14:paraId="22977504">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除工程师或工程师代表外，发包人派驻工地的其他人员均无权向承包人发出任何指令。</w:t>
      </w:r>
      <w:r>
        <w:rPr>
          <w:rFonts w:ascii="宋体" w:hAnsi="宋体"/>
          <w:color w:val="auto"/>
          <w:sz w:val="21"/>
          <w:szCs w:val="21"/>
          <w:highlight w:val="none"/>
        </w:rPr>
        <w:t xml:space="preserve"> </w:t>
      </w:r>
    </w:p>
    <w:p w14:paraId="6C510C8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6.2 </w:t>
      </w:r>
      <w:r>
        <w:rPr>
          <w:rFonts w:hint="eastAsia" w:ascii="宋体" w:hAnsi="宋体"/>
          <w:color w:val="auto"/>
          <w:sz w:val="21"/>
          <w:szCs w:val="21"/>
          <w:highlight w:val="none"/>
        </w:rPr>
        <w:t>工程师的指令、通知由其本人签字后，以书面形式交给项目负责人，项目负责人在回执上签署姓名和收到时间后生效。确有必要时，工程师可发出口头指令，并在</w:t>
      </w:r>
      <w:r>
        <w:rPr>
          <w:rFonts w:ascii="宋体" w:hAnsi="宋体"/>
          <w:color w:val="auto"/>
          <w:sz w:val="21"/>
          <w:szCs w:val="21"/>
          <w:highlight w:val="none"/>
        </w:rPr>
        <w:t xml:space="preserve">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14:paraId="72D7EF19">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承包人认为工程师指令不合理，应在收到指令后</w:t>
      </w:r>
      <w:r>
        <w:rPr>
          <w:rFonts w:ascii="宋体" w:hAnsi="宋体"/>
          <w:color w:val="auto"/>
          <w:sz w:val="21"/>
          <w:szCs w:val="21"/>
          <w:highlight w:val="none"/>
        </w:rPr>
        <w:t>24小时内向工程师提出修改指令的书面报告，工程师在收到承包人报告后24小时内</w:t>
      </w:r>
      <w:r>
        <w:rPr>
          <w:rFonts w:hint="eastAsia" w:ascii="宋体" w:hAnsi="宋体"/>
          <w:color w:val="auto"/>
          <w:sz w:val="21"/>
          <w:szCs w:val="21"/>
          <w:highlight w:val="none"/>
        </w:rPr>
        <w:t>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r>
        <w:rPr>
          <w:rFonts w:ascii="宋体" w:hAnsi="宋体"/>
          <w:color w:val="auto"/>
          <w:sz w:val="21"/>
          <w:szCs w:val="21"/>
          <w:highlight w:val="none"/>
        </w:rPr>
        <w:t xml:space="preserve"> </w:t>
      </w:r>
    </w:p>
    <w:p w14:paraId="3BBDC02F">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本款规定同样适用于由工程师代表发出的指令、通知。</w:t>
      </w:r>
    </w:p>
    <w:p w14:paraId="7B7B23F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6.3 </w:t>
      </w:r>
      <w:r>
        <w:rPr>
          <w:rFonts w:hint="eastAsia" w:ascii="宋体" w:hAnsi="宋体"/>
          <w:color w:val="auto"/>
          <w:sz w:val="21"/>
          <w:szCs w:val="21"/>
          <w:highlight w:val="none"/>
        </w:rPr>
        <w:t>工程师应按合同约定，及时向承包人提供所需指令、批准并履行约定的</w:t>
      </w:r>
      <w:r>
        <w:rPr>
          <w:rFonts w:hint="eastAsia" w:ascii="宋体" w:hAnsi="宋体"/>
          <w:color w:val="auto"/>
          <w:spacing w:val="4"/>
          <w:sz w:val="21"/>
          <w:szCs w:val="21"/>
          <w:highlight w:val="none"/>
        </w:rPr>
        <w:t>其他义务。由于工程师未能按合同约定履行义务造成工期延误，发包人应承</w:t>
      </w:r>
      <w:r>
        <w:rPr>
          <w:rFonts w:hint="eastAsia" w:ascii="宋体" w:hAnsi="宋体"/>
          <w:color w:val="auto"/>
          <w:sz w:val="21"/>
          <w:szCs w:val="21"/>
          <w:highlight w:val="none"/>
        </w:rPr>
        <w:t>担延误造成的追加合同价款，并赔偿承包人有关损失，顺延延误的工期。</w:t>
      </w:r>
      <w:r>
        <w:rPr>
          <w:rFonts w:ascii="宋体" w:hAnsi="宋体"/>
          <w:color w:val="auto"/>
          <w:sz w:val="21"/>
          <w:szCs w:val="21"/>
          <w:highlight w:val="none"/>
        </w:rPr>
        <w:t xml:space="preserve"> </w:t>
      </w:r>
    </w:p>
    <w:p w14:paraId="3F9424B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6.4 如需更换工程师，发包人应至少提前7天以书面形式通知承包人，后任继续行使合同文件约定的前任的职权，履行前任的义务。 </w:t>
      </w:r>
    </w:p>
    <w:p w14:paraId="32D5BC2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7、</w:t>
      </w:r>
      <w:r>
        <w:rPr>
          <w:rFonts w:hint="eastAsia" w:ascii="宋体" w:hAnsi="宋体"/>
          <w:color w:val="auto"/>
          <w:sz w:val="21"/>
          <w:szCs w:val="21"/>
          <w:highlight w:val="none"/>
        </w:rPr>
        <w:t>项目负责人</w:t>
      </w:r>
      <w:r>
        <w:rPr>
          <w:rFonts w:ascii="宋体" w:hAnsi="宋体"/>
          <w:color w:val="auto"/>
          <w:sz w:val="21"/>
          <w:szCs w:val="21"/>
          <w:highlight w:val="none"/>
        </w:rPr>
        <w:t xml:space="preserve"> </w:t>
      </w:r>
    </w:p>
    <w:p w14:paraId="51512F0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7.1 </w:t>
      </w:r>
      <w:r>
        <w:rPr>
          <w:rFonts w:hint="eastAsia" w:ascii="宋体" w:hAnsi="宋体"/>
          <w:color w:val="auto"/>
          <w:sz w:val="21"/>
          <w:szCs w:val="21"/>
          <w:highlight w:val="none"/>
        </w:rPr>
        <w:t>项目负责人的姓名、职务在专用条款内写明。</w:t>
      </w:r>
      <w:r>
        <w:rPr>
          <w:rFonts w:ascii="宋体" w:hAnsi="宋体"/>
          <w:color w:val="auto"/>
          <w:sz w:val="21"/>
          <w:szCs w:val="21"/>
          <w:highlight w:val="none"/>
        </w:rPr>
        <w:t xml:space="preserve"> </w:t>
      </w:r>
    </w:p>
    <w:p w14:paraId="1B38B0C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7.2 </w:t>
      </w:r>
      <w:r>
        <w:rPr>
          <w:rFonts w:hint="eastAsia" w:ascii="宋体" w:hAnsi="宋体"/>
          <w:color w:val="auto"/>
          <w:sz w:val="21"/>
          <w:szCs w:val="21"/>
          <w:highlight w:val="none"/>
        </w:rPr>
        <w:t>承包人依据合同发出的通知，以书面形式由项目负责人签字后送交工程师，工程师在回执上签署姓名和收到时间后生效。</w:t>
      </w:r>
      <w:r>
        <w:rPr>
          <w:rFonts w:ascii="宋体" w:hAnsi="宋体"/>
          <w:color w:val="auto"/>
          <w:sz w:val="21"/>
          <w:szCs w:val="21"/>
          <w:highlight w:val="none"/>
        </w:rPr>
        <w:t xml:space="preserve"> </w:t>
      </w:r>
    </w:p>
    <w:p w14:paraId="18FC679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7.3 </w:t>
      </w:r>
      <w:r>
        <w:rPr>
          <w:rFonts w:hint="eastAsia" w:ascii="宋体" w:hAnsi="宋体"/>
          <w:color w:val="auto"/>
          <w:sz w:val="21"/>
          <w:szCs w:val="21"/>
          <w:highlight w:val="none"/>
        </w:rPr>
        <w:t>项目负责人按发包人认可的施工组织设计（施工方案）和工程师依据合同发出的指令组织施工。在情况紧急且无法与工程师联系时，项目负责人应当采取保证人员生命和工程、财产安全的紧急措施，并在采取措施后</w:t>
      </w:r>
      <w:r>
        <w:rPr>
          <w:rFonts w:ascii="宋体" w:hAnsi="宋体"/>
          <w:color w:val="auto"/>
          <w:sz w:val="21"/>
          <w:szCs w:val="21"/>
          <w:highlight w:val="none"/>
        </w:rPr>
        <w:t xml:space="preserve">48小时内向工程师送交报告。责任在发包人或第三人，由发包人承担由此发生的追加合同价款，相应顺延工期；责任在承包人，由承包人承担费用，不顺延工期。 </w:t>
      </w:r>
    </w:p>
    <w:p w14:paraId="443CA1D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7.4 </w:t>
      </w:r>
      <w:r>
        <w:rPr>
          <w:rFonts w:hint="eastAsia" w:ascii="宋体" w:hAnsi="宋体"/>
          <w:color w:val="auto"/>
          <w:sz w:val="21"/>
          <w:szCs w:val="21"/>
          <w:highlight w:val="none"/>
        </w:rPr>
        <w:t>承包人如需更换项目负责人，应至少提前</w:t>
      </w:r>
      <w:r>
        <w:rPr>
          <w:rFonts w:ascii="宋体" w:hAnsi="宋体"/>
          <w:color w:val="auto"/>
          <w:sz w:val="21"/>
          <w:szCs w:val="21"/>
          <w:highlight w:val="none"/>
        </w:rPr>
        <w:t xml:space="preserve">7天以书面形式通知发包人，并征得发包人同意。后任继续行使合同文件约定的前任的职权，履行前任的义务。 </w:t>
      </w:r>
    </w:p>
    <w:p w14:paraId="4E1AA09A">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7.5 </w:t>
      </w:r>
      <w:r>
        <w:rPr>
          <w:rFonts w:hint="eastAsia" w:ascii="宋体" w:hAnsi="宋体"/>
          <w:color w:val="auto"/>
          <w:sz w:val="21"/>
          <w:szCs w:val="21"/>
          <w:highlight w:val="none"/>
        </w:rPr>
        <w:t>发包人可以与承包人协商，建议更换其认为不称职的项目负责人。</w:t>
      </w:r>
      <w:r>
        <w:rPr>
          <w:rFonts w:ascii="宋体" w:hAnsi="宋体"/>
          <w:color w:val="auto"/>
          <w:sz w:val="21"/>
          <w:szCs w:val="21"/>
          <w:highlight w:val="none"/>
        </w:rPr>
        <w:t xml:space="preserve"> </w:t>
      </w:r>
    </w:p>
    <w:p w14:paraId="286944E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8、发包人工作 </w:t>
      </w:r>
    </w:p>
    <w:p w14:paraId="6FE8344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8.1 发包人按专用条款约定的内容和时间完成以下工作: </w:t>
      </w:r>
    </w:p>
    <w:p w14:paraId="288C6AA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办理土地征用、拆迁补偿、平整施工场地等工作，使施工场地具备施工条件，在开工后继续负责解决以上事项遗留问题； </w:t>
      </w:r>
    </w:p>
    <w:p w14:paraId="7FB2B0E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将施工所需水、电、电讯线路从施工场地外部接至专用条款约定地点，保证施工期间的需要； </w:t>
      </w:r>
    </w:p>
    <w:p w14:paraId="78F016A1">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开通施工场地与城乡公共道路的通道，以及专用条款约定的施工场地内的主要道路，满足施工运输的需要，保证施工期间的畅通。 </w:t>
      </w:r>
    </w:p>
    <w:p w14:paraId="0013479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向承包人提供施工场地的工程地质和地下管线资料，对资料的真实准确性负责； </w:t>
      </w:r>
    </w:p>
    <w:p w14:paraId="571C3F3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 </w:t>
      </w:r>
      <w:r>
        <w:rPr>
          <w:rFonts w:hint="eastAsia" w:ascii="宋体" w:hAnsi="宋体"/>
          <w:color w:val="auto"/>
          <w:sz w:val="21"/>
          <w:szCs w:val="21"/>
          <w:highlight w:val="none"/>
        </w:rPr>
        <w:t>办理施工许可证及其他施工所需证件、批件和临时用地、停水、停电、中断道路交通、爆破作业等的申请批准文件（证明承包人自身资质的证件除外）；</w:t>
      </w:r>
    </w:p>
    <w:p w14:paraId="3539705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(6) </w:t>
      </w:r>
      <w:r>
        <w:rPr>
          <w:rFonts w:hint="eastAsia" w:ascii="宋体" w:hAnsi="宋体"/>
          <w:color w:val="auto"/>
          <w:sz w:val="21"/>
          <w:szCs w:val="21"/>
          <w:highlight w:val="none"/>
        </w:rPr>
        <w:t>确定水准点与坐标控制点，以书面形式交给承包人，进行现场交验；</w:t>
      </w:r>
    </w:p>
    <w:p w14:paraId="3A24D51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(7) </w:t>
      </w:r>
      <w:r>
        <w:rPr>
          <w:rFonts w:hint="eastAsia" w:ascii="宋体" w:hAnsi="宋体"/>
          <w:color w:val="auto"/>
          <w:sz w:val="21"/>
          <w:szCs w:val="21"/>
          <w:highlight w:val="none"/>
        </w:rPr>
        <w:t>组织承包人和设计单位进行图纸会审和设计交底；</w:t>
      </w:r>
    </w:p>
    <w:p w14:paraId="62972D5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(8) 协调管理施工场地周围地下管线和邻近建筑物、构筑物（包括文物保护建筑）、古树名木的保护工作，承担有关费用； </w:t>
      </w:r>
    </w:p>
    <w:p w14:paraId="2D6764A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(9) 发包人应做的其他工作，双方在专用条款内约定。 </w:t>
      </w:r>
    </w:p>
    <w:p w14:paraId="4FC1F241">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8.2 发包人未履行8.1款各项义务，导致工期延误或给承包人造成损失的，发包人赔偿承包人有关损失，顺延延误的工期。 </w:t>
      </w:r>
    </w:p>
    <w:p w14:paraId="6A2B52A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9、承包人工作 </w:t>
      </w:r>
    </w:p>
    <w:p w14:paraId="37EC21B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9.1 承包人按专用条款约定的内容和时间完成以下工作： </w:t>
      </w:r>
    </w:p>
    <w:p w14:paraId="3DA96D0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根据发包人委托，在其设计资质等级和业务允许的范围内，完成施工图设计或与工程配套的设计，经工程师确认后使用，发包人承担由此发生的费用；</w:t>
      </w:r>
    </w:p>
    <w:p w14:paraId="6600D73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向工程师提供年、季、月度工程进度计划及相应进度统计报表；</w:t>
      </w:r>
      <w:r>
        <w:rPr>
          <w:rFonts w:ascii="宋体" w:hAnsi="宋体"/>
          <w:color w:val="auto"/>
          <w:sz w:val="21"/>
          <w:szCs w:val="21"/>
          <w:highlight w:val="none"/>
        </w:rPr>
        <w:t xml:space="preserve"> </w:t>
      </w:r>
    </w:p>
    <w:p w14:paraId="76BC4C7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(3)</w:t>
      </w:r>
      <w:r>
        <w:rPr>
          <w:rFonts w:hint="eastAsia" w:ascii="宋体" w:hAnsi="宋体"/>
          <w:color w:val="auto"/>
          <w:sz w:val="21"/>
          <w:szCs w:val="21"/>
          <w:highlight w:val="none"/>
        </w:rPr>
        <w:t>根据工程需要，提供和维修非夜间施工使用的照明、围栏设施，并负责安全保卫；</w:t>
      </w:r>
    </w:p>
    <w:p w14:paraId="23CC9B5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按专用条款约定的数量和要求，向发包人提供施工场地办公和生活的房屋及设施，发包人承担由此发生的费用；</w:t>
      </w:r>
      <w:r>
        <w:rPr>
          <w:rFonts w:ascii="宋体" w:hAnsi="宋体"/>
          <w:color w:val="auto"/>
          <w:sz w:val="21"/>
          <w:szCs w:val="21"/>
          <w:highlight w:val="none"/>
        </w:rPr>
        <w:t xml:space="preserve"> </w:t>
      </w:r>
    </w:p>
    <w:p w14:paraId="4292271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遵守政府有关主管部门对施工场地交通、施工噪音以及环境保护和安全生产等的管理规定，按规定办理有关手续，并以书面形式通知发包人，发包人承担由此发生的费用，因承包人责任造成的罚款除外；</w:t>
      </w:r>
      <w:r>
        <w:rPr>
          <w:rFonts w:ascii="宋体" w:hAnsi="宋体"/>
          <w:color w:val="auto"/>
          <w:sz w:val="21"/>
          <w:szCs w:val="21"/>
          <w:highlight w:val="none"/>
        </w:rPr>
        <w:t xml:space="preserve"> </w:t>
      </w:r>
    </w:p>
    <w:p w14:paraId="10288E6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(6)</w:t>
      </w:r>
      <w:r>
        <w:rPr>
          <w:rFonts w:hint="eastAsia" w:ascii="宋体" w:hAnsi="宋体"/>
          <w:color w:val="auto"/>
          <w:sz w:val="21"/>
          <w:szCs w:val="21"/>
          <w:highlight w:val="none"/>
        </w:rPr>
        <w:t>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14:paraId="7896FA3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(7)</w:t>
      </w:r>
      <w:r>
        <w:rPr>
          <w:rFonts w:hint="eastAsia" w:ascii="宋体" w:hAnsi="宋体"/>
          <w:color w:val="auto"/>
          <w:sz w:val="21"/>
          <w:szCs w:val="21"/>
          <w:highlight w:val="none"/>
        </w:rPr>
        <w:t>按专用条款约定做好施工场地地下管线和邻近建筑物、构筑物（包括文物保护建筑）、古树名木的保护工作；</w:t>
      </w:r>
    </w:p>
    <w:p w14:paraId="34237CC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(8)</w:t>
      </w:r>
      <w:r>
        <w:rPr>
          <w:rFonts w:hint="eastAsia" w:ascii="宋体" w:hAnsi="宋体"/>
          <w:color w:val="auto"/>
          <w:sz w:val="21"/>
          <w:szCs w:val="21"/>
          <w:highlight w:val="none"/>
        </w:rPr>
        <w:t>保证施工场地清洁符合环境卫生管理的有关规定，交工前清理现场达到专用条款约定的要求，承担因自身原因违反有关规定造成的损失和罚款；</w:t>
      </w:r>
    </w:p>
    <w:p w14:paraId="2867BDA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(9)</w:t>
      </w:r>
      <w:r>
        <w:rPr>
          <w:rFonts w:hint="eastAsia" w:ascii="宋体" w:hAnsi="宋体"/>
          <w:color w:val="auto"/>
          <w:spacing w:val="-6"/>
          <w:sz w:val="21"/>
          <w:szCs w:val="21"/>
          <w:highlight w:val="none"/>
        </w:rPr>
        <w:t>办理施工许可证及施工所需证件、批件和临时用地、停水、停电、中断</w:t>
      </w:r>
      <w:r>
        <w:rPr>
          <w:rFonts w:hint="eastAsia" w:ascii="宋体" w:hAnsi="宋体"/>
          <w:color w:val="auto"/>
          <w:sz w:val="21"/>
          <w:szCs w:val="21"/>
          <w:highlight w:val="none"/>
        </w:rPr>
        <w:t>道路交通、爆破作业等的申请批准手续（证明承包人自身资质的证件除外）；</w:t>
      </w:r>
    </w:p>
    <w:p w14:paraId="13806B9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(10)承包人应做的其他工作，双方在专用条款内约定。</w:t>
      </w:r>
    </w:p>
    <w:p w14:paraId="72DEBA9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9.2承包人未能履行9.1款各项义务，造成发包人损失的，承包人赔偿发包人有关损失。</w:t>
      </w:r>
    </w:p>
    <w:p w14:paraId="70F546D7">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三、施工组织设计和工期</w:t>
      </w:r>
      <w:r>
        <w:rPr>
          <w:rFonts w:ascii="宋体" w:hAnsi="宋体"/>
          <w:color w:val="auto"/>
          <w:sz w:val="21"/>
          <w:szCs w:val="21"/>
          <w:highlight w:val="none"/>
        </w:rPr>
        <w:t xml:space="preserve"> </w:t>
      </w:r>
    </w:p>
    <w:p w14:paraId="39928A2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10、进度计划 </w:t>
      </w:r>
    </w:p>
    <w:p w14:paraId="7C6B7FD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10.1 承包人应按专用条款约定的日期，将施工组织设计和工程进度计划提交工程师，工程师按专用条款约定的时间予以确认或提出修改意见，逾期不确认也不提出书面意见的，视为同意。 </w:t>
      </w:r>
    </w:p>
    <w:p w14:paraId="6B40FF1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10.2群体工程中单位工程分期进行施工的，承包人应按照发包人提供图纸及有关资料的时间，按单位工程编制进度计划，其具体内容双方在专用条款中约定。 </w:t>
      </w:r>
    </w:p>
    <w:p w14:paraId="4CB41D8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14:paraId="5A8F5B0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11、开工及延期开工 </w:t>
      </w:r>
    </w:p>
    <w:p w14:paraId="27CDB7E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14:paraId="3D2DBAE1">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11.2因发包人原因不能按照协议书约定的开工日期开工，工程师应以书面形式通知承</w:t>
      </w:r>
      <w:r>
        <w:rPr>
          <w:rFonts w:hint="eastAsia" w:ascii="宋体" w:hAnsi="宋体"/>
          <w:color w:val="auto"/>
          <w:sz w:val="21"/>
          <w:szCs w:val="21"/>
          <w:highlight w:val="none"/>
        </w:rPr>
        <w:t>包人，推迟开工日期。发包人赔偿承包人因延期开工造成的损失，并相应顺延工期。</w:t>
      </w:r>
      <w:r>
        <w:rPr>
          <w:rFonts w:ascii="宋体" w:hAnsi="宋体"/>
          <w:color w:val="auto"/>
          <w:sz w:val="21"/>
          <w:szCs w:val="21"/>
          <w:highlight w:val="none"/>
        </w:rPr>
        <w:t xml:space="preserve"> </w:t>
      </w:r>
    </w:p>
    <w:p w14:paraId="3A610DB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12、暂停施工 </w:t>
      </w:r>
    </w:p>
    <w:p w14:paraId="3E964F71">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工程师认为确有必要暂停施工时，应当以书面形式要求承包人暂停施工，并在提出要求后</w:t>
      </w:r>
      <w:r>
        <w:rPr>
          <w:rFonts w:ascii="宋体" w:hAnsi="宋体"/>
          <w:color w:val="auto"/>
          <w:sz w:val="21"/>
          <w:szCs w:val="21"/>
          <w:highlight w:val="none"/>
        </w:rPr>
        <w:t xml:space="preserve">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14:paraId="77AC4F6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13、工期延误 </w:t>
      </w:r>
    </w:p>
    <w:p w14:paraId="35F2CC3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13.1因以下原因造成工期延误，经工程师确认工期相应顺延； </w:t>
      </w:r>
    </w:p>
    <w:p w14:paraId="25C8016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发包人未能按专用条款的约定提供图纸及开工条件； </w:t>
      </w:r>
    </w:p>
    <w:p w14:paraId="3018CE4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w:t>
      </w:r>
      <w:r>
        <w:rPr>
          <w:rFonts w:hint="eastAsia" w:ascii="宋体" w:hAnsi="宋体"/>
          <w:color w:val="auto"/>
          <w:sz w:val="21"/>
          <w:szCs w:val="21"/>
          <w:highlight w:val="none"/>
        </w:rPr>
        <w:t>发包人未能按约定日期支付工程预付款、进度款，致使施工不能正常进行；</w:t>
      </w:r>
    </w:p>
    <w:p w14:paraId="7A618341">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w:t>
      </w:r>
      <w:r>
        <w:rPr>
          <w:rFonts w:hint="eastAsia" w:ascii="宋体" w:hAnsi="宋体"/>
          <w:color w:val="auto"/>
          <w:sz w:val="21"/>
          <w:szCs w:val="21"/>
          <w:highlight w:val="none"/>
        </w:rPr>
        <w:t>工程师未按合同约定提供所需指令、批准等，致使施工不能正常进行；</w:t>
      </w:r>
    </w:p>
    <w:p w14:paraId="1061021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设计变更和工程量增加； </w:t>
      </w:r>
    </w:p>
    <w:p w14:paraId="1FDB243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 </w:t>
      </w:r>
      <w:r>
        <w:rPr>
          <w:rFonts w:hint="eastAsia" w:ascii="宋体" w:hAnsi="宋体"/>
          <w:color w:val="auto"/>
          <w:sz w:val="21"/>
          <w:szCs w:val="21"/>
          <w:highlight w:val="none"/>
        </w:rPr>
        <w:t>一周内非承包人原因停水、停电、停气造成停工累计超过</w:t>
      </w:r>
      <w:r>
        <w:rPr>
          <w:rFonts w:ascii="宋体" w:hAnsi="宋体"/>
          <w:color w:val="auto"/>
          <w:sz w:val="21"/>
          <w:szCs w:val="21"/>
          <w:highlight w:val="none"/>
        </w:rPr>
        <w:t>8小时；</w:t>
      </w:r>
    </w:p>
    <w:p w14:paraId="396B309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(6) </w:t>
      </w:r>
      <w:r>
        <w:rPr>
          <w:rFonts w:hint="eastAsia" w:ascii="宋体" w:hAnsi="宋体"/>
          <w:color w:val="auto"/>
          <w:sz w:val="21"/>
          <w:szCs w:val="21"/>
          <w:highlight w:val="none"/>
        </w:rPr>
        <w:t>不可抗力；</w:t>
      </w:r>
    </w:p>
    <w:p w14:paraId="18374DB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(7) </w:t>
      </w:r>
      <w:r>
        <w:rPr>
          <w:rFonts w:hint="eastAsia" w:ascii="宋体" w:hAnsi="宋体"/>
          <w:color w:val="auto"/>
          <w:sz w:val="21"/>
          <w:szCs w:val="21"/>
          <w:highlight w:val="none"/>
        </w:rPr>
        <w:t>专用条款中约定或工程师同意工期顺延的其他情况。</w:t>
      </w:r>
    </w:p>
    <w:p w14:paraId="6E4AAE4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13.2承包人在13.1款情况发生后14天内，就延误的工期以书面形式向工程师提出报告。工程师在收到报告后14天内予以确认，逾期不予确认也不提出修改意见，视为同意顺延工期。 </w:t>
      </w:r>
    </w:p>
    <w:p w14:paraId="733FFC2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14、工程竣工 </w:t>
      </w:r>
    </w:p>
    <w:p w14:paraId="6ED3182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14.1 承包人必须按照协议书约定的竣工日期或工程师同意顺延的工期竣工。 </w:t>
      </w:r>
    </w:p>
    <w:p w14:paraId="080C49B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14.2 因承包人原因不能按照协议书约定的竣工日期或工程师同意顺延的工期竣工的，承包人承担违约责任。 </w:t>
      </w:r>
    </w:p>
    <w:p w14:paraId="234860B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14:paraId="0A60D093">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四、质量与检验</w:t>
      </w:r>
      <w:r>
        <w:rPr>
          <w:rFonts w:ascii="宋体" w:hAnsi="宋体"/>
          <w:color w:val="auto"/>
          <w:sz w:val="21"/>
          <w:szCs w:val="21"/>
          <w:highlight w:val="none"/>
        </w:rPr>
        <w:t xml:space="preserve"> </w:t>
      </w:r>
    </w:p>
    <w:p w14:paraId="68070AE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15、工程质量 </w:t>
      </w:r>
    </w:p>
    <w:p w14:paraId="3CD3FE1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1</w:t>
      </w:r>
      <w:r>
        <w:rPr>
          <w:rFonts w:ascii="宋体" w:hAnsi="宋体"/>
          <w:color w:val="auto"/>
          <w:spacing w:val="6"/>
          <w:sz w:val="21"/>
          <w:szCs w:val="21"/>
          <w:highlight w:val="none"/>
        </w:rPr>
        <w:t xml:space="preserve">5.1 </w:t>
      </w:r>
      <w:r>
        <w:rPr>
          <w:rFonts w:hint="eastAsia" w:ascii="宋体" w:hAnsi="宋体"/>
          <w:color w:val="auto"/>
          <w:spacing w:val="6"/>
          <w:sz w:val="21"/>
          <w:szCs w:val="21"/>
          <w:highlight w:val="none"/>
        </w:rPr>
        <w:t>工程质量应当达到协议书约定的质量标准，质量标准的评定以国家或</w:t>
      </w:r>
      <w:r>
        <w:rPr>
          <w:rFonts w:hint="eastAsia" w:ascii="宋体" w:hAnsi="宋体"/>
          <w:color w:val="auto"/>
          <w:sz w:val="21"/>
          <w:szCs w:val="21"/>
          <w:highlight w:val="none"/>
        </w:rPr>
        <w:t>行业的质量检验评定标准为依据。因承包人原因工程质量达不到约定的质量标准，承包人承担违约责任。</w:t>
      </w:r>
      <w:r>
        <w:rPr>
          <w:rFonts w:ascii="宋体" w:hAnsi="宋体"/>
          <w:color w:val="auto"/>
          <w:sz w:val="21"/>
          <w:szCs w:val="21"/>
          <w:highlight w:val="none"/>
        </w:rPr>
        <w:t xml:space="preserve"> </w:t>
      </w:r>
    </w:p>
    <w:p w14:paraId="1EE66AE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15.2 双方对工程质量有争议，由双方同意的工程质量检测机构鉴定，所需费用及因此造成的损失，由责任方承担。双方均有责任，由双方根据其责任分别承担。 </w:t>
      </w:r>
    </w:p>
    <w:p w14:paraId="2580188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16、检查和返工 </w:t>
      </w:r>
    </w:p>
    <w:p w14:paraId="76991E5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16.1 承包人应认真按照标准、规范和设计图纸要求以及工程师依据合同发出的指令施工，随时接受工程师的检查检验，为检查检验提供便利条件。 </w:t>
      </w:r>
    </w:p>
    <w:p w14:paraId="0A0D928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14:paraId="4FEA6A2A">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14:paraId="465D9A4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16.4 因工程师指令失误或其他非承包人原因发生的追加合同价款，由发包人承担。 </w:t>
      </w:r>
    </w:p>
    <w:p w14:paraId="00BB7C0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17、隐蔽工程和中间验收 </w:t>
      </w:r>
    </w:p>
    <w:p w14:paraId="24B63EE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17.1 </w:t>
      </w:r>
      <w:r>
        <w:rPr>
          <w:rFonts w:hint="eastAsia" w:ascii="宋体" w:hAnsi="宋体"/>
          <w:color w:val="auto"/>
          <w:sz w:val="21"/>
          <w:szCs w:val="21"/>
          <w:highlight w:val="none"/>
        </w:rPr>
        <w:t>工程具备隐蔽条件或达到专用条款约定的中间验收部位，承包人进行自检，并在隐蔽或中间验收前</w:t>
      </w:r>
      <w:r>
        <w:rPr>
          <w:rFonts w:ascii="宋体" w:hAnsi="宋体"/>
          <w:color w:val="auto"/>
          <w:sz w:val="21"/>
          <w:szCs w:val="21"/>
          <w:highlight w:val="none"/>
        </w:rPr>
        <w:t>48小时以书面形式通知工程师验收。通知包括隐蔽和中间验收的内容、验收时间和地点。承包人准备验收记录，验收合格，</w:t>
      </w:r>
      <w:r>
        <w:rPr>
          <w:rFonts w:hint="eastAsia" w:ascii="宋体" w:hAnsi="宋体"/>
          <w:color w:val="auto"/>
          <w:spacing w:val="4"/>
          <w:sz w:val="21"/>
          <w:szCs w:val="21"/>
          <w:highlight w:val="none"/>
        </w:rPr>
        <w:t>工程师在验收记录上签字后，承包人可进行隐蔽和继续施工。验收不合格</w:t>
      </w:r>
      <w:r>
        <w:rPr>
          <w:rFonts w:hint="eastAsia" w:ascii="宋体" w:hAnsi="宋体"/>
          <w:color w:val="auto"/>
          <w:sz w:val="21"/>
          <w:szCs w:val="21"/>
          <w:highlight w:val="none"/>
        </w:rPr>
        <w:t>，承包人在工程师限定的时间内修改后重新验收。</w:t>
      </w:r>
      <w:r>
        <w:rPr>
          <w:rFonts w:ascii="宋体" w:hAnsi="宋体"/>
          <w:color w:val="auto"/>
          <w:sz w:val="21"/>
          <w:szCs w:val="21"/>
          <w:highlight w:val="none"/>
        </w:rPr>
        <w:t xml:space="preserve"> </w:t>
      </w:r>
    </w:p>
    <w:p w14:paraId="0E3B3B0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14:paraId="19E37F6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17.3 </w:t>
      </w:r>
      <w:r>
        <w:rPr>
          <w:rFonts w:hint="eastAsia" w:ascii="宋体" w:hAnsi="宋体"/>
          <w:color w:val="auto"/>
          <w:sz w:val="21"/>
          <w:szCs w:val="21"/>
          <w:highlight w:val="none"/>
        </w:rPr>
        <w:t>经工程师验收，工程质量符合标准、规范和设计图纸等要求，验收</w:t>
      </w:r>
      <w:r>
        <w:rPr>
          <w:rFonts w:ascii="宋体" w:hAnsi="宋体"/>
          <w:color w:val="auto"/>
          <w:sz w:val="21"/>
          <w:szCs w:val="21"/>
          <w:highlight w:val="none"/>
        </w:rPr>
        <w:t>24</w:t>
      </w:r>
      <w:r>
        <w:rPr>
          <w:rFonts w:hint="eastAsia" w:ascii="宋体" w:hAnsi="宋体"/>
          <w:color w:val="auto"/>
          <w:spacing w:val="4"/>
          <w:sz w:val="21"/>
          <w:szCs w:val="21"/>
          <w:highlight w:val="none"/>
        </w:rPr>
        <w:t>小时后，工程师不在验收记录上签字，视为工程师已经认可验收记录，承包</w:t>
      </w:r>
      <w:r>
        <w:rPr>
          <w:rFonts w:hint="eastAsia" w:ascii="宋体" w:hAnsi="宋体"/>
          <w:color w:val="auto"/>
          <w:sz w:val="21"/>
          <w:szCs w:val="21"/>
          <w:highlight w:val="none"/>
        </w:rPr>
        <w:t>人可进行隐蔽或继续施工。</w:t>
      </w:r>
      <w:r>
        <w:rPr>
          <w:rFonts w:ascii="宋体" w:hAnsi="宋体"/>
          <w:color w:val="auto"/>
          <w:sz w:val="21"/>
          <w:szCs w:val="21"/>
          <w:highlight w:val="none"/>
        </w:rPr>
        <w:t xml:space="preserve"> </w:t>
      </w:r>
    </w:p>
    <w:p w14:paraId="3B46B47A">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18、重新检验 </w:t>
      </w:r>
    </w:p>
    <w:p w14:paraId="5233370B">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r>
        <w:rPr>
          <w:rFonts w:ascii="宋体" w:hAnsi="宋体"/>
          <w:color w:val="auto"/>
          <w:sz w:val="21"/>
          <w:szCs w:val="21"/>
          <w:highlight w:val="none"/>
        </w:rPr>
        <w:t xml:space="preserve"> </w:t>
      </w:r>
    </w:p>
    <w:p w14:paraId="1D940BA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19、工程试车 </w:t>
      </w:r>
    </w:p>
    <w:p w14:paraId="293B96E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19.1 双方约定需要试车的，试车内容应与承包人承包的安装范围相一致。 </w:t>
      </w:r>
    </w:p>
    <w:p w14:paraId="14C66B1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14:paraId="1267DE8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19.3 工程师不能按时参加试车，须在开始试车前24小时以书面形式向承包人提出延期要求，延期不能超过48小时。工程师未能按以上时间提出延期要求，不参加试车，应承认试车记录。 </w:t>
      </w:r>
    </w:p>
    <w:p w14:paraId="1EC7EF5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14:paraId="2A6B983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19.5双方责任 </w:t>
      </w:r>
    </w:p>
    <w:p w14:paraId="0C9DF80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由于设计原因试车达不到验收要求，发包人应要求设计单位修改设计，承包人按修改后的设计重新安装。发包人承担修改设计、拆除及重新安装的全部费用和追加合同价款，工期相应顺延。 </w:t>
      </w:r>
    </w:p>
    <w:p w14:paraId="2428A8E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14:paraId="40F127EA">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由于承包人施工原因试车达不到验收要求，承包人按工程师要求重新安装和试车，并承担重新安装和试车的费用，工期不予顺延。 </w:t>
      </w:r>
    </w:p>
    <w:p w14:paraId="30EC3BC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w:t>
      </w:r>
      <w:r>
        <w:rPr>
          <w:rFonts w:hint="eastAsia" w:ascii="宋体" w:hAnsi="宋体"/>
          <w:color w:val="auto"/>
          <w:sz w:val="21"/>
          <w:szCs w:val="21"/>
          <w:highlight w:val="none"/>
        </w:rPr>
        <w:t>试车费用除已包括在合同价款之内或专用条款另有约定外，均由发包人承担。</w:t>
      </w:r>
    </w:p>
    <w:p w14:paraId="2DB6E6B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 工程师在试车合格后不在试车记录上签字，试车结束24小时后，视为工程师已经认可试车记录，承包人可继续施工或办理竣工手续。 </w:t>
      </w:r>
    </w:p>
    <w:p w14:paraId="524C904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19.6 投料试车应在工程竣工验收后由发包人负责，如发包人要求在工程竣工验收前进行或需要承包人配合时，应征得承包人同意，另行签订补充协议。 </w:t>
      </w:r>
    </w:p>
    <w:p w14:paraId="4B75E3B9">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五、安全施工</w:t>
      </w:r>
      <w:r>
        <w:rPr>
          <w:rFonts w:ascii="宋体" w:hAnsi="宋体"/>
          <w:color w:val="auto"/>
          <w:sz w:val="21"/>
          <w:szCs w:val="21"/>
          <w:highlight w:val="none"/>
        </w:rPr>
        <w:t xml:space="preserve"> </w:t>
      </w:r>
    </w:p>
    <w:p w14:paraId="50338A6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20、安全施工与检查 </w:t>
      </w:r>
    </w:p>
    <w:p w14:paraId="424C8BC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14:paraId="4B4674D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14:paraId="27AE2DF1">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21、安全防护 </w:t>
      </w:r>
    </w:p>
    <w:p w14:paraId="659269E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14:paraId="3C6EC5A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21.2实施爆破作业，在放射、毒害性环境中施工（含储存、运输、使用）及使用毒害性、腐蚀性物品施工时，承包人应在施工前14天以书面形式通知工</w:t>
      </w:r>
      <w:r>
        <w:rPr>
          <w:rFonts w:hint="eastAsia" w:ascii="宋体" w:hAnsi="宋体"/>
          <w:color w:val="auto"/>
          <w:spacing w:val="2"/>
          <w:sz w:val="21"/>
          <w:szCs w:val="21"/>
          <w:highlight w:val="none"/>
        </w:rPr>
        <w:t>程师，并提出相应的安全防护措施，经工程师认可后实施</w:t>
      </w:r>
      <w:r>
        <w:rPr>
          <w:rFonts w:ascii="宋体" w:hAnsi="宋体"/>
          <w:color w:val="auto"/>
          <w:spacing w:val="2"/>
          <w:sz w:val="21"/>
          <w:szCs w:val="21"/>
          <w:highlight w:val="none"/>
        </w:rPr>
        <w:t>,由发包人承担安全</w:t>
      </w:r>
      <w:r>
        <w:rPr>
          <w:rFonts w:hint="eastAsia" w:ascii="宋体" w:hAnsi="宋体"/>
          <w:color w:val="auto"/>
          <w:sz w:val="21"/>
          <w:szCs w:val="21"/>
          <w:highlight w:val="none"/>
        </w:rPr>
        <w:t>防护措施费用。</w:t>
      </w:r>
      <w:r>
        <w:rPr>
          <w:rFonts w:ascii="宋体" w:hAnsi="宋体"/>
          <w:color w:val="auto"/>
          <w:sz w:val="21"/>
          <w:szCs w:val="21"/>
          <w:highlight w:val="none"/>
        </w:rPr>
        <w:t xml:space="preserve"> </w:t>
      </w:r>
    </w:p>
    <w:p w14:paraId="5502964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22、事故处理 </w:t>
      </w:r>
    </w:p>
    <w:p w14:paraId="540B94E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22.1发生重大伤亡及其他安全事故，承包人应按有关规定立即上报有关部门并通知工程师，同时按政府有关部门要求处理，由事故责任方承担发生的费用。</w:t>
      </w:r>
    </w:p>
    <w:p w14:paraId="1154DA7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22.2发包人承包人对事故责任有争议时，应按政府有关部门的认定处理。 </w:t>
      </w:r>
    </w:p>
    <w:p w14:paraId="4B9B8BAB">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六、合同价款与支付</w:t>
      </w:r>
      <w:r>
        <w:rPr>
          <w:rFonts w:ascii="宋体" w:hAnsi="宋体"/>
          <w:color w:val="auto"/>
          <w:sz w:val="21"/>
          <w:szCs w:val="21"/>
          <w:highlight w:val="none"/>
        </w:rPr>
        <w:t xml:space="preserve"> </w:t>
      </w:r>
    </w:p>
    <w:p w14:paraId="07DDC42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23、合同价款及调整 </w:t>
      </w:r>
    </w:p>
    <w:p w14:paraId="06AC118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23.1招标工程的合同价款由发包人承包人依据中标通知书中的中标价格在协议书内约定。非招标工程的合同价款由发包人承包人依据工程预算书在协议书内约定。 </w:t>
      </w:r>
    </w:p>
    <w:p w14:paraId="5AEF3A5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23.2合同价款在协议书内约定后，任何一方不得擅自改变。下列三种确定合同价款的方式，双方可在专用条款内约定采用其中一种： </w:t>
      </w:r>
    </w:p>
    <w:p w14:paraId="345E02E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固定价格合同。双方在专用条款内约定合同价款包含的风险范围和风险费用的计算方法，在约定的风险范围内合同价款不再调整。风险范围以外的合同价款调整方法，应当在专用条款内约定。 </w:t>
      </w:r>
    </w:p>
    <w:p w14:paraId="097E425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w:t>
      </w:r>
      <w:r>
        <w:rPr>
          <w:rFonts w:hint="eastAsia" w:ascii="宋体" w:hAnsi="宋体"/>
          <w:color w:val="auto"/>
          <w:sz w:val="21"/>
          <w:szCs w:val="21"/>
          <w:highlight w:val="none"/>
        </w:rPr>
        <w:t>可调价格合同。合同价款可根据双方的约定而调整，双方在专用条款内约定合同价款调整方法。</w:t>
      </w:r>
      <w:r>
        <w:rPr>
          <w:rFonts w:ascii="宋体" w:hAnsi="宋体"/>
          <w:color w:val="auto"/>
          <w:sz w:val="21"/>
          <w:szCs w:val="21"/>
          <w:highlight w:val="none"/>
        </w:rPr>
        <w:t xml:space="preserve"> </w:t>
      </w:r>
    </w:p>
    <w:p w14:paraId="07EF12A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成本加酬金合同。合同价款包括成本和酬金两部分，双方在专用条款内约定成本构成和酬金的计算方法。 </w:t>
      </w:r>
    </w:p>
    <w:p w14:paraId="18B05A0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23.3可调价格合同中合同价款的调整因素包括：</w:t>
      </w:r>
    </w:p>
    <w:p w14:paraId="173D7BB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法律、行政法规和国家有关政策变化影响合同价款； </w:t>
      </w:r>
    </w:p>
    <w:p w14:paraId="4A6A721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工程造价管理部门公布的价格调整； </w:t>
      </w:r>
    </w:p>
    <w:p w14:paraId="06C26FA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一周内非承包人原因停水、停电、停气造成的停工累计超过8小时； </w:t>
      </w:r>
    </w:p>
    <w:p w14:paraId="5444CA0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双方约定的其他因素。 </w:t>
      </w:r>
    </w:p>
    <w:p w14:paraId="6B60828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14:paraId="664163A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24、工程预付款 </w:t>
      </w:r>
    </w:p>
    <w:p w14:paraId="1576FE45">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实行工程预付款的，双方应当在专用条款内约定发包人向承包人预付工程款的时间和数额，开工后按约定的时间和比例逐次扣回。预付时间应不迟于约定的开工日期前</w:t>
      </w:r>
      <w:r>
        <w:rPr>
          <w:rFonts w:ascii="宋体" w:hAnsi="宋体"/>
          <w:color w:val="auto"/>
          <w:sz w:val="21"/>
          <w:szCs w:val="21"/>
          <w:highlight w:val="none"/>
        </w:rPr>
        <w:t xml:space="preserve">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14:paraId="334D334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25、工程量的确认 </w:t>
      </w:r>
    </w:p>
    <w:p w14:paraId="0C0479D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14:paraId="3C3BFA5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14:paraId="6DC4952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25.3对承包人超出设计图纸范围和因承包人原因造成返工的工程量，工程师不予计量。 </w:t>
      </w:r>
    </w:p>
    <w:p w14:paraId="4394350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26、工程款（进度款）支付。 </w:t>
      </w:r>
    </w:p>
    <w:p w14:paraId="52E08E7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26.1 在确认计量结果后14天内，发包人应向承包人支付工程款（进度款）。按约定时间发包人应扣回的预付款，与工程款（进度款）同期结算。 </w:t>
      </w:r>
    </w:p>
    <w:p w14:paraId="4F8CD4D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26.2 本通用条款第23条确定调整的合同价款，第31条工程变更调整的合同价款及其他条款中约定的追加合同价款，应与工程款（进度款）同期调整支付。 </w:t>
      </w:r>
    </w:p>
    <w:p w14:paraId="7E45309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14:paraId="4F2F706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26.4 发包人不按合同约定支付工程款（进度款），双方又未达成延期付款协议，导致施工无法进行，承包人可停止施工，由发包人承担违约责任。 </w:t>
      </w:r>
    </w:p>
    <w:p w14:paraId="36CD306A">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七、材料设备供应</w:t>
      </w:r>
      <w:r>
        <w:rPr>
          <w:rFonts w:ascii="宋体" w:hAnsi="宋体"/>
          <w:color w:val="auto"/>
          <w:sz w:val="21"/>
          <w:szCs w:val="21"/>
          <w:highlight w:val="none"/>
        </w:rPr>
        <w:t xml:space="preserve"> </w:t>
      </w:r>
    </w:p>
    <w:p w14:paraId="6DA9643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27、发包人供应材料设备 </w:t>
      </w:r>
    </w:p>
    <w:p w14:paraId="06E8474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27.1 实行发包人供应材料设备的，双方应当约定发包人供应材料设备的一览表，作为本合同附件（附件2）。一览表包括发包人供应材料设备的品种、规格、型号、数量、单价、质量等级、提供时间和地点。 </w:t>
      </w:r>
    </w:p>
    <w:p w14:paraId="2774FA4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27.2 发包人按一览表约定的内容提供材料设备，并向承包人提供产品合格证明，对其质量负责。发包人在所供材料设备到货前24小时，以书面形式通知承包人，由承包人派人与发包人共同清点。 </w:t>
      </w:r>
    </w:p>
    <w:p w14:paraId="07C68E1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27.3 发包人供应的材料设备，承包人派人参加清点后由承包人妥善保管，发包人支付相应保管费用。因承包人原因发生丢失损坏，由承包人负责赔偿。 </w:t>
      </w:r>
    </w:p>
    <w:p w14:paraId="7AD79985">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发包人未通知承包人清点，承包人不负责材料设备的保管，丢失损坏由发包人负责。</w:t>
      </w:r>
      <w:r>
        <w:rPr>
          <w:rFonts w:ascii="宋体" w:hAnsi="宋体"/>
          <w:color w:val="auto"/>
          <w:sz w:val="21"/>
          <w:szCs w:val="21"/>
          <w:highlight w:val="none"/>
        </w:rPr>
        <w:t xml:space="preserve"> </w:t>
      </w:r>
    </w:p>
    <w:p w14:paraId="54FBEA3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27.4发包人供应的材料设备与一览表不符时，发包人承担有关责任。发包人应承担责任的具体内容，双方根据下列情况在专用条款内约定。 </w:t>
      </w:r>
    </w:p>
    <w:p w14:paraId="03DA41E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材料设备单价与一览表不符，由发包人承担所有价差； </w:t>
      </w:r>
    </w:p>
    <w:p w14:paraId="034695A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材料设备的品种、规格、型号、质量等级与一览表不符，承包人可拒绝接收保管，由发包人运出施工场地并重新采购； </w:t>
      </w:r>
    </w:p>
    <w:p w14:paraId="7488738A">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发包人供应的材料规格、型号与一览表不符，经发包人同意，承包人可代为调剂串换，由发包人承担相应费用； </w:t>
      </w:r>
    </w:p>
    <w:p w14:paraId="43C7FD4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到货地点与一览表不符，由发包人负责运至一览表指定地点： </w:t>
      </w:r>
    </w:p>
    <w:p w14:paraId="418CB93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 供应数量少于一览表约定的数量时，由发包人补齐，多于一览表约定数量时，发包人负责将多出部分运出施工场地； </w:t>
      </w:r>
    </w:p>
    <w:p w14:paraId="4BAB3BE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(6) 到货时间早于一览表约定时间，由发包人承担因此发生的保管费用；到货时间迟于一览表约定的供应时间，发包人赔偿由此造成的承包人损失，造成工期延误的，相应顺延工期。 </w:t>
      </w:r>
    </w:p>
    <w:p w14:paraId="7F4680F1">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27.5发包人供应的材料设备使用前，由承包人负责检验或试验，不合格的不得使用，检验或试验费用由发包人承担。 </w:t>
      </w:r>
    </w:p>
    <w:p w14:paraId="1C69419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27.6发包人供应材料设备的结算方法，双方在专用条款内约定。 </w:t>
      </w:r>
    </w:p>
    <w:p w14:paraId="21B4B28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28、承包人采购材料设备 </w:t>
      </w:r>
    </w:p>
    <w:p w14:paraId="320E812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28.1 </w:t>
      </w:r>
      <w:r>
        <w:rPr>
          <w:rFonts w:hint="eastAsia" w:ascii="宋体" w:hAnsi="宋体"/>
          <w:color w:val="auto"/>
          <w:sz w:val="21"/>
          <w:szCs w:val="21"/>
          <w:highlight w:val="none"/>
        </w:rPr>
        <w:t>承包人负责采购材料设备的，应按照专用条款约定及设计和有关标准要求采购，并提供产品合格证明，对材料设备质量负责。承包人在材料设备到货前</w:t>
      </w:r>
      <w:r>
        <w:rPr>
          <w:rFonts w:ascii="宋体" w:hAnsi="宋体"/>
          <w:color w:val="auto"/>
          <w:sz w:val="21"/>
          <w:szCs w:val="21"/>
          <w:highlight w:val="none"/>
        </w:rPr>
        <w:t>24小时通知工程师清点。</w:t>
      </w:r>
    </w:p>
    <w:p w14:paraId="6C6050C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28.2</w:t>
      </w:r>
      <w:r>
        <w:rPr>
          <w:rFonts w:ascii="宋体" w:hAnsi="宋体"/>
          <w:color w:val="auto"/>
          <w:spacing w:val="8"/>
          <w:sz w:val="21"/>
          <w:szCs w:val="21"/>
          <w:highlight w:val="none"/>
        </w:rPr>
        <w:t xml:space="preserve"> 承包人采购的材料设备与设计或标准要求不符时，承包人应按工程师要</w:t>
      </w:r>
      <w:r>
        <w:rPr>
          <w:rFonts w:hint="eastAsia" w:ascii="宋体" w:hAnsi="宋体"/>
          <w:color w:val="auto"/>
          <w:sz w:val="21"/>
          <w:szCs w:val="21"/>
          <w:highlight w:val="none"/>
        </w:rPr>
        <w:t>求的时间运出施工场地，重新采购符合要求的产品，承担由此发生的费用，由此延误的工期不予顺延。</w:t>
      </w:r>
      <w:r>
        <w:rPr>
          <w:rFonts w:ascii="宋体" w:hAnsi="宋体"/>
          <w:color w:val="auto"/>
          <w:sz w:val="21"/>
          <w:szCs w:val="21"/>
          <w:highlight w:val="none"/>
        </w:rPr>
        <w:t xml:space="preserve"> </w:t>
      </w:r>
    </w:p>
    <w:p w14:paraId="33FE7AE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28.3 承包人采购的材料设备在使用前，承包人应按工程师的要求进行检验或试验，不合格的不得使用，检验或试验费用由承包人承担。 </w:t>
      </w:r>
    </w:p>
    <w:p w14:paraId="43FC2FC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28.4 工程师发现承包人采购并使用不符合设计或标准要求的材料设备时，应要求由承包人负责修复、拆除或重新采购，并承担发生的费用，由此延误的工期不予顺延。 </w:t>
      </w:r>
    </w:p>
    <w:p w14:paraId="2A43AD1A">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28.5 承包人需要使用代用材料时，应经工程师认可后才能使用，由此增减的合同价款双方以书面形式议定。 </w:t>
      </w:r>
    </w:p>
    <w:p w14:paraId="32CBCE0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28.6 由承包人采购的材料设备，发包人不得指定生产厂或供应商。 </w:t>
      </w:r>
    </w:p>
    <w:p w14:paraId="0345ADA8">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八、工程变更</w:t>
      </w:r>
      <w:r>
        <w:rPr>
          <w:rFonts w:ascii="宋体" w:hAnsi="宋体"/>
          <w:color w:val="auto"/>
          <w:sz w:val="21"/>
          <w:szCs w:val="21"/>
          <w:highlight w:val="none"/>
        </w:rPr>
        <w:t xml:space="preserve"> </w:t>
      </w:r>
    </w:p>
    <w:p w14:paraId="5FF41ED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29、工程设计变更 </w:t>
      </w:r>
    </w:p>
    <w:p w14:paraId="00702BA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14:paraId="72FFA40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更改工程有关部分的标高、基线、位置和尺寸； </w:t>
      </w:r>
    </w:p>
    <w:p w14:paraId="74ABC921">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增减合同中约定的工程量； </w:t>
      </w:r>
    </w:p>
    <w:p w14:paraId="20431CF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改变有关工程的施工时间和顺序； </w:t>
      </w:r>
    </w:p>
    <w:p w14:paraId="32099DC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其他有关工程变更需要的附加工作。 </w:t>
      </w:r>
    </w:p>
    <w:p w14:paraId="32030FC6">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因变更导致合同价款的增减及造成的承包人损失，由发包人承担，延误的工期相应顺延。</w:t>
      </w:r>
      <w:r>
        <w:rPr>
          <w:rFonts w:ascii="宋体" w:hAnsi="宋体"/>
          <w:color w:val="auto"/>
          <w:sz w:val="21"/>
          <w:szCs w:val="21"/>
          <w:highlight w:val="none"/>
        </w:rPr>
        <w:t xml:space="preserve"> </w:t>
      </w:r>
    </w:p>
    <w:p w14:paraId="6C2A74C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29.2施工中承包人不得对原工程设计进行变更。因承包人擅自变更设计发生的费用和由此导致发包人的直接损失，由承包人承担，延误的工期不予顺延。</w:t>
      </w:r>
    </w:p>
    <w:p w14:paraId="796C741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14:paraId="236C49A9">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工程师同意采用承包人合理化建议，所发生的费用和获得的收益，发包人承包人另行约定分担或分享。</w:t>
      </w:r>
      <w:r>
        <w:rPr>
          <w:rFonts w:ascii="宋体" w:hAnsi="宋体"/>
          <w:color w:val="auto"/>
          <w:sz w:val="21"/>
          <w:szCs w:val="21"/>
          <w:highlight w:val="none"/>
        </w:rPr>
        <w:t xml:space="preserve"> </w:t>
      </w:r>
    </w:p>
    <w:p w14:paraId="32800B6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30、其他变更 </w:t>
      </w:r>
    </w:p>
    <w:p w14:paraId="6407F29D">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合同履行中发包人要求变更工程质量标准及发生其他实质性变更，由双方协商解决。</w:t>
      </w:r>
      <w:r>
        <w:rPr>
          <w:rFonts w:ascii="宋体" w:hAnsi="宋体"/>
          <w:color w:val="auto"/>
          <w:sz w:val="21"/>
          <w:szCs w:val="21"/>
          <w:highlight w:val="none"/>
        </w:rPr>
        <w:t xml:space="preserve"> </w:t>
      </w:r>
    </w:p>
    <w:p w14:paraId="1DEF378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31、确定变更价款 </w:t>
      </w:r>
    </w:p>
    <w:p w14:paraId="67EFF97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31.1承包人在工程变更确定后14天内，提出变更工程价款的报告，经工程师确认后调整合同价款。变更合同价款按下列方法进行： </w:t>
      </w:r>
    </w:p>
    <w:p w14:paraId="7771C33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合同中已有适用于变更工程的价格，按合同已有的价格变更合同价款； </w:t>
      </w:r>
    </w:p>
    <w:p w14:paraId="7A144CC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合同中只有类似于变更工程的价格，可以参照类似价格变更合同价款； </w:t>
      </w:r>
    </w:p>
    <w:p w14:paraId="00B2E28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合同中没有适用或类似于变更工程的价格，由承包人提出适当的变更价格，经工程师确认后执行。 </w:t>
      </w:r>
    </w:p>
    <w:p w14:paraId="1F74566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31.2承包人在双方确定变更后14天内不向工程师提出变更工程价款报告时，视为该项变更不涉及合同价款的变更。 </w:t>
      </w:r>
    </w:p>
    <w:p w14:paraId="79E8745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31.3工程师应在收到变更工程价款报告之日起14天内予以确认，工程师无正当理由不确认时，自变更工程价款报告送达之日起14天后视为变更工程价款报告已被确认。 </w:t>
      </w:r>
    </w:p>
    <w:p w14:paraId="42B98F9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31.4工程师不同意承包人提出的变更价款，按本通用条款第37条关于争议的约定处理。 </w:t>
      </w:r>
    </w:p>
    <w:p w14:paraId="439CE9B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31.5工程师确认增加的工程变更价款作为追加合同价款，与工程款同期支付。</w:t>
      </w:r>
    </w:p>
    <w:p w14:paraId="3516D9CA">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31.6因承包人自身原因导致的工程变更，承包人无权要求追加合同价款。 </w:t>
      </w:r>
    </w:p>
    <w:p w14:paraId="777E9065">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九、竣工验收与结算</w:t>
      </w:r>
      <w:r>
        <w:rPr>
          <w:rFonts w:ascii="宋体" w:hAnsi="宋体"/>
          <w:color w:val="auto"/>
          <w:sz w:val="21"/>
          <w:szCs w:val="21"/>
          <w:highlight w:val="none"/>
        </w:rPr>
        <w:t xml:space="preserve"> </w:t>
      </w:r>
    </w:p>
    <w:p w14:paraId="45027B2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32、竣工验收 </w:t>
      </w:r>
    </w:p>
    <w:p w14:paraId="243DEEA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32.1 </w:t>
      </w:r>
      <w:r>
        <w:rPr>
          <w:rFonts w:hint="eastAsia" w:ascii="宋体" w:hAnsi="宋体"/>
          <w:color w:val="auto"/>
          <w:sz w:val="21"/>
          <w:szCs w:val="21"/>
          <w:highlight w:val="none"/>
        </w:rPr>
        <w:t>工程具备竣工验收条件，承包人按国家工程竣工验收有关规定，向发包人提供完整竣工资料及竣工验收报告。双方约定由承包人提供竣工图的，应当在专用条款内约定提供的日期和份数。</w:t>
      </w:r>
      <w:r>
        <w:rPr>
          <w:rFonts w:ascii="宋体" w:hAnsi="宋体"/>
          <w:color w:val="auto"/>
          <w:sz w:val="21"/>
          <w:szCs w:val="21"/>
          <w:highlight w:val="none"/>
        </w:rPr>
        <w:t xml:space="preserve"> </w:t>
      </w:r>
    </w:p>
    <w:p w14:paraId="592336A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32.2 </w:t>
      </w:r>
      <w:r>
        <w:rPr>
          <w:rFonts w:hint="eastAsia" w:ascii="宋体" w:hAnsi="宋体"/>
          <w:color w:val="auto"/>
          <w:sz w:val="21"/>
          <w:szCs w:val="21"/>
          <w:highlight w:val="none"/>
        </w:rPr>
        <w:t>发包人收到竣工验收报告后</w:t>
      </w:r>
      <w:r>
        <w:rPr>
          <w:rFonts w:ascii="宋体" w:hAnsi="宋体"/>
          <w:color w:val="auto"/>
          <w:sz w:val="21"/>
          <w:szCs w:val="21"/>
          <w:highlight w:val="none"/>
        </w:rPr>
        <w:t>28天内组织有关单位验收，并在验收后14天内给予认可或提出修改意见。承包人按要求修改，并承担由自身原因造成修改的费用。</w:t>
      </w:r>
    </w:p>
    <w:p w14:paraId="2CB16C9A">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32.3 发包人收到承包人送交的竣工验收报告后28天内不组织验收，或验收后14天内不提出修改意见，视为竣工验收报告已被认可。 </w:t>
      </w:r>
    </w:p>
    <w:p w14:paraId="272D4EA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32.4 工程竣工验收通过，承包人送交竣工验收报告的日期为实际竣工日期。工程按发包人要求修改后通过竣工验收的，实际竣工日期为承包人修改后提请发包人验收的日期。 </w:t>
      </w:r>
    </w:p>
    <w:p w14:paraId="60A3914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32.5 发包人收到承包人竣工验收报告后28天内不组织验收，从第29天起承担工程保管及一切意外责任。 </w:t>
      </w:r>
    </w:p>
    <w:p w14:paraId="642147D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32.6 中间交工工程的范围和竣工时间，双方在专用条款内约定，其验收程序按本通用条款32.1款至32.4款办理。 </w:t>
      </w:r>
    </w:p>
    <w:p w14:paraId="2B1AE9F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32.7 因特殊原因，发包人要求部分单位工程或工程部位甩项竣工的，双方另行签订甩项竣工协议，明确双方责任和工程价款支付方法。 </w:t>
      </w:r>
    </w:p>
    <w:p w14:paraId="7327B511">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32.8 工程未经竣工验收或竣工验收未通过的，发包人不得使用。发包人强行使用时，由此发生的质量问题及其他问题，由发包人承担责任。 </w:t>
      </w:r>
    </w:p>
    <w:p w14:paraId="3415E30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33、竣工结算 </w:t>
      </w:r>
    </w:p>
    <w:p w14:paraId="3ADD1C11">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33.1 工程竣工验收报告经发包人认可后28天内，承包人向发包人递交竣工结算报告及完整的结算资料，双方按照协议书约定的合同价款及专用条款约定的合同价款调整内容，进行工程竣工结算。 </w:t>
      </w:r>
    </w:p>
    <w:p w14:paraId="20A1261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14:paraId="13C39E0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33.3 </w:t>
      </w:r>
      <w:r>
        <w:rPr>
          <w:rFonts w:hint="eastAsia" w:ascii="宋体" w:hAnsi="宋体"/>
          <w:color w:val="auto"/>
          <w:sz w:val="21"/>
          <w:szCs w:val="21"/>
          <w:highlight w:val="none"/>
        </w:rPr>
        <w:t>发包人收到竣工结算报告及结算资料后</w:t>
      </w:r>
      <w:r>
        <w:rPr>
          <w:rFonts w:ascii="宋体" w:hAnsi="宋体"/>
          <w:color w:val="auto"/>
          <w:sz w:val="21"/>
          <w:szCs w:val="21"/>
          <w:highlight w:val="none"/>
        </w:rPr>
        <w:t>28天内无正当理由不支付工程竣工结算价款，从第29天起按承包人同期向银行贷款利率支付拖欠工程价款的利息，并承担违约责任。</w:t>
      </w:r>
    </w:p>
    <w:p w14:paraId="6174363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33.4 </w:t>
      </w:r>
      <w:r>
        <w:rPr>
          <w:rFonts w:hint="eastAsia" w:ascii="宋体" w:hAnsi="宋体"/>
          <w:color w:val="auto"/>
          <w:sz w:val="21"/>
          <w:szCs w:val="21"/>
          <w:highlight w:val="none"/>
        </w:rPr>
        <w:t>发包人收到竣工结算报告及结算资料后</w:t>
      </w:r>
      <w:r>
        <w:rPr>
          <w:rFonts w:ascii="宋体" w:hAnsi="宋体"/>
          <w:color w:val="auto"/>
          <w:sz w:val="21"/>
          <w:szCs w:val="21"/>
          <w:highlight w:val="none"/>
        </w:rPr>
        <w:t>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14:paraId="36CCE95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14:paraId="5404244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33.6 发包人承包人对工程竣工结算价款发生争议时，按本通用条款37条关于争议的约定处理。 </w:t>
      </w:r>
    </w:p>
    <w:p w14:paraId="2C12916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34、质量保修 </w:t>
      </w:r>
    </w:p>
    <w:p w14:paraId="340C001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34.1 承包人应按法律、行政法规或国家关于工程质量保修的有关规定，对交付发包人使用的工程在质量保修期内承担质量保修责任。 </w:t>
      </w:r>
    </w:p>
    <w:p w14:paraId="0313C76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34.2 质量保修工作的实施。承包人应在工程竣工验收之前，与发包人签订质量保修书，作为本合同附件（附件3）。 </w:t>
      </w:r>
    </w:p>
    <w:p w14:paraId="0B2734C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34.3 质量保修书的主要内容包括： </w:t>
      </w:r>
    </w:p>
    <w:p w14:paraId="6B4C1C1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质量保修项目内容及范围； </w:t>
      </w:r>
    </w:p>
    <w:p w14:paraId="6DBA523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质量保修期； </w:t>
      </w:r>
    </w:p>
    <w:p w14:paraId="6FC95FD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质量保修责任； </w:t>
      </w:r>
    </w:p>
    <w:p w14:paraId="7FCBD09A">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质量保修金的支付方法。 </w:t>
      </w:r>
    </w:p>
    <w:p w14:paraId="1FA9D859">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十、违约、索赔和争议</w:t>
      </w:r>
      <w:r>
        <w:rPr>
          <w:rFonts w:ascii="宋体" w:hAnsi="宋体"/>
          <w:color w:val="auto"/>
          <w:sz w:val="21"/>
          <w:szCs w:val="21"/>
          <w:highlight w:val="none"/>
        </w:rPr>
        <w:t xml:space="preserve"> </w:t>
      </w:r>
    </w:p>
    <w:p w14:paraId="14ABB44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35、违约 </w:t>
      </w:r>
    </w:p>
    <w:p w14:paraId="7066854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35.1发包人违约。当发生下列情况时：</w:t>
      </w:r>
    </w:p>
    <w:p w14:paraId="70C2C07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本通用条款第24条提到的发包人不按时支付工程预付款； </w:t>
      </w:r>
    </w:p>
    <w:p w14:paraId="7C85A72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本通用条款第26.4款提到的发包人不按合同约定支付工程款，导致施工无法进行； </w:t>
      </w:r>
    </w:p>
    <w:p w14:paraId="68750EE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w:t>
      </w:r>
      <w:r>
        <w:rPr>
          <w:rFonts w:hint="eastAsia" w:ascii="宋体" w:hAnsi="宋体"/>
          <w:color w:val="auto"/>
          <w:sz w:val="21"/>
          <w:szCs w:val="21"/>
          <w:highlight w:val="none"/>
        </w:rPr>
        <w:t>本通用条款第</w:t>
      </w:r>
      <w:r>
        <w:rPr>
          <w:rFonts w:ascii="宋体" w:hAnsi="宋体"/>
          <w:color w:val="auto"/>
          <w:sz w:val="21"/>
          <w:szCs w:val="21"/>
          <w:highlight w:val="none"/>
        </w:rPr>
        <w:t>33.3款提到的发包人无正当理由不支付工程竣工结算价款；</w:t>
      </w:r>
    </w:p>
    <w:p w14:paraId="1F9E5E0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发包人不履行合同义务或不按合同约定履行义务的其他情况。 </w:t>
      </w:r>
    </w:p>
    <w:p w14:paraId="4B2913F8">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发包人承担违约责任，赔偿因其违约给承包人造成的经济损失，顺延延误的工期。双方在专用条款内约定发包人赔偿承包人损失的计算方法或者发包人应当支付违约金的数额或计算方法。</w:t>
      </w:r>
      <w:r>
        <w:rPr>
          <w:rFonts w:ascii="宋体" w:hAnsi="宋体"/>
          <w:color w:val="auto"/>
          <w:sz w:val="21"/>
          <w:szCs w:val="21"/>
          <w:highlight w:val="none"/>
        </w:rPr>
        <w:t xml:space="preserve"> </w:t>
      </w:r>
    </w:p>
    <w:p w14:paraId="576E7371">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35.2承包人违约。当发生下列情况时： </w:t>
      </w:r>
    </w:p>
    <w:p w14:paraId="41A3109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本通用条款第14.2款提到的因承包人原因不能按照协议书约定的竣工日期或工程师同意顺延的工期竣工； </w:t>
      </w:r>
    </w:p>
    <w:p w14:paraId="0AD615D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本通用条款第15.1款提到的因承包人原因工程质量达不到协议书约定的质量标准； </w:t>
      </w:r>
    </w:p>
    <w:p w14:paraId="5B9B564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承包人不履行合同义务或不按合同约定履行义务的其他情况。 </w:t>
      </w:r>
    </w:p>
    <w:p w14:paraId="181F3BDB">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承包人承担违约责任，赔偿因其违约给发包人造成的损失。双方在专用条款内约定承包人赔偿发包人损失的计算方法或者承包人应当支付违约金的数额或计算方法。</w:t>
      </w:r>
      <w:r>
        <w:rPr>
          <w:rFonts w:ascii="宋体" w:hAnsi="宋体"/>
          <w:color w:val="auto"/>
          <w:sz w:val="21"/>
          <w:szCs w:val="21"/>
          <w:highlight w:val="none"/>
        </w:rPr>
        <w:t xml:space="preserve"> </w:t>
      </w:r>
    </w:p>
    <w:p w14:paraId="2DA6FB7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35.3一方违约后，另一方要求违约方继续履行合同时，违约方承担上述违约责任后仍应继续履行合同。 </w:t>
      </w:r>
    </w:p>
    <w:p w14:paraId="2BE7CFB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36、索赔 </w:t>
      </w:r>
    </w:p>
    <w:p w14:paraId="75265A21">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36.1当</w:t>
      </w:r>
      <w:r>
        <w:rPr>
          <w:rFonts w:hint="eastAsia" w:ascii="宋体" w:hAnsi="宋体"/>
          <w:color w:val="auto"/>
          <w:sz w:val="21"/>
          <w:szCs w:val="21"/>
          <w:highlight w:val="none"/>
        </w:rPr>
        <w:t>一方向另一方提出索赔时，要有正当索赔理由，且有索赔事件发生时的有效证据。</w:t>
      </w:r>
      <w:r>
        <w:rPr>
          <w:rFonts w:ascii="宋体" w:hAnsi="宋体"/>
          <w:color w:val="auto"/>
          <w:sz w:val="21"/>
          <w:szCs w:val="21"/>
          <w:highlight w:val="none"/>
        </w:rPr>
        <w:t xml:space="preserve"> </w:t>
      </w:r>
    </w:p>
    <w:p w14:paraId="3960390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14:paraId="75EAD2B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索赔事件发生后28天内，向工程师发出索赔意向通知； </w:t>
      </w:r>
    </w:p>
    <w:p w14:paraId="27DAD8E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发出索赔意向通知后28天内，向工程师提出延长工期和（或）补偿经济损失的索赔报告及有关资料； </w:t>
      </w:r>
    </w:p>
    <w:p w14:paraId="5C82AF5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工程师在收到承包人送交的索赔报告及有关资料后，于28天内给予答复，或要求承包人进一步补充索赔理由和证据； </w:t>
      </w:r>
    </w:p>
    <w:p w14:paraId="3E9D3BC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工程师在收到承包人送交的索赔报告和有关资料后28天内未予答复或未对承包人作进一步要求，视为该项索赔已经认可； </w:t>
      </w:r>
    </w:p>
    <w:p w14:paraId="01869FF1">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 当该索赔事件持续进行时，承包人应当阶段性向工程师发出索赔意向，在索赔事件终了后28天内，向工程师送交索赔的有关资料和最终索赔报告。索赔答复程序与（3）、（4）规定相同。 </w:t>
      </w:r>
    </w:p>
    <w:p w14:paraId="79BD256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36.3承包人未能按合同约定履行自己的各项义务或发生错误，给发包人造成经济损失，发包人可按36.2款确定的时限向承包人提出索赔。 </w:t>
      </w:r>
    </w:p>
    <w:p w14:paraId="56FC291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37、争议 </w:t>
      </w:r>
    </w:p>
    <w:p w14:paraId="725023F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37.1发包人承包人在履行合同时发生争议，可以和解或者要求有关主管部门调解。当事人不愿和解、调解或者和解、调解不成的，双方可以在专用条款内约定以下一种方式解决争议： </w:t>
      </w:r>
    </w:p>
    <w:p w14:paraId="0159B6E3">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第一种解决方式：双方达成仲裁协议，向约定的仲裁委员会申请仲裁；</w:t>
      </w:r>
      <w:r>
        <w:rPr>
          <w:rFonts w:ascii="宋体" w:hAnsi="宋体"/>
          <w:color w:val="auto"/>
          <w:sz w:val="21"/>
          <w:szCs w:val="21"/>
          <w:highlight w:val="none"/>
        </w:rPr>
        <w:t xml:space="preserve"> </w:t>
      </w:r>
    </w:p>
    <w:p w14:paraId="15E1FDD0">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第二种解决方式：向有管辖权的人民法院起诉。</w:t>
      </w:r>
      <w:r>
        <w:rPr>
          <w:rFonts w:ascii="宋体" w:hAnsi="宋体"/>
          <w:color w:val="auto"/>
          <w:sz w:val="21"/>
          <w:szCs w:val="21"/>
          <w:highlight w:val="none"/>
        </w:rPr>
        <w:t xml:space="preserve"> </w:t>
      </w:r>
    </w:p>
    <w:p w14:paraId="1BF9F2A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37.2发生争议后，除非出现下列情况的，双方都应继续履行合同，保持施工连续，保护好已完工程： </w:t>
      </w:r>
    </w:p>
    <w:p w14:paraId="735475B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单方违约导致合同确已无法履行，双方协议停止施工； </w:t>
      </w:r>
    </w:p>
    <w:p w14:paraId="156D83F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调解要求停止施工，且为双方接受； </w:t>
      </w:r>
    </w:p>
    <w:p w14:paraId="5F926A9A">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仲裁机构要求停止施工； </w:t>
      </w:r>
    </w:p>
    <w:p w14:paraId="0C86FDD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法院要求停止施工。 </w:t>
      </w:r>
    </w:p>
    <w:p w14:paraId="5DA4C552">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十一、其他</w:t>
      </w:r>
      <w:r>
        <w:rPr>
          <w:rFonts w:ascii="宋体" w:hAnsi="宋体"/>
          <w:color w:val="auto"/>
          <w:sz w:val="21"/>
          <w:szCs w:val="21"/>
          <w:highlight w:val="none"/>
        </w:rPr>
        <w:t xml:space="preserve"> </w:t>
      </w:r>
    </w:p>
    <w:p w14:paraId="35A74F5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38、工程分包 </w:t>
      </w:r>
    </w:p>
    <w:p w14:paraId="7DE7362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38.1 承包人按专用条款的约定分包所承包的部分工程，并与分包单位签订分包合同。非经发包人同意，承包人不得将承包工程的任何部分分包。 </w:t>
      </w:r>
    </w:p>
    <w:p w14:paraId="4808500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38.2 承包人不得将其承包的全部工程转包给他人，也不得将其承包的全部工程肢解以后以分包的名义分别转包给他人。 </w:t>
      </w:r>
    </w:p>
    <w:p w14:paraId="586389F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14:paraId="53F9F22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38.4分包工程价款由承包人与分包单位结算。发包人未经承包人同意不得以任何形式向分包单位支付各种工程款项。 </w:t>
      </w:r>
    </w:p>
    <w:p w14:paraId="5486149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39、不可抗力 </w:t>
      </w:r>
    </w:p>
    <w:p w14:paraId="7CF6954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39.1 </w:t>
      </w:r>
      <w:r>
        <w:rPr>
          <w:rFonts w:hint="eastAsia" w:ascii="宋体" w:hAnsi="宋体"/>
          <w:color w:val="auto"/>
          <w:sz w:val="21"/>
          <w:szCs w:val="21"/>
          <w:highlight w:val="none"/>
        </w:rPr>
        <w:t>不可抗力包括因战争、动乱、空中飞行物体坠落或其他非发包人承包人责任造成的爆炸、火灾，以及专用条款约定的风、雨、雪、洪、震等自然灾害。</w:t>
      </w:r>
    </w:p>
    <w:p w14:paraId="25F2D62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14:paraId="19E8858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39.3 </w:t>
      </w:r>
      <w:r>
        <w:rPr>
          <w:rFonts w:hint="eastAsia" w:ascii="宋体" w:hAnsi="宋体"/>
          <w:color w:val="auto"/>
          <w:sz w:val="21"/>
          <w:szCs w:val="21"/>
          <w:highlight w:val="none"/>
        </w:rPr>
        <w:t>因不可抗力事件导致的费用及延误的工期由双方按以下方法分别承担：</w:t>
      </w:r>
    </w:p>
    <w:p w14:paraId="78422AB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w:t>
      </w:r>
      <w:r>
        <w:rPr>
          <w:rFonts w:hint="eastAsia" w:ascii="宋体" w:hAnsi="宋体"/>
          <w:color w:val="auto"/>
          <w:sz w:val="21"/>
          <w:szCs w:val="21"/>
          <w:highlight w:val="none"/>
        </w:rPr>
        <w:t>工程本身的损害、因工程损害导致第三人人员伤亡和财产损失以及运至施工场地用于施工的材料和待安装的设备的损害，由发包人承担；</w:t>
      </w:r>
      <w:r>
        <w:rPr>
          <w:rFonts w:ascii="宋体" w:hAnsi="宋体"/>
          <w:color w:val="auto"/>
          <w:sz w:val="21"/>
          <w:szCs w:val="21"/>
          <w:highlight w:val="none"/>
        </w:rPr>
        <w:t xml:space="preserve"> </w:t>
      </w:r>
    </w:p>
    <w:p w14:paraId="305B4671">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发包人承包人人员伤亡由其所在单位负责，并承担相应费用； </w:t>
      </w:r>
    </w:p>
    <w:p w14:paraId="6D096E9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承包人机械设备损坏及停工损失，由承包人承担； </w:t>
      </w:r>
    </w:p>
    <w:p w14:paraId="226049BA">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停工期间，承包人应工程师要求留在施工场地的必要的管理人员及保卫人员的费用由发包人承担； </w:t>
      </w:r>
    </w:p>
    <w:p w14:paraId="0EED4C7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 工程所需清理、修复费用，由发包人承担； </w:t>
      </w:r>
    </w:p>
    <w:p w14:paraId="7F3E80E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(6) 延误的工期相应顺延。 </w:t>
      </w:r>
    </w:p>
    <w:p w14:paraId="42DBA0C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39.4因合同一方迟延履行合同后发生不可抗力的，不能免除迟延履行方的相应责任。</w:t>
      </w:r>
    </w:p>
    <w:p w14:paraId="76C27FF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40、保险 </w:t>
      </w:r>
    </w:p>
    <w:p w14:paraId="43E982C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40.1工程开工前，发包人为建设工程和施工场地内的自有人员及第三</w:t>
      </w:r>
      <w:r>
        <w:rPr>
          <w:rFonts w:hint="eastAsia" w:ascii="宋体" w:hAnsi="宋体"/>
          <w:color w:val="auto"/>
          <w:sz w:val="21"/>
          <w:szCs w:val="21"/>
          <w:highlight w:val="none"/>
        </w:rPr>
        <w:t>人人员生命财产办理保险，支付保险费用。</w:t>
      </w:r>
      <w:r>
        <w:rPr>
          <w:rFonts w:ascii="宋体" w:hAnsi="宋体"/>
          <w:color w:val="auto"/>
          <w:sz w:val="21"/>
          <w:szCs w:val="21"/>
          <w:highlight w:val="none"/>
        </w:rPr>
        <w:t xml:space="preserve"> </w:t>
      </w:r>
    </w:p>
    <w:p w14:paraId="76B6CF1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40.2运至施工场内用于工程的材料和待安装设备，由发包人办理保险，并支付保险费用。 </w:t>
      </w:r>
    </w:p>
    <w:p w14:paraId="1A01CA6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40.3发包人可以将有关保险事项委托承包人办理，费用由发包人承担。 </w:t>
      </w:r>
    </w:p>
    <w:p w14:paraId="599E561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40.4承包人必须为从事危险作业的职工办理意外伤害保险，并为施工场地内自有人员生命财产和施工机械设备办理保险，支付保险费用。 </w:t>
      </w:r>
    </w:p>
    <w:p w14:paraId="1138572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40.5保险事故发生时，发包人承包人有责任尽力采取必要的措施，防止或者减少损失。 </w:t>
      </w:r>
    </w:p>
    <w:p w14:paraId="5335C7C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40.6具体投保内容和相关责任，发包人承包人在专用条款中约定。 </w:t>
      </w:r>
    </w:p>
    <w:p w14:paraId="1BF91A0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41、担保 </w:t>
      </w:r>
    </w:p>
    <w:p w14:paraId="691D055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41.1发包人、承包人为了全面履行合同，应互相提供以下担保： </w:t>
      </w:r>
    </w:p>
    <w:p w14:paraId="3D6ED41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发包人向承包人提供履约担保，按合同约定支付工程价款及履行合同约定的其他义务。 </w:t>
      </w:r>
    </w:p>
    <w:p w14:paraId="55BEBC7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承包人向发包人提供履约担保，按合同约定履行自己的各项义务。 </w:t>
      </w:r>
    </w:p>
    <w:p w14:paraId="28230B1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41.2 一方违约后，另一方可要求提供担保的第三人承担相应责任。 </w:t>
      </w:r>
    </w:p>
    <w:p w14:paraId="7157D0C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41.3 提供担保的内容、方式和相关责任，发包人承包人除在专用条款中约定外，被担保方与担保方还应签订担保合同，作为本合同附件。 </w:t>
      </w:r>
    </w:p>
    <w:p w14:paraId="5D24988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42、专利技术及特殊工艺 </w:t>
      </w:r>
    </w:p>
    <w:p w14:paraId="0CF8EAD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42.1 </w:t>
      </w:r>
      <w:r>
        <w:rPr>
          <w:rFonts w:hint="eastAsia" w:ascii="宋体" w:hAnsi="宋体"/>
          <w:color w:val="auto"/>
          <w:sz w:val="21"/>
          <w:szCs w:val="21"/>
          <w:highlight w:val="none"/>
        </w:rPr>
        <w:t>发包人要求使用专利技术或特殊工艺，应负责办理相应的申报手续，承担申报、试验、使用等费用；承包人提出使用专利技术或特殊工艺，应取得工程师认可，承包人负责办理申报手续并承担有关费用。</w:t>
      </w:r>
      <w:r>
        <w:rPr>
          <w:rFonts w:ascii="宋体" w:hAnsi="宋体"/>
          <w:color w:val="auto"/>
          <w:sz w:val="21"/>
          <w:szCs w:val="21"/>
          <w:highlight w:val="none"/>
        </w:rPr>
        <w:t xml:space="preserve"> </w:t>
      </w:r>
    </w:p>
    <w:p w14:paraId="354EC06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42.2 擅自使用专利技术侵犯他人专利权的，责任者依法承担相应责任。 </w:t>
      </w:r>
    </w:p>
    <w:p w14:paraId="66599F7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43、文物和地下障碍物 </w:t>
      </w:r>
    </w:p>
    <w:p w14:paraId="5BFC270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43.1 </w:t>
      </w:r>
      <w:r>
        <w:rPr>
          <w:rFonts w:hint="eastAsia" w:ascii="宋体" w:hAnsi="宋体"/>
          <w:color w:val="auto"/>
          <w:sz w:val="21"/>
          <w:szCs w:val="21"/>
          <w:highlight w:val="none"/>
        </w:rPr>
        <w:t>在施工中发现古墓、古建筑遗址等文物及化石或其他有考古、地质研究等价值的物品时，承包人应立即保护好现场并于</w:t>
      </w:r>
      <w:r>
        <w:rPr>
          <w:rFonts w:ascii="宋体" w:hAnsi="宋体"/>
          <w:color w:val="auto"/>
          <w:sz w:val="21"/>
          <w:szCs w:val="21"/>
          <w:highlight w:val="none"/>
        </w:rPr>
        <w:t>4小时内以书面形式通知工程师，工程师应于收到书面通知后24小时内报告当地文物管理部门，发包人承包人按文物管理部门的要求采取妥善保护措施。发包人承担由此发生的费用，顺延延误的工期。</w:t>
      </w:r>
    </w:p>
    <w:p w14:paraId="0947E376">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如发现后隐瞒不报，致使文物遭受破坏，责任者依法承担相应责任。</w:t>
      </w:r>
      <w:r>
        <w:rPr>
          <w:rFonts w:ascii="宋体" w:hAnsi="宋体"/>
          <w:color w:val="auto"/>
          <w:sz w:val="21"/>
          <w:szCs w:val="21"/>
          <w:highlight w:val="none"/>
        </w:rPr>
        <w:t xml:space="preserve"> </w:t>
      </w:r>
    </w:p>
    <w:p w14:paraId="1ECCBDAA">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43.2 </w:t>
      </w:r>
      <w:r>
        <w:rPr>
          <w:rFonts w:hint="eastAsia" w:ascii="宋体" w:hAnsi="宋体"/>
          <w:color w:val="auto"/>
          <w:sz w:val="21"/>
          <w:szCs w:val="21"/>
          <w:highlight w:val="none"/>
        </w:rPr>
        <w:t>施工中发现影响施工的地下障碍物时，承包人应于</w:t>
      </w:r>
      <w:r>
        <w:rPr>
          <w:rFonts w:ascii="宋体" w:hAnsi="宋体"/>
          <w:color w:val="auto"/>
          <w:sz w:val="21"/>
          <w:szCs w:val="21"/>
          <w:highlight w:val="none"/>
        </w:rPr>
        <w:t>8小时内以书面形式通知工程师，同时提出处置</w:t>
      </w:r>
      <w:r>
        <w:rPr>
          <w:rFonts w:hint="eastAsia" w:ascii="宋体" w:hAnsi="宋体"/>
          <w:color w:val="auto"/>
          <w:sz w:val="21"/>
          <w:szCs w:val="21"/>
          <w:highlight w:val="none"/>
        </w:rPr>
        <w:t>方案，工程师收到</w:t>
      </w:r>
      <w:r>
        <w:rPr>
          <w:rFonts w:ascii="宋体" w:hAnsi="宋体"/>
          <w:color w:val="auto"/>
          <w:sz w:val="21"/>
          <w:szCs w:val="21"/>
          <w:highlight w:val="none"/>
        </w:rPr>
        <w:t>处置</w:t>
      </w:r>
      <w:r>
        <w:rPr>
          <w:rFonts w:hint="eastAsia" w:ascii="宋体" w:hAnsi="宋体"/>
          <w:color w:val="auto"/>
          <w:sz w:val="21"/>
          <w:szCs w:val="21"/>
          <w:highlight w:val="none"/>
        </w:rPr>
        <w:t>方案后</w:t>
      </w:r>
      <w:r>
        <w:rPr>
          <w:rFonts w:ascii="宋体" w:hAnsi="宋体"/>
          <w:color w:val="auto"/>
          <w:sz w:val="21"/>
          <w:szCs w:val="21"/>
          <w:highlight w:val="none"/>
        </w:rPr>
        <w:t>24小时内予以认可或提出修正方案。发包人承担由此发生的费用，顺延延误的工期。</w:t>
      </w:r>
    </w:p>
    <w:p w14:paraId="7E1256CB">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所发现的地下障碍物有归属单位时，发包人应报请有关部门协同处置。</w:t>
      </w:r>
      <w:r>
        <w:rPr>
          <w:rFonts w:ascii="宋体" w:hAnsi="宋体"/>
          <w:color w:val="auto"/>
          <w:sz w:val="21"/>
          <w:szCs w:val="21"/>
          <w:highlight w:val="none"/>
        </w:rPr>
        <w:t xml:space="preserve"> </w:t>
      </w:r>
    </w:p>
    <w:p w14:paraId="53229D8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44、合同解除 </w:t>
      </w:r>
    </w:p>
    <w:p w14:paraId="1121CFF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44.1 发包人承包人协商一致，可以解除合同。 </w:t>
      </w:r>
    </w:p>
    <w:p w14:paraId="49EC700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44.2 发生本通用条款第26.4款情况，停止施工超过56天，发包人仍不支付工程款（进度款），承包人有权解除合同。 </w:t>
      </w:r>
    </w:p>
    <w:p w14:paraId="22DC16A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44.3 发生本通用条款第38.2款禁止的情况，承包人将其承包的全部工程转包给他人或者肢解以后以分包的名义分别转包给他人，发包人有权解除合同。 </w:t>
      </w:r>
    </w:p>
    <w:p w14:paraId="4937D35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44.4 有下列情形之一的，发包人承包人可以解除合同： </w:t>
      </w:r>
    </w:p>
    <w:p w14:paraId="4650197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因不可抗力致使合同无法履行； </w:t>
      </w:r>
    </w:p>
    <w:p w14:paraId="4488F13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w:t>
      </w:r>
      <w:r>
        <w:rPr>
          <w:rFonts w:hint="eastAsia" w:ascii="宋体" w:hAnsi="宋体"/>
          <w:color w:val="auto"/>
          <w:sz w:val="21"/>
          <w:szCs w:val="21"/>
          <w:highlight w:val="none"/>
        </w:rPr>
        <w:t>因一方违约（包括因发包人原因造成工程停建或缓建）致使合同无法履行。</w:t>
      </w:r>
    </w:p>
    <w:p w14:paraId="1F711C1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14:paraId="71943D7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w:t>
      </w:r>
      <w:r>
        <w:rPr>
          <w:rFonts w:hint="eastAsia" w:ascii="宋体" w:hAnsi="宋体"/>
          <w:color w:val="auto"/>
          <w:sz w:val="21"/>
          <w:szCs w:val="21"/>
          <w:highlight w:val="none"/>
        </w:rPr>
        <w:t>合同解除给对方造成的损失。</w:t>
      </w:r>
      <w:r>
        <w:rPr>
          <w:rFonts w:ascii="宋体" w:hAnsi="宋体"/>
          <w:color w:val="auto"/>
          <w:sz w:val="21"/>
          <w:szCs w:val="21"/>
          <w:highlight w:val="none"/>
        </w:rPr>
        <w:t xml:space="preserve"> </w:t>
      </w:r>
    </w:p>
    <w:p w14:paraId="30F1C7F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44.7合同解除后，不影响双方在合同中约定的结算和清理条款的效力。 </w:t>
      </w:r>
    </w:p>
    <w:p w14:paraId="4E23481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45、合同生效与终止 </w:t>
      </w:r>
    </w:p>
    <w:p w14:paraId="7488780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45.1双方在协议书中约定合同生效方式。 </w:t>
      </w:r>
    </w:p>
    <w:p w14:paraId="4674300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45.2除本通用条款第34条外，发包人承包人履行合同全部义务，竣工结算价款支付完毕，承包人向发包人交付竣工工程后，本合同即告终止。 </w:t>
      </w:r>
    </w:p>
    <w:p w14:paraId="48E8620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45.3合同的权利义务终止后，发包人承包人应当遵循诚实信用原则，履行通知、协助、保密等义务。 </w:t>
      </w:r>
    </w:p>
    <w:p w14:paraId="461389F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46、合同份数 </w:t>
      </w:r>
    </w:p>
    <w:p w14:paraId="3692C5B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46.1本合同正本两份，具有同等效力，由发包人承包人分别保存一份。 </w:t>
      </w:r>
    </w:p>
    <w:p w14:paraId="5255870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46.2本合同副本份数，由双方根据需要在专用条款内约定。 </w:t>
      </w:r>
    </w:p>
    <w:p w14:paraId="5C22B33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47、补充条款 </w:t>
      </w:r>
    </w:p>
    <w:p w14:paraId="359BEB0F">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双方根据有关法律、行政法规规定，结合工程实际，经协商一致后，可对本通用条款内容具体化，补充或修改，在专用条款内约定。</w:t>
      </w:r>
    </w:p>
    <w:p w14:paraId="5B930B58">
      <w:pPr>
        <w:spacing w:line="440" w:lineRule="exact"/>
        <w:ind w:firstLine="359" w:firstLineChars="171"/>
        <w:jc w:val="center"/>
        <w:rPr>
          <w:rFonts w:ascii="宋体" w:hAnsi="宋体"/>
          <w:b/>
          <w:color w:val="auto"/>
          <w:sz w:val="28"/>
          <w:szCs w:val="28"/>
          <w:highlight w:val="none"/>
        </w:rPr>
      </w:pPr>
      <w:r>
        <w:rPr>
          <w:rFonts w:ascii="宋体" w:hAnsi="宋体"/>
          <w:color w:val="auto"/>
          <w:sz w:val="21"/>
          <w:szCs w:val="21"/>
          <w:highlight w:val="none"/>
        </w:rPr>
        <w:br w:type="page"/>
      </w:r>
      <w:r>
        <w:rPr>
          <w:rFonts w:hint="eastAsia" w:ascii="宋体" w:hAnsi="宋体"/>
          <w:b/>
          <w:color w:val="auto"/>
          <w:sz w:val="28"/>
          <w:szCs w:val="28"/>
          <w:highlight w:val="none"/>
        </w:rPr>
        <w:t>第三部分</w:t>
      </w:r>
      <w:r>
        <w:rPr>
          <w:rFonts w:ascii="宋体" w:hAnsi="宋体"/>
          <w:b/>
          <w:color w:val="auto"/>
          <w:sz w:val="28"/>
          <w:szCs w:val="28"/>
          <w:highlight w:val="none"/>
        </w:rPr>
        <w:t xml:space="preserve">  </w:t>
      </w:r>
      <w:r>
        <w:rPr>
          <w:rFonts w:hint="eastAsia" w:ascii="宋体" w:hAnsi="宋体"/>
          <w:b/>
          <w:color w:val="auto"/>
          <w:sz w:val="28"/>
          <w:szCs w:val="28"/>
          <w:highlight w:val="none"/>
        </w:rPr>
        <w:t>专用条款</w:t>
      </w:r>
    </w:p>
    <w:p w14:paraId="26A1104F">
      <w:pPr>
        <w:snapToGrid w:val="0"/>
        <w:spacing w:line="440" w:lineRule="exact"/>
        <w:ind w:firstLine="397"/>
        <w:rPr>
          <w:rFonts w:ascii="宋体" w:hAnsi="宋体"/>
          <w:b/>
          <w:color w:val="auto"/>
          <w:sz w:val="24"/>
          <w:highlight w:val="none"/>
        </w:rPr>
      </w:pPr>
    </w:p>
    <w:p w14:paraId="6FD8E982">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一、词语定义及合同文件</w:t>
      </w:r>
    </w:p>
    <w:p w14:paraId="06D78096">
      <w:pPr>
        <w:snapToGrid w:val="0"/>
        <w:spacing w:line="440" w:lineRule="exact"/>
        <w:ind w:firstLine="480" w:firstLineChars="200"/>
        <w:rPr>
          <w:rFonts w:ascii="宋体" w:hAnsi="宋体" w:cs="宋体"/>
          <w:color w:val="auto"/>
          <w:sz w:val="24"/>
          <w:szCs w:val="24"/>
          <w:highlight w:val="none"/>
        </w:rPr>
      </w:pPr>
      <w:r>
        <w:rPr>
          <w:rFonts w:ascii="宋体" w:hAnsi="宋体" w:cs="宋体"/>
          <w:b/>
          <w:bCs/>
          <w:color w:val="auto"/>
          <w:sz w:val="24"/>
          <w:highlight w:val="none"/>
        </w:rPr>
        <w:t>1.</w:t>
      </w:r>
      <w:r>
        <w:rPr>
          <w:rFonts w:hint="eastAsia" w:ascii="宋体" w:hAnsi="宋体" w:cs="宋体"/>
          <w:b/>
          <w:bCs/>
          <w:color w:val="auto"/>
          <w:sz w:val="24"/>
          <w:highlight w:val="none"/>
        </w:rPr>
        <w:t>词语定义</w:t>
      </w:r>
    </w:p>
    <w:p w14:paraId="1E53EC5E">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1.6</w:t>
      </w:r>
      <w:r>
        <w:rPr>
          <w:rFonts w:hint="eastAsia" w:ascii="宋体" w:hAnsi="宋体" w:cs="宋体"/>
          <w:color w:val="auto"/>
          <w:sz w:val="24"/>
          <w:szCs w:val="24"/>
          <w:highlight w:val="none"/>
        </w:rPr>
        <w:t>设计单位</w:t>
      </w:r>
    </w:p>
    <w:p w14:paraId="5587BDD0">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本合同工程的设计单位是：</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734C3ECE">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1.7</w:t>
      </w:r>
      <w:r>
        <w:rPr>
          <w:rFonts w:hint="eastAsia" w:ascii="宋体" w:hAnsi="宋体" w:cs="宋体"/>
          <w:color w:val="auto"/>
          <w:sz w:val="24"/>
          <w:szCs w:val="24"/>
          <w:highlight w:val="none"/>
        </w:rPr>
        <w:t>监理单位</w:t>
      </w:r>
    </w:p>
    <w:p w14:paraId="2B5B3080">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本合同工程的监理单位是：</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p>
    <w:p w14:paraId="5079C776">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1.24招标控制价：</w:t>
      </w:r>
      <w:r>
        <w:rPr>
          <w:rFonts w:hint="eastAsia" w:ascii="宋体" w:hAnsi="宋体" w:cs="宋体"/>
          <w:color w:val="auto"/>
          <w:sz w:val="24"/>
          <w:szCs w:val="24"/>
          <w:highlight w:val="none"/>
          <w:u w:val="single"/>
        </w:rPr>
        <w:t>指经招标人确定的最高投标限价，并在广州公共资源交易中心开发区、黄埔区交易部公示</w:t>
      </w:r>
      <w:r>
        <w:rPr>
          <w:rFonts w:hint="eastAsia" w:ascii="宋体" w:hAnsi="宋体" w:cs="宋体"/>
          <w:color w:val="auto"/>
          <w:sz w:val="24"/>
          <w:szCs w:val="24"/>
          <w:highlight w:val="none"/>
        </w:rPr>
        <w:t>。</w:t>
      </w:r>
    </w:p>
    <w:p w14:paraId="6AE307B5">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1.25中标下浮率：</w:t>
      </w:r>
      <w:r>
        <w:rPr>
          <w:rFonts w:hint="eastAsia" w:ascii="宋体" w:hAnsi="宋体" w:cs="宋体"/>
          <w:color w:val="auto"/>
          <w:sz w:val="24"/>
          <w:szCs w:val="24"/>
          <w:highlight w:val="none"/>
          <w:u w:val="single"/>
        </w:rPr>
        <w:t>中标下浮率</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1-中标价格÷招标控制价</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100%,</w:t>
      </w:r>
      <w:r>
        <w:rPr>
          <w:rFonts w:hint="eastAsia" w:ascii="宋体" w:hAnsi="宋体" w:cs="宋体"/>
          <w:color w:val="auto"/>
          <w:sz w:val="24"/>
          <w:szCs w:val="24"/>
          <w:highlight w:val="none"/>
          <w:u w:val="single"/>
        </w:rPr>
        <w:t>式中的中标价格及招标控制价均不含不可竞争的</w:t>
      </w:r>
      <w:r>
        <w:rPr>
          <w:rFonts w:hint="eastAsia" w:ascii="宋体" w:hAnsi="宋体" w:cs="宋体"/>
          <w:color w:val="auto"/>
          <w:sz w:val="24"/>
          <w:highlight w:val="none"/>
        </w:rPr>
        <w:t>安全</w:t>
      </w:r>
      <w:r>
        <w:rPr>
          <w:rFonts w:hint="eastAsia" w:ascii="宋体" w:hAnsi="宋体" w:cs="宋体"/>
          <w:color w:val="auto"/>
          <w:sz w:val="24"/>
          <w:highlight w:val="none"/>
          <w:lang w:val="en-US" w:eastAsia="zh-CN"/>
        </w:rPr>
        <w:t>生产</w:t>
      </w:r>
      <w:r>
        <w:rPr>
          <w:rFonts w:hint="eastAsia" w:ascii="宋体" w:hAnsi="宋体" w:cs="宋体"/>
          <w:color w:val="auto"/>
          <w:sz w:val="24"/>
          <w:highlight w:val="none"/>
        </w:rPr>
        <w:t>措施费及暂列金额</w:t>
      </w:r>
      <w:r>
        <w:rPr>
          <w:rFonts w:hint="eastAsia" w:ascii="宋体" w:hAnsi="宋体" w:cs="宋体"/>
          <w:color w:val="auto"/>
          <w:sz w:val="24"/>
          <w:highlight w:val="none"/>
          <w:lang w:val="en-US" w:eastAsia="zh-CN"/>
        </w:rPr>
        <w:t>及暂估价</w:t>
      </w:r>
      <w:r>
        <w:rPr>
          <w:rFonts w:hint="eastAsia" w:ascii="宋体" w:hAnsi="宋体" w:cs="宋体"/>
          <w:color w:val="auto"/>
          <w:sz w:val="24"/>
          <w:szCs w:val="24"/>
          <w:highlight w:val="none"/>
          <w:u w:val="single"/>
        </w:rPr>
        <w:t>。</w:t>
      </w:r>
    </w:p>
    <w:p w14:paraId="50E75DB3">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1.26工人工资比例=</w:t>
      </w:r>
      <w:r>
        <w:rPr>
          <w:rFonts w:hint="eastAsia" w:ascii="宋体" w:hAnsi="宋体" w:cs="宋体"/>
          <w:color w:val="auto"/>
          <w:sz w:val="24"/>
          <w:szCs w:val="24"/>
          <w:highlight w:val="none"/>
        </w:rPr>
        <w:t>中标的人工费金额</w:t>
      </w:r>
      <w:r>
        <w:rPr>
          <w:rFonts w:ascii="宋体" w:hAnsi="宋体" w:cs="宋体"/>
          <w:color w:val="auto"/>
          <w:sz w:val="24"/>
          <w:szCs w:val="24"/>
          <w:highlight w:val="none"/>
        </w:rPr>
        <w:t>÷</w:t>
      </w:r>
      <w:r>
        <w:rPr>
          <w:rFonts w:hint="eastAsia" w:ascii="宋体" w:hAnsi="宋体" w:cs="宋体"/>
          <w:color w:val="auto"/>
          <w:sz w:val="24"/>
          <w:szCs w:val="24"/>
          <w:highlight w:val="none"/>
        </w:rPr>
        <w:t>中标价格</w:t>
      </w:r>
    </w:p>
    <w:p w14:paraId="7E5FDADD">
      <w:pPr>
        <w:snapToGrid w:val="0"/>
        <w:spacing w:line="440" w:lineRule="exact"/>
        <w:ind w:firstLine="480" w:firstLineChars="200"/>
        <w:rPr>
          <w:rFonts w:ascii="宋体" w:hAnsi="宋体" w:cs="宋体"/>
          <w:b/>
          <w:color w:val="auto"/>
          <w:sz w:val="24"/>
          <w:highlight w:val="none"/>
        </w:rPr>
      </w:pPr>
      <w:r>
        <w:rPr>
          <w:rFonts w:ascii="宋体" w:hAnsi="宋体" w:cs="宋体"/>
          <w:b/>
          <w:color w:val="auto"/>
          <w:sz w:val="24"/>
          <w:highlight w:val="none"/>
        </w:rPr>
        <w:t>2</w:t>
      </w:r>
      <w:r>
        <w:rPr>
          <w:rFonts w:hint="eastAsia" w:ascii="宋体" w:hAnsi="宋体" w:cs="宋体"/>
          <w:b/>
          <w:color w:val="auto"/>
          <w:sz w:val="24"/>
          <w:highlight w:val="none"/>
        </w:rPr>
        <w:t>、合同文件及解释顺序</w:t>
      </w:r>
    </w:p>
    <w:p w14:paraId="56AC622D">
      <w:pPr>
        <w:snapToGrid w:val="0"/>
        <w:spacing w:line="440" w:lineRule="exact"/>
        <w:ind w:firstLine="397"/>
        <w:rPr>
          <w:rFonts w:ascii="宋体" w:hAnsi="宋体" w:cs="宋体"/>
          <w:b/>
          <w:color w:val="auto"/>
          <w:sz w:val="24"/>
          <w:highlight w:val="none"/>
        </w:rPr>
      </w:pPr>
      <w:r>
        <w:rPr>
          <w:rFonts w:hint="eastAsia" w:ascii="宋体" w:hAnsi="宋体" w:cs="宋体"/>
          <w:color w:val="auto"/>
          <w:sz w:val="24"/>
          <w:szCs w:val="24"/>
          <w:highlight w:val="none"/>
        </w:rPr>
        <w:t>2.1合同文件组成及解释顺序：1、本合同履行期间发包人与承包人双方签订的补充合同（协议）或修正文件；2、本合同协议书；3、国家、广东省、广州市、广州开发区黄埔区关于本工程施工的有关文件（发包人在收到后尽快通报给承包人）；4、建设业主针对本工程建设管理的各项制度、规定；5、中标通知书；6、本合同专用条款；7、招标文件及附件（包括补充、修改、澄清文件及答疑纪要等）； 8、本合同通用条款；9、投标文件及附件；10、标准、规范和其他有关技术文件；11、图纸；12、已标价工程量清单或预算书；13、联合体协议（如果有）；14、合同附件（工程质量保修责任书、标函承诺书、项目负责人驻场承诺书、工程建设廉政协议书等）。</w:t>
      </w:r>
      <w:r>
        <w:rPr>
          <w:rFonts w:ascii="宋体" w:hAnsi="宋体" w:cs="宋体"/>
          <w:b/>
          <w:color w:val="auto"/>
          <w:sz w:val="24"/>
          <w:highlight w:val="none"/>
        </w:rPr>
        <w:t>3</w:t>
      </w:r>
      <w:r>
        <w:rPr>
          <w:rFonts w:hint="eastAsia" w:ascii="宋体" w:hAnsi="宋体" w:cs="宋体"/>
          <w:b/>
          <w:color w:val="auto"/>
          <w:sz w:val="24"/>
          <w:highlight w:val="none"/>
        </w:rPr>
        <w:t>、语言文字和适用法律、标准及规范</w:t>
      </w:r>
    </w:p>
    <w:p w14:paraId="026A8D77">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3.1</w:t>
      </w:r>
      <w:r>
        <w:rPr>
          <w:rFonts w:hint="eastAsia" w:ascii="宋体" w:hAnsi="宋体" w:cs="宋体"/>
          <w:color w:val="auto"/>
          <w:sz w:val="24"/>
          <w:szCs w:val="24"/>
          <w:highlight w:val="none"/>
        </w:rPr>
        <w:t>本合同除使用汉语外，还使用</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语言文字。</w:t>
      </w:r>
    </w:p>
    <w:p w14:paraId="0DAE638C">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3.2</w:t>
      </w:r>
      <w:r>
        <w:rPr>
          <w:rFonts w:hint="eastAsia" w:ascii="宋体" w:hAnsi="宋体" w:cs="宋体"/>
          <w:color w:val="auto"/>
          <w:sz w:val="24"/>
          <w:szCs w:val="24"/>
          <w:highlight w:val="none"/>
        </w:rPr>
        <w:t>适用法律和法规</w:t>
      </w:r>
    </w:p>
    <w:p w14:paraId="332F861C">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需要明示的法律、行政法规：</w:t>
      </w:r>
      <w:r>
        <w:rPr>
          <w:rFonts w:hint="eastAsia" w:ascii="宋体" w:hAnsi="宋体" w:cs="宋体"/>
          <w:color w:val="auto"/>
          <w:sz w:val="24"/>
          <w:szCs w:val="24"/>
          <w:highlight w:val="none"/>
          <w:u w:val="single"/>
        </w:rPr>
        <w:t>按照现行的法律、法规</w:t>
      </w:r>
      <w:r>
        <w:rPr>
          <w:rFonts w:hint="eastAsia" w:ascii="宋体" w:hAnsi="宋体" w:cs="宋体"/>
          <w:color w:val="auto"/>
          <w:sz w:val="24"/>
          <w:szCs w:val="24"/>
          <w:highlight w:val="none"/>
        </w:rPr>
        <w:t>。</w:t>
      </w:r>
    </w:p>
    <w:p w14:paraId="25FB2FB6">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3.3</w:t>
      </w:r>
      <w:r>
        <w:rPr>
          <w:rFonts w:hint="eastAsia" w:ascii="宋体" w:hAnsi="宋体" w:cs="宋体"/>
          <w:color w:val="auto"/>
          <w:sz w:val="24"/>
          <w:szCs w:val="24"/>
          <w:highlight w:val="none"/>
        </w:rPr>
        <w:t>适用标准、规范</w:t>
      </w:r>
    </w:p>
    <w:p w14:paraId="76821F2A">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适用标准、规范的名称：</w:t>
      </w:r>
      <w:r>
        <w:rPr>
          <w:rFonts w:hint="eastAsia" w:ascii="宋体" w:hAnsi="宋体" w:cs="宋体"/>
          <w:color w:val="auto"/>
          <w:sz w:val="24"/>
          <w:szCs w:val="24"/>
          <w:highlight w:val="none"/>
          <w:u w:val="single"/>
        </w:rPr>
        <w:t>相应工种现行施工规范</w:t>
      </w:r>
      <w:r>
        <w:rPr>
          <w:rFonts w:hint="eastAsia" w:ascii="宋体" w:hAnsi="宋体" w:cs="宋体"/>
          <w:color w:val="auto"/>
          <w:sz w:val="24"/>
          <w:szCs w:val="24"/>
          <w:highlight w:val="none"/>
        </w:rPr>
        <w:t>。</w:t>
      </w:r>
    </w:p>
    <w:p w14:paraId="133F2880">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发包人提供标准、规范的时间：</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50B0111F">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国内没有相应标准、规范时的约定：</w:t>
      </w:r>
      <w:r>
        <w:rPr>
          <w:rFonts w:hint="eastAsia" w:ascii="宋体" w:hAnsi="宋体" w:cs="宋体"/>
          <w:color w:val="auto"/>
          <w:sz w:val="24"/>
          <w:szCs w:val="24"/>
          <w:highlight w:val="none"/>
          <w:u w:val="single"/>
        </w:rPr>
        <w:t>按施工图纸，招标文件和广州开发区相关规定及答疑纪要的要求执行</w:t>
      </w:r>
      <w:r>
        <w:rPr>
          <w:rFonts w:hint="eastAsia" w:ascii="宋体" w:hAnsi="宋体" w:cs="宋体"/>
          <w:color w:val="auto"/>
          <w:sz w:val="24"/>
          <w:szCs w:val="24"/>
          <w:highlight w:val="none"/>
        </w:rPr>
        <w:t>。</w:t>
      </w:r>
    </w:p>
    <w:p w14:paraId="5016554D">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4</w:t>
      </w:r>
      <w:r>
        <w:rPr>
          <w:rFonts w:hint="eastAsia" w:ascii="宋体" w:hAnsi="宋体" w:cs="宋体"/>
          <w:b/>
          <w:color w:val="auto"/>
          <w:sz w:val="24"/>
          <w:highlight w:val="none"/>
        </w:rPr>
        <w:t>、图纸</w:t>
      </w:r>
    </w:p>
    <w:p w14:paraId="6D4B3B66">
      <w:pPr>
        <w:snapToGrid w:val="0"/>
        <w:spacing w:line="440" w:lineRule="exact"/>
        <w:ind w:firstLine="315"/>
        <w:rPr>
          <w:rFonts w:ascii="宋体" w:hAnsi="宋体" w:cs="宋体"/>
          <w:color w:val="auto"/>
          <w:sz w:val="24"/>
          <w:szCs w:val="24"/>
          <w:highlight w:val="none"/>
          <w:u w:val="single"/>
        </w:rPr>
      </w:pPr>
      <w:r>
        <w:rPr>
          <w:rFonts w:ascii="宋体" w:hAnsi="宋体" w:cs="宋体"/>
          <w:color w:val="auto"/>
          <w:sz w:val="24"/>
          <w:szCs w:val="24"/>
          <w:highlight w:val="none"/>
        </w:rPr>
        <w:t>4.1</w:t>
      </w:r>
      <w:r>
        <w:rPr>
          <w:rFonts w:hint="eastAsia" w:ascii="宋体" w:hAnsi="宋体" w:cs="宋体"/>
          <w:color w:val="auto"/>
          <w:sz w:val="24"/>
          <w:szCs w:val="24"/>
          <w:highlight w:val="none"/>
        </w:rPr>
        <w:t>发包人向承包人提供图纸日期和套数：</w:t>
      </w:r>
      <w:r>
        <w:rPr>
          <w:rFonts w:hint="eastAsia" w:ascii="宋体" w:hAnsi="宋体" w:cs="宋体"/>
          <w:color w:val="auto"/>
          <w:sz w:val="24"/>
          <w:szCs w:val="24"/>
          <w:highlight w:val="none"/>
          <w:u w:val="single"/>
        </w:rPr>
        <w:t>开工前提供肆套图纸</w:t>
      </w:r>
      <w:r>
        <w:rPr>
          <w:rFonts w:hint="eastAsia" w:ascii="宋体" w:hAnsi="宋体" w:cs="宋体"/>
          <w:color w:val="auto"/>
          <w:sz w:val="24"/>
          <w:szCs w:val="24"/>
          <w:highlight w:val="none"/>
        </w:rPr>
        <w:t>。</w:t>
      </w:r>
    </w:p>
    <w:p w14:paraId="0DC2D390">
      <w:pPr>
        <w:snapToGrid w:val="0"/>
        <w:spacing w:line="440" w:lineRule="exact"/>
        <w:ind w:left="997" w:leftChars="132" w:hanging="720" w:hangingChars="300"/>
        <w:rPr>
          <w:rFonts w:ascii="宋体" w:hAnsi="宋体" w:cs="宋体"/>
          <w:color w:val="auto"/>
          <w:sz w:val="24"/>
          <w:szCs w:val="24"/>
          <w:highlight w:val="none"/>
          <w:u w:val="single"/>
        </w:rPr>
      </w:pPr>
      <w:r>
        <w:rPr>
          <w:rFonts w:hint="eastAsia" w:ascii="宋体" w:hAnsi="宋体" w:cs="宋体"/>
          <w:color w:val="auto"/>
          <w:sz w:val="24"/>
          <w:szCs w:val="24"/>
          <w:highlight w:val="none"/>
        </w:rPr>
        <w:t>发包人对图纸的保密要求：</w:t>
      </w:r>
      <w:r>
        <w:rPr>
          <w:rFonts w:hint="eastAsia" w:ascii="宋体" w:hAnsi="宋体" w:cs="宋体"/>
          <w:color w:val="auto"/>
          <w:sz w:val="24"/>
          <w:szCs w:val="24"/>
          <w:highlight w:val="none"/>
          <w:u w:val="single"/>
        </w:rPr>
        <w:t>按本合同通用条款</w:t>
      </w:r>
      <w:r>
        <w:rPr>
          <w:rFonts w:hint="eastAsia" w:ascii="宋体" w:hAnsi="宋体" w:cs="宋体"/>
          <w:color w:val="auto"/>
          <w:sz w:val="24"/>
          <w:szCs w:val="24"/>
          <w:highlight w:val="none"/>
        </w:rPr>
        <w:t>。</w:t>
      </w:r>
    </w:p>
    <w:p w14:paraId="30E0B2C5">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使用国外图纸的要求及费用承担：</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70C13011">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二、双方一般权利和义务</w:t>
      </w:r>
    </w:p>
    <w:p w14:paraId="42B053A0">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5</w:t>
      </w:r>
      <w:r>
        <w:rPr>
          <w:rFonts w:hint="eastAsia" w:ascii="宋体" w:hAnsi="宋体" w:cs="宋体"/>
          <w:b/>
          <w:color w:val="auto"/>
          <w:sz w:val="24"/>
          <w:highlight w:val="none"/>
        </w:rPr>
        <w:t>、工程师</w:t>
      </w:r>
    </w:p>
    <w:p w14:paraId="10E6C13D">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rPr>
        <w:t>监理单位委派的工程师</w:t>
      </w:r>
    </w:p>
    <w:p w14:paraId="0C3D1885">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姓名：</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总监理工程师</w:t>
      </w:r>
      <w:r>
        <w:rPr>
          <w:rFonts w:hint="eastAsia" w:ascii="宋体" w:hAnsi="宋体" w:cs="宋体"/>
          <w:color w:val="auto"/>
          <w:sz w:val="24"/>
          <w:szCs w:val="24"/>
          <w:highlight w:val="none"/>
        </w:rPr>
        <w:t>。</w:t>
      </w:r>
    </w:p>
    <w:p w14:paraId="761A21B8">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发包人委托的职权：</w:t>
      </w:r>
      <w:r>
        <w:rPr>
          <w:rFonts w:hint="eastAsia" w:ascii="宋体" w:hAnsi="宋体" w:cs="宋体"/>
          <w:color w:val="auto"/>
          <w:sz w:val="24"/>
          <w:szCs w:val="24"/>
          <w:highlight w:val="none"/>
          <w:u w:val="single"/>
        </w:rPr>
        <w:t>对本工程进行全过程的监理</w:t>
      </w:r>
      <w:r>
        <w:rPr>
          <w:rFonts w:hint="eastAsia" w:ascii="宋体" w:hAnsi="宋体" w:cs="宋体"/>
          <w:color w:val="auto"/>
          <w:sz w:val="24"/>
          <w:szCs w:val="24"/>
          <w:highlight w:val="none"/>
        </w:rPr>
        <w:t>。</w:t>
      </w:r>
    </w:p>
    <w:p w14:paraId="453A4E98">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需要取得发包人批准才能行使的职权：</w:t>
      </w:r>
      <w:r>
        <w:rPr>
          <w:rFonts w:hint="eastAsia" w:ascii="宋体" w:hAnsi="宋体" w:cs="宋体"/>
          <w:color w:val="auto"/>
          <w:sz w:val="24"/>
          <w:szCs w:val="24"/>
          <w:highlight w:val="none"/>
          <w:u w:val="single"/>
        </w:rPr>
        <w:t>按发包人与监理单位签订的监理合同有关规定执行，涉及变更签证或费用</w:t>
      </w:r>
      <w:r>
        <w:rPr>
          <w:rFonts w:hint="eastAsia" w:ascii="宋体" w:hAnsi="宋体" w:cs="宋体"/>
          <w:color w:val="auto"/>
          <w:sz w:val="24"/>
          <w:szCs w:val="24"/>
          <w:highlight w:val="none"/>
        </w:rPr>
        <w:t>调整、发布开工、停工、复工令等均需经</w:t>
      </w:r>
      <w:r>
        <w:rPr>
          <w:rFonts w:hint="eastAsia" w:ascii="宋体" w:hAnsi="宋体" w:cs="宋体"/>
          <w:color w:val="auto"/>
          <w:sz w:val="24"/>
          <w:szCs w:val="24"/>
          <w:highlight w:val="none"/>
          <w:u w:val="single"/>
        </w:rPr>
        <w:t>发包人书面认可</w:t>
      </w:r>
      <w:r>
        <w:rPr>
          <w:rFonts w:hint="eastAsia" w:ascii="宋体" w:hAnsi="宋体" w:cs="宋体"/>
          <w:color w:val="auto"/>
          <w:sz w:val="24"/>
          <w:szCs w:val="24"/>
          <w:highlight w:val="none"/>
        </w:rPr>
        <w:t>。</w:t>
      </w:r>
    </w:p>
    <w:p w14:paraId="395F33C0">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义务：</w:t>
      </w:r>
      <w:r>
        <w:rPr>
          <w:rFonts w:hint="eastAsia" w:ascii="宋体" w:hAnsi="宋体" w:cs="宋体"/>
          <w:color w:val="auto"/>
          <w:sz w:val="24"/>
          <w:szCs w:val="24"/>
          <w:highlight w:val="none"/>
          <w:u w:val="single"/>
        </w:rPr>
        <w:t>常驻现场，代表监理单位履行与发包人签订的监理合同</w:t>
      </w:r>
      <w:r>
        <w:rPr>
          <w:rFonts w:hint="eastAsia" w:ascii="宋体" w:hAnsi="宋体" w:cs="宋体"/>
          <w:color w:val="auto"/>
          <w:sz w:val="24"/>
          <w:szCs w:val="24"/>
          <w:highlight w:val="none"/>
        </w:rPr>
        <w:t>。</w:t>
      </w:r>
    </w:p>
    <w:p w14:paraId="3658DDA0">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发包人派驻的工程师</w:t>
      </w:r>
    </w:p>
    <w:p w14:paraId="1930B456">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姓名：</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工程师</w:t>
      </w:r>
      <w:r>
        <w:rPr>
          <w:rFonts w:hint="eastAsia" w:ascii="宋体" w:hAnsi="宋体" w:cs="宋体"/>
          <w:color w:val="auto"/>
          <w:sz w:val="24"/>
          <w:szCs w:val="24"/>
          <w:highlight w:val="none"/>
        </w:rPr>
        <w:t>。</w:t>
      </w:r>
    </w:p>
    <w:p w14:paraId="3E43CC35">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职权：</w:t>
      </w:r>
      <w:r>
        <w:rPr>
          <w:rFonts w:hint="eastAsia" w:ascii="宋体" w:hAnsi="宋体" w:cs="宋体"/>
          <w:color w:val="auto"/>
          <w:sz w:val="24"/>
          <w:szCs w:val="24"/>
          <w:highlight w:val="none"/>
          <w:u w:val="single"/>
        </w:rPr>
        <w:t>发包人代表，行使发包人的权利</w:t>
      </w:r>
      <w:r>
        <w:rPr>
          <w:rFonts w:hint="eastAsia" w:ascii="宋体" w:hAnsi="宋体" w:cs="宋体"/>
          <w:color w:val="auto"/>
          <w:sz w:val="24"/>
          <w:szCs w:val="24"/>
          <w:highlight w:val="none"/>
        </w:rPr>
        <w:t>。</w:t>
      </w:r>
    </w:p>
    <w:p w14:paraId="2A549A85">
      <w:pPr>
        <w:snapToGrid w:val="0"/>
        <w:spacing w:line="440" w:lineRule="exact"/>
        <w:ind w:firstLine="397"/>
        <w:rPr>
          <w:rFonts w:ascii="宋体" w:hAnsi="宋体" w:cs="宋体"/>
          <w:color w:val="auto"/>
          <w:spacing w:val="-8"/>
          <w:sz w:val="24"/>
          <w:szCs w:val="24"/>
          <w:highlight w:val="none"/>
          <w:u w:val="single"/>
        </w:rPr>
      </w:pPr>
      <w:r>
        <w:rPr>
          <w:rFonts w:hint="eastAsia" w:ascii="宋体" w:hAnsi="宋体" w:cs="宋体"/>
          <w:color w:val="auto"/>
          <w:spacing w:val="-8"/>
          <w:sz w:val="24"/>
          <w:szCs w:val="24"/>
          <w:highlight w:val="none"/>
        </w:rPr>
        <w:t>义务：</w:t>
      </w:r>
      <w:r>
        <w:rPr>
          <w:rFonts w:hint="eastAsia" w:ascii="宋体" w:hAnsi="宋体" w:cs="宋体"/>
          <w:color w:val="auto"/>
          <w:spacing w:val="-8"/>
          <w:sz w:val="24"/>
          <w:szCs w:val="24"/>
          <w:highlight w:val="none"/>
          <w:u w:val="single"/>
        </w:rPr>
        <w:t>常驻现场，代表发包人负责工程质量、进度、技术、投资控制等施工期间的日常管理工作，履行与承包人签订的本建设工程施工合同。</w:t>
      </w:r>
    </w:p>
    <w:p w14:paraId="337D6284">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5.6</w:t>
      </w:r>
      <w:r>
        <w:rPr>
          <w:rFonts w:hint="eastAsia" w:ascii="宋体" w:hAnsi="宋体" w:cs="宋体"/>
          <w:color w:val="auto"/>
          <w:sz w:val="24"/>
          <w:szCs w:val="24"/>
          <w:highlight w:val="none"/>
        </w:rPr>
        <w:t>不实行监理的，工程师的职权：</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727EA474">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7</w:t>
      </w:r>
      <w:r>
        <w:rPr>
          <w:rFonts w:hint="eastAsia" w:ascii="宋体" w:hAnsi="宋体" w:cs="宋体"/>
          <w:b/>
          <w:color w:val="auto"/>
          <w:sz w:val="24"/>
          <w:highlight w:val="none"/>
        </w:rPr>
        <w:t>、项目负责人</w:t>
      </w:r>
    </w:p>
    <w:p w14:paraId="628EE57A">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7.1（1）项目负责人</w:t>
      </w:r>
    </w:p>
    <w:p w14:paraId="0F412FA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姓    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14:paraId="36672E73">
      <w:pPr>
        <w:snapToGrid w:val="0"/>
        <w:spacing w:line="440" w:lineRule="exact"/>
        <w:ind w:firstLine="0"/>
        <w:rPr>
          <w:rFonts w:ascii="宋体" w:hAnsi="宋体" w:cs="宋体"/>
          <w:color w:val="auto"/>
          <w:sz w:val="24"/>
          <w:szCs w:val="24"/>
          <w:highlight w:val="none"/>
          <w:u w:val="single"/>
        </w:rPr>
      </w:pPr>
      <w:r>
        <w:rPr>
          <w:rFonts w:hint="eastAsia" w:ascii="宋体" w:hAnsi="宋体" w:cs="宋体"/>
          <w:color w:val="auto"/>
          <w:sz w:val="24"/>
          <w:szCs w:val="24"/>
          <w:highlight w:val="none"/>
        </w:rPr>
        <w:t>职权：</w:t>
      </w:r>
      <w:r>
        <w:rPr>
          <w:rFonts w:hint="eastAsia" w:ascii="宋体" w:hAnsi="宋体" w:cs="宋体"/>
          <w:color w:val="auto"/>
          <w:sz w:val="24"/>
          <w:szCs w:val="24"/>
          <w:highlight w:val="none"/>
          <w:u w:val="single"/>
        </w:rPr>
        <w:t>代表承包人全权处理本工程的一切事务</w:t>
      </w:r>
      <w:r>
        <w:rPr>
          <w:rFonts w:hint="eastAsia" w:ascii="宋体" w:hAnsi="宋体" w:cs="宋体"/>
          <w:color w:val="auto"/>
          <w:sz w:val="24"/>
          <w:szCs w:val="24"/>
          <w:highlight w:val="none"/>
        </w:rPr>
        <w:t>。</w:t>
      </w:r>
    </w:p>
    <w:p w14:paraId="32C40E5C">
      <w:pPr>
        <w:snapToGrid w:val="0"/>
        <w:spacing w:line="440" w:lineRule="exact"/>
        <w:ind w:firstLine="397"/>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义务：</w:t>
      </w:r>
      <w:r>
        <w:rPr>
          <w:rFonts w:hint="eastAsia" w:ascii="宋体" w:hAnsi="宋体" w:cs="宋体"/>
          <w:color w:val="auto"/>
          <w:sz w:val="24"/>
          <w:szCs w:val="24"/>
          <w:highlight w:val="none"/>
          <w:u w:val="single"/>
        </w:rPr>
        <w:t>按照在投标文件中签署的（或在签订本合同前补充签署的）《项目负责人驻场承诺书》中的承诺常驻现场，代表承包人履行与发包人签订的本建设工程施工合同</w:t>
      </w:r>
      <w:r>
        <w:rPr>
          <w:rFonts w:hint="eastAsia" w:ascii="宋体" w:hAnsi="宋体" w:cs="宋体"/>
          <w:color w:val="auto"/>
          <w:sz w:val="24"/>
          <w:szCs w:val="24"/>
          <w:highlight w:val="none"/>
        </w:rPr>
        <w:t>。</w:t>
      </w:r>
      <w:r>
        <w:rPr>
          <w:rFonts w:hint="eastAsia" w:ascii="宋体" w:hAnsi="宋体" w:cs="宋体"/>
          <w:color w:val="auto"/>
          <w:sz w:val="24"/>
          <w:szCs w:val="24"/>
          <w:highlight w:val="none"/>
          <w:u w:val="none"/>
          <w:lang w:eastAsia="zh-CN"/>
        </w:rPr>
        <w:t>本工程的项</w:t>
      </w:r>
      <w:r>
        <w:rPr>
          <w:rFonts w:hint="eastAsia" w:ascii="宋体" w:hAnsi="宋体" w:eastAsia="宋体" w:cs="宋体"/>
          <w:color w:val="auto"/>
          <w:sz w:val="24"/>
          <w:szCs w:val="24"/>
          <w:highlight w:val="none"/>
          <w:u w:val="none"/>
          <w:lang w:eastAsia="zh-CN"/>
        </w:rPr>
        <w:t>目负责人管理执行</w:t>
      </w:r>
      <w:r>
        <w:rPr>
          <w:rFonts w:hint="eastAsia" w:ascii="宋体" w:hAnsi="宋体" w:cs="宋体"/>
          <w:color w:val="auto"/>
          <w:sz w:val="24"/>
          <w:szCs w:val="24"/>
          <w:highlight w:val="none"/>
        </w:rPr>
        <w:t>《广州市住房和城乡建设局关于加强建筑工程项目负责人管理的通知》（穗建规字〔2025〕9 号）</w:t>
      </w:r>
      <w:r>
        <w:rPr>
          <w:rFonts w:hint="eastAsia" w:ascii="宋体" w:hAnsi="宋体" w:cs="宋体"/>
          <w:color w:val="auto"/>
          <w:sz w:val="24"/>
          <w:szCs w:val="24"/>
          <w:highlight w:val="none"/>
          <w:lang w:eastAsia="zh-CN"/>
        </w:rPr>
        <w:t>的相关规定，如有新规，按最新规定执行。</w:t>
      </w:r>
    </w:p>
    <w:p w14:paraId="42DAEE58">
      <w:pPr>
        <w:snapToGrid w:val="0"/>
        <w:spacing w:line="440" w:lineRule="exact"/>
        <w:ind w:firstLine="397"/>
        <w:rPr>
          <w:rFonts w:ascii="宋体" w:hAnsi="宋体" w:cs="宋体"/>
          <w:color w:val="auto"/>
          <w:sz w:val="24"/>
          <w:szCs w:val="24"/>
          <w:highlight w:val="none"/>
        </w:rPr>
      </w:pPr>
    </w:p>
    <w:p w14:paraId="5322C6A4">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7.4</w:t>
      </w:r>
      <w:r>
        <w:rPr>
          <w:rFonts w:hint="eastAsia" w:ascii="宋体" w:hAnsi="宋体" w:cs="宋体"/>
          <w:color w:val="auto"/>
          <w:sz w:val="24"/>
          <w:szCs w:val="24"/>
          <w:highlight w:val="none"/>
          <w:u w:val="single"/>
        </w:rPr>
        <w:t>承包人如需更换项目负责人或技术负责人，按有关规定执行，后任继续行使合同文件约定的前任的职权，履行前任的义务。未征得发包人书面同意，承包人不得更换项目负责人</w:t>
      </w:r>
      <w:r>
        <w:rPr>
          <w:rFonts w:hint="eastAsia" w:ascii="宋体" w:hAnsi="宋体" w:cs="宋体"/>
          <w:color w:val="auto"/>
          <w:sz w:val="24"/>
          <w:szCs w:val="24"/>
          <w:highlight w:val="none"/>
        </w:rPr>
        <w:t>。</w:t>
      </w:r>
    </w:p>
    <w:p w14:paraId="1E609FAB">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7.5</w:t>
      </w:r>
      <w:r>
        <w:rPr>
          <w:rFonts w:hint="eastAsia" w:ascii="宋体" w:hAnsi="宋体" w:cs="宋体"/>
          <w:color w:val="auto"/>
          <w:sz w:val="24"/>
          <w:szCs w:val="24"/>
          <w:highlight w:val="none"/>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Pr>
          <w:rFonts w:hint="eastAsia" w:ascii="宋体" w:hAnsi="宋体" w:cs="宋体"/>
          <w:color w:val="auto"/>
          <w:sz w:val="24"/>
          <w:szCs w:val="24"/>
          <w:highlight w:val="none"/>
        </w:rPr>
        <w:t>。</w:t>
      </w:r>
    </w:p>
    <w:p w14:paraId="2BC6A47C">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7.6</w:t>
      </w:r>
      <w:r>
        <w:rPr>
          <w:rFonts w:hint="eastAsia" w:ascii="宋体" w:hAnsi="宋体" w:cs="宋体"/>
          <w:color w:val="auto"/>
          <w:sz w:val="24"/>
          <w:szCs w:val="24"/>
          <w:highlight w:val="none"/>
          <w:u w:val="single"/>
        </w:rPr>
        <w:t>承包人项目负责人不得兼任其他工程项目负责人，否则发包人可按单方面终止合同处理</w:t>
      </w:r>
      <w:r>
        <w:rPr>
          <w:rFonts w:hint="eastAsia" w:ascii="宋体" w:hAnsi="宋体" w:cs="宋体"/>
          <w:color w:val="auto"/>
          <w:sz w:val="24"/>
          <w:szCs w:val="24"/>
          <w:highlight w:val="none"/>
        </w:rPr>
        <w:t>。</w:t>
      </w:r>
    </w:p>
    <w:p w14:paraId="4ABE8860">
      <w:pPr>
        <w:adjustRightInd w:val="0"/>
        <w:snapToGrid w:val="0"/>
        <w:spacing w:line="440" w:lineRule="exact"/>
        <w:ind w:right="11" w:firstLine="360" w:firstLineChars="150"/>
        <w:outlineLvl w:val="3"/>
        <w:rPr>
          <w:rFonts w:ascii="宋体" w:hAnsi="宋体" w:cs="宋体"/>
          <w:color w:val="auto"/>
          <w:sz w:val="24"/>
          <w:szCs w:val="24"/>
          <w:highlight w:val="none"/>
        </w:rPr>
      </w:pPr>
      <w:r>
        <w:rPr>
          <w:rFonts w:ascii="宋体" w:hAnsi="宋体" w:cs="宋体"/>
          <w:color w:val="auto"/>
          <w:sz w:val="24"/>
          <w:szCs w:val="24"/>
          <w:highlight w:val="none"/>
        </w:rPr>
        <w:t xml:space="preserve"> 7.7现场管理机构</w:t>
      </w:r>
    </w:p>
    <w:p w14:paraId="5B51C520">
      <w:pPr>
        <w:adjustRightInd w:val="0"/>
        <w:snapToGrid w:val="0"/>
        <w:spacing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1）承包人必须按照投标文件的承诺建立现场管理机构，严格执行现行建设工程项目管理规范，并积极主动接受建设行政主管部门的监督和检查。</w:t>
      </w:r>
    </w:p>
    <w:p w14:paraId="08348D06">
      <w:pPr>
        <w:adjustRightInd w:val="0"/>
        <w:snapToGrid w:val="0"/>
        <w:spacing w:line="440" w:lineRule="exact"/>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14:paraId="38CCB687">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14:paraId="68626842">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7.9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14:paraId="3336F46F">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14:paraId="6B4B1DC4">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8</w:t>
      </w:r>
      <w:r>
        <w:rPr>
          <w:rFonts w:hint="eastAsia" w:ascii="宋体" w:hAnsi="宋体" w:cs="宋体"/>
          <w:b/>
          <w:color w:val="auto"/>
          <w:sz w:val="24"/>
          <w:highlight w:val="none"/>
        </w:rPr>
        <w:t>、发包人工作</w:t>
      </w:r>
    </w:p>
    <w:p w14:paraId="7648305E">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8.1</w:t>
      </w:r>
      <w:r>
        <w:rPr>
          <w:rFonts w:hint="eastAsia" w:ascii="宋体" w:hAnsi="宋体" w:cs="宋体"/>
          <w:color w:val="auto"/>
          <w:sz w:val="24"/>
          <w:szCs w:val="24"/>
          <w:highlight w:val="none"/>
        </w:rPr>
        <w:t>发包人应按约定的时间和要求完成以下工作：</w:t>
      </w:r>
    </w:p>
    <w:p w14:paraId="4689BD6B">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）施工场地具备施工条件的要求及完成的时间：</w:t>
      </w:r>
      <w:r>
        <w:rPr>
          <w:rFonts w:hint="eastAsia" w:ascii="宋体" w:hAnsi="宋体" w:cs="宋体"/>
          <w:color w:val="auto"/>
          <w:sz w:val="24"/>
          <w:szCs w:val="24"/>
          <w:highlight w:val="none"/>
          <w:u w:val="single"/>
        </w:rPr>
        <w:t>土地征收、拆迁补偿工作完成时间原则上在开工前；因土地征收和拆迁补偿进度原因不能按时移交场地的，可采取分段逐步方式移交施工场地</w:t>
      </w:r>
      <w:r>
        <w:rPr>
          <w:rFonts w:hint="eastAsia" w:ascii="宋体" w:hAnsi="宋体" w:cs="宋体"/>
          <w:color w:val="auto"/>
          <w:sz w:val="24"/>
          <w:szCs w:val="24"/>
          <w:highlight w:val="none"/>
        </w:rPr>
        <w:t>。</w:t>
      </w:r>
    </w:p>
    <w:p w14:paraId="3EA90537">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）将施工所需的水、电、电讯线路接至施工场地的时间、地点和供应要求：</w:t>
      </w:r>
      <w:r>
        <w:rPr>
          <w:rFonts w:hint="eastAsia" w:ascii="宋体" w:hAnsi="宋体" w:cs="宋体"/>
          <w:color w:val="auto"/>
          <w:sz w:val="24"/>
          <w:szCs w:val="24"/>
          <w:highlight w:val="none"/>
          <w:u w:val="single"/>
        </w:rPr>
        <w:t>施工所需的</w:t>
      </w:r>
      <w:r>
        <w:rPr>
          <w:rFonts w:hint="eastAsia" w:ascii="宋体" w:hAnsi="宋体" w:cs="宋体"/>
          <w:color w:val="auto"/>
          <w:sz w:val="24"/>
          <w:szCs w:val="24"/>
          <w:highlight w:val="none"/>
          <w:u w:val="single"/>
          <w:lang w:val="en-US" w:eastAsia="zh-CN"/>
        </w:rPr>
        <w:t>风、</w:t>
      </w:r>
      <w:r>
        <w:rPr>
          <w:rFonts w:hint="eastAsia" w:ascii="宋体" w:hAnsi="宋体" w:cs="宋体"/>
          <w:color w:val="auto"/>
          <w:sz w:val="24"/>
          <w:szCs w:val="24"/>
          <w:highlight w:val="none"/>
          <w:u w:val="single"/>
        </w:rPr>
        <w:t>水、电、</w:t>
      </w:r>
      <w:r>
        <w:rPr>
          <w:rFonts w:hint="eastAsia" w:ascii="宋体" w:hAnsi="宋体" w:cs="宋体"/>
          <w:color w:val="auto"/>
          <w:sz w:val="24"/>
          <w:szCs w:val="24"/>
          <w:highlight w:val="none"/>
          <w:u w:val="single"/>
          <w:lang w:val="en-US" w:eastAsia="zh-CN"/>
        </w:rPr>
        <w:t>通信</w:t>
      </w:r>
      <w:r>
        <w:rPr>
          <w:rFonts w:hint="eastAsia" w:ascii="宋体" w:hAnsi="宋体" w:cs="宋体"/>
          <w:color w:val="auto"/>
          <w:sz w:val="24"/>
          <w:szCs w:val="24"/>
          <w:highlight w:val="none"/>
          <w:u w:val="single"/>
        </w:rPr>
        <w:t>线路</w:t>
      </w:r>
      <w:r>
        <w:rPr>
          <w:rFonts w:hint="eastAsia" w:ascii="宋体" w:hAnsi="宋体" w:cs="宋体"/>
          <w:color w:val="auto"/>
          <w:sz w:val="24"/>
          <w:szCs w:val="24"/>
          <w:highlight w:val="none"/>
          <w:u w:val="single"/>
          <w:lang w:val="en-US" w:eastAsia="zh-CN"/>
        </w:rPr>
        <w:t xml:space="preserve">及        （根据项目情况由业务部门补充） </w:t>
      </w:r>
      <w:r>
        <w:rPr>
          <w:rFonts w:hint="eastAsia" w:ascii="宋体" w:hAnsi="宋体" w:cs="宋体"/>
          <w:color w:val="auto"/>
          <w:sz w:val="24"/>
          <w:szCs w:val="24"/>
          <w:highlight w:val="none"/>
          <w:u w:val="single"/>
        </w:rPr>
        <w:t>由承包人自行解决，费用已包在本工程中标总造价中</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rPr>
        <w:t>。</w:t>
      </w:r>
    </w:p>
    <w:p w14:paraId="3AE49EEE">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）施工场地与公共道路的通道开通时间和要求：</w:t>
      </w:r>
      <w:r>
        <w:rPr>
          <w:rFonts w:hint="eastAsia" w:ascii="宋体" w:hAnsi="宋体" w:cs="宋体"/>
          <w:color w:val="auto"/>
          <w:sz w:val="24"/>
          <w:szCs w:val="24"/>
          <w:highlight w:val="none"/>
          <w:u w:val="single"/>
        </w:rPr>
        <w:t>通道按现状，不论满足施工要求与否，该通道及施工便道均由承包人自行解决，费用已包在本工程中标总造价中</w:t>
      </w:r>
      <w:r>
        <w:rPr>
          <w:rFonts w:hint="eastAsia" w:ascii="宋体" w:hAnsi="宋体" w:cs="宋体"/>
          <w:color w:val="auto"/>
          <w:sz w:val="24"/>
          <w:szCs w:val="24"/>
          <w:highlight w:val="none"/>
        </w:rPr>
        <w:t>。</w:t>
      </w:r>
    </w:p>
    <w:p w14:paraId="0FAF4DAF">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）工程地质和地下管线资料的提供时间：</w:t>
      </w:r>
      <w:r>
        <w:rPr>
          <w:rFonts w:hint="eastAsia" w:ascii="宋体" w:hAnsi="宋体" w:cs="宋体"/>
          <w:color w:val="auto"/>
          <w:sz w:val="24"/>
          <w:szCs w:val="24"/>
          <w:highlight w:val="none"/>
          <w:u w:val="single"/>
        </w:rPr>
        <w:t>根据施工计划提前提供</w:t>
      </w:r>
      <w:r>
        <w:rPr>
          <w:rFonts w:hint="eastAsia" w:ascii="宋体" w:hAnsi="宋体" w:cs="宋体"/>
          <w:color w:val="auto"/>
          <w:sz w:val="24"/>
          <w:szCs w:val="24"/>
          <w:highlight w:val="none"/>
        </w:rPr>
        <w:t>。</w:t>
      </w:r>
    </w:p>
    <w:p w14:paraId="3466D1AA">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）由发包人办理的施工所需证件、批件的名称和完成时间：</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272B1297">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6</w:t>
      </w:r>
      <w:r>
        <w:rPr>
          <w:rFonts w:hint="eastAsia" w:ascii="宋体" w:hAnsi="宋体" w:cs="宋体"/>
          <w:color w:val="auto"/>
          <w:sz w:val="24"/>
          <w:szCs w:val="24"/>
          <w:highlight w:val="none"/>
        </w:rPr>
        <w:t>）水准点与坐标控制点交验要求：</w:t>
      </w:r>
      <w:r>
        <w:rPr>
          <w:rFonts w:hint="eastAsia" w:ascii="宋体" w:hAnsi="宋体" w:cs="宋体"/>
          <w:color w:val="auto"/>
          <w:sz w:val="24"/>
          <w:szCs w:val="24"/>
          <w:highlight w:val="none"/>
          <w:u w:val="single"/>
        </w:rPr>
        <w:t>开工前交验</w:t>
      </w:r>
      <w:r>
        <w:rPr>
          <w:rFonts w:hint="eastAsia" w:ascii="宋体" w:hAnsi="宋体" w:cs="宋体"/>
          <w:color w:val="auto"/>
          <w:sz w:val="24"/>
          <w:szCs w:val="24"/>
          <w:highlight w:val="none"/>
        </w:rPr>
        <w:t>。</w:t>
      </w:r>
    </w:p>
    <w:p w14:paraId="52EEA8FD">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7</w:t>
      </w:r>
      <w:r>
        <w:rPr>
          <w:rFonts w:hint="eastAsia" w:ascii="宋体" w:hAnsi="宋体" w:cs="宋体"/>
          <w:color w:val="auto"/>
          <w:sz w:val="24"/>
          <w:szCs w:val="24"/>
          <w:highlight w:val="none"/>
        </w:rPr>
        <w:t>）图纸会审和设计交底时间：</w:t>
      </w:r>
      <w:r>
        <w:rPr>
          <w:rFonts w:hint="eastAsia" w:ascii="宋体" w:hAnsi="宋体" w:cs="宋体"/>
          <w:color w:val="auto"/>
          <w:sz w:val="24"/>
          <w:szCs w:val="24"/>
          <w:highlight w:val="none"/>
          <w:u w:val="single"/>
        </w:rPr>
        <w:t>工程施工前</w:t>
      </w:r>
      <w:r>
        <w:rPr>
          <w:rFonts w:hint="eastAsia" w:ascii="宋体" w:hAnsi="宋体" w:cs="宋体"/>
          <w:color w:val="auto"/>
          <w:sz w:val="24"/>
          <w:szCs w:val="24"/>
          <w:highlight w:val="none"/>
        </w:rPr>
        <w:t>。</w:t>
      </w:r>
    </w:p>
    <w:p w14:paraId="2AC5BA5C">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8</w:t>
      </w:r>
      <w:r>
        <w:rPr>
          <w:rFonts w:hint="eastAsia" w:ascii="宋体" w:hAnsi="宋体" w:cs="宋体"/>
          <w:color w:val="auto"/>
          <w:sz w:val="24"/>
          <w:szCs w:val="24"/>
          <w:highlight w:val="none"/>
        </w:rPr>
        <w:t>）协调处理施工场地周围地下管线和邻近建筑物、构筑物（含文物保护建筑）、古树名木的保护工作：</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04671455">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9</w:t>
      </w:r>
      <w:r>
        <w:rPr>
          <w:rFonts w:hint="eastAsia" w:ascii="宋体" w:hAnsi="宋体" w:cs="宋体"/>
          <w:color w:val="auto"/>
          <w:sz w:val="24"/>
          <w:szCs w:val="24"/>
          <w:highlight w:val="none"/>
        </w:rPr>
        <w:t>）双方约定发包人应做的其他工作：</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发包人按现有场地移交给承包人，承包人应无条件接受。</w:t>
      </w:r>
      <w:r>
        <w:rPr>
          <w:rFonts w:ascii="宋体" w:hAnsi="宋体" w:cs="宋体"/>
          <w:color w:val="auto"/>
          <w:sz w:val="24"/>
          <w:szCs w:val="24"/>
          <w:highlight w:val="none"/>
          <w:u w:val="single"/>
        </w:rPr>
        <w:t xml:space="preserve">   </w:t>
      </w:r>
    </w:p>
    <w:p w14:paraId="2C50BD2F">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8.2</w:t>
      </w:r>
      <w:r>
        <w:rPr>
          <w:rFonts w:hint="eastAsia" w:ascii="宋体" w:hAnsi="宋体" w:cs="宋体"/>
          <w:color w:val="auto"/>
          <w:sz w:val="24"/>
          <w:szCs w:val="24"/>
          <w:highlight w:val="none"/>
        </w:rPr>
        <w:t>发包人委托承包人办理的工作：</w:t>
      </w:r>
      <w:r>
        <w:rPr>
          <w:rFonts w:hint="eastAsia" w:ascii="宋体" w:hAnsi="宋体" w:cs="宋体"/>
          <w:color w:val="auto"/>
          <w:sz w:val="24"/>
          <w:szCs w:val="24"/>
          <w:highlight w:val="none"/>
          <w:u w:val="single"/>
        </w:rPr>
        <w:t>工程质监登记、合同鉴证、施工许可证、购买印花税等一切施工所需的审批、申领手续以及规划验收、消防验收、环保验收、防雷报建及验收、永久用水</w:t>
      </w:r>
      <w:r>
        <w:rPr>
          <w:rFonts w:hint="eastAsia"/>
          <w:color w:val="auto"/>
          <w:sz w:val="24"/>
          <w:szCs w:val="24"/>
          <w:highlight w:val="none"/>
          <w:lang w:val="en-US" w:eastAsia="zh-CN"/>
        </w:rPr>
        <w:t>、用电、排水</w:t>
      </w:r>
      <w:r>
        <w:rPr>
          <w:rFonts w:hint="eastAsia" w:ascii="宋体" w:hAnsi="宋体" w:cs="宋体"/>
          <w:color w:val="auto"/>
          <w:sz w:val="24"/>
          <w:szCs w:val="24"/>
          <w:highlight w:val="none"/>
          <w:u w:val="single"/>
        </w:rPr>
        <w:t>接驳及验收等工作。费用按政策规定各自承担相应部分。</w:t>
      </w:r>
    </w:p>
    <w:p w14:paraId="5492E5D2">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9</w:t>
      </w:r>
      <w:r>
        <w:rPr>
          <w:rFonts w:hint="eastAsia" w:ascii="宋体" w:hAnsi="宋体" w:cs="宋体"/>
          <w:b/>
          <w:color w:val="auto"/>
          <w:sz w:val="24"/>
          <w:highlight w:val="none"/>
        </w:rPr>
        <w:t>、承包人工作</w:t>
      </w:r>
    </w:p>
    <w:p w14:paraId="6C019EA6">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9.1</w:t>
      </w:r>
      <w:r>
        <w:rPr>
          <w:rFonts w:hint="eastAsia" w:ascii="宋体" w:hAnsi="宋体" w:cs="宋体"/>
          <w:color w:val="auto"/>
          <w:sz w:val="24"/>
          <w:szCs w:val="24"/>
          <w:highlight w:val="none"/>
        </w:rPr>
        <w:t>承包人应按约定时间和要求，完成以下工作：</w:t>
      </w:r>
    </w:p>
    <w:p w14:paraId="2C912CB5">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）需由设计资质等级和业务范围允许的承包人完成的设计文件提交时间：</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4A64A5DD">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）应提供计划、报表的名称及完成时间：</w:t>
      </w:r>
      <w:r>
        <w:rPr>
          <w:rFonts w:hint="eastAsia" w:ascii="宋体" w:hAnsi="宋体" w:cs="宋体"/>
          <w:color w:val="auto"/>
          <w:sz w:val="24"/>
          <w:szCs w:val="24"/>
          <w:highlight w:val="none"/>
          <w:u w:val="single"/>
        </w:rPr>
        <w:t>施工组织设计、管理人员架构表，于开工前三天报。提交工程年、季、月度计划及进度统计报表</w:t>
      </w:r>
      <w:r>
        <w:rPr>
          <w:rFonts w:hint="eastAsia" w:ascii="宋体" w:hAnsi="宋体" w:cs="宋体"/>
          <w:color w:val="auto"/>
          <w:sz w:val="24"/>
          <w:szCs w:val="24"/>
          <w:highlight w:val="none"/>
        </w:rPr>
        <w:t>。</w:t>
      </w:r>
    </w:p>
    <w:p w14:paraId="28B73848">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3）承担施工安全保卫工作及非夜间施工照明的责任和要求：</w:t>
      </w:r>
      <w:r>
        <w:rPr>
          <w:rFonts w:hint="eastAsia" w:ascii="宋体" w:hAnsi="宋体" w:cs="宋体"/>
          <w:color w:val="auto"/>
          <w:sz w:val="24"/>
          <w:szCs w:val="24"/>
          <w:highlight w:val="none"/>
          <w:u w:val="single"/>
        </w:rPr>
        <w:t>按招标文件要求及国家、省、市、区相关规定执行，并满足本工程需要</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根据工程需要，提供和维护施工使用的照明、围栏设施和警卫，并负责整个现场的安全生产和绿色施工、安全保卫。</w:t>
      </w:r>
    </w:p>
    <w:p w14:paraId="4DBA1943">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承包人自行解决办公、交通、生活及通讯等设施，费用已包含在本工程中标总造价中；</w:t>
      </w:r>
      <w:r>
        <w:rPr>
          <w:rFonts w:ascii="宋体" w:hAnsi="宋体" w:cs="宋体"/>
          <w:color w:val="auto"/>
          <w:sz w:val="24"/>
          <w:szCs w:val="24"/>
          <w:highlight w:val="none"/>
        </w:rPr>
        <w:t>向发包人或监理工程师提供的办公、交通和生活、通讯设施的要求：</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020CEE19">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5）需承包人办理有关施工场地交通、环卫和施工噪音管理等手续：</w:t>
      </w:r>
      <w:r>
        <w:rPr>
          <w:rFonts w:hint="eastAsia" w:ascii="宋体" w:hAnsi="宋体" w:cs="宋体"/>
          <w:color w:val="auto"/>
          <w:sz w:val="24"/>
          <w:szCs w:val="24"/>
          <w:highlight w:val="none"/>
          <w:u w:val="single"/>
        </w:rPr>
        <w:t>承包人按本合同通用条款要求执行，并承担相关费用</w:t>
      </w:r>
      <w:r>
        <w:rPr>
          <w:rFonts w:hint="eastAsia" w:ascii="宋体" w:hAnsi="宋体" w:cs="宋体"/>
          <w:color w:val="auto"/>
          <w:sz w:val="24"/>
          <w:szCs w:val="24"/>
          <w:highlight w:val="none"/>
        </w:rPr>
        <w:t>。</w:t>
      </w:r>
    </w:p>
    <w:p w14:paraId="19DFEEC8">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6</w:t>
      </w:r>
      <w:r>
        <w:rPr>
          <w:rFonts w:hint="eastAsia" w:ascii="宋体" w:hAnsi="宋体" w:cs="宋体"/>
          <w:color w:val="auto"/>
          <w:sz w:val="24"/>
          <w:szCs w:val="24"/>
          <w:highlight w:val="none"/>
        </w:rPr>
        <w:t>）已完工程成品保护的特殊要求及费用承担：</w:t>
      </w:r>
      <w:r>
        <w:rPr>
          <w:rFonts w:hint="eastAsia" w:ascii="宋体" w:hAnsi="宋体" w:cs="宋体"/>
          <w:color w:val="auto"/>
          <w:sz w:val="24"/>
          <w:szCs w:val="24"/>
          <w:highlight w:val="none"/>
          <w:u w:val="single"/>
        </w:rPr>
        <w:t>按本合同通用条款执行</w:t>
      </w:r>
      <w:r>
        <w:rPr>
          <w:rFonts w:hint="eastAsia" w:ascii="宋体" w:hAnsi="宋体" w:cs="宋体"/>
          <w:color w:val="auto"/>
          <w:sz w:val="24"/>
          <w:szCs w:val="24"/>
          <w:highlight w:val="none"/>
        </w:rPr>
        <w:t>。</w:t>
      </w:r>
    </w:p>
    <w:p w14:paraId="192F3DBE">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7</w:t>
      </w:r>
      <w:r>
        <w:rPr>
          <w:rFonts w:hint="eastAsia" w:ascii="宋体" w:hAnsi="宋体" w:cs="宋体"/>
          <w:color w:val="auto"/>
          <w:sz w:val="24"/>
          <w:szCs w:val="24"/>
          <w:highlight w:val="none"/>
        </w:rPr>
        <w:t>）施工场地周围地下管线和邻近建筑物、构筑物（含文物保护建筑）、古树名木的保护要求及费用承担：</w:t>
      </w:r>
      <w:r>
        <w:rPr>
          <w:rFonts w:hint="eastAsia" w:ascii="宋体" w:hAnsi="宋体" w:cs="宋体"/>
          <w:color w:val="auto"/>
          <w:sz w:val="24"/>
          <w:szCs w:val="24"/>
          <w:highlight w:val="none"/>
          <w:u w:val="single"/>
        </w:rPr>
        <w:t>除文物保护外的保护费全部由承包人承担</w:t>
      </w:r>
      <w:r>
        <w:rPr>
          <w:rFonts w:hint="eastAsia" w:ascii="宋体" w:hAnsi="宋体" w:cs="宋体"/>
          <w:color w:val="auto"/>
          <w:sz w:val="24"/>
          <w:szCs w:val="24"/>
          <w:highlight w:val="none"/>
        </w:rPr>
        <w:t>。</w:t>
      </w:r>
    </w:p>
    <w:p w14:paraId="169FD4B3">
      <w:pPr>
        <w:snapToGrid w:val="0"/>
        <w:spacing w:line="440" w:lineRule="exact"/>
        <w:ind w:left="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8）</w:t>
      </w:r>
      <w:r>
        <w:rPr>
          <w:rFonts w:hint="eastAsia" w:ascii="宋体" w:hAnsi="宋体" w:cs="宋体"/>
          <w:color w:val="auto"/>
          <w:sz w:val="24"/>
          <w:szCs w:val="24"/>
          <w:highlight w:val="none"/>
        </w:rPr>
        <w:t>施工场地清洁卫生的要求：</w:t>
      </w:r>
      <w:r>
        <w:rPr>
          <w:rFonts w:hint="eastAsia" w:ascii="宋体" w:hAnsi="宋体" w:cs="宋体"/>
          <w:color w:val="auto"/>
          <w:sz w:val="24"/>
          <w:szCs w:val="24"/>
          <w:highlight w:val="none"/>
          <w:u w:val="single"/>
        </w:rPr>
        <w:t>满足</w:t>
      </w:r>
      <w:r>
        <w:rPr>
          <w:rFonts w:hint="eastAsia" w:ascii="宋体" w:hAnsi="宋体" w:cs="宋体"/>
          <w:color w:val="auto"/>
          <w:spacing w:val="-10"/>
          <w:sz w:val="24"/>
          <w:szCs w:val="24"/>
          <w:highlight w:val="none"/>
          <w:u w:val="single"/>
        </w:rPr>
        <w:t>文明施工要求及广州市、黄埔区关于扬尘治理的有关要求</w:t>
      </w:r>
      <w:r>
        <w:rPr>
          <w:rFonts w:hint="eastAsia" w:ascii="宋体" w:hAnsi="宋体" w:cs="宋体"/>
          <w:color w:val="auto"/>
          <w:spacing w:val="-10"/>
          <w:sz w:val="24"/>
          <w:szCs w:val="24"/>
          <w:highlight w:val="none"/>
        </w:rPr>
        <w:t>。</w:t>
      </w:r>
      <w:r>
        <w:rPr>
          <w:rFonts w:hint="eastAsia" w:ascii="宋体" w:hAnsi="宋体" w:cs="宋体"/>
          <w:color w:val="auto"/>
          <w:sz w:val="24"/>
          <w:szCs w:val="24"/>
          <w:highlight w:val="none"/>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14:paraId="01A3E7E8">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9）双方约定承包人应做的其他工作：</w:t>
      </w:r>
    </w:p>
    <w:p w14:paraId="00D46348">
      <w:pPr>
        <w:snapToGrid w:val="0"/>
        <w:spacing w:line="440" w:lineRule="exact"/>
        <w:rPr>
          <w:rFonts w:ascii="宋体" w:hAnsi="宋体" w:cs="宋体"/>
          <w:color w:val="auto"/>
          <w:sz w:val="24"/>
          <w:szCs w:val="24"/>
          <w:highlight w:val="none"/>
          <w:u w:val="singl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①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w:t>
      </w:r>
      <w:r>
        <w:rPr>
          <w:rFonts w:hint="eastAsia" w:ascii="宋体" w:hAnsi="宋体" w:cs="宋体"/>
          <w:color w:val="auto"/>
          <w:sz w:val="24"/>
          <w:highlight w:val="none"/>
          <w:u w:val="single"/>
        </w:rPr>
        <w:t>《广州市住房和城乡建设局关于规范房屋建筑工程施工承发包管理的通知》(穗建规字〔2019〕10号)</w:t>
      </w:r>
      <w:r>
        <w:rPr>
          <w:rFonts w:hint="eastAsia" w:ascii="宋体" w:hAnsi="宋体" w:cs="宋体"/>
          <w:color w:val="auto"/>
          <w:sz w:val="24"/>
          <w:szCs w:val="24"/>
          <w:highlight w:val="none"/>
          <w:u w:val="single"/>
        </w:rPr>
        <w:t>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w:t>
      </w:r>
    </w:p>
    <w:p w14:paraId="6301CDA1">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　②承包人应按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工程和劳务工程的承包人实施统一管理，督促落实实名制管理。发包人及监理单位将不定期抽查承包人实名制管理的执行情况，如发现违反本合同有关约定的，将追究承包人相应违约责任。</w:t>
      </w:r>
    </w:p>
    <w:p w14:paraId="493F6C4D">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③承包人应按照《广州市建设领域工人工资支付分账管理实施细则》的规定选择商业银行开立工人工资支付专用账户，在用工之日起</w:t>
      </w:r>
      <w:r>
        <w:rPr>
          <w:rFonts w:ascii="宋体" w:hAnsi="宋体" w:cs="宋体"/>
          <w:color w:val="auto"/>
          <w:sz w:val="24"/>
          <w:szCs w:val="24"/>
          <w:highlight w:val="none"/>
        </w:rPr>
        <w:t>15日内为每个工人办理工人工资个人账户，保证按时足额支付工人工资。承包人应对</w:t>
      </w:r>
      <w:r>
        <w:rPr>
          <w:rFonts w:hint="eastAsia" w:ascii="宋体" w:hAnsi="宋体" w:cs="宋体"/>
          <w:color w:val="auto"/>
          <w:sz w:val="24"/>
          <w:szCs w:val="24"/>
          <w:highlight w:val="none"/>
        </w:rPr>
        <w:t>依法分包的专业工程和劳务工程的承包人实施统一管理，严格按国家、省、市关于农民工工资实施总承包单位代发制度的相关规定代发分包单位工人工资。</w:t>
      </w:r>
    </w:p>
    <w:p w14:paraId="3F262DD4">
      <w:pPr>
        <w:snapToGrid w:val="0"/>
        <w:spacing w:line="440" w:lineRule="exact"/>
        <w:ind w:firstLine="397"/>
        <w:rPr>
          <w:rFonts w:ascii="宋体" w:hAnsi="宋体" w:cs="宋体"/>
          <w:color w:val="auto"/>
          <w:sz w:val="24"/>
          <w:highlight w:val="none"/>
        </w:rPr>
      </w:pPr>
      <w:r>
        <w:rPr>
          <w:rFonts w:hint="eastAsia" w:ascii="宋体" w:hAnsi="宋体" w:cs="宋体"/>
          <w:color w:val="auto"/>
          <w:sz w:val="24"/>
          <w:szCs w:val="24"/>
          <w:highlight w:val="none"/>
        </w:rPr>
        <w:t>④承包人应当建立工人考勤、工资结算和支付等管理台账，存档备查，并将相关信息按月报送发包人及监理单位。</w:t>
      </w:r>
    </w:p>
    <w:p w14:paraId="50ADB911">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10）承包人应在本项目中投入使用燃料电池汽车等新能源工程车,且投入数量占本项目投入的建筑垃圾自卸车（渣土车）总数比例不得低于  %（按投标承诺），相关费用已包含在合同价中，不另行计取。</w:t>
      </w:r>
    </w:p>
    <w:p w14:paraId="3B89A99B">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11）承包人应当建立燃料电池汽车等新能源工程车投入管理台账备查，并将投入现场的影像等相关资料按要求报送发包人及监理单位核查。</w:t>
      </w:r>
    </w:p>
    <w:p w14:paraId="09F83B31">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12）承包人必须严格按照《工程建设领域农民工工资保证金规定》[人社部发（2021）65号]、《广州市建设领域施工企业工人工资支付保证金管理办法》[穗人社规字[2023]1号]等有关要求，执行工资保证金专用账户的开立、工资保证金的存储、补足或农民工工资保证金银行保函的开具、备案及提交新保函等工作（如相关规定有更新，按适时有效的最新规定执行）。</w:t>
      </w:r>
    </w:p>
    <w:p w14:paraId="4320DA6E">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三、施工组织设计和工期</w:t>
      </w:r>
    </w:p>
    <w:p w14:paraId="7256BA05">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10</w:t>
      </w:r>
      <w:r>
        <w:rPr>
          <w:rFonts w:hint="eastAsia" w:ascii="宋体" w:hAnsi="宋体" w:cs="宋体"/>
          <w:b/>
          <w:color w:val="auto"/>
          <w:sz w:val="24"/>
          <w:highlight w:val="none"/>
        </w:rPr>
        <w:t>、进度计划</w:t>
      </w:r>
    </w:p>
    <w:p w14:paraId="52700288">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承包人提供施工组织设计</w:t>
      </w:r>
      <w:r>
        <w:rPr>
          <w:rFonts w:ascii="宋体" w:hAnsi="宋体" w:cs="宋体"/>
          <w:color w:val="auto"/>
          <w:sz w:val="24"/>
          <w:szCs w:val="24"/>
          <w:highlight w:val="none"/>
        </w:rPr>
        <w:t>(施工方案)和进度计划时间：</w:t>
      </w:r>
    </w:p>
    <w:p w14:paraId="31BD0B6F">
      <w:pPr>
        <w:snapToGrid w:val="0"/>
        <w:spacing w:line="440" w:lineRule="exact"/>
        <w:ind w:firstLine="397"/>
        <w:rPr>
          <w:rFonts w:hint="eastAsia" w:ascii="宋体" w:hAnsi="宋体" w:cs="宋体"/>
          <w:color w:val="auto"/>
          <w:sz w:val="24"/>
          <w:szCs w:val="24"/>
          <w:highlight w:val="none"/>
        </w:rPr>
      </w:pPr>
      <w:r>
        <w:rPr>
          <w:rFonts w:ascii="宋体" w:hAnsi="宋体" w:cs="宋体"/>
          <w:color w:val="auto"/>
          <w:sz w:val="24"/>
          <w:highlight w:val="none"/>
          <w:u w:val="single"/>
        </w:rPr>
        <w:t>1）承包人应于接到中标通知书后4天内向发包人提交总体工程进度计划（网络计划），并</w:t>
      </w:r>
      <w:r>
        <w:rPr>
          <w:rFonts w:hint="eastAsia" w:ascii="宋体" w:hAnsi="宋体" w:cs="宋体"/>
          <w:color w:val="auto"/>
          <w:sz w:val="24"/>
          <w:highlight w:val="none"/>
          <w:u w:val="single"/>
        </w:rPr>
        <w:t>于开工前</w:t>
      </w:r>
      <w:r>
        <w:rPr>
          <w:rFonts w:ascii="宋体" w:hAnsi="宋体" w:cs="宋体"/>
          <w:color w:val="auto"/>
          <w:sz w:val="24"/>
          <w:highlight w:val="none"/>
          <w:u w:val="single"/>
        </w:rPr>
        <w:t>3天内提交施工组织设计（施工方案）给发包人。</w:t>
      </w:r>
    </w:p>
    <w:p w14:paraId="2225A150">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承包人提交的施工组织设计应当按监理工程师及国家、省、市及广州开发区关于施工承包管理的要求编制</w:t>
      </w:r>
      <w:r>
        <w:rPr>
          <w:rFonts w:hint="eastAsia" w:ascii="宋体" w:hAnsi="宋体" w:cs="宋体"/>
          <w:color w:val="auto"/>
          <w:sz w:val="24"/>
          <w:szCs w:val="24"/>
          <w:highlight w:val="none"/>
        </w:rPr>
        <w:t>。</w:t>
      </w:r>
    </w:p>
    <w:p w14:paraId="37E72A68">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Pr>
          <w:rFonts w:hint="eastAsia" w:ascii="宋体" w:hAnsi="宋体" w:cs="宋体"/>
          <w:color w:val="auto"/>
          <w:sz w:val="24"/>
          <w:szCs w:val="24"/>
          <w:highlight w:val="none"/>
        </w:rPr>
        <w:t>。</w:t>
      </w:r>
    </w:p>
    <w:p w14:paraId="09A60B9B">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u w:val="single"/>
        </w:rPr>
        <w:t>总监理工程师在接到承包人提交的施工组织设计和工程进度计划后，予以确认或提出修改意见</w:t>
      </w:r>
      <w:r>
        <w:rPr>
          <w:rFonts w:hint="eastAsia" w:ascii="宋体" w:hAnsi="宋体" w:cs="宋体"/>
          <w:color w:val="auto"/>
          <w:sz w:val="24"/>
          <w:szCs w:val="24"/>
          <w:highlight w:val="none"/>
        </w:rPr>
        <w:t>。</w:t>
      </w:r>
    </w:p>
    <w:p w14:paraId="7663CA2E">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工程师确认的时间：</w:t>
      </w:r>
      <w:r>
        <w:rPr>
          <w:rFonts w:hint="eastAsia" w:ascii="宋体" w:hAnsi="宋体" w:cs="宋体"/>
          <w:color w:val="auto"/>
          <w:sz w:val="24"/>
          <w:szCs w:val="24"/>
          <w:highlight w:val="none"/>
          <w:u w:val="single"/>
        </w:rPr>
        <w:t>开工前</w:t>
      </w:r>
      <w:r>
        <w:rPr>
          <w:rFonts w:hint="eastAsia" w:ascii="宋体" w:hAnsi="宋体" w:cs="宋体"/>
          <w:color w:val="auto"/>
          <w:sz w:val="24"/>
          <w:szCs w:val="24"/>
          <w:highlight w:val="none"/>
        </w:rPr>
        <w:t>。</w:t>
      </w:r>
    </w:p>
    <w:p w14:paraId="499981E6">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10.2</w:t>
      </w:r>
      <w:r>
        <w:rPr>
          <w:rFonts w:hint="eastAsia" w:ascii="宋体" w:hAnsi="宋体" w:cs="宋体"/>
          <w:color w:val="auto"/>
          <w:sz w:val="24"/>
          <w:szCs w:val="24"/>
          <w:highlight w:val="none"/>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14:paraId="05B5DD12">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10.3</w:t>
      </w:r>
      <w:r>
        <w:rPr>
          <w:rFonts w:hint="eastAsia" w:ascii="宋体" w:hAnsi="宋体" w:cs="宋体"/>
          <w:color w:val="auto"/>
          <w:sz w:val="24"/>
          <w:szCs w:val="24"/>
          <w:highlight w:val="none"/>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w:t>
      </w:r>
      <w:r>
        <w:rPr>
          <w:rFonts w:ascii="宋体" w:hAnsi="宋体" w:cs="宋体"/>
          <w:color w:val="auto"/>
          <w:sz w:val="24"/>
          <w:szCs w:val="24"/>
          <w:highlight w:val="none"/>
          <w:u w:val="single"/>
        </w:rPr>
        <w:t>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r>
        <w:rPr>
          <w:rFonts w:hint="eastAsia" w:ascii="宋体" w:hAnsi="宋体" w:cs="宋体"/>
          <w:color w:val="auto"/>
          <w:sz w:val="24"/>
          <w:szCs w:val="24"/>
          <w:highlight w:val="none"/>
        </w:rPr>
        <w:t>。</w:t>
      </w:r>
    </w:p>
    <w:p w14:paraId="0DF6BC4A">
      <w:pPr>
        <w:snapToGrid w:val="0"/>
        <w:spacing w:line="440" w:lineRule="exact"/>
        <w:ind w:firstLine="480" w:firstLineChars="200"/>
        <w:rPr>
          <w:rFonts w:ascii="宋体" w:hAnsi="宋体" w:cs="宋体"/>
          <w:b/>
          <w:color w:val="auto"/>
          <w:sz w:val="24"/>
          <w:highlight w:val="none"/>
        </w:rPr>
      </w:pPr>
      <w:r>
        <w:rPr>
          <w:rFonts w:ascii="宋体" w:hAnsi="宋体" w:cs="宋体"/>
          <w:b/>
          <w:color w:val="auto"/>
          <w:sz w:val="24"/>
          <w:highlight w:val="none"/>
        </w:rPr>
        <w:t>11、开工及延期开工</w:t>
      </w:r>
    </w:p>
    <w:p w14:paraId="382DE8F7">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11.1</w:t>
      </w:r>
      <w:r>
        <w:rPr>
          <w:rFonts w:hint="eastAsia" w:ascii="宋体" w:hAnsi="宋体" w:cs="宋体"/>
          <w:color w:val="auto"/>
          <w:sz w:val="24"/>
          <w:szCs w:val="24"/>
          <w:highlight w:val="none"/>
        </w:rPr>
        <w:t>开工日期和竣工日期</w:t>
      </w:r>
    </w:p>
    <w:p w14:paraId="41CA698D">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11.1.1</w:t>
      </w:r>
      <w:r>
        <w:rPr>
          <w:rFonts w:hint="eastAsia" w:ascii="宋体" w:hAnsi="宋体" w:cs="宋体"/>
          <w:color w:val="auto"/>
          <w:sz w:val="24"/>
          <w:szCs w:val="24"/>
          <w:highlight w:val="none"/>
        </w:rPr>
        <w:t>本工程工期为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180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日历天。其中开工时间初定为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2026</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4</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25</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日。（具体开工日期以发包人或监理单位开工令或批准的开工报告日期为准）</w:t>
      </w:r>
    </w:p>
    <w:p w14:paraId="7E69EEE9">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11.1.2</w:t>
      </w:r>
      <w:r>
        <w:rPr>
          <w:rFonts w:hint="eastAsia" w:ascii="宋体" w:hAnsi="宋体" w:cs="宋体"/>
          <w:color w:val="auto"/>
          <w:sz w:val="24"/>
          <w:szCs w:val="24"/>
          <w:highlight w:val="none"/>
        </w:rPr>
        <w:t>承包人必须采取一切有效措施保证竣工日期，不得延误。除非发生了以下情形：</w:t>
      </w:r>
    </w:p>
    <w:p w14:paraId="7AD95FED">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u w:val="single"/>
        </w:rPr>
        <w:t>政府对本工程建设项目作出停建、缓建的决定</w:t>
      </w:r>
      <w:r>
        <w:rPr>
          <w:rFonts w:hint="eastAsia" w:ascii="宋体" w:hAnsi="宋体" w:cs="宋体"/>
          <w:color w:val="auto"/>
          <w:sz w:val="24"/>
          <w:szCs w:val="24"/>
          <w:highlight w:val="none"/>
        </w:rPr>
        <w:t>；</w:t>
      </w:r>
    </w:p>
    <w:p w14:paraId="3C17BE4C">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u w:val="single"/>
        </w:rPr>
        <w:t>重大设计变更导致本工程在规划、使用、功能方面有重大调整</w:t>
      </w:r>
      <w:r>
        <w:rPr>
          <w:rFonts w:hint="eastAsia" w:ascii="宋体" w:hAnsi="宋体" w:cs="宋体"/>
          <w:color w:val="auto"/>
          <w:sz w:val="24"/>
          <w:szCs w:val="24"/>
          <w:highlight w:val="none"/>
        </w:rPr>
        <w:t>；</w:t>
      </w:r>
    </w:p>
    <w:p w14:paraId="0EF494D2">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u w:val="single"/>
        </w:rPr>
        <w:t>不可抗力持续影响而延误工期超过</w:t>
      </w:r>
      <w:r>
        <w:rPr>
          <w:rFonts w:ascii="宋体" w:hAnsi="宋体" w:cs="宋体"/>
          <w:color w:val="auto"/>
          <w:sz w:val="24"/>
          <w:szCs w:val="24"/>
          <w:highlight w:val="none"/>
          <w:u w:val="single"/>
        </w:rPr>
        <w:t>12</w:t>
      </w:r>
      <w:r>
        <w:rPr>
          <w:rFonts w:hint="eastAsia" w:ascii="宋体" w:hAnsi="宋体" w:cs="宋体"/>
          <w:color w:val="auto"/>
          <w:sz w:val="24"/>
          <w:szCs w:val="24"/>
          <w:highlight w:val="none"/>
          <w:u w:val="single"/>
        </w:rPr>
        <w:t>天以上</w:t>
      </w:r>
      <w:r>
        <w:rPr>
          <w:rFonts w:hint="eastAsia" w:ascii="宋体" w:hAnsi="宋体" w:cs="宋体"/>
          <w:color w:val="auto"/>
          <w:sz w:val="24"/>
          <w:szCs w:val="24"/>
          <w:highlight w:val="none"/>
        </w:rPr>
        <w:t>；</w:t>
      </w:r>
    </w:p>
    <w:p w14:paraId="70E00CDA">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u w:val="single"/>
        </w:rPr>
        <w:t>本合同专用条款约定的其他非承包人原因导致的工期延误</w:t>
      </w:r>
      <w:r>
        <w:rPr>
          <w:rFonts w:hint="eastAsia" w:ascii="宋体" w:hAnsi="宋体" w:cs="宋体"/>
          <w:color w:val="auto"/>
          <w:sz w:val="24"/>
          <w:szCs w:val="24"/>
          <w:highlight w:val="none"/>
        </w:rPr>
        <w:t>。</w:t>
      </w:r>
    </w:p>
    <w:p w14:paraId="09C5C31B">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11.2</w:t>
      </w:r>
      <w:r>
        <w:rPr>
          <w:rFonts w:hint="eastAsia" w:ascii="宋体" w:hAnsi="宋体" w:cs="宋体"/>
          <w:color w:val="auto"/>
          <w:sz w:val="24"/>
          <w:szCs w:val="24"/>
          <w:highlight w:val="none"/>
        </w:rPr>
        <w:t>延期开工：</w:t>
      </w:r>
    </w:p>
    <w:p w14:paraId="7C1FF810">
      <w:pPr>
        <w:adjustRightInd w:val="0"/>
        <w:snapToGrid w:val="0"/>
        <w:spacing w:line="440" w:lineRule="exact"/>
        <w:ind w:right="11" w:firstLine="420" w:firstLineChars="175"/>
        <w:rPr>
          <w:rFonts w:ascii="宋体" w:hAnsi="宋体" w:cs="宋体"/>
          <w:color w:val="auto"/>
          <w:sz w:val="24"/>
          <w:szCs w:val="24"/>
          <w:highlight w:val="none"/>
          <w:u w:val="single"/>
        </w:rPr>
      </w:pPr>
      <w:r>
        <w:rPr>
          <w:rFonts w:ascii="宋体" w:hAnsi="宋体" w:cs="宋体"/>
          <w:color w:val="auto"/>
          <w:sz w:val="24"/>
          <w:szCs w:val="24"/>
          <w:highlight w:val="none"/>
        </w:rPr>
        <w:t>11.2.1</w:t>
      </w:r>
      <w:r>
        <w:rPr>
          <w:rFonts w:hint="eastAsia" w:ascii="宋体" w:hAnsi="宋体" w:cs="宋体"/>
          <w:color w:val="auto"/>
          <w:sz w:val="24"/>
          <w:szCs w:val="24"/>
          <w:highlight w:val="none"/>
          <w:u w:val="single"/>
        </w:rPr>
        <w:t>因发包人原因不能按照协议书约定的开工日期开工或暂停施工的，总监理工程师应通知承包人推迟开工日期，经监理单位、发包人确认后，工期可相应顺延，但不作费用补偿</w:t>
      </w:r>
      <w:r>
        <w:rPr>
          <w:rFonts w:hint="eastAsia" w:ascii="宋体" w:hAnsi="宋体" w:cs="宋体"/>
          <w:color w:val="auto"/>
          <w:sz w:val="24"/>
          <w:szCs w:val="24"/>
          <w:highlight w:val="none"/>
        </w:rPr>
        <w:t>。</w:t>
      </w:r>
    </w:p>
    <w:p w14:paraId="51F2EC05">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11.2.2</w:t>
      </w:r>
      <w:r>
        <w:rPr>
          <w:rFonts w:hint="eastAsia" w:ascii="宋体" w:hAnsi="宋体" w:cs="宋体"/>
          <w:color w:val="auto"/>
          <w:sz w:val="24"/>
          <w:szCs w:val="24"/>
          <w:highlight w:val="none"/>
          <w:u w:val="single"/>
        </w:rPr>
        <w:t>承包人未能主动及时地履行其协调、配合服务义务而造成专业承包单位无法开工，由此产生的工期延误等损失由承包人承担，并承担违约责任</w:t>
      </w:r>
      <w:r>
        <w:rPr>
          <w:rFonts w:hint="eastAsia" w:ascii="宋体" w:hAnsi="宋体" w:cs="宋体"/>
          <w:color w:val="auto"/>
          <w:sz w:val="24"/>
          <w:szCs w:val="24"/>
          <w:highlight w:val="none"/>
        </w:rPr>
        <w:t>。</w:t>
      </w:r>
    </w:p>
    <w:p w14:paraId="6FD0F378">
      <w:pPr>
        <w:snapToGrid w:val="0"/>
        <w:spacing w:line="440" w:lineRule="exact"/>
        <w:ind w:firstLine="480" w:firstLineChars="200"/>
        <w:rPr>
          <w:rFonts w:ascii="宋体" w:hAnsi="宋体" w:cs="宋体"/>
          <w:b/>
          <w:color w:val="auto"/>
          <w:sz w:val="24"/>
          <w:highlight w:val="none"/>
        </w:rPr>
      </w:pPr>
      <w:r>
        <w:rPr>
          <w:rFonts w:ascii="宋体" w:hAnsi="宋体" w:cs="宋体"/>
          <w:b/>
          <w:color w:val="auto"/>
          <w:sz w:val="24"/>
          <w:highlight w:val="none"/>
        </w:rPr>
        <w:t>12、暂停施工</w:t>
      </w:r>
    </w:p>
    <w:p w14:paraId="7AE52506">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12.1因下列原因，总监理工程师报经发包人同意，可通知承包人暂停施工：</w:t>
      </w:r>
    </w:p>
    <w:p w14:paraId="1B377056">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u w:val="single"/>
        </w:rPr>
        <w:t>工程设计发生重大变更</w:t>
      </w:r>
      <w:r>
        <w:rPr>
          <w:rFonts w:hint="eastAsia" w:ascii="宋体" w:hAnsi="宋体" w:cs="宋体"/>
          <w:color w:val="auto"/>
          <w:sz w:val="24"/>
          <w:szCs w:val="24"/>
          <w:highlight w:val="none"/>
        </w:rPr>
        <w:t>；</w:t>
      </w:r>
    </w:p>
    <w:p w14:paraId="00E8A68B">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u w:val="single"/>
        </w:rPr>
        <w:t>不可抗力</w:t>
      </w:r>
      <w:r>
        <w:rPr>
          <w:rFonts w:hint="eastAsia" w:ascii="宋体" w:hAnsi="宋体" w:cs="宋体"/>
          <w:color w:val="auto"/>
          <w:sz w:val="24"/>
          <w:szCs w:val="24"/>
          <w:highlight w:val="none"/>
        </w:rPr>
        <w:t>；</w:t>
      </w:r>
    </w:p>
    <w:p w14:paraId="2949DEC7">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u w:val="single"/>
        </w:rPr>
        <w:t>质量事故</w:t>
      </w:r>
      <w:r>
        <w:rPr>
          <w:rFonts w:hint="eastAsia" w:ascii="宋体" w:hAnsi="宋体" w:cs="宋体"/>
          <w:color w:val="auto"/>
          <w:sz w:val="24"/>
          <w:szCs w:val="24"/>
          <w:highlight w:val="none"/>
        </w:rPr>
        <w:t>；</w:t>
      </w:r>
    </w:p>
    <w:p w14:paraId="105CF879">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u w:val="single"/>
        </w:rPr>
        <w:t>安全生产事故</w:t>
      </w:r>
      <w:r>
        <w:rPr>
          <w:rFonts w:hint="eastAsia" w:ascii="宋体" w:hAnsi="宋体" w:cs="宋体"/>
          <w:color w:val="auto"/>
          <w:sz w:val="24"/>
          <w:szCs w:val="24"/>
          <w:highlight w:val="none"/>
        </w:rPr>
        <w:t>；</w:t>
      </w:r>
    </w:p>
    <w:p w14:paraId="38BE208C">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u w:val="single"/>
        </w:rPr>
        <w:t>因承包人管理不善，可能导致现场混乱</w:t>
      </w:r>
      <w:r>
        <w:rPr>
          <w:rFonts w:hint="eastAsia" w:ascii="宋体" w:hAnsi="宋体" w:cs="宋体"/>
          <w:color w:val="auto"/>
          <w:sz w:val="24"/>
          <w:szCs w:val="24"/>
          <w:highlight w:val="none"/>
        </w:rPr>
        <w:t>；</w:t>
      </w:r>
    </w:p>
    <w:p w14:paraId="7C04ACCA">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6）</w:t>
      </w:r>
      <w:r>
        <w:rPr>
          <w:rFonts w:hint="eastAsia" w:ascii="宋体" w:hAnsi="宋体" w:cs="宋体"/>
          <w:color w:val="auto"/>
          <w:sz w:val="24"/>
          <w:szCs w:val="24"/>
          <w:highlight w:val="none"/>
          <w:u w:val="single"/>
        </w:rPr>
        <w:t>承包人违规施工，经监理工程师通知改正但仍不执行</w:t>
      </w:r>
      <w:r>
        <w:rPr>
          <w:rFonts w:hint="eastAsia" w:ascii="宋体" w:hAnsi="宋体" w:cs="宋体"/>
          <w:color w:val="auto"/>
          <w:sz w:val="24"/>
          <w:szCs w:val="24"/>
          <w:highlight w:val="none"/>
        </w:rPr>
        <w:t>。</w:t>
      </w:r>
    </w:p>
    <w:p w14:paraId="09B25BF2">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承包人不得以与发包人有争议为由或者以争议未解决为由而单方面停工。否则，应按约定承担工期延误的违约责任</w:t>
      </w:r>
      <w:r>
        <w:rPr>
          <w:rFonts w:hint="eastAsia" w:ascii="宋体" w:hAnsi="宋体" w:cs="宋体"/>
          <w:color w:val="auto"/>
          <w:sz w:val="24"/>
          <w:szCs w:val="24"/>
          <w:highlight w:val="none"/>
        </w:rPr>
        <w:t>。</w:t>
      </w:r>
    </w:p>
    <w:p w14:paraId="2E9CFC67">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因发生上述第（</w:t>
      </w:r>
      <w:r>
        <w:rPr>
          <w:rFonts w:ascii="宋体" w:hAnsi="宋体" w:cs="宋体"/>
          <w:color w:val="auto"/>
          <w:sz w:val="24"/>
          <w:szCs w:val="24"/>
          <w:highlight w:val="none"/>
          <w:u w:val="single"/>
        </w:rPr>
        <w:t>1）、（2）项原因而暂停施工</w:t>
      </w:r>
      <w:r>
        <w:rPr>
          <w:rFonts w:hint="eastAsia" w:ascii="宋体" w:hAnsi="宋体" w:cs="宋体"/>
          <w:color w:val="auto"/>
          <w:sz w:val="24"/>
          <w:szCs w:val="24"/>
          <w:highlight w:val="none"/>
          <w:u w:val="single"/>
        </w:rPr>
        <w:t>的，工期可协商调整，因发生上述第（</w:t>
      </w:r>
      <w:r>
        <w:rPr>
          <w:rFonts w:ascii="宋体" w:hAnsi="宋体" w:cs="宋体"/>
          <w:color w:val="auto"/>
          <w:sz w:val="24"/>
          <w:szCs w:val="24"/>
          <w:highlight w:val="none"/>
          <w:u w:val="single"/>
        </w:rPr>
        <w:t>3）、（4）、（5）、（6）项原因而暂停施工</w:t>
      </w:r>
      <w:r>
        <w:rPr>
          <w:rFonts w:hint="eastAsia" w:ascii="宋体" w:hAnsi="宋体" w:cs="宋体"/>
          <w:color w:val="auto"/>
          <w:sz w:val="24"/>
          <w:szCs w:val="24"/>
          <w:highlight w:val="none"/>
          <w:u w:val="single"/>
        </w:rPr>
        <w:t>的，工期不予顺延</w:t>
      </w:r>
      <w:r>
        <w:rPr>
          <w:rFonts w:ascii="宋体" w:hAnsi="宋体" w:cs="宋体"/>
          <w:color w:val="auto"/>
          <w:sz w:val="24"/>
          <w:szCs w:val="24"/>
          <w:highlight w:val="none"/>
          <w:u w:val="single"/>
        </w:rPr>
        <w:t>,承包人必须承担由此发生的费用并向发包人承担违约责任</w:t>
      </w:r>
      <w:r>
        <w:rPr>
          <w:rFonts w:hint="eastAsia" w:ascii="宋体" w:hAnsi="宋体" w:cs="宋体"/>
          <w:color w:val="auto"/>
          <w:sz w:val="24"/>
          <w:szCs w:val="24"/>
          <w:highlight w:val="none"/>
        </w:rPr>
        <w:t>。</w:t>
      </w:r>
    </w:p>
    <w:p w14:paraId="22B5F31F">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12.2为了保证工程质量安全，凡</w:t>
      </w:r>
      <w:r>
        <w:rPr>
          <w:rFonts w:hint="eastAsia" w:ascii="宋体" w:hAnsi="宋体" w:cs="宋体"/>
          <w:color w:val="auto"/>
          <w:sz w:val="24"/>
          <w:szCs w:val="24"/>
          <w:highlight w:val="none"/>
        </w:rPr>
        <w:t>承包人出现下列情况之一（不限于此）的，总监理工程师有权下达停工令，责令承包人停工整改，由此造成的损失由承包人自行承担，工期不予顺延，如果造成工期延误的，承包人还应承担违约责任。</w:t>
      </w:r>
    </w:p>
    <w:p w14:paraId="04D98833">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(1)</w:t>
      </w:r>
      <w:r>
        <w:rPr>
          <w:rFonts w:hint="eastAsia" w:ascii="宋体" w:hAnsi="宋体" w:cs="宋体"/>
          <w:color w:val="auto"/>
          <w:sz w:val="24"/>
          <w:szCs w:val="24"/>
          <w:highlight w:val="none"/>
          <w:u w:val="single"/>
        </w:rPr>
        <w:t>拒绝监理单位管理</w:t>
      </w:r>
      <w:r>
        <w:rPr>
          <w:rFonts w:hint="eastAsia" w:ascii="宋体" w:hAnsi="宋体" w:cs="宋体"/>
          <w:color w:val="auto"/>
          <w:sz w:val="24"/>
          <w:szCs w:val="24"/>
          <w:highlight w:val="none"/>
        </w:rPr>
        <w:t>；</w:t>
      </w:r>
    </w:p>
    <w:p w14:paraId="3A795EE4">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(2)</w:t>
      </w:r>
      <w:r>
        <w:rPr>
          <w:rFonts w:hint="eastAsia" w:ascii="宋体" w:hAnsi="宋体" w:cs="宋体"/>
          <w:color w:val="auto"/>
          <w:sz w:val="24"/>
          <w:szCs w:val="24"/>
          <w:highlight w:val="none"/>
          <w:u w:val="single"/>
        </w:rPr>
        <w:t>施工组织设计（方案）未获总监理工程师批准而进行施工</w:t>
      </w:r>
      <w:r>
        <w:rPr>
          <w:rFonts w:hint="eastAsia" w:ascii="宋体" w:hAnsi="宋体" w:cs="宋体"/>
          <w:color w:val="auto"/>
          <w:sz w:val="24"/>
          <w:szCs w:val="24"/>
          <w:highlight w:val="none"/>
        </w:rPr>
        <w:t>；</w:t>
      </w:r>
    </w:p>
    <w:p w14:paraId="5111ACA7">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(3)</w:t>
      </w:r>
      <w:r>
        <w:rPr>
          <w:rFonts w:hint="eastAsia" w:ascii="宋体" w:hAnsi="宋体" w:cs="宋体"/>
          <w:color w:val="auto"/>
          <w:sz w:val="24"/>
          <w:szCs w:val="24"/>
          <w:highlight w:val="none"/>
          <w:u w:val="single"/>
        </w:rPr>
        <w:t>未经监理单位检验而进行下一道工序作业者</w:t>
      </w:r>
      <w:r>
        <w:rPr>
          <w:rFonts w:hint="eastAsia" w:ascii="宋体" w:hAnsi="宋体" w:cs="宋体"/>
          <w:color w:val="auto"/>
          <w:sz w:val="24"/>
          <w:szCs w:val="24"/>
          <w:highlight w:val="none"/>
        </w:rPr>
        <w:t>；</w:t>
      </w:r>
    </w:p>
    <w:p w14:paraId="7C8E835B">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w:t>
      </w:r>
      <w:r>
        <w:rPr>
          <w:rFonts w:hint="eastAsia" w:ascii="宋体" w:hAnsi="宋体" w:cs="宋体"/>
          <w:color w:val="auto"/>
          <w:sz w:val="24"/>
          <w:szCs w:val="24"/>
          <w:highlight w:val="none"/>
          <w:u w:val="single"/>
        </w:rPr>
        <w:t>擅自采用未经监理单位及发包人认可或批准的材料的，或者使用的原材料、构配件不合格或未经检查确认的，或者擅自采用未经认可的代用材料的</w:t>
      </w:r>
      <w:r>
        <w:rPr>
          <w:rFonts w:hint="eastAsia" w:ascii="宋体" w:hAnsi="宋体" w:cs="宋体"/>
          <w:color w:val="auto"/>
          <w:sz w:val="24"/>
          <w:szCs w:val="24"/>
          <w:highlight w:val="none"/>
        </w:rPr>
        <w:t>；</w:t>
      </w:r>
    </w:p>
    <w:p w14:paraId="1DDF525D">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(5)</w:t>
      </w:r>
      <w:r>
        <w:rPr>
          <w:rFonts w:hint="eastAsia" w:ascii="宋体" w:hAnsi="宋体" w:cs="宋体"/>
          <w:color w:val="auto"/>
          <w:sz w:val="24"/>
          <w:szCs w:val="24"/>
          <w:highlight w:val="none"/>
          <w:u w:val="single"/>
        </w:rPr>
        <w:t>擅自变更设计图纸的要求</w:t>
      </w:r>
      <w:r>
        <w:rPr>
          <w:rFonts w:hint="eastAsia" w:ascii="宋体" w:hAnsi="宋体" w:cs="宋体"/>
          <w:color w:val="auto"/>
          <w:sz w:val="24"/>
          <w:szCs w:val="24"/>
          <w:highlight w:val="none"/>
        </w:rPr>
        <w:t>；</w:t>
      </w:r>
    </w:p>
    <w:p w14:paraId="1D3CC31F">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(6)</w:t>
      </w:r>
      <w:r>
        <w:rPr>
          <w:rFonts w:hint="eastAsia" w:ascii="宋体" w:hAnsi="宋体" w:cs="宋体"/>
          <w:color w:val="auto"/>
          <w:sz w:val="24"/>
          <w:szCs w:val="24"/>
          <w:highlight w:val="none"/>
          <w:u w:val="single"/>
        </w:rPr>
        <w:t>转包工程</w:t>
      </w:r>
      <w:r>
        <w:rPr>
          <w:rFonts w:hint="eastAsia" w:ascii="宋体" w:hAnsi="宋体" w:cs="宋体"/>
          <w:color w:val="auto"/>
          <w:sz w:val="24"/>
          <w:szCs w:val="24"/>
          <w:highlight w:val="none"/>
        </w:rPr>
        <w:t>；</w:t>
      </w:r>
    </w:p>
    <w:p w14:paraId="562C8218">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(7)</w:t>
      </w:r>
      <w:r>
        <w:rPr>
          <w:rFonts w:hint="eastAsia" w:ascii="宋体" w:hAnsi="宋体" w:cs="宋体"/>
          <w:color w:val="auto"/>
          <w:sz w:val="24"/>
          <w:szCs w:val="24"/>
          <w:highlight w:val="none"/>
          <w:u w:val="single"/>
        </w:rPr>
        <w:t>擅自让未经总监理工程师批准的专业承包单位进场作业</w:t>
      </w:r>
      <w:r>
        <w:rPr>
          <w:rFonts w:hint="eastAsia" w:ascii="宋体" w:hAnsi="宋体" w:cs="宋体"/>
          <w:color w:val="auto"/>
          <w:sz w:val="24"/>
          <w:szCs w:val="24"/>
          <w:highlight w:val="none"/>
        </w:rPr>
        <w:t>；</w:t>
      </w:r>
    </w:p>
    <w:p w14:paraId="62B923D2">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(8)</w:t>
      </w:r>
      <w:r>
        <w:rPr>
          <w:rFonts w:hint="eastAsia" w:ascii="宋体" w:hAnsi="宋体" w:cs="宋体"/>
          <w:color w:val="auto"/>
          <w:sz w:val="24"/>
          <w:szCs w:val="24"/>
          <w:highlight w:val="none"/>
          <w:u w:val="single"/>
        </w:rPr>
        <w:t>存在安全隐患，未按监理单位要求及时进行整改</w:t>
      </w:r>
      <w:r>
        <w:rPr>
          <w:rFonts w:hint="eastAsia" w:ascii="宋体" w:hAnsi="宋体" w:cs="宋体"/>
          <w:color w:val="auto"/>
          <w:sz w:val="24"/>
          <w:szCs w:val="24"/>
          <w:highlight w:val="none"/>
        </w:rPr>
        <w:t>；</w:t>
      </w:r>
    </w:p>
    <w:p w14:paraId="62709AA4">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(9)</w:t>
      </w:r>
      <w:r>
        <w:rPr>
          <w:rFonts w:hint="eastAsia" w:ascii="宋体" w:hAnsi="宋体" w:cs="宋体"/>
          <w:color w:val="auto"/>
          <w:sz w:val="24"/>
          <w:szCs w:val="24"/>
          <w:highlight w:val="none"/>
          <w:u w:val="single"/>
        </w:rPr>
        <w:t>未按双方约定的资料上报要求上报所需资料的</w:t>
      </w:r>
      <w:r>
        <w:rPr>
          <w:rFonts w:hint="eastAsia" w:ascii="宋体" w:hAnsi="宋体" w:cs="宋体"/>
          <w:color w:val="auto"/>
          <w:sz w:val="24"/>
          <w:szCs w:val="24"/>
          <w:highlight w:val="none"/>
        </w:rPr>
        <w:t>。</w:t>
      </w:r>
    </w:p>
    <w:p w14:paraId="19A972B0">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12.3因不可抗力引起工程停工，工期按</w:t>
      </w:r>
      <w:r>
        <w:rPr>
          <w:rFonts w:hint="eastAsia" w:ascii="宋体" w:hAnsi="宋体" w:cs="宋体"/>
          <w:color w:val="auto"/>
          <w:sz w:val="24"/>
          <w:szCs w:val="24"/>
          <w:highlight w:val="none"/>
          <w:u w:val="single"/>
        </w:rPr>
        <w:t>专用条款</w:t>
      </w:r>
      <w:r>
        <w:rPr>
          <w:rFonts w:ascii="宋体" w:hAnsi="宋体" w:cs="宋体"/>
          <w:color w:val="auto"/>
          <w:sz w:val="24"/>
          <w:szCs w:val="24"/>
          <w:highlight w:val="none"/>
          <w:u w:val="single"/>
        </w:rPr>
        <w:t>第12.1款</w:t>
      </w:r>
      <w:r>
        <w:rPr>
          <w:rFonts w:hint="eastAsia" w:ascii="宋体" w:hAnsi="宋体" w:cs="宋体"/>
          <w:color w:val="auto"/>
          <w:sz w:val="24"/>
          <w:szCs w:val="24"/>
          <w:highlight w:val="none"/>
        </w:rPr>
        <w:t>约定执行，费用承担按以下原则：</w:t>
      </w:r>
    </w:p>
    <w:p w14:paraId="70E1020C">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u w:val="single"/>
        </w:rPr>
        <w:t>因工程损害导致第三方人员伤亡和财产损失，如系在工程竣工验收合格移交给发包人使用前造成的，费用由承包人承担；如系在工程竣工验收合格移交给发包人使用后发生的，费用由发包人承担</w:t>
      </w:r>
      <w:r>
        <w:rPr>
          <w:rFonts w:hint="eastAsia" w:ascii="宋体" w:hAnsi="宋体" w:cs="宋体"/>
          <w:color w:val="auto"/>
          <w:sz w:val="24"/>
          <w:szCs w:val="24"/>
          <w:highlight w:val="none"/>
        </w:rPr>
        <w:t>。</w:t>
      </w:r>
    </w:p>
    <w:p w14:paraId="5A6C511A">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u w:val="single"/>
        </w:rPr>
        <w:t>运至施工场地用于施工的材料和待安装的设备的损害，属发包人供应的由发包人承担；属承包人采购的由承包人承担</w:t>
      </w:r>
      <w:r>
        <w:rPr>
          <w:rFonts w:hint="eastAsia" w:ascii="宋体" w:hAnsi="宋体" w:cs="宋体"/>
          <w:color w:val="auto"/>
          <w:sz w:val="24"/>
          <w:szCs w:val="24"/>
          <w:highlight w:val="none"/>
        </w:rPr>
        <w:t>。</w:t>
      </w:r>
    </w:p>
    <w:p w14:paraId="60E50E93">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u w:val="single"/>
        </w:rPr>
        <w:t>发包人承包人人员伤亡由其所在单位负责，并承担相应费用</w:t>
      </w:r>
      <w:r>
        <w:rPr>
          <w:rFonts w:hint="eastAsia" w:ascii="宋体" w:hAnsi="宋体" w:cs="宋体"/>
          <w:color w:val="auto"/>
          <w:sz w:val="24"/>
          <w:szCs w:val="24"/>
          <w:highlight w:val="none"/>
        </w:rPr>
        <w:t>。</w:t>
      </w:r>
    </w:p>
    <w:p w14:paraId="2817562A">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u w:val="single"/>
        </w:rPr>
        <w:t>承包人机械设备损坏及停工损失由承包人承担</w:t>
      </w:r>
      <w:r>
        <w:rPr>
          <w:rFonts w:hint="eastAsia" w:ascii="宋体" w:hAnsi="宋体" w:cs="宋体"/>
          <w:color w:val="auto"/>
          <w:sz w:val="24"/>
          <w:szCs w:val="24"/>
          <w:highlight w:val="none"/>
        </w:rPr>
        <w:t>。</w:t>
      </w:r>
    </w:p>
    <w:p w14:paraId="52A7449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u w:val="single"/>
        </w:rPr>
        <w:t>停工期间，承包人应总监理工程师要求留在施工场地的必要的管理人员及保卫人员的费用由承包人承担</w:t>
      </w:r>
      <w:r>
        <w:rPr>
          <w:rFonts w:hint="eastAsia" w:ascii="宋体" w:hAnsi="宋体" w:cs="宋体"/>
          <w:color w:val="auto"/>
          <w:sz w:val="24"/>
          <w:szCs w:val="24"/>
          <w:highlight w:val="none"/>
        </w:rPr>
        <w:t>。</w:t>
      </w:r>
    </w:p>
    <w:p w14:paraId="7A1E0DFC">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6）</w:t>
      </w:r>
      <w:r>
        <w:rPr>
          <w:rFonts w:hint="eastAsia" w:ascii="宋体" w:hAnsi="宋体" w:cs="宋体"/>
          <w:color w:val="auto"/>
          <w:sz w:val="24"/>
          <w:szCs w:val="24"/>
          <w:highlight w:val="none"/>
          <w:u w:val="single"/>
        </w:rPr>
        <w:t>工程所需清理、修复费用由发包人承担</w:t>
      </w:r>
      <w:r>
        <w:rPr>
          <w:rFonts w:hint="eastAsia" w:ascii="宋体" w:hAnsi="宋体" w:cs="宋体"/>
          <w:color w:val="auto"/>
          <w:sz w:val="24"/>
          <w:szCs w:val="24"/>
          <w:highlight w:val="none"/>
        </w:rPr>
        <w:t>。</w:t>
      </w:r>
    </w:p>
    <w:p w14:paraId="669E9D87">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12.4</w:t>
      </w:r>
      <w:r>
        <w:rPr>
          <w:rFonts w:hint="eastAsia" w:ascii="宋体" w:hAnsi="宋体" w:cs="宋体"/>
          <w:color w:val="auto"/>
          <w:sz w:val="24"/>
          <w:szCs w:val="24"/>
          <w:highlight w:val="none"/>
          <w:u w:val="single"/>
        </w:rPr>
        <w:t>由于承包人自身原因或施工承包管理、配合及协调不力，而导致专业承包工程停工，产生的费用由承包人承担</w:t>
      </w:r>
      <w:r>
        <w:rPr>
          <w:rFonts w:hint="eastAsia" w:ascii="宋体" w:hAnsi="宋体" w:cs="宋体"/>
          <w:color w:val="auto"/>
          <w:sz w:val="24"/>
          <w:szCs w:val="24"/>
          <w:highlight w:val="none"/>
        </w:rPr>
        <w:t>。</w:t>
      </w:r>
    </w:p>
    <w:p w14:paraId="014DDE4F">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13、工期延误</w:t>
      </w:r>
    </w:p>
    <w:p w14:paraId="77C0E173">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13.2</w:t>
      </w:r>
      <w:r>
        <w:rPr>
          <w:rFonts w:hint="eastAsia" w:ascii="宋体" w:hAnsi="宋体" w:cs="宋体"/>
          <w:color w:val="auto"/>
          <w:sz w:val="24"/>
          <w:szCs w:val="24"/>
          <w:highlight w:val="none"/>
          <w:u w:val="single"/>
        </w:rPr>
        <w:t>对于非因承包人原因发生的工期延误，承包人应当在工期延误事件发生后</w:t>
      </w:r>
      <w:r>
        <w:rPr>
          <w:rFonts w:ascii="宋体" w:hAnsi="宋体" w:cs="宋体"/>
          <w:color w:val="auto"/>
          <w:sz w:val="24"/>
          <w:szCs w:val="24"/>
          <w:highlight w:val="none"/>
          <w:u w:val="single"/>
        </w:rPr>
        <w:t>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r>
        <w:rPr>
          <w:rFonts w:hint="eastAsia" w:ascii="宋体" w:hAnsi="宋体" w:cs="宋体"/>
          <w:color w:val="auto"/>
          <w:sz w:val="24"/>
          <w:szCs w:val="24"/>
          <w:highlight w:val="none"/>
        </w:rPr>
        <w:t>。</w:t>
      </w:r>
    </w:p>
    <w:p w14:paraId="042E8483">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四、质量与验收</w:t>
      </w:r>
    </w:p>
    <w:p w14:paraId="551B30BB">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15、工程质量</w:t>
      </w:r>
    </w:p>
    <w:p w14:paraId="5175C08B">
      <w:pPr>
        <w:snapToGrid w:val="0"/>
        <w:spacing w:line="440" w:lineRule="exact"/>
        <w:ind w:firstLine="397"/>
        <w:rPr>
          <w:rFonts w:hint="eastAsia" w:ascii="宋体" w:hAnsi="宋体" w:cs="宋体"/>
          <w:bCs/>
          <w:color w:val="auto"/>
          <w:sz w:val="24"/>
          <w:szCs w:val="24"/>
          <w:highlight w:val="none"/>
        </w:rPr>
      </w:pPr>
      <w:r>
        <w:rPr>
          <w:rFonts w:ascii="宋体" w:hAnsi="宋体" w:cs="宋体"/>
          <w:bCs/>
          <w:color w:val="auto"/>
          <w:sz w:val="24"/>
          <w:szCs w:val="24"/>
          <w:highlight w:val="none"/>
        </w:rPr>
        <w:t>15.3</w:t>
      </w:r>
      <w:r>
        <w:rPr>
          <w:rFonts w:hint="eastAsia" w:ascii="宋体" w:hAnsi="宋体" w:cs="宋体"/>
          <w:bCs/>
          <w:color w:val="auto"/>
          <w:sz w:val="24"/>
          <w:szCs w:val="24"/>
          <w:highlight w:val="none"/>
          <w:u w:val="single"/>
        </w:rPr>
        <w:t>承包人必须严格按照设计施工图和国家及行业颁发的现行有关设计、施工及验收规范的要求进行施工，确保工程质量，</w:t>
      </w:r>
      <w:r>
        <w:rPr>
          <w:rFonts w:hint="eastAsia" w:ascii="宋体" w:hAnsi="宋体" w:cs="宋体"/>
          <w:bCs/>
          <w:color w:val="auto"/>
          <w:sz w:val="24"/>
          <w:highlight w:val="none"/>
        </w:rPr>
        <w:t>工程的质量标准要求合格，且达到投标承诺的质量标准</w:t>
      </w:r>
      <w:r>
        <w:rPr>
          <w:rFonts w:hint="eastAsia" w:ascii="宋体" w:hAnsi="宋体" w:cs="宋体"/>
          <w:bCs/>
          <w:color w:val="auto"/>
          <w:sz w:val="24"/>
          <w:szCs w:val="24"/>
          <w:highlight w:val="none"/>
          <w:u w:val="single"/>
        </w:rPr>
        <w:t>。承包人对图纸中存在的问题有责任和义务提前以书面形式报告工程师及发包人，以供发包人同监理人核实并及时要求设计方修改设计图纸</w:t>
      </w:r>
      <w:r>
        <w:rPr>
          <w:rFonts w:hint="eastAsia" w:ascii="宋体" w:hAnsi="宋体" w:cs="宋体"/>
          <w:bCs/>
          <w:color w:val="auto"/>
          <w:sz w:val="24"/>
          <w:szCs w:val="24"/>
          <w:highlight w:val="none"/>
        </w:rPr>
        <w:t>。</w:t>
      </w:r>
    </w:p>
    <w:p w14:paraId="2548001E">
      <w:pPr>
        <w:snapToGrid w:val="0"/>
        <w:spacing w:line="440" w:lineRule="exact"/>
        <w:ind w:firstLine="495"/>
        <w:rPr>
          <w:rFonts w:ascii="Times New Roman" w:hAnsi="Times New Roman"/>
          <w:bCs w:val="0"/>
          <w:color w:val="auto"/>
          <w:sz w:val="28"/>
          <w:szCs w:val="28"/>
          <w:highlight w:val="none"/>
        </w:rPr>
      </w:pPr>
      <w:r>
        <w:rPr>
          <w:rFonts w:hint="eastAsia" w:ascii="宋体" w:hAnsi="宋体" w:cs="宋体"/>
          <w:bCs/>
          <w:color w:val="auto"/>
          <w:sz w:val="24"/>
          <w:highlight w:val="none"/>
          <w:u w:val="single"/>
        </w:rPr>
        <w:t>承包人对图纸中存在的问题有责任和义务提前以书面形式报告工程师及发包人，以供发包人同监理人核实并及时要求设计方修改设计图纸。</w:t>
      </w:r>
    </w:p>
    <w:p w14:paraId="41D157AD">
      <w:pPr>
        <w:snapToGrid w:val="0"/>
        <w:spacing w:line="440" w:lineRule="exact"/>
        <w:ind w:firstLine="397"/>
        <w:rPr>
          <w:rFonts w:ascii="宋体" w:hAnsi="宋体" w:cs="宋体"/>
          <w:bCs/>
          <w:color w:val="auto"/>
          <w:sz w:val="24"/>
          <w:szCs w:val="24"/>
          <w:highlight w:val="none"/>
        </w:rPr>
      </w:pPr>
      <w:r>
        <w:rPr>
          <w:rFonts w:ascii="宋体" w:hAnsi="宋体" w:cs="宋体"/>
          <w:bCs/>
          <w:color w:val="auto"/>
          <w:sz w:val="24"/>
          <w:szCs w:val="24"/>
          <w:highlight w:val="none"/>
        </w:rPr>
        <w:t>15.4</w:t>
      </w:r>
      <w:r>
        <w:rPr>
          <w:rFonts w:hint="eastAsia" w:ascii="宋体" w:hAnsi="宋体" w:cs="宋体"/>
          <w:bCs/>
          <w:color w:val="auto"/>
          <w:sz w:val="24"/>
          <w:szCs w:val="24"/>
          <w:highlight w:val="none"/>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Pr>
          <w:rFonts w:hint="eastAsia" w:ascii="宋体" w:hAnsi="宋体" w:cs="宋体"/>
          <w:bCs/>
          <w:color w:val="auto"/>
          <w:sz w:val="24"/>
          <w:szCs w:val="24"/>
          <w:highlight w:val="none"/>
        </w:rPr>
        <w:t>。</w:t>
      </w:r>
    </w:p>
    <w:p w14:paraId="7F02139D">
      <w:pPr>
        <w:snapToGrid w:val="0"/>
        <w:spacing w:line="440" w:lineRule="exact"/>
        <w:ind w:firstLine="397"/>
        <w:rPr>
          <w:rFonts w:ascii="宋体" w:hAnsi="宋体" w:cs="宋体"/>
          <w:bCs/>
          <w:color w:val="auto"/>
          <w:sz w:val="24"/>
          <w:szCs w:val="24"/>
          <w:highlight w:val="none"/>
        </w:rPr>
      </w:pPr>
      <w:r>
        <w:rPr>
          <w:rFonts w:ascii="宋体" w:hAnsi="宋体" w:cs="宋体"/>
          <w:bCs/>
          <w:color w:val="auto"/>
          <w:sz w:val="24"/>
          <w:szCs w:val="24"/>
          <w:highlight w:val="none"/>
        </w:rPr>
        <w:t>15.5</w:t>
      </w:r>
      <w:r>
        <w:rPr>
          <w:rFonts w:hint="eastAsia" w:ascii="宋体" w:hAnsi="宋体" w:cs="宋体"/>
          <w:bCs/>
          <w:color w:val="auto"/>
          <w:sz w:val="24"/>
          <w:szCs w:val="24"/>
          <w:highlight w:val="none"/>
          <w:u w:val="single"/>
        </w:rPr>
        <w:t>工程质量不符合设计要求、质量不合格者，监理工程师可指令承包人停工或返工，返工费用由承包人承担，工期不予顺延</w:t>
      </w:r>
      <w:r>
        <w:rPr>
          <w:rFonts w:hint="eastAsia" w:ascii="宋体" w:hAnsi="宋体" w:cs="宋体"/>
          <w:bCs/>
          <w:color w:val="auto"/>
          <w:sz w:val="24"/>
          <w:szCs w:val="24"/>
          <w:highlight w:val="none"/>
        </w:rPr>
        <w:t>。</w:t>
      </w:r>
    </w:p>
    <w:p w14:paraId="0F7CC8F6">
      <w:pPr>
        <w:snapToGrid w:val="0"/>
        <w:spacing w:line="440" w:lineRule="exact"/>
        <w:ind w:firstLine="397"/>
        <w:rPr>
          <w:rFonts w:ascii="宋体" w:hAnsi="宋体" w:cs="宋体"/>
          <w:bCs/>
          <w:color w:val="auto"/>
          <w:sz w:val="24"/>
          <w:szCs w:val="24"/>
          <w:highlight w:val="none"/>
        </w:rPr>
      </w:pPr>
      <w:r>
        <w:rPr>
          <w:rFonts w:ascii="宋体" w:hAnsi="宋体" w:cs="宋体"/>
          <w:bCs/>
          <w:color w:val="auto"/>
          <w:sz w:val="24"/>
          <w:szCs w:val="24"/>
          <w:highlight w:val="none"/>
        </w:rPr>
        <w:t>15.6</w:t>
      </w:r>
      <w:r>
        <w:rPr>
          <w:rFonts w:hint="eastAsia" w:ascii="宋体" w:hAnsi="宋体" w:cs="宋体"/>
          <w:bCs/>
          <w:color w:val="auto"/>
          <w:sz w:val="24"/>
          <w:szCs w:val="24"/>
          <w:highlight w:val="none"/>
          <w:u w:val="single"/>
        </w:rPr>
        <w:t>发生须紧急抢修事故，承包人接到通知后，应立即到达事故现场抢修；否则，发包人可以另委托单位抢修，属承包人施工质量问题造成的修复等费用全部由承包人承担</w:t>
      </w:r>
      <w:r>
        <w:rPr>
          <w:rFonts w:hint="eastAsia" w:ascii="宋体" w:hAnsi="宋体" w:cs="宋体"/>
          <w:bCs/>
          <w:color w:val="auto"/>
          <w:sz w:val="24"/>
          <w:szCs w:val="24"/>
          <w:highlight w:val="none"/>
        </w:rPr>
        <w:t>。</w:t>
      </w:r>
    </w:p>
    <w:p w14:paraId="2088820D">
      <w:pPr>
        <w:snapToGrid w:val="0"/>
        <w:spacing w:line="440" w:lineRule="exact"/>
        <w:ind w:firstLine="397"/>
        <w:rPr>
          <w:rFonts w:ascii="宋体" w:hAnsi="宋体" w:cs="宋体"/>
          <w:bCs/>
          <w:color w:val="auto"/>
          <w:sz w:val="24"/>
          <w:szCs w:val="24"/>
          <w:highlight w:val="none"/>
        </w:rPr>
      </w:pPr>
      <w:r>
        <w:rPr>
          <w:rFonts w:ascii="宋体" w:hAnsi="宋体" w:cs="宋体"/>
          <w:bCs/>
          <w:color w:val="auto"/>
          <w:sz w:val="24"/>
          <w:szCs w:val="24"/>
          <w:highlight w:val="none"/>
        </w:rPr>
        <w:t>15.7</w:t>
      </w:r>
      <w:r>
        <w:rPr>
          <w:rFonts w:hint="eastAsia" w:ascii="宋体" w:hAnsi="宋体" w:cs="宋体"/>
          <w:bCs/>
          <w:color w:val="auto"/>
          <w:sz w:val="24"/>
          <w:szCs w:val="24"/>
          <w:highlight w:val="none"/>
          <w:u w:val="single"/>
        </w:rPr>
        <w:t>本工程按照本合同专用条款</w:t>
      </w:r>
      <w:r>
        <w:rPr>
          <w:rFonts w:ascii="宋体" w:hAnsi="宋体" w:cs="宋体"/>
          <w:bCs/>
          <w:color w:val="auto"/>
          <w:sz w:val="24"/>
          <w:szCs w:val="24"/>
          <w:highlight w:val="none"/>
          <w:u w:val="single"/>
        </w:rPr>
        <w:t>3.3的约定进行质量验收。若承包人有违反操作规程和标准或施工质量不符合规定的，发包人及监理工程师有权令其停止（或暂停）施工，由此造成的损失均由承包人负责。如在施工过程中颁发新的</w:t>
      </w:r>
      <w:r>
        <w:rPr>
          <w:rFonts w:hint="eastAsia" w:ascii="宋体" w:hAnsi="宋体" w:cs="宋体"/>
          <w:bCs/>
          <w:color w:val="auto"/>
          <w:sz w:val="24"/>
          <w:szCs w:val="24"/>
          <w:highlight w:val="none"/>
          <w:u w:val="single"/>
        </w:rPr>
        <w:t>质量标准规范版本的，是否采用新版本规定，由监理工程师与有关各方洽商决定</w:t>
      </w:r>
      <w:r>
        <w:rPr>
          <w:rFonts w:hint="eastAsia" w:ascii="宋体" w:hAnsi="宋体" w:cs="宋体"/>
          <w:bCs/>
          <w:color w:val="auto"/>
          <w:sz w:val="24"/>
          <w:szCs w:val="24"/>
          <w:highlight w:val="none"/>
        </w:rPr>
        <w:t>。</w:t>
      </w:r>
    </w:p>
    <w:p w14:paraId="77519311">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16、检查和返工</w:t>
      </w:r>
    </w:p>
    <w:p w14:paraId="0B54AF7D">
      <w:pPr>
        <w:snapToGrid w:val="0"/>
        <w:spacing w:line="440" w:lineRule="exact"/>
        <w:ind w:firstLine="397"/>
        <w:rPr>
          <w:rFonts w:ascii="宋体" w:hAnsi="宋体" w:cs="宋体"/>
          <w:bCs/>
          <w:color w:val="auto"/>
          <w:sz w:val="24"/>
          <w:szCs w:val="24"/>
          <w:highlight w:val="none"/>
        </w:rPr>
      </w:pPr>
      <w:r>
        <w:rPr>
          <w:rFonts w:ascii="宋体" w:hAnsi="宋体" w:cs="宋体"/>
          <w:bCs/>
          <w:color w:val="auto"/>
          <w:sz w:val="24"/>
          <w:szCs w:val="24"/>
          <w:highlight w:val="none"/>
        </w:rPr>
        <w:t>16.3工程师的检查检验：</w:t>
      </w:r>
      <w:r>
        <w:rPr>
          <w:rFonts w:hint="eastAsia" w:ascii="宋体" w:hAnsi="宋体" w:cs="宋体"/>
          <w:bCs/>
          <w:color w:val="auto"/>
          <w:sz w:val="24"/>
          <w:szCs w:val="24"/>
          <w:highlight w:val="none"/>
          <w:u w:val="single"/>
        </w:rPr>
        <w:t>工程师按规范、标准、设计图纸要求和频率所进行的检查检测不应成为承包人工期顺延的理由</w:t>
      </w:r>
      <w:r>
        <w:rPr>
          <w:rFonts w:hint="eastAsia" w:ascii="宋体" w:hAnsi="宋体" w:cs="宋体"/>
          <w:bCs/>
          <w:color w:val="auto"/>
          <w:sz w:val="24"/>
          <w:szCs w:val="24"/>
          <w:highlight w:val="none"/>
        </w:rPr>
        <w:t>。</w:t>
      </w:r>
    </w:p>
    <w:p w14:paraId="55188322">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17</w:t>
      </w:r>
      <w:r>
        <w:rPr>
          <w:rFonts w:hint="eastAsia" w:ascii="宋体" w:hAnsi="宋体" w:cs="宋体"/>
          <w:b/>
          <w:color w:val="auto"/>
          <w:sz w:val="24"/>
          <w:highlight w:val="none"/>
        </w:rPr>
        <w:t>、隐蔽工程和中间验收</w:t>
      </w:r>
    </w:p>
    <w:p w14:paraId="781A86DB">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17.1</w:t>
      </w:r>
      <w:r>
        <w:rPr>
          <w:rFonts w:hint="eastAsia" w:ascii="宋体" w:hAnsi="宋体" w:cs="宋体"/>
          <w:color w:val="auto"/>
          <w:sz w:val="24"/>
          <w:szCs w:val="24"/>
          <w:highlight w:val="none"/>
        </w:rPr>
        <w:t>双方约定中间验收部位：</w:t>
      </w:r>
      <w:r>
        <w:rPr>
          <w:rFonts w:hint="eastAsia" w:ascii="宋体" w:hAnsi="宋体" w:cs="宋体"/>
          <w:color w:val="auto"/>
          <w:sz w:val="24"/>
          <w:szCs w:val="24"/>
          <w:highlight w:val="none"/>
          <w:u w:val="single"/>
        </w:rPr>
        <w:t>按相应工程施工及验收规范要求执行</w:t>
      </w:r>
      <w:r>
        <w:rPr>
          <w:rFonts w:hint="eastAsia" w:ascii="宋体" w:hAnsi="宋体" w:cs="宋体"/>
          <w:color w:val="auto"/>
          <w:sz w:val="24"/>
          <w:szCs w:val="24"/>
          <w:highlight w:val="none"/>
        </w:rPr>
        <w:t>。</w:t>
      </w:r>
    </w:p>
    <w:p w14:paraId="427223F0">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19</w:t>
      </w:r>
      <w:r>
        <w:rPr>
          <w:rFonts w:hint="eastAsia" w:ascii="宋体" w:hAnsi="宋体" w:cs="宋体"/>
          <w:b/>
          <w:color w:val="auto"/>
          <w:sz w:val="24"/>
          <w:highlight w:val="none"/>
        </w:rPr>
        <w:t>、工程试车</w:t>
      </w:r>
    </w:p>
    <w:p w14:paraId="3CF17718">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19.5</w:t>
      </w:r>
      <w:r>
        <w:rPr>
          <w:rFonts w:hint="eastAsia" w:ascii="宋体" w:hAnsi="宋体" w:cs="宋体"/>
          <w:color w:val="auto"/>
          <w:sz w:val="24"/>
          <w:szCs w:val="24"/>
          <w:highlight w:val="none"/>
        </w:rPr>
        <w:t>试车费用的承担：</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4A55C4E4">
      <w:pPr>
        <w:snapToGrid w:val="0"/>
        <w:spacing w:line="440" w:lineRule="exact"/>
        <w:ind w:firstLine="397"/>
        <w:rPr>
          <w:rFonts w:ascii="宋体" w:hAnsi="宋体" w:cs="宋体"/>
          <w:color w:val="auto"/>
          <w:sz w:val="24"/>
          <w:highlight w:val="none"/>
        </w:rPr>
      </w:pPr>
      <w:r>
        <w:rPr>
          <w:rFonts w:hint="eastAsia" w:ascii="宋体" w:hAnsi="宋体" w:cs="宋体"/>
          <w:b/>
          <w:color w:val="auto"/>
          <w:sz w:val="24"/>
          <w:highlight w:val="none"/>
        </w:rPr>
        <w:t>五、安全施工</w:t>
      </w:r>
    </w:p>
    <w:p w14:paraId="2A12146C">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20、安全施工与检查</w:t>
      </w:r>
    </w:p>
    <w:p w14:paraId="73CD301A">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20.3</w:t>
      </w:r>
      <w:r>
        <w:rPr>
          <w:rFonts w:hint="eastAsia" w:ascii="宋体" w:hAnsi="宋体" w:cs="宋体"/>
          <w:color w:val="auto"/>
          <w:sz w:val="24"/>
          <w:szCs w:val="24"/>
          <w:highlight w:val="none"/>
          <w:u w:val="single"/>
        </w:rPr>
        <w:t>承包人应建立安全责任制，明确各部门安全工作的岗位责任人，建立健全正常运转的各种安全工作保证体系和规章制度，将安全生产目标分解落实到实处</w:t>
      </w:r>
      <w:r>
        <w:rPr>
          <w:rFonts w:hint="eastAsia" w:ascii="宋体" w:hAnsi="宋体" w:cs="宋体"/>
          <w:color w:val="auto"/>
          <w:sz w:val="24"/>
          <w:szCs w:val="24"/>
          <w:highlight w:val="none"/>
        </w:rPr>
        <w:t>。</w:t>
      </w:r>
    </w:p>
    <w:p w14:paraId="25504D2A">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20.4</w:t>
      </w:r>
      <w:r>
        <w:rPr>
          <w:rFonts w:hint="eastAsia" w:ascii="宋体" w:hAnsi="宋体" w:cs="宋体"/>
          <w:color w:val="auto"/>
          <w:sz w:val="24"/>
          <w:szCs w:val="24"/>
          <w:highlight w:val="none"/>
          <w:u w:val="single"/>
        </w:rPr>
        <w:t>承包人按规定数量配置安全员</w:t>
      </w:r>
      <w:r>
        <w:rPr>
          <w:rFonts w:hint="eastAsia" w:ascii="宋体" w:hAnsi="宋体" w:cs="宋体"/>
          <w:color w:val="auto"/>
          <w:sz w:val="24"/>
          <w:szCs w:val="24"/>
          <w:highlight w:val="none"/>
        </w:rPr>
        <w:t>。</w:t>
      </w:r>
    </w:p>
    <w:p w14:paraId="41E1300F">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20.5</w:t>
      </w:r>
      <w:r>
        <w:rPr>
          <w:rFonts w:hint="eastAsia" w:ascii="宋体" w:hAnsi="宋体" w:cs="宋体"/>
          <w:color w:val="auto"/>
          <w:sz w:val="24"/>
          <w:szCs w:val="24"/>
          <w:highlight w:val="none"/>
          <w:u w:val="single"/>
        </w:rPr>
        <w:t>承包人在开工前须向质量安全监督机构提交备案的书面资料</w:t>
      </w:r>
      <w:r>
        <w:rPr>
          <w:rFonts w:hint="eastAsia" w:ascii="宋体" w:hAnsi="宋体" w:cs="宋体"/>
          <w:color w:val="auto"/>
          <w:sz w:val="24"/>
          <w:szCs w:val="24"/>
          <w:highlight w:val="none"/>
        </w:rPr>
        <w:t>。</w:t>
      </w:r>
    </w:p>
    <w:p w14:paraId="2B4166AC">
      <w:pPr>
        <w:snapToGrid w:val="0"/>
        <w:spacing w:line="440" w:lineRule="exact"/>
        <w:ind w:firstLine="397"/>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szCs w:val="24"/>
          <w:highlight w:val="none"/>
          <w:u w:val="none"/>
          <w:lang w:val="en-US" w:eastAsia="zh-CN"/>
        </w:rPr>
        <w:t>20.6</w:t>
      </w:r>
      <w:r>
        <w:rPr>
          <w:rFonts w:hint="eastAsia" w:ascii="宋体" w:hAnsi="宋体" w:eastAsia="宋体" w:cs="宋体"/>
          <w:color w:val="auto"/>
          <w:sz w:val="24"/>
          <w:highlight w:val="none"/>
          <w:u w:val="single"/>
          <w:lang w:val="en-US" w:eastAsia="zh-CN"/>
        </w:rPr>
        <w:t>承包人在编制施工组织设计时，应当根据工程的特点编制相应的安全技术措施。对危险性较大的分部分项工程和达到一定规模的危险性较大的分部分项工程应当编制专项施工方案，并附具安全验算结果，经施工单位技术负责人签字以及总监理工程师核签后实施，由专职安全生产管理人员进行现场监督。对于超过一定规模的危大工程，施工单位应当组织召开专家论证会对专项施工方案进行论证。危险性较大的分部分项工程和达到一定规模的危险性较大的分部分项工程范围按照《住房和城乡建设部办公厅关于实施&lt;危险性较大的分部分项工程安全管理规定&gt;有关问题的通知》（建办质〔2018〕31号）执行。</w:t>
      </w:r>
    </w:p>
    <w:p w14:paraId="0DDE42C4">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20.7</w:t>
      </w:r>
      <w:r>
        <w:rPr>
          <w:rFonts w:hint="eastAsia" w:ascii="宋体" w:hAnsi="宋体" w:cs="宋体"/>
          <w:color w:val="auto"/>
          <w:sz w:val="24"/>
          <w:szCs w:val="24"/>
          <w:highlight w:val="none"/>
          <w:u w:val="single"/>
        </w:rPr>
        <w:t>承包人按有关安全和防护的规定组织施工生产，不得使用不合标准的防护器材、机具和材料</w:t>
      </w:r>
      <w:r>
        <w:rPr>
          <w:rFonts w:hint="eastAsia" w:ascii="宋体" w:hAnsi="宋体" w:cs="宋体"/>
          <w:color w:val="auto"/>
          <w:sz w:val="24"/>
          <w:szCs w:val="24"/>
          <w:highlight w:val="none"/>
        </w:rPr>
        <w:t>。</w:t>
      </w:r>
    </w:p>
    <w:p w14:paraId="4783AA25">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20.8</w:t>
      </w:r>
      <w:r>
        <w:rPr>
          <w:rFonts w:hint="eastAsia" w:ascii="宋体" w:hAnsi="宋体" w:cs="宋体"/>
          <w:color w:val="auto"/>
          <w:sz w:val="24"/>
          <w:szCs w:val="24"/>
          <w:highlight w:val="none"/>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r>
        <w:rPr>
          <w:rFonts w:hint="eastAsia" w:ascii="宋体" w:hAnsi="宋体" w:cs="宋体"/>
          <w:color w:val="auto"/>
          <w:sz w:val="24"/>
          <w:szCs w:val="24"/>
          <w:highlight w:val="none"/>
        </w:rPr>
        <w:t>。</w:t>
      </w:r>
    </w:p>
    <w:p w14:paraId="770DA16D">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21、安全防护</w:t>
      </w:r>
    </w:p>
    <w:p w14:paraId="03019232">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21.3</w:t>
      </w:r>
      <w:r>
        <w:rPr>
          <w:rFonts w:hint="eastAsia" w:ascii="宋体" w:hAnsi="宋体" w:cs="宋体"/>
          <w:color w:val="auto"/>
          <w:sz w:val="24"/>
          <w:szCs w:val="24"/>
          <w:highlight w:val="none"/>
          <w:u w:val="single"/>
        </w:rPr>
        <w:t>承包人应在施工现场采取维护安全、防范危险、预防火灾等措施，在特殊作业环境应对作业人员采取劳动保护措施</w:t>
      </w:r>
      <w:r>
        <w:rPr>
          <w:rFonts w:hint="eastAsia" w:ascii="宋体" w:hAnsi="宋体" w:cs="宋体"/>
          <w:color w:val="auto"/>
          <w:sz w:val="24"/>
          <w:szCs w:val="24"/>
          <w:highlight w:val="none"/>
        </w:rPr>
        <w:t>。</w:t>
      </w:r>
    </w:p>
    <w:p w14:paraId="7C96E885">
      <w:pPr>
        <w:snapToGrid w:val="0"/>
        <w:spacing w:line="440" w:lineRule="exact"/>
        <w:jc w:val="left"/>
        <w:rPr>
          <w:rFonts w:ascii="宋体" w:hAnsi="宋体" w:cs="宋体"/>
          <w:color w:val="auto"/>
          <w:sz w:val="24"/>
          <w:highlight w:val="none"/>
        </w:rPr>
      </w:pPr>
      <w:r>
        <w:rPr>
          <w:rFonts w:ascii="宋体" w:hAnsi="宋体" w:cs="宋体"/>
          <w:color w:val="auto"/>
          <w:sz w:val="24"/>
          <w:szCs w:val="24"/>
          <w:highlight w:val="none"/>
        </w:rPr>
        <w:t xml:space="preserve">    </w:t>
      </w:r>
      <w:r>
        <w:rPr>
          <w:rFonts w:ascii="宋体" w:hAnsi="宋体" w:cs="宋体"/>
          <w:color w:val="auto"/>
          <w:sz w:val="24"/>
          <w:szCs w:val="24"/>
          <w:highlight w:val="none"/>
          <w:u w:val="none"/>
        </w:rPr>
        <w:t>21.4</w:t>
      </w:r>
      <w:r>
        <w:rPr>
          <w:rFonts w:hint="eastAsia" w:ascii="宋体" w:hAnsi="宋体" w:cs="宋体"/>
          <w:color w:val="auto"/>
          <w:sz w:val="24"/>
          <w:highlight w:val="none"/>
          <w:u w:val="none"/>
        </w:rPr>
        <w:t>承包人应加强周边学校、居民住宅的环境保护，制定绿色施工安全防护措施（包括防尘、防噪音、施工围蔽等），施工现场严格按照《广州市建设工程文明施工管理规定》（广州市人民政府令第158号）、《广州市建设工程现场文明施工管理办法》（</w:t>
      </w:r>
      <w:r>
        <w:rPr>
          <w:rFonts w:hint="eastAsia" w:ascii="宋体" w:hAnsi="宋体" w:cs="宋体"/>
          <w:bCs/>
          <w:smallCaps/>
          <w:color w:val="auto"/>
          <w:sz w:val="24"/>
          <w:highlight w:val="none"/>
          <w:u w:val="none"/>
        </w:rPr>
        <w:t>穗建质</w:t>
      </w:r>
      <w:r>
        <w:rPr>
          <w:rFonts w:hint="eastAsia" w:ascii="宋体" w:hAnsi="宋体" w:cs="宋体"/>
          <w:color w:val="auto"/>
          <w:sz w:val="24"/>
          <w:highlight w:val="none"/>
          <w:u w:val="none"/>
        </w:rPr>
        <w:t>〔2008〕</w:t>
      </w:r>
      <w:r>
        <w:rPr>
          <w:rFonts w:hint="eastAsia" w:ascii="宋体" w:hAnsi="宋体" w:cs="宋体"/>
          <w:bCs/>
          <w:smallCaps/>
          <w:color w:val="auto"/>
          <w:sz w:val="24"/>
          <w:highlight w:val="none"/>
          <w:u w:val="none"/>
        </w:rPr>
        <w:t>937号）</w:t>
      </w:r>
      <w:r>
        <w:rPr>
          <w:rFonts w:hint="eastAsia" w:ascii="宋体" w:hAnsi="宋体" w:cs="宋体"/>
          <w:color w:val="auto"/>
          <w:sz w:val="24"/>
          <w:highlight w:val="none"/>
          <w:u w:val="none"/>
        </w:rPr>
        <w:t>、《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市建设工程绿色施工围蔽指导图集（V2.0版）》(穗建质〔2020〕1号）、</w:t>
      </w:r>
      <w:r>
        <w:rPr>
          <w:rFonts w:hint="eastAsia" w:ascii="宋体" w:hAnsi="宋体"/>
          <w:bCs/>
          <w:snapToGrid w:val="0"/>
          <w:color w:val="auto"/>
          <w:kern w:val="0"/>
          <w:sz w:val="24"/>
          <w:highlight w:val="none"/>
          <w:u w:val="none"/>
        </w:rPr>
        <w:t>《危险性较大的分部分项工程安全管理规定》(中华人民共和国住房和城乡建设部令第</w:t>
      </w:r>
      <w:r>
        <w:rPr>
          <w:rFonts w:hint="eastAsia" w:ascii="宋体" w:hAnsi="宋体"/>
          <w:b/>
          <w:bCs w:val="0"/>
          <w:snapToGrid w:val="0"/>
          <w:color w:val="auto"/>
          <w:kern w:val="0"/>
          <w:sz w:val="24"/>
          <w:highlight w:val="none"/>
          <w:u w:val="none"/>
          <w:lang w:val="en-US" w:eastAsia="zh-CN"/>
        </w:rPr>
        <w:t>4</w:t>
      </w:r>
      <w:r>
        <w:rPr>
          <w:rFonts w:hint="eastAsia" w:ascii="宋体" w:hAnsi="宋体"/>
          <w:b/>
          <w:bCs w:val="0"/>
          <w:snapToGrid w:val="0"/>
          <w:color w:val="auto"/>
          <w:kern w:val="0"/>
          <w:sz w:val="24"/>
          <w:highlight w:val="none"/>
          <w:u w:val="none"/>
        </w:rPr>
        <w:t>7号</w:t>
      </w:r>
      <w:r>
        <w:rPr>
          <w:rFonts w:hint="eastAsia" w:ascii="宋体" w:hAnsi="宋体"/>
          <w:bCs/>
          <w:snapToGrid w:val="0"/>
          <w:color w:val="auto"/>
          <w:kern w:val="0"/>
          <w:sz w:val="24"/>
          <w:highlight w:val="none"/>
          <w:u w:val="none"/>
        </w:rPr>
        <w:t>)</w:t>
      </w:r>
      <w:r>
        <w:rPr>
          <w:rFonts w:hint="eastAsia" w:ascii="宋体" w:hAnsi="宋体"/>
          <w:bCs/>
          <w:snapToGrid w:val="0"/>
          <w:color w:val="auto"/>
          <w:kern w:val="0"/>
          <w:sz w:val="24"/>
          <w:highlight w:val="none"/>
          <w:u w:val="none"/>
          <w:lang w:eastAsia="zh-CN"/>
        </w:rPr>
        <w:t>、</w:t>
      </w:r>
      <w:r>
        <w:rPr>
          <w:rFonts w:hint="eastAsia" w:ascii="宋体" w:hAnsi="宋体" w:cs="宋体"/>
          <w:color w:val="auto"/>
          <w:sz w:val="24"/>
          <w:highlight w:val="none"/>
          <w:u w:val="none"/>
        </w:rPr>
        <w:t>《关于进一步落实我区市政建设项目施工围蔽提升工作的通知》（穗埔建[2019]123号）及</w:t>
      </w:r>
      <w:r>
        <w:rPr>
          <w:rFonts w:hint="eastAsia" w:ascii="宋体" w:hAnsi="宋体" w:cs="宋体"/>
          <w:color w:val="auto"/>
          <w:sz w:val="24"/>
          <w:szCs w:val="24"/>
          <w:highlight w:val="none"/>
          <w:u w:val="none"/>
        </w:rPr>
        <w:t>《黄埔区住房和城乡建设局</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广州开发区建设和交通局关于进一步规范全区建设工程施工围蔽标准的通知》（穗埔建﹝</w:t>
      </w:r>
      <w:r>
        <w:rPr>
          <w:rFonts w:ascii="宋体" w:hAnsi="宋体" w:cs="宋体"/>
          <w:color w:val="auto"/>
          <w:sz w:val="24"/>
          <w:szCs w:val="24"/>
          <w:highlight w:val="none"/>
          <w:u w:val="none"/>
        </w:rPr>
        <w:t>2020﹞183号）实施。</w:t>
      </w:r>
      <w:r>
        <w:rPr>
          <w:rFonts w:ascii="宋体" w:hAnsi="宋体" w:cs="宋体"/>
          <w:color w:val="auto"/>
          <w:sz w:val="24"/>
          <w:highlight w:val="none"/>
          <w:u w:val="none"/>
        </w:rPr>
        <w:t>以上文件要求不一致的，以后发布文件为准，若相关部门发布有关施工围蔽新文件规定的，按新规定执行。</w:t>
      </w:r>
      <w:r>
        <w:rPr>
          <w:rFonts w:hint="eastAsia" w:ascii="宋体" w:hAnsi="宋体" w:cs="宋体"/>
          <w:color w:val="auto"/>
          <w:sz w:val="24"/>
          <w:highlight w:val="none"/>
          <w:u w:val="none"/>
        </w:rPr>
        <w:t>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14:paraId="0C33E55E">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21.5</w:t>
      </w:r>
      <w:r>
        <w:rPr>
          <w:rFonts w:hint="eastAsia" w:ascii="宋体" w:hAnsi="宋体" w:cs="宋体"/>
          <w:color w:val="auto"/>
          <w:sz w:val="24"/>
          <w:szCs w:val="24"/>
          <w:highlight w:val="none"/>
          <w:u w:val="single"/>
        </w:rPr>
        <w:t>承包人应按规定对工程施工人员进行安全教育和管理</w:t>
      </w:r>
      <w:r>
        <w:rPr>
          <w:rFonts w:hint="eastAsia" w:ascii="宋体" w:hAnsi="宋体" w:cs="宋体"/>
          <w:color w:val="auto"/>
          <w:sz w:val="24"/>
          <w:szCs w:val="24"/>
          <w:highlight w:val="none"/>
        </w:rPr>
        <w:t>。</w:t>
      </w:r>
    </w:p>
    <w:p w14:paraId="7A66CC0E">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21.6</w:t>
      </w:r>
      <w:r>
        <w:rPr>
          <w:rFonts w:hint="eastAsia" w:ascii="宋体" w:hAnsi="宋体" w:cs="宋体"/>
          <w:color w:val="auto"/>
          <w:sz w:val="24"/>
          <w:szCs w:val="24"/>
          <w:highlight w:val="none"/>
          <w:u w:val="single"/>
        </w:rPr>
        <w:t>承包人应书面记录专项安全施工组织设计方案审查、安全检查、安全技术交底、安全隐患整改、安全教育等重要安全管理活动</w:t>
      </w:r>
      <w:r>
        <w:rPr>
          <w:rFonts w:hint="eastAsia" w:ascii="宋体" w:hAnsi="宋体" w:cs="宋体"/>
          <w:color w:val="auto"/>
          <w:sz w:val="24"/>
          <w:szCs w:val="24"/>
          <w:highlight w:val="none"/>
        </w:rPr>
        <w:t>。</w:t>
      </w:r>
    </w:p>
    <w:p w14:paraId="4B815EC2">
      <w:pPr>
        <w:spacing w:line="440" w:lineRule="exact"/>
        <w:ind w:firstLine="360" w:firstLineChars="150"/>
        <w:rPr>
          <w:rFonts w:ascii="宋体" w:hAnsi="宋体" w:cs="宋体"/>
          <w:color w:val="auto"/>
          <w:sz w:val="24"/>
          <w:szCs w:val="24"/>
          <w:highlight w:val="none"/>
          <w:u w:val="single"/>
        </w:rPr>
      </w:pPr>
      <w:r>
        <w:rPr>
          <w:rFonts w:ascii="宋体" w:hAnsi="宋体" w:cs="宋体"/>
          <w:color w:val="auto"/>
          <w:sz w:val="24"/>
          <w:szCs w:val="24"/>
          <w:highlight w:val="none"/>
          <w:u w:val="single"/>
        </w:rPr>
        <w:t>21.7承包人用于本项目的非标起重机械设备须严格执行</w:t>
      </w:r>
      <w:r>
        <w:rPr>
          <w:rFonts w:hint="eastAsia" w:ascii="宋体" w:hAnsi="宋体" w:cs="宋体"/>
          <w:color w:val="auto"/>
          <w:sz w:val="24"/>
          <w:szCs w:val="24"/>
          <w:highlight w:val="none"/>
          <w:u w:val="single"/>
        </w:rPr>
        <w:t>《关于印发</w:t>
      </w:r>
      <w:r>
        <w:rPr>
          <w:rFonts w:ascii="宋体" w:hAnsi="宋体" w:cs="宋体"/>
          <w:color w:val="auto"/>
          <w:sz w:val="24"/>
          <w:szCs w:val="24"/>
          <w:highlight w:val="none"/>
          <w:u w:val="single"/>
        </w:rPr>
        <w:t>&lt;</w:t>
      </w:r>
      <w:r>
        <w:rPr>
          <w:rFonts w:hint="eastAsia" w:ascii="宋体" w:hAnsi="宋体" w:cs="宋体"/>
          <w:color w:val="auto"/>
          <w:sz w:val="24"/>
          <w:szCs w:val="24"/>
          <w:highlight w:val="none"/>
          <w:u w:val="single"/>
        </w:rPr>
        <w:t>广州市非标建筑起重机械管理办法</w:t>
      </w:r>
      <w:r>
        <w:rPr>
          <w:rFonts w:ascii="宋体" w:hAnsi="宋体" w:cs="宋体"/>
          <w:color w:val="auto"/>
          <w:sz w:val="24"/>
          <w:szCs w:val="24"/>
          <w:highlight w:val="none"/>
          <w:u w:val="single"/>
        </w:rPr>
        <w:t>&gt;</w:t>
      </w:r>
      <w:r>
        <w:rPr>
          <w:rFonts w:hint="eastAsia" w:ascii="宋体" w:hAnsi="宋体" w:cs="宋体"/>
          <w:color w:val="auto"/>
          <w:sz w:val="24"/>
          <w:szCs w:val="24"/>
          <w:highlight w:val="none"/>
          <w:u w:val="single"/>
        </w:rPr>
        <w:t>的通知》</w:t>
      </w:r>
      <w:r>
        <w:rPr>
          <w:rFonts w:ascii="宋体" w:hAnsi="宋体" w:cs="宋体"/>
          <w:color w:val="auto"/>
          <w:sz w:val="24"/>
          <w:szCs w:val="24"/>
          <w:highlight w:val="none"/>
          <w:u w:val="single"/>
        </w:rPr>
        <w:t>(穗建质[2010]999号)</w:t>
      </w:r>
      <w:r>
        <w:rPr>
          <w:rFonts w:hint="eastAsia" w:ascii="宋体" w:hAnsi="宋体" w:cs="宋体"/>
          <w:color w:val="auto"/>
          <w:sz w:val="24"/>
          <w:szCs w:val="24"/>
          <w:highlight w:val="none"/>
          <w:u w:val="single"/>
        </w:rPr>
        <w:t>的相关规定，非标起重机械设备是指没有国家或行业制造标准的各类起重机械设备，如非标架桥设备、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竖井提升设备、非标龙门吊、贝雷架式或扒杆式起重装置等。</w:t>
      </w:r>
    </w:p>
    <w:p w14:paraId="0808BAC1">
      <w:pPr>
        <w:spacing w:line="440" w:lineRule="exact"/>
        <w:ind w:firstLine="360" w:firstLineChars="150"/>
        <w:rPr>
          <w:rFonts w:ascii="宋体" w:hAnsi="宋体" w:cs="宋体"/>
          <w:color w:val="auto"/>
          <w:sz w:val="24"/>
          <w:szCs w:val="24"/>
          <w:highlight w:val="none"/>
          <w:u w:val="single"/>
        </w:rPr>
      </w:pPr>
      <w:r>
        <w:rPr>
          <w:rFonts w:ascii="宋体" w:hAnsi="宋体" w:cs="宋体"/>
          <w:color w:val="auto"/>
          <w:sz w:val="24"/>
          <w:szCs w:val="24"/>
          <w:highlight w:val="none"/>
          <w:u w:val="single"/>
        </w:rPr>
        <w:t>21.8承包人用于本项目的起重设备须严格执行《关于建筑起重机械设备安全监督管理的通知》【穗建安监字[2006]24号】、《关于加强建设工地塔式起重机安全管理的若干规定》【穗建安监字[2006]5号】、《关于加强塔式起重机等垂直运输设备及附着升降脚手架施工安全监督管理的通知》</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穗建筑[2003]84号</w:t>
      </w:r>
      <w:r>
        <w:rPr>
          <w:rFonts w:hint="eastAsia" w:ascii="宋体" w:hAnsi="宋体" w:cs="宋体"/>
          <w:color w:val="auto"/>
          <w:sz w:val="24"/>
          <w:szCs w:val="24"/>
          <w:highlight w:val="none"/>
          <w:u w:val="single"/>
        </w:rPr>
        <w:t>】等相关规定。</w:t>
      </w:r>
    </w:p>
    <w:p w14:paraId="5C007B8E">
      <w:pPr>
        <w:spacing w:line="440" w:lineRule="exact"/>
        <w:ind w:firstLine="360" w:firstLineChars="150"/>
        <w:rPr>
          <w:rFonts w:ascii="宋体" w:hAnsi="宋体" w:cs="宋体"/>
          <w:color w:val="auto"/>
          <w:sz w:val="24"/>
          <w:szCs w:val="24"/>
          <w:highlight w:val="none"/>
          <w:u w:val="single"/>
        </w:rPr>
      </w:pPr>
      <w:r>
        <w:rPr>
          <w:rFonts w:ascii="宋体" w:hAnsi="宋体" w:cs="宋体"/>
          <w:color w:val="auto"/>
          <w:sz w:val="24"/>
          <w:szCs w:val="24"/>
          <w:highlight w:val="none"/>
          <w:u w:val="single"/>
        </w:rPr>
        <w:t>21.9承包人在工程实施过程中，按照国家、省、市的相关规定制定相关的专项安全施工方案（如高支模、基坑支护、沉井等），组织专家评审通过后，报监理人、发包人审批后方可开展专项工程的施工。</w:t>
      </w:r>
    </w:p>
    <w:p w14:paraId="2F46A6BC">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21.10根据《广州市城乡建设委员会关于印发广州市建设工程施工机械设备环保管理整治联合行动工作方案的函》（穗建质函[2014]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35.2.6</w:t>
      </w:r>
      <w:r>
        <w:rPr>
          <w:rFonts w:hint="eastAsia" w:ascii="宋体" w:hAnsi="宋体" w:cs="宋体"/>
          <w:color w:val="auto"/>
          <w:sz w:val="24"/>
          <w:szCs w:val="24"/>
          <w:highlight w:val="none"/>
        </w:rPr>
        <w:t>款（</w:t>
      </w:r>
      <w:r>
        <w:rPr>
          <w:rFonts w:ascii="宋体" w:hAnsi="宋体" w:cs="宋体"/>
          <w:color w:val="auto"/>
          <w:sz w:val="24"/>
          <w:szCs w:val="24"/>
          <w:highlight w:val="none"/>
        </w:rPr>
        <w:t>2）项承担违约责任。</w:t>
      </w:r>
    </w:p>
    <w:p w14:paraId="7ABB3BEF">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21.11承包人在施工期间要确保工程外场地清洁及道路畅通，如须使用他方道路，则还必须负责养护、保洁责任，否则责任自负。施工和警示标志明显，因施工造成人身损害和财产损失的，由承包人承担责任。</w:t>
      </w:r>
    </w:p>
    <w:p w14:paraId="347E64D6">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21.12承包人必须考虑安全、环保等因素在局部施工范围进行施工，现场围蔽不符合国家有关安全措施及技术要求的，不得开展施工作业，由此造成的工期延长，由承包人自己负责，当作延误工期处理。</w:t>
      </w:r>
    </w:p>
    <w:p w14:paraId="590409A3">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21.13承包人应注意对现有的道路、供水管、排水管、</w:t>
      </w:r>
      <w:r>
        <w:rPr>
          <w:rFonts w:hint="eastAsia" w:ascii="宋体" w:hAnsi="宋体" w:cs="宋体"/>
          <w:color w:val="auto"/>
          <w:sz w:val="24"/>
          <w:highlight w:val="none"/>
          <w:lang w:eastAsia="zh-CN"/>
        </w:rPr>
        <w:t>燃气、</w:t>
      </w:r>
      <w:r>
        <w:rPr>
          <w:rFonts w:ascii="宋体" w:hAnsi="宋体" w:cs="宋体"/>
          <w:color w:val="auto"/>
          <w:sz w:val="24"/>
          <w:szCs w:val="24"/>
          <w:highlight w:val="none"/>
        </w:rPr>
        <w:t>绿化、路灯、</w:t>
      </w:r>
      <w:r>
        <w:rPr>
          <w:rFonts w:hint="eastAsia"/>
          <w:color w:val="auto"/>
          <w:sz w:val="24"/>
          <w:szCs w:val="24"/>
          <w:highlight w:val="none"/>
          <w:lang w:val="en-US" w:eastAsia="zh-CN"/>
        </w:rPr>
        <w:t>交通设施、</w:t>
      </w:r>
      <w:r>
        <w:rPr>
          <w:rFonts w:ascii="宋体" w:hAnsi="宋体" w:cs="宋体"/>
          <w:color w:val="auto"/>
          <w:sz w:val="24"/>
          <w:szCs w:val="24"/>
          <w:highlight w:val="none"/>
        </w:rPr>
        <w:t>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14:paraId="67E00E27">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21.14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w:t>
      </w:r>
      <w:r>
        <w:rPr>
          <w:rFonts w:hint="eastAsia" w:ascii="宋体" w:hAnsi="宋体" w:cs="宋体"/>
          <w:color w:val="auto"/>
          <w:sz w:val="24"/>
          <w:szCs w:val="24"/>
          <w:highlight w:val="none"/>
          <w:lang w:eastAsia="zh-CN"/>
        </w:rPr>
        <w:t>道路</w:t>
      </w:r>
      <w:r>
        <w:rPr>
          <w:rFonts w:ascii="宋体" w:hAnsi="宋体" w:cs="宋体"/>
          <w:color w:val="auto"/>
          <w:sz w:val="24"/>
          <w:szCs w:val="24"/>
          <w:highlight w:val="none"/>
        </w:rPr>
        <w:t>管理部门协商，取得同意和协助，并负责承担道路改线或改善和其他费用。相关费用计入措施项目费中，结算时按发包人批准的实施方案，按合同约定结算。如果承包人不及时按要求设置，发包人可以另行委托实施。发包人按实际发生的费用在工程款中扣除，承包人不得有任何异议。</w:t>
      </w:r>
    </w:p>
    <w:p w14:paraId="4535FC4D">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22、事故处理</w:t>
      </w:r>
    </w:p>
    <w:p w14:paraId="43A7D582">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22.3</w:t>
      </w:r>
      <w:r>
        <w:rPr>
          <w:rFonts w:hint="eastAsia" w:ascii="宋体" w:hAnsi="宋体" w:cs="宋体"/>
          <w:color w:val="auto"/>
          <w:sz w:val="24"/>
          <w:szCs w:val="24"/>
          <w:highlight w:val="none"/>
        </w:rPr>
        <w:t>如发生安全事故，除按法定程序办理有关事宜外，还必须按以下程序进行处理：</w:t>
      </w:r>
    </w:p>
    <w:p w14:paraId="0D0D22E1">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22.3.1</w:t>
      </w:r>
      <w:r>
        <w:rPr>
          <w:rFonts w:hint="eastAsia" w:ascii="宋体" w:hAnsi="宋体" w:cs="宋体"/>
          <w:color w:val="auto"/>
          <w:sz w:val="24"/>
          <w:szCs w:val="24"/>
          <w:highlight w:val="none"/>
          <w:u w:val="single"/>
        </w:rPr>
        <w:t>报告安全事故：安全事故发生后，承包人应在</w:t>
      </w:r>
      <w:r>
        <w:rPr>
          <w:rFonts w:ascii="宋体" w:hAnsi="宋体" w:cs="宋体"/>
          <w:color w:val="auto"/>
          <w:sz w:val="24"/>
          <w:szCs w:val="24"/>
          <w:highlight w:val="none"/>
          <w:u w:val="single"/>
        </w:rPr>
        <w:t>1小时内用最快的信息传递手段，将发生事故的时间、地点、伤亡人数、事故原因等情况，报工程师和发包人</w:t>
      </w:r>
      <w:r>
        <w:rPr>
          <w:rFonts w:hint="eastAsia" w:ascii="宋体" w:hAnsi="宋体" w:cs="宋体"/>
          <w:color w:val="auto"/>
          <w:sz w:val="24"/>
          <w:szCs w:val="24"/>
          <w:highlight w:val="none"/>
        </w:rPr>
        <w:t>。</w:t>
      </w:r>
    </w:p>
    <w:p w14:paraId="6746DD16">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22.3.2</w:t>
      </w:r>
      <w:r>
        <w:rPr>
          <w:rFonts w:hint="eastAsia" w:ascii="宋体" w:hAnsi="宋体" w:cs="宋体"/>
          <w:color w:val="auto"/>
          <w:sz w:val="24"/>
          <w:szCs w:val="24"/>
          <w:highlight w:val="none"/>
          <w:u w:val="single"/>
        </w:rPr>
        <w:t>事故处理：承包人负责抢救伤员、排除险情，防止事故扩大蔓延，保护好现场，并做好标志，启动保险理赔程序</w:t>
      </w:r>
      <w:r>
        <w:rPr>
          <w:rFonts w:hint="eastAsia" w:ascii="宋体" w:hAnsi="宋体" w:cs="宋体"/>
          <w:color w:val="auto"/>
          <w:sz w:val="24"/>
          <w:szCs w:val="24"/>
          <w:highlight w:val="none"/>
        </w:rPr>
        <w:t>。</w:t>
      </w:r>
    </w:p>
    <w:p w14:paraId="6A63F2F4">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22.3.3</w:t>
      </w:r>
      <w:r>
        <w:rPr>
          <w:rFonts w:hint="eastAsia" w:ascii="宋体" w:hAnsi="宋体" w:cs="宋体"/>
          <w:color w:val="auto"/>
          <w:sz w:val="24"/>
          <w:szCs w:val="24"/>
          <w:highlight w:val="none"/>
          <w:u w:val="single"/>
        </w:rPr>
        <w:t>事故调查：承包人应组织内部技术安全、质量部门的人员组成调查组，开展调查，并配合做好发包人或政府有关部门组织的调查工作</w:t>
      </w:r>
      <w:r>
        <w:rPr>
          <w:rFonts w:hint="eastAsia" w:ascii="宋体" w:hAnsi="宋体" w:cs="宋体"/>
          <w:color w:val="auto"/>
          <w:sz w:val="24"/>
          <w:szCs w:val="24"/>
          <w:highlight w:val="none"/>
        </w:rPr>
        <w:t>。</w:t>
      </w:r>
    </w:p>
    <w:p w14:paraId="2E25712A">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22.3.4</w:t>
      </w:r>
      <w:r>
        <w:rPr>
          <w:rFonts w:hint="eastAsia" w:ascii="宋体" w:hAnsi="宋体" w:cs="宋体"/>
          <w:color w:val="auto"/>
          <w:sz w:val="24"/>
          <w:szCs w:val="24"/>
          <w:highlight w:val="none"/>
          <w:u w:val="single"/>
        </w:rPr>
        <w:t>调查报告：承包人应把事故发生经过、原因、性质、损失、责任、处理意见、纠正和预防措施撰写成调查报告，送工程师会审后报发包人</w:t>
      </w:r>
      <w:r>
        <w:rPr>
          <w:rFonts w:hint="eastAsia" w:ascii="宋体" w:hAnsi="宋体" w:cs="宋体"/>
          <w:color w:val="auto"/>
          <w:sz w:val="24"/>
          <w:szCs w:val="24"/>
          <w:highlight w:val="none"/>
        </w:rPr>
        <w:t>。</w:t>
      </w:r>
    </w:p>
    <w:p w14:paraId="4DA5F8CC">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六、合同价款与支付</w:t>
      </w:r>
    </w:p>
    <w:p w14:paraId="794DF9E2">
      <w:pPr>
        <w:snapToGrid w:val="0"/>
        <w:spacing w:line="440" w:lineRule="exact"/>
        <w:ind w:firstLine="397"/>
        <w:rPr>
          <w:rFonts w:ascii="宋体" w:hAnsi="宋体" w:cs="宋体"/>
          <w:color w:val="auto"/>
          <w:sz w:val="24"/>
          <w:highlight w:val="none"/>
          <w:u w:val="single"/>
        </w:rPr>
      </w:pPr>
      <w:r>
        <w:rPr>
          <w:rFonts w:ascii="宋体" w:hAnsi="宋体" w:cs="宋体"/>
          <w:b/>
          <w:color w:val="auto"/>
          <w:sz w:val="24"/>
          <w:highlight w:val="none"/>
        </w:rPr>
        <w:t>23</w:t>
      </w:r>
      <w:r>
        <w:rPr>
          <w:rFonts w:hint="eastAsia" w:ascii="宋体" w:hAnsi="宋体" w:cs="宋体"/>
          <w:b/>
          <w:color w:val="auto"/>
          <w:sz w:val="24"/>
          <w:highlight w:val="none"/>
        </w:rPr>
        <w:t>、合同价款及调整</w:t>
      </w:r>
    </w:p>
    <w:p w14:paraId="7150F35E">
      <w:pPr>
        <w:snapToGrid w:val="0"/>
        <w:spacing w:line="440" w:lineRule="exact"/>
        <w:ind w:firstLine="360" w:firstLineChars="150"/>
        <w:rPr>
          <w:rFonts w:ascii="宋体" w:hAnsi="宋体" w:cs="宋体"/>
          <w:color w:val="auto"/>
          <w:sz w:val="24"/>
          <w:szCs w:val="24"/>
          <w:highlight w:val="none"/>
        </w:rPr>
      </w:pPr>
      <w:r>
        <w:rPr>
          <w:rFonts w:ascii="宋体" w:hAnsi="宋体" w:cs="宋体"/>
          <w:color w:val="auto"/>
          <w:sz w:val="24"/>
          <w:szCs w:val="24"/>
          <w:highlight w:val="none"/>
        </w:rPr>
        <w:t>23.2</w:t>
      </w:r>
      <w:r>
        <w:rPr>
          <w:rFonts w:hint="eastAsia" w:ascii="宋体" w:hAnsi="宋体" w:cs="宋体"/>
          <w:color w:val="auto"/>
          <w:sz w:val="24"/>
          <w:szCs w:val="24"/>
          <w:highlight w:val="none"/>
        </w:rPr>
        <w:t>本合同价款按照</w:t>
      </w:r>
      <w:r>
        <w:rPr>
          <w:rFonts w:hint="eastAsia" w:ascii="宋体" w:hAnsi="宋体" w:cs="宋体"/>
          <w:color w:val="auto"/>
          <w:sz w:val="24"/>
          <w:szCs w:val="24"/>
          <w:highlight w:val="none"/>
          <w:u w:val="single"/>
        </w:rPr>
        <w:t>协议书第五条、专用条款</w:t>
      </w:r>
      <w:r>
        <w:rPr>
          <w:rFonts w:ascii="宋体" w:hAnsi="宋体" w:cs="宋体"/>
          <w:color w:val="auto"/>
          <w:sz w:val="24"/>
          <w:szCs w:val="24"/>
          <w:highlight w:val="none"/>
          <w:u w:val="single"/>
        </w:rPr>
        <w:t>23.3款</w:t>
      </w:r>
      <w:r>
        <w:rPr>
          <w:rFonts w:hint="eastAsia" w:ascii="宋体" w:hAnsi="宋体" w:cs="宋体"/>
          <w:color w:val="auto"/>
          <w:sz w:val="24"/>
          <w:szCs w:val="24"/>
          <w:highlight w:val="none"/>
          <w:u w:val="single"/>
        </w:rPr>
        <w:t>和专用条款</w:t>
      </w:r>
      <w:r>
        <w:rPr>
          <w:rFonts w:ascii="宋体" w:hAnsi="宋体" w:cs="宋体"/>
          <w:color w:val="auto"/>
          <w:sz w:val="24"/>
          <w:szCs w:val="24"/>
          <w:highlight w:val="none"/>
          <w:u w:val="single"/>
        </w:rPr>
        <w:t>23.5款</w:t>
      </w:r>
      <w:r>
        <w:rPr>
          <w:rFonts w:ascii="宋体" w:hAnsi="宋体" w:cs="宋体"/>
          <w:color w:val="auto"/>
          <w:sz w:val="24"/>
          <w:szCs w:val="24"/>
          <w:highlight w:val="none"/>
        </w:rPr>
        <w:t>约定</w:t>
      </w:r>
      <w:r>
        <w:rPr>
          <w:rFonts w:hint="eastAsia" w:ascii="宋体" w:hAnsi="宋体" w:cs="宋体"/>
          <w:color w:val="auto"/>
          <w:sz w:val="24"/>
          <w:szCs w:val="24"/>
          <w:highlight w:val="none"/>
        </w:rPr>
        <w:t>执行，最终按结算终审部门审定价结算。</w:t>
      </w:r>
    </w:p>
    <w:p w14:paraId="45B035A9">
      <w:pPr>
        <w:snapToGrid w:val="0"/>
        <w:spacing w:line="44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本合同价款采用分部分项工程量清单固定综合单价方式确定，具体办法如下：</w:t>
      </w:r>
    </w:p>
    <w:p w14:paraId="5BEEE06E">
      <w:pPr>
        <w:snapToGrid w:val="0"/>
        <w:spacing w:line="44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分部分项工程量清单费：</w:t>
      </w:r>
      <w:r>
        <w:rPr>
          <w:rFonts w:hint="eastAsia" w:ascii="宋体" w:hAnsi="宋体" w:cs="宋体"/>
          <w:color w:val="auto"/>
          <w:sz w:val="24"/>
          <w:szCs w:val="24"/>
          <w:highlight w:val="none"/>
          <w:u w:val="single"/>
        </w:rPr>
        <w:t>除专用条款</w:t>
      </w:r>
      <w:r>
        <w:rPr>
          <w:rFonts w:ascii="宋体" w:hAnsi="宋体" w:cs="宋体"/>
          <w:color w:val="auto"/>
          <w:sz w:val="24"/>
          <w:szCs w:val="24"/>
          <w:highlight w:val="none"/>
          <w:u w:val="single"/>
        </w:rPr>
        <w:t>23.5.1及</w:t>
      </w:r>
      <w:r>
        <w:rPr>
          <w:rFonts w:hint="eastAsia" w:ascii="宋体" w:hAnsi="宋体" w:cs="宋体"/>
          <w:color w:val="auto"/>
          <w:sz w:val="24"/>
          <w:szCs w:val="24"/>
          <w:highlight w:val="none"/>
          <w:u w:val="single"/>
        </w:rPr>
        <w:t>专用条款</w:t>
      </w:r>
      <w:r>
        <w:rPr>
          <w:rFonts w:ascii="宋体" w:hAnsi="宋体" w:cs="宋体"/>
          <w:color w:val="auto"/>
          <w:sz w:val="24"/>
          <w:szCs w:val="24"/>
          <w:highlight w:val="none"/>
          <w:u w:val="single"/>
        </w:rPr>
        <w:t>23.5.2规定情况外，分部分项工程量清单综合单价固定不变，工程量按实计量</w:t>
      </w:r>
      <w:r>
        <w:rPr>
          <w:rFonts w:hint="eastAsia" w:ascii="宋体" w:hAnsi="宋体" w:cs="宋体"/>
          <w:color w:val="auto"/>
          <w:sz w:val="24"/>
          <w:szCs w:val="24"/>
          <w:highlight w:val="none"/>
        </w:rPr>
        <w:t>。</w:t>
      </w:r>
    </w:p>
    <w:p w14:paraId="1824B130">
      <w:pPr>
        <w:snapToGrid w:val="0"/>
        <w:spacing w:line="44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措施项目费：</w:t>
      </w:r>
      <w:r>
        <w:rPr>
          <w:rFonts w:hint="eastAsia" w:ascii="宋体" w:hAnsi="宋体" w:cs="宋体"/>
          <w:color w:val="auto"/>
          <w:sz w:val="24"/>
          <w:szCs w:val="24"/>
          <w:highlight w:val="none"/>
          <w:u w:val="single"/>
        </w:rPr>
        <w:t>措施项目费固定不变，包干使用，结算时不予调整</w:t>
      </w:r>
      <w:r>
        <w:rPr>
          <w:rFonts w:hint="eastAsia" w:ascii="宋体" w:hAnsi="宋体" w:cs="宋体"/>
          <w:color w:val="auto"/>
          <w:sz w:val="24"/>
          <w:szCs w:val="24"/>
          <w:highlight w:val="none"/>
        </w:rPr>
        <w:t>。</w:t>
      </w:r>
    </w:p>
    <w:p w14:paraId="5F7DD391">
      <w:pPr>
        <w:pStyle w:val="44"/>
        <w:widowControl/>
        <w:snapToGrid w:val="0"/>
        <w:spacing w:line="440" w:lineRule="exact"/>
        <w:ind w:firstLine="360" w:firstLineChars="150"/>
        <w:rPr>
          <w:rFonts w:ascii="宋体" w:hAnsi="宋体" w:cs="宋体"/>
          <w:color w:val="auto"/>
          <w:sz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其他项目部分：</w:t>
      </w:r>
      <w:r>
        <w:rPr>
          <w:rFonts w:hint="eastAsia" w:ascii="宋体" w:hAnsi="宋体" w:cs="宋体"/>
          <w:color w:val="auto"/>
          <w:sz w:val="24"/>
          <w:highlight w:val="none"/>
          <w:u w:val="single"/>
          <w:lang w:val="en-US" w:eastAsia="zh-CN"/>
        </w:rPr>
        <w:t>按现行清单计价规范或开发区相关规定执行,其中，</w:t>
      </w:r>
      <w:r>
        <w:rPr>
          <w:color w:val="auto"/>
          <w:highlight w:val="none"/>
        </w:rPr>
        <w:t>合同中约定的其他项目</w:t>
      </w:r>
      <w:r>
        <w:rPr>
          <w:rFonts w:hint="eastAsia"/>
          <w:color w:val="auto"/>
          <w:highlight w:val="none"/>
          <w:lang w:val="en-US" w:eastAsia="zh-CN"/>
        </w:rPr>
        <w:t>为预算包干费，费率按广东省现行计价规定计取。</w:t>
      </w:r>
    </w:p>
    <w:p w14:paraId="6648F02E">
      <w:pPr>
        <w:snapToGrid w:val="0"/>
        <w:spacing w:line="44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u w:val="single"/>
        </w:rPr>
        <w:t>税金：税金按实计取，费率</w:t>
      </w:r>
      <w:r>
        <w:rPr>
          <w:rFonts w:hint="eastAsia" w:ascii="宋体" w:hAnsi="宋体" w:cs="宋体"/>
          <w:color w:val="auto"/>
          <w:sz w:val="24"/>
          <w:szCs w:val="24"/>
          <w:highlight w:val="none"/>
          <w:u w:val="single"/>
          <w:lang w:eastAsia="zh-CN"/>
        </w:rPr>
        <w:t>按国家现行规定执行</w:t>
      </w:r>
      <w:r>
        <w:rPr>
          <w:rFonts w:hint="eastAsia" w:ascii="宋体" w:hAnsi="宋体" w:cs="宋体"/>
          <w:color w:val="auto"/>
          <w:sz w:val="24"/>
          <w:szCs w:val="24"/>
          <w:highlight w:val="none"/>
        </w:rPr>
        <w:t>。</w:t>
      </w:r>
    </w:p>
    <w:p w14:paraId="252DD46D">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23.3</w:t>
      </w:r>
      <w:r>
        <w:rPr>
          <w:rFonts w:hint="eastAsia" w:ascii="宋体" w:hAnsi="宋体" w:cs="宋体"/>
          <w:color w:val="auto"/>
          <w:sz w:val="24"/>
          <w:szCs w:val="24"/>
          <w:highlight w:val="none"/>
        </w:rPr>
        <w:t>双方约定合同价款的调整因素：</w:t>
      </w:r>
    </w:p>
    <w:p w14:paraId="048C46A0">
      <w:pPr>
        <w:numPr>
          <w:ilvl w:val="0"/>
          <w:numId w:val="11"/>
        </w:num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u w:val="single"/>
        </w:rPr>
        <w:t>发包人及监理单位共同确认工程量偏差</w:t>
      </w:r>
      <w:r>
        <w:rPr>
          <w:rFonts w:hint="eastAsia" w:ascii="宋体" w:hAnsi="宋体" w:cs="宋体"/>
          <w:color w:val="auto"/>
          <w:sz w:val="24"/>
          <w:szCs w:val="24"/>
          <w:highlight w:val="none"/>
        </w:rPr>
        <w:t>；</w:t>
      </w:r>
    </w:p>
    <w:p w14:paraId="4C4A2B8E">
      <w:pPr>
        <w:numPr>
          <w:ilvl w:val="0"/>
          <w:numId w:val="11"/>
        </w:num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u w:val="single"/>
        </w:rPr>
        <w:t>发包人及监理单位共同确认工程变更、</w:t>
      </w:r>
      <w:r>
        <w:rPr>
          <w:rFonts w:hint="eastAsia"/>
          <w:color w:val="auto"/>
          <w:sz w:val="24"/>
          <w:szCs w:val="24"/>
          <w:highlight w:val="none"/>
          <w:lang w:eastAsia="zh-CN"/>
        </w:rPr>
        <w:t>工程量清单缺陷</w:t>
      </w:r>
      <w:r>
        <w:rPr>
          <w:rFonts w:hint="eastAsia" w:ascii="宋体" w:hAnsi="宋体" w:cs="宋体"/>
          <w:color w:val="auto"/>
          <w:sz w:val="24"/>
          <w:szCs w:val="24"/>
          <w:highlight w:val="none"/>
          <w:u w:val="single"/>
        </w:rPr>
        <w:t>和新增工程</w:t>
      </w:r>
      <w:r>
        <w:rPr>
          <w:rFonts w:hint="eastAsia" w:ascii="宋体" w:hAnsi="宋体" w:cs="宋体"/>
          <w:color w:val="auto"/>
          <w:sz w:val="24"/>
          <w:szCs w:val="24"/>
          <w:highlight w:val="none"/>
        </w:rPr>
        <w:t>；</w:t>
      </w:r>
    </w:p>
    <w:p w14:paraId="6C09F230">
      <w:pPr>
        <w:numPr>
          <w:ilvl w:val="0"/>
          <w:numId w:val="11"/>
        </w:num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u w:val="single"/>
        </w:rPr>
        <w:t>物价变化</w:t>
      </w:r>
      <w:r>
        <w:rPr>
          <w:rFonts w:hint="eastAsia" w:ascii="宋体" w:hAnsi="宋体" w:cs="宋体"/>
          <w:color w:val="auto"/>
          <w:sz w:val="24"/>
          <w:szCs w:val="24"/>
          <w:highlight w:val="none"/>
        </w:rPr>
        <w:t>；</w:t>
      </w:r>
    </w:p>
    <w:p w14:paraId="741C0F39">
      <w:pPr>
        <w:numPr>
          <w:ilvl w:val="0"/>
          <w:numId w:val="11"/>
        </w:num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u w:val="single"/>
        </w:rPr>
        <w:t>费用索赔事件或发包人负责的其他情况</w:t>
      </w:r>
      <w:r>
        <w:rPr>
          <w:rFonts w:hint="eastAsia" w:ascii="宋体" w:hAnsi="宋体" w:cs="宋体"/>
          <w:color w:val="auto"/>
          <w:sz w:val="24"/>
          <w:szCs w:val="24"/>
          <w:highlight w:val="none"/>
        </w:rPr>
        <w:t>。</w:t>
      </w:r>
    </w:p>
    <w:p w14:paraId="5BF54F98">
      <w:pPr>
        <w:snapToGrid w:val="0"/>
        <w:spacing w:line="44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以上调整事项涉及的价款计价原则按专用条款</w:t>
      </w:r>
      <w:r>
        <w:rPr>
          <w:rFonts w:ascii="宋体" w:hAnsi="宋体" w:cs="宋体"/>
          <w:color w:val="auto"/>
          <w:sz w:val="24"/>
          <w:szCs w:val="24"/>
          <w:highlight w:val="none"/>
        </w:rPr>
        <w:t>23.5款约定执行。</w:t>
      </w:r>
    </w:p>
    <w:p w14:paraId="71C7DAB4">
      <w:pPr>
        <w:snapToGrid w:val="0"/>
        <w:spacing w:line="440" w:lineRule="exact"/>
        <w:ind w:firstLine="338" w:firstLineChars="141"/>
        <w:rPr>
          <w:rFonts w:ascii="宋体" w:hAnsi="宋体" w:cs="宋体"/>
          <w:color w:val="auto"/>
          <w:sz w:val="24"/>
          <w:szCs w:val="24"/>
          <w:highlight w:val="none"/>
        </w:rPr>
      </w:pPr>
      <w:r>
        <w:rPr>
          <w:rFonts w:ascii="宋体" w:hAnsi="宋体" w:cs="宋体"/>
          <w:color w:val="auto"/>
          <w:sz w:val="24"/>
          <w:szCs w:val="24"/>
          <w:highlight w:val="none"/>
        </w:rPr>
        <w:t>23.4</w:t>
      </w:r>
      <w:r>
        <w:rPr>
          <w:rFonts w:hint="eastAsia" w:ascii="宋体" w:hAnsi="宋体" w:cs="宋体"/>
          <w:color w:val="auto"/>
          <w:sz w:val="24"/>
          <w:szCs w:val="24"/>
          <w:highlight w:val="none"/>
        </w:rPr>
        <w:t>承包人应在专用条款</w:t>
      </w:r>
      <w:r>
        <w:rPr>
          <w:rFonts w:ascii="宋体" w:hAnsi="宋体" w:cs="宋体"/>
          <w:color w:val="auto"/>
          <w:sz w:val="24"/>
          <w:szCs w:val="24"/>
          <w:highlight w:val="none"/>
        </w:rPr>
        <w:t>23.3款情况发生后</w:t>
      </w:r>
      <w:r>
        <w:rPr>
          <w:rFonts w:ascii="宋体" w:hAnsi="宋体" w:cs="宋体"/>
          <w:color w:val="auto"/>
          <w:sz w:val="24"/>
          <w:szCs w:val="24"/>
          <w:highlight w:val="none"/>
          <w:u w:val="single"/>
        </w:rPr>
        <w:t>3天</w:t>
      </w:r>
      <w:r>
        <w:rPr>
          <w:rFonts w:ascii="宋体" w:hAnsi="宋体" w:cs="宋体"/>
          <w:color w:val="auto"/>
          <w:sz w:val="24"/>
          <w:szCs w:val="24"/>
          <w:highlight w:val="none"/>
        </w:rPr>
        <w:t>内，将调整原因、金额以书面形式通知监理单位，必须经监理单位和发包人书面批准后作为调整合同价款的依据</w:t>
      </w:r>
      <w:r>
        <w:rPr>
          <w:rFonts w:hint="eastAsia" w:ascii="宋体" w:hAnsi="宋体" w:cs="宋体"/>
          <w:color w:val="auto"/>
          <w:sz w:val="24"/>
          <w:szCs w:val="24"/>
          <w:highlight w:val="none"/>
        </w:rPr>
        <w:t>。对承包人在没有得到发包人的同意和正式盖章书面函件的前提下进行的调整，发包人不予认可，一切责任和后果由承包人承担。</w:t>
      </w:r>
    </w:p>
    <w:p w14:paraId="02866F44">
      <w:pPr>
        <w:snapToGrid w:val="0"/>
        <w:spacing w:line="440" w:lineRule="exact"/>
        <w:ind w:firstLine="338" w:firstLineChars="141"/>
        <w:rPr>
          <w:rFonts w:ascii="宋体" w:hAnsi="宋体" w:cs="宋体"/>
          <w:color w:val="auto"/>
          <w:sz w:val="24"/>
          <w:szCs w:val="24"/>
          <w:highlight w:val="none"/>
        </w:rPr>
      </w:pPr>
      <w:r>
        <w:rPr>
          <w:rFonts w:ascii="宋体" w:hAnsi="宋体" w:cs="宋体"/>
          <w:color w:val="auto"/>
          <w:sz w:val="24"/>
          <w:szCs w:val="24"/>
          <w:highlight w:val="none"/>
        </w:rPr>
        <w:t>23.5</w:t>
      </w:r>
      <w:r>
        <w:rPr>
          <w:rFonts w:hint="eastAsia" w:ascii="宋体" w:hAnsi="宋体" w:cs="宋体"/>
          <w:color w:val="auto"/>
          <w:sz w:val="24"/>
          <w:szCs w:val="24"/>
          <w:highlight w:val="none"/>
          <w:u w:val="single"/>
        </w:rPr>
        <w:t>合同价款调整原则</w:t>
      </w:r>
    </w:p>
    <w:p w14:paraId="204447B5">
      <w:pPr>
        <w:snapToGrid w:val="0"/>
        <w:spacing w:line="440" w:lineRule="exact"/>
        <w:ind w:firstLine="338" w:firstLineChars="141"/>
        <w:rPr>
          <w:rFonts w:ascii="宋体" w:hAnsi="宋体" w:cs="宋体"/>
          <w:color w:val="auto"/>
          <w:sz w:val="24"/>
          <w:szCs w:val="24"/>
          <w:highlight w:val="none"/>
        </w:rPr>
      </w:pPr>
      <w:r>
        <w:rPr>
          <w:rFonts w:ascii="宋体" w:hAnsi="宋体" w:cs="宋体"/>
          <w:color w:val="auto"/>
          <w:sz w:val="24"/>
          <w:szCs w:val="24"/>
          <w:highlight w:val="none"/>
        </w:rPr>
        <w:t>23.5.1</w:t>
      </w:r>
      <w:r>
        <w:rPr>
          <w:rFonts w:hint="eastAsia" w:ascii="宋体" w:hAnsi="宋体" w:cs="宋体"/>
          <w:color w:val="auto"/>
          <w:sz w:val="24"/>
          <w:szCs w:val="24"/>
          <w:highlight w:val="none"/>
          <w:u w:val="single"/>
        </w:rPr>
        <w:t>变更、</w:t>
      </w:r>
      <w:r>
        <w:rPr>
          <w:rFonts w:hint="eastAsia"/>
          <w:color w:val="auto"/>
          <w:sz w:val="24"/>
          <w:szCs w:val="24"/>
          <w:highlight w:val="none"/>
          <w:lang w:eastAsia="zh-CN"/>
        </w:rPr>
        <w:t>工程量清单缺陷</w:t>
      </w:r>
      <w:r>
        <w:rPr>
          <w:rFonts w:hint="eastAsia" w:ascii="宋体" w:hAnsi="宋体" w:cs="宋体"/>
          <w:color w:val="auto"/>
          <w:sz w:val="24"/>
          <w:szCs w:val="24"/>
          <w:highlight w:val="none"/>
          <w:u w:val="single"/>
        </w:rPr>
        <w:t>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w:t>
      </w:r>
      <w:r>
        <w:rPr>
          <w:rFonts w:hint="eastAsia" w:ascii="宋体" w:hAnsi="宋体" w:cs="宋体"/>
          <w:color w:val="auto"/>
          <w:sz w:val="24"/>
          <w:highlight w:val="none"/>
          <w:u w:val="single"/>
          <w:lang w:val="en-US" w:eastAsia="zh-CN"/>
        </w:rPr>
        <w:t>或在本工程实施过程中，承包人按发包人要求完成合同约定工程范围外的内容（含现场签证）</w:t>
      </w:r>
      <w:r>
        <w:rPr>
          <w:rFonts w:hint="eastAsia" w:ascii="宋体" w:hAnsi="宋体" w:cs="宋体"/>
          <w:color w:val="auto"/>
          <w:sz w:val="24"/>
          <w:szCs w:val="24"/>
          <w:highlight w:val="none"/>
          <w:u w:val="single"/>
        </w:rPr>
        <w:t>。变更、签证工程和新增工程按以下办法确定价格</w:t>
      </w:r>
      <w:r>
        <w:rPr>
          <w:rFonts w:hint="eastAsia" w:ascii="宋体" w:hAnsi="宋体" w:cs="宋体"/>
          <w:color w:val="auto"/>
          <w:sz w:val="24"/>
          <w:szCs w:val="24"/>
          <w:highlight w:val="none"/>
        </w:rPr>
        <w:t>。</w:t>
      </w:r>
    </w:p>
    <w:p w14:paraId="096C3DDC">
      <w:pPr>
        <w:pStyle w:val="41"/>
        <w:spacing w:line="360" w:lineRule="auto"/>
        <w:ind w:left="0" w:leftChars="0" w:firstLine="240" w:firstLineChars="100"/>
        <w:rPr>
          <w:rFonts w:hint="default" w:eastAsia="宋体"/>
          <w:color w:val="auto"/>
          <w:sz w:val="24"/>
          <w:szCs w:val="24"/>
          <w:highlight w:val="none"/>
          <w:lang w:val="en-US" w:eastAsia="zh-CN"/>
        </w:rPr>
      </w:pPr>
      <w:r>
        <w:rPr>
          <w:rFonts w:hint="default" w:eastAsia="宋体"/>
          <w:color w:val="auto"/>
          <w:sz w:val="24"/>
          <w:szCs w:val="24"/>
          <w:highlight w:val="none"/>
          <w:lang w:val="en-US" w:eastAsia="zh-CN"/>
        </w:rPr>
        <w:t>（1）合同工程量清单中有相同适用项目的，则采用该项目投标综合单价；合同工程量清单中相同适用项目有多个的，取最有利于发包人的相同适用项目的投标综合单价。但新增工程量超过15%的，比较招标控制价对应的综合单价并执行中标下浮率和投标综合单价，取两者的较小值作为超出15%的新增工程量的综合单价。</w:t>
      </w:r>
      <w:r>
        <w:rPr>
          <w:rFonts w:hint="eastAsia"/>
          <w:color w:val="auto"/>
          <w:sz w:val="24"/>
          <w:szCs w:val="24"/>
          <w:highlight w:val="none"/>
          <w:lang w:val="en-US" w:eastAsia="zh-CN"/>
        </w:rPr>
        <w:t>减少</w:t>
      </w:r>
      <w:r>
        <w:rPr>
          <w:rFonts w:hint="default" w:eastAsia="宋体"/>
          <w:color w:val="auto"/>
          <w:sz w:val="24"/>
          <w:szCs w:val="24"/>
          <w:highlight w:val="none"/>
          <w:lang w:val="en-US" w:eastAsia="zh-CN"/>
        </w:rPr>
        <w:t>工程量超过15%的，比较招标控制价对应的综合单价并执行中标下浮率和投标综合单价，取两者的较</w:t>
      </w:r>
      <w:r>
        <w:rPr>
          <w:rFonts w:hint="eastAsia"/>
          <w:color w:val="auto"/>
          <w:sz w:val="24"/>
          <w:szCs w:val="24"/>
          <w:highlight w:val="none"/>
          <w:lang w:val="en-US" w:eastAsia="zh-CN"/>
        </w:rPr>
        <w:t>大</w:t>
      </w:r>
      <w:r>
        <w:rPr>
          <w:rFonts w:hint="default" w:eastAsia="宋体"/>
          <w:color w:val="auto"/>
          <w:sz w:val="24"/>
          <w:szCs w:val="24"/>
          <w:highlight w:val="none"/>
          <w:lang w:val="en-US" w:eastAsia="zh-CN"/>
        </w:rPr>
        <w:t>值作为</w:t>
      </w:r>
      <w:r>
        <w:rPr>
          <w:rFonts w:hint="eastAsia"/>
          <w:color w:val="auto"/>
          <w:sz w:val="24"/>
          <w:szCs w:val="24"/>
          <w:highlight w:val="none"/>
          <w:lang w:val="en-US" w:eastAsia="zh-CN"/>
        </w:rPr>
        <w:t>减少</w:t>
      </w:r>
      <w:r>
        <w:rPr>
          <w:rFonts w:hint="default" w:eastAsia="宋体"/>
          <w:color w:val="auto"/>
          <w:sz w:val="24"/>
          <w:szCs w:val="24"/>
          <w:highlight w:val="none"/>
          <w:lang w:val="en-US" w:eastAsia="zh-CN"/>
        </w:rPr>
        <w:t>超出15%的工程量的综合单价</w:t>
      </w:r>
      <w:r>
        <w:rPr>
          <w:rFonts w:hint="eastAsia"/>
          <w:color w:val="auto"/>
          <w:sz w:val="24"/>
          <w:szCs w:val="24"/>
          <w:highlight w:val="none"/>
          <w:lang w:val="en-US" w:eastAsia="zh-CN"/>
        </w:rPr>
        <w:t>。如同一条清单因多次设计变更导致工程量有增有减时，结算时应根据最终完成的工程量，按此条计价原则进行修正。</w:t>
      </w:r>
    </w:p>
    <w:p w14:paraId="6E19E5C1">
      <w:pPr>
        <w:pStyle w:val="41"/>
        <w:spacing w:line="360" w:lineRule="auto"/>
        <w:ind w:left="0" w:leftChars="0" w:firstLine="480" w:firstLineChars="200"/>
        <w:rPr>
          <w:rFonts w:hint="default" w:eastAsia="宋体"/>
          <w:color w:val="auto"/>
          <w:sz w:val="24"/>
          <w:szCs w:val="24"/>
          <w:highlight w:val="none"/>
          <w:lang w:val="en-US" w:eastAsia="zh-CN"/>
        </w:rPr>
      </w:pPr>
      <w:r>
        <w:rPr>
          <w:rFonts w:hint="default" w:eastAsia="宋体"/>
          <w:color w:val="auto"/>
          <w:sz w:val="24"/>
          <w:szCs w:val="24"/>
          <w:highlight w:val="none"/>
          <w:lang w:val="en-US" w:eastAsia="zh-CN"/>
        </w:rPr>
        <w:t>（2）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w:t>
      </w:r>
      <w:r>
        <w:rPr>
          <w:rFonts w:hint="eastAsia"/>
          <w:color w:val="auto"/>
          <w:sz w:val="24"/>
          <w:szCs w:val="24"/>
          <w:highlight w:val="none"/>
          <w:lang w:val="en-US" w:eastAsia="zh-CN"/>
        </w:rPr>
        <w:t>按照</w:t>
      </w:r>
      <w:r>
        <w:rPr>
          <w:rFonts w:hint="default" w:eastAsia="宋体"/>
          <w:color w:val="auto"/>
          <w:sz w:val="24"/>
          <w:szCs w:val="24"/>
          <w:highlight w:val="none"/>
          <w:lang w:val="en-US" w:eastAsia="zh-CN"/>
        </w:rPr>
        <w:t>工程造价管理机构发布的实际施工月份《广州地区建设工程常用材料税前综合价格》</w:t>
      </w:r>
      <w:r>
        <w:rPr>
          <w:rFonts w:hint="eastAsia"/>
          <w:color w:val="auto"/>
          <w:sz w:val="24"/>
          <w:szCs w:val="24"/>
          <w:highlight w:val="none"/>
          <w:lang w:val="en-US" w:eastAsia="zh-CN"/>
        </w:rPr>
        <w:t>并执行中标下浮率</w:t>
      </w:r>
      <w:r>
        <w:rPr>
          <w:rFonts w:hint="default" w:eastAsia="宋体"/>
          <w:color w:val="auto"/>
          <w:sz w:val="24"/>
          <w:szCs w:val="24"/>
          <w:highlight w:val="none"/>
          <w:lang w:val="en-US" w:eastAsia="zh-CN"/>
        </w:rPr>
        <w:t>（实际施工跨月份的，则按监理单位确认的各月施工完成的工程量为基础</w:t>
      </w:r>
      <w:r>
        <w:rPr>
          <w:rFonts w:hint="eastAsia"/>
          <w:color w:val="auto"/>
          <w:sz w:val="24"/>
          <w:szCs w:val="24"/>
          <w:highlight w:val="none"/>
          <w:lang w:val="en-US" w:eastAsia="zh-CN"/>
        </w:rPr>
        <w:t>采用加权平均值</w:t>
      </w:r>
      <w:r>
        <w:rPr>
          <w:rFonts w:hint="default" w:eastAsia="宋体"/>
          <w:color w:val="auto"/>
          <w:sz w:val="24"/>
          <w:szCs w:val="24"/>
          <w:highlight w:val="none"/>
          <w:lang w:val="en-US" w:eastAsia="zh-CN"/>
        </w:rPr>
        <w:t>进行计算</w:t>
      </w:r>
      <w:r>
        <w:rPr>
          <w:rFonts w:hint="eastAsia"/>
          <w:color w:val="auto"/>
          <w:sz w:val="24"/>
          <w:szCs w:val="24"/>
          <w:highlight w:val="none"/>
          <w:lang w:val="en-US" w:eastAsia="zh-CN"/>
        </w:rPr>
        <w:t>，如未提供监理确认的各月施工完成工程量的，则按所跨月份中最低的价格进行计算</w:t>
      </w:r>
      <w:r>
        <w:rPr>
          <w:rFonts w:hint="default" w:eastAsia="宋体"/>
          <w:color w:val="auto"/>
          <w:sz w:val="24"/>
          <w:szCs w:val="24"/>
          <w:highlight w:val="none"/>
          <w:lang w:val="en-US" w:eastAsia="zh-CN"/>
        </w:rPr>
        <w:t>）；《广州地区建设工程常用材料税前综合价格》没有的材料、设备单价，参考实际施工期《广州地区建设工程材料（设备）厂商价格信息》</w:t>
      </w:r>
      <w:r>
        <w:rPr>
          <w:rFonts w:hint="eastAsia"/>
          <w:color w:val="auto"/>
          <w:sz w:val="24"/>
          <w:szCs w:val="24"/>
          <w:highlight w:val="none"/>
          <w:lang w:val="en-US" w:eastAsia="zh-CN"/>
        </w:rPr>
        <w:t>并结合市场询价</w:t>
      </w:r>
      <w:r>
        <w:rPr>
          <w:rFonts w:hint="default" w:eastAsia="宋体"/>
          <w:color w:val="auto"/>
          <w:sz w:val="24"/>
          <w:szCs w:val="24"/>
          <w:highlight w:val="none"/>
          <w:lang w:val="en-US" w:eastAsia="zh-CN"/>
        </w:rPr>
        <w:t>计算税前价格</w:t>
      </w:r>
      <w:r>
        <w:rPr>
          <w:rFonts w:hint="eastAsia"/>
          <w:color w:val="auto"/>
          <w:sz w:val="24"/>
          <w:szCs w:val="24"/>
          <w:highlight w:val="none"/>
          <w:lang w:val="en-US" w:eastAsia="zh-CN"/>
        </w:rPr>
        <w:t>并执行中标下浮率</w:t>
      </w:r>
      <w:r>
        <w:rPr>
          <w:rFonts w:hint="default" w:eastAsia="宋体"/>
          <w:color w:val="auto"/>
          <w:sz w:val="24"/>
          <w:szCs w:val="24"/>
          <w:highlight w:val="none"/>
          <w:lang w:val="en-US" w:eastAsia="zh-CN"/>
        </w:rPr>
        <w:t>（实际施工跨月份的，则按监理单位确认的各月施工完成的工程量为基础</w:t>
      </w:r>
      <w:r>
        <w:rPr>
          <w:rFonts w:hint="eastAsia"/>
          <w:color w:val="auto"/>
          <w:sz w:val="24"/>
          <w:szCs w:val="24"/>
          <w:highlight w:val="none"/>
          <w:lang w:val="en-US" w:eastAsia="zh-CN"/>
        </w:rPr>
        <w:t>采用加权平均值</w:t>
      </w:r>
      <w:r>
        <w:rPr>
          <w:rFonts w:hint="default" w:eastAsia="宋体"/>
          <w:color w:val="auto"/>
          <w:sz w:val="24"/>
          <w:szCs w:val="24"/>
          <w:highlight w:val="none"/>
          <w:lang w:val="en-US" w:eastAsia="zh-CN"/>
        </w:rPr>
        <w:t>进行计算</w:t>
      </w:r>
      <w:r>
        <w:rPr>
          <w:rFonts w:hint="eastAsia"/>
          <w:color w:val="auto"/>
          <w:sz w:val="24"/>
          <w:szCs w:val="24"/>
          <w:highlight w:val="none"/>
          <w:lang w:val="en-US" w:eastAsia="zh-CN"/>
        </w:rPr>
        <w:t>，如未提供监理确认的各月施工完成工程量的，则按所跨月份中最低的价格进行计算</w:t>
      </w:r>
      <w:r>
        <w:rPr>
          <w:rFonts w:hint="default" w:eastAsia="宋体"/>
          <w:color w:val="auto"/>
          <w:sz w:val="24"/>
          <w:szCs w:val="24"/>
          <w:highlight w:val="none"/>
          <w:lang w:val="en-US" w:eastAsia="zh-CN"/>
        </w:rPr>
        <w:t>）。《广州地区建设工程常用材料税前综合价格》及《广州地区建设工程材料（设备）厂商价格信息》均没有的材料、设备价格，由发包人、监理单位、承包人结合市场价共同协商确定。</w:t>
      </w:r>
    </w:p>
    <w:p w14:paraId="42479D31">
      <w:pPr>
        <w:pStyle w:val="41"/>
        <w:spacing w:line="360" w:lineRule="auto"/>
        <w:ind w:left="0" w:leftChars="0" w:firstLine="480" w:firstLineChars="200"/>
        <w:rPr>
          <w:rFonts w:hint="default" w:eastAsia="宋体"/>
          <w:color w:val="auto"/>
          <w:sz w:val="24"/>
          <w:szCs w:val="24"/>
          <w:highlight w:val="none"/>
          <w:lang w:val="en-US" w:eastAsia="zh-CN"/>
        </w:rPr>
      </w:pPr>
      <w:r>
        <w:rPr>
          <w:rFonts w:hint="default" w:eastAsia="宋体"/>
          <w:color w:val="auto"/>
          <w:sz w:val="24"/>
          <w:szCs w:val="24"/>
          <w:highlight w:val="none"/>
          <w:lang w:val="en-US" w:eastAsia="zh-CN"/>
        </w:rPr>
        <w:t>（3）合同工程量清单报价中没有相同或类似适用项目的，按以下原则计价：</w:t>
      </w:r>
    </w:p>
    <w:p w14:paraId="5359F0E5">
      <w:pPr>
        <w:pStyle w:val="41"/>
        <w:spacing w:line="360" w:lineRule="auto"/>
        <w:ind w:left="0" w:leftChars="0" w:firstLine="480" w:firstLineChars="200"/>
        <w:rPr>
          <w:rFonts w:hint="default" w:eastAsia="宋体"/>
          <w:color w:val="auto"/>
          <w:sz w:val="24"/>
          <w:szCs w:val="24"/>
          <w:highlight w:val="none"/>
          <w:lang w:val="en-US" w:eastAsia="zh-CN"/>
        </w:rPr>
      </w:pPr>
      <w:r>
        <w:rPr>
          <w:rFonts w:hint="default" w:eastAsia="宋体"/>
          <w:color w:val="auto"/>
          <w:sz w:val="24"/>
          <w:szCs w:val="24"/>
          <w:highlight w:val="none"/>
          <w:lang w:val="en-US" w:eastAsia="zh-CN"/>
        </w:rPr>
        <w:t>① 由承包人依据变更工程资料，计量原则，按《广东省市政工程综合定额》（2018年）</w:t>
      </w:r>
      <w:r>
        <w:rPr>
          <w:rFonts w:hint="eastAsia"/>
          <w:color w:val="auto"/>
          <w:sz w:val="24"/>
          <w:szCs w:val="24"/>
          <w:highlight w:val="none"/>
          <w:lang w:val="en-US" w:eastAsia="zh-CN"/>
        </w:rPr>
        <w:t>、</w:t>
      </w:r>
      <w:r>
        <w:rPr>
          <w:rFonts w:hint="default" w:eastAsia="宋体"/>
          <w:color w:val="auto"/>
          <w:sz w:val="24"/>
          <w:szCs w:val="24"/>
          <w:highlight w:val="none"/>
          <w:lang w:val="en-US" w:eastAsia="zh-CN"/>
        </w:rPr>
        <w:t>《广东省园林绿化工程综合定额》（2018年）</w:t>
      </w:r>
      <w:r>
        <w:rPr>
          <w:rFonts w:hint="eastAsia"/>
          <w:color w:val="auto"/>
          <w:sz w:val="24"/>
          <w:szCs w:val="24"/>
          <w:highlight w:val="none"/>
          <w:lang w:val="en-US" w:eastAsia="zh-CN"/>
        </w:rPr>
        <w:t>、</w:t>
      </w:r>
      <w:r>
        <w:rPr>
          <w:rFonts w:hint="default" w:eastAsia="宋体"/>
          <w:color w:val="auto"/>
          <w:sz w:val="24"/>
          <w:szCs w:val="24"/>
          <w:highlight w:val="none"/>
          <w:lang w:val="en-US" w:eastAsia="zh-CN"/>
        </w:rPr>
        <w:t>《广东省房屋建筑与装饰工程综合定额》（2018年）</w:t>
      </w:r>
      <w:r>
        <w:rPr>
          <w:rFonts w:hint="eastAsia"/>
          <w:color w:val="auto"/>
          <w:sz w:val="24"/>
          <w:szCs w:val="24"/>
          <w:highlight w:val="none"/>
          <w:lang w:val="en-US" w:eastAsia="zh-CN"/>
        </w:rPr>
        <w:t>、</w:t>
      </w:r>
      <w:r>
        <w:rPr>
          <w:rFonts w:hint="default" w:eastAsia="宋体"/>
          <w:color w:val="auto"/>
          <w:sz w:val="24"/>
          <w:szCs w:val="24"/>
          <w:highlight w:val="none"/>
          <w:lang w:val="en-US" w:eastAsia="zh-CN"/>
        </w:rPr>
        <w:t>《广东省通用安装工程综合定额》（2018年）、《广东省建设工程施工机具台班费用编制规则（2018）等相关定额标准及工程实施期工程造价管理机构发布的材料设备参考价格编制综合单价并执行中标下浮率。</w:t>
      </w:r>
    </w:p>
    <w:p w14:paraId="55642565">
      <w:pPr>
        <w:pStyle w:val="41"/>
        <w:spacing w:line="360" w:lineRule="auto"/>
        <w:ind w:left="0" w:leftChars="0" w:firstLine="480" w:firstLineChars="200"/>
        <w:rPr>
          <w:rFonts w:hint="eastAsia"/>
          <w:color w:val="auto"/>
          <w:sz w:val="24"/>
          <w:szCs w:val="24"/>
          <w:highlight w:val="none"/>
          <w:lang w:val="en-US" w:eastAsia="zh-CN"/>
        </w:rPr>
      </w:pPr>
      <w:r>
        <w:rPr>
          <w:rFonts w:hint="default" w:eastAsia="宋体"/>
          <w:color w:val="auto"/>
          <w:sz w:val="24"/>
          <w:szCs w:val="24"/>
          <w:highlight w:val="none"/>
          <w:lang w:val="en-US" w:eastAsia="zh-CN"/>
        </w:rPr>
        <w:t>② 合同工程量清单没有相同或相类似且无相关定额的项目，承包人参照《广东省市政工程综合定额》（2018年）、《广东省园林绿化工程综合定额》（2018年）</w:t>
      </w:r>
      <w:r>
        <w:rPr>
          <w:rFonts w:hint="eastAsia"/>
          <w:color w:val="auto"/>
          <w:sz w:val="24"/>
          <w:szCs w:val="24"/>
          <w:highlight w:val="none"/>
          <w:lang w:val="en-US" w:eastAsia="zh-CN"/>
        </w:rPr>
        <w:t>、</w:t>
      </w:r>
      <w:r>
        <w:rPr>
          <w:rFonts w:hint="default" w:eastAsia="宋体"/>
          <w:color w:val="auto"/>
          <w:sz w:val="24"/>
          <w:szCs w:val="24"/>
          <w:highlight w:val="none"/>
          <w:lang w:val="en-US" w:eastAsia="zh-CN"/>
        </w:rPr>
        <w:t>《广东省房屋建筑与装饰工程综合定额》（2018年）、《广东省通用安装工程综合定额》（2018年）、《广东省建设工程施工机具台班费用编制规则（2018）等相关定额编制原则（上述定额查找不到的可参考其它相关定额或由发包人与承包人协商确定）及工程实施期工程造价管理机构发布的材料设备参考价格编制综合单价并执行中标下浮率</w:t>
      </w:r>
      <w:r>
        <w:rPr>
          <w:rFonts w:hint="eastAsia"/>
          <w:color w:val="auto"/>
          <w:sz w:val="24"/>
          <w:szCs w:val="24"/>
          <w:highlight w:val="none"/>
          <w:lang w:val="en-US" w:eastAsia="zh-CN"/>
        </w:rPr>
        <w:t>。</w:t>
      </w:r>
    </w:p>
    <w:p w14:paraId="644691D8">
      <w:pPr>
        <w:pStyle w:val="41"/>
        <w:spacing w:line="360" w:lineRule="auto"/>
        <w:ind w:left="0" w:leftChars="0" w:firstLine="480" w:firstLineChars="200"/>
        <w:rPr>
          <w:rFonts w:hint="default" w:eastAsia="宋体"/>
          <w:color w:val="auto"/>
          <w:sz w:val="24"/>
          <w:szCs w:val="24"/>
          <w:highlight w:val="none"/>
          <w:lang w:val="en-US" w:eastAsia="zh-CN"/>
        </w:rPr>
      </w:pPr>
      <w:r>
        <w:rPr>
          <w:rFonts w:hint="default" w:eastAsia="宋体"/>
          <w:color w:val="auto"/>
          <w:sz w:val="24"/>
          <w:szCs w:val="24"/>
          <w:highlight w:val="none"/>
          <w:lang w:val="en-US" w:eastAsia="zh-CN"/>
        </w:rPr>
        <w:t>③</w:t>
      </w:r>
      <w:r>
        <w:rPr>
          <w:rFonts w:hint="eastAsia"/>
          <w:color w:val="auto"/>
          <w:sz w:val="24"/>
          <w:szCs w:val="24"/>
          <w:highlight w:val="none"/>
          <w:lang w:val="en-US" w:eastAsia="zh-CN"/>
        </w:rPr>
        <w:t xml:space="preserve"> 按以上原则确认综合单价时，</w:t>
      </w:r>
      <w:r>
        <w:rPr>
          <w:rFonts w:hint="default" w:eastAsia="宋体"/>
          <w:color w:val="auto"/>
          <w:sz w:val="24"/>
          <w:szCs w:val="24"/>
          <w:highlight w:val="none"/>
          <w:lang w:val="en-US" w:eastAsia="zh-CN"/>
        </w:rPr>
        <w:t>其材料、设备价格执行工程造价管理机构发布的实际施工月份《广州地区建设工程常用材料税前综合价格》（实际施工跨月份的，则按监理单位确认的各月施工完成的工程量为基础</w:t>
      </w:r>
      <w:r>
        <w:rPr>
          <w:rFonts w:hint="eastAsia"/>
          <w:color w:val="auto"/>
          <w:sz w:val="24"/>
          <w:szCs w:val="24"/>
          <w:highlight w:val="none"/>
          <w:lang w:val="en-US" w:eastAsia="zh-CN"/>
        </w:rPr>
        <w:t>采用加权平均值</w:t>
      </w:r>
      <w:r>
        <w:rPr>
          <w:rFonts w:hint="default" w:eastAsia="宋体"/>
          <w:color w:val="auto"/>
          <w:sz w:val="24"/>
          <w:szCs w:val="24"/>
          <w:highlight w:val="none"/>
          <w:lang w:val="en-US" w:eastAsia="zh-CN"/>
        </w:rPr>
        <w:t>进行计算</w:t>
      </w:r>
      <w:r>
        <w:rPr>
          <w:rFonts w:hint="eastAsia"/>
          <w:color w:val="auto"/>
          <w:sz w:val="24"/>
          <w:szCs w:val="24"/>
          <w:highlight w:val="none"/>
          <w:lang w:val="en-US" w:eastAsia="zh-CN"/>
        </w:rPr>
        <w:t>，如未提供监理确认的各月施工完成工程量的，则按所跨月份中最低的价格进行计算</w:t>
      </w:r>
      <w:r>
        <w:rPr>
          <w:rFonts w:hint="default" w:eastAsia="宋体"/>
          <w:color w:val="auto"/>
          <w:sz w:val="24"/>
          <w:szCs w:val="24"/>
          <w:highlight w:val="none"/>
          <w:lang w:val="en-US" w:eastAsia="zh-CN"/>
        </w:rPr>
        <w:t>）；《广州地区建设工程常用材料税前综合价格》</w:t>
      </w:r>
      <w:r>
        <w:rPr>
          <w:rFonts w:hint="eastAsia" w:ascii="宋体" w:hAnsi="宋体" w:cs="宋体"/>
          <w:color w:val="auto"/>
          <w:sz w:val="24"/>
          <w:szCs w:val="24"/>
          <w:highlight w:val="none"/>
        </w:rPr>
        <w:t>按上、下半月发布的</w:t>
      </w:r>
      <w:r>
        <w:rPr>
          <w:rFonts w:hint="eastAsia" w:ascii="宋体" w:hAnsi="宋体" w:cs="宋体"/>
          <w:color w:val="auto"/>
          <w:sz w:val="24"/>
          <w:szCs w:val="24"/>
          <w:highlight w:val="none"/>
          <w:lang w:val="en-US" w:eastAsia="zh-CN"/>
        </w:rPr>
        <w:t>材料</w:t>
      </w:r>
      <w:r>
        <w:rPr>
          <w:rFonts w:hint="eastAsia" w:ascii="宋体" w:hAnsi="宋体" w:cs="宋体"/>
          <w:color w:val="auto"/>
          <w:sz w:val="24"/>
          <w:szCs w:val="24"/>
          <w:highlight w:val="none"/>
        </w:rPr>
        <w:t>，取当期上、下半月的平均值计算；</w:t>
      </w:r>
      <w:r>
        <w:rPr>
          <w:rFonts w:hint="default" w:eastAsia="宋体"/>
          <w:color w:val="auto"/>
          <w:sz w:val="24"/>
          <w:szCs w:val="24"/>
          <w:highlight w:val="none"/>
          <w:lang w:val="en-US" w:eastAsia="zh-CN"/>
        </w:rPr>
        <w:t>《广州地区建设工程常用材料税前综合价格》</w:t>
      </w:r>
      <w:r>
        <w:rPr>
          <w:rFonts w:hint="eastAsia" w:ascii="宋体" w:hAnsi="宋体" w:cs="宋体"/>
          <w:color w:val="auto"/>
          <w:sz w:val="24"/>
          <w:szCs w:val="24"/>
          <w:highlight w:val="none"/>
        </w:rPr>
        <w:t>按区间价格发布的</w:t>
      </w:r>
      <w:r>
        <w:rPr>
          <w:rFonts w:hint="eastAsia" w:ascii="宋体" w:hAnsi="宋体" w:cs="宋体"/>
          <w:color w:val="auto"/>
          <w:sz w:val="24"/>
          <w:szCs w:val="24"/>
          <w:highlight w:val="none"/>
          <w:lang w:val="en-US" w:eastAsia="zh-CN"/>
        </w:rPr>
        <w:t>材料</w:t>
      </w:r>
      <w:r>
        <w:rPr>
          <w:rFonts w:hint="eastAsia" w:ascii="宋体" w:hAnsi="宋体" w:cs="宋体"/>
          <w:color w:val="auto"/>
          <w:sz w:val="24"/>
          <w:szCs w:val="24"/>
          <w:highlight w:val="none"/>
        </w:rPr>
        <w:t>，当期的价格采用区间的下限值计算</w:t>
      </w:r>
      <w:r>
        <w:rPr>
          <w:rFonts w:hint="default" w:eastAsia="宋体"/>
          <w:color w:val="auto"/>
          <w:sz w:val="24"/>
          <w:szCs w:val="24"/>
          <w:highlight w:val="none"/>
          <w:lang w:val="en-US" w:eastAsia="zh-CN"/>
        </w:rPr>
        <w:t>；《广州地区建设工程常用材料税前综合价格》没有的材料、设备单价，参考实际施工期《广州地区建设工程材料（设备）厂商价格信息》</w:t>
      </w:r>
      <w:r>
        <w:rPr>
          <w:rFonts w:hint="eastAsia"/>
          <w:color w:val="auto"/>
          <w:sz w:val="24"/>
          <w:szCs w:val="24"/>
          <w:highlight w:val="none"/>
          <w:lang w:val="en-US" w:eastAsia="zh-CN"/>
        </w:rPr>
        <w:t>并结合市场询价</w:t>
      </w:r>
      <w:r>
        <w:rPr>
          <w:rFonts w:hint="default" w:eastAsia="宋体"/>
          <w:color w:val="auto"/>
          <w:sz w:val="24"/>
          <w:szCs w:val="24"/>
          <w:highlight w:val="none"/>
          <w:lang w:val="en-US" w:eastAsia="zh-CN"/>
        </w:rPr>
        <w:t>计算税前价格（实际施工跨月份的，则按监理单位确认的各月施工完成的工程量为基础</w:t>
      </w:r>
      <w:r>
        <w:rPr>
          <w:rFonts w:hint="eastAsia"/>
          <w:color w:val="auto"/>
          <w:sz w:val="24"/>
          <w:szCs w:val="24"/>
          <w:highlight w:val="none"/>
          <w:lang w:val="en-US" w:eastAsia="zh-CN"/>
        </w:rPr>
        <w:t>采用加权平均值</w:t>
      </w:r>
      <w:r>
        <w:rPr>
          <w:rFonts w:hint="default" w:eastAsia="宋体"/>
          <w:color w:val="auto"/>
          <w:sz w:val="24"/>
          <w:szCs w:val="24"/>
          <w:highlight w:val="none"/>
          <w:lang w:val="en-US" w:eastAsia="zh-CN"/>
        </w:rPr>
        <w:t>进行计算</w:t>
      </w:r>
      <w:r>
        <w:rPr>
          <w:rFonts w:hint="eastAsia"/>
          <w:color w:val="auto"/>
          <w:sz w:val="24"/>
          <w:szCs w:val="24"/>
          <w:highlight w:val="none"/>
          <w:lang w:val="en-US" w:eastAsia="zh-CN"/>
        </w:rPr>
        <w:t>，如未提供监理确认的各月施工完成工程量的，则按所跨月份中最低的价格进行计算</w:t>
      </w:r>
      <w:r>
        <w:rPr>
          <w:rFonts w:hint="default" w:eastAsia="宋体"/>
          <w:color w:val="auto"/>
          <w:sz w:val="24"/>
          <w:szCs w:val="24"/>
          <w:highlight w:val="none"/>
          <w:lang w:val="en-US" w:eastAsia="zh-CN"/>
        </w:rPr>
        <w:t>）。《广州地区建设工程常用材料税前综合价格》及《广州地区建设工程材料（设备）厂商价格信息》均没有的相关价格的，由发包人、监理单位、承包人结合市场价共同协商确定。</w:t>
      </w:r>
    </w:p>
    <w:p w14:paraId="15F29119">
      <w:pPr>
        <w:pStyle w:val="260"/>
        <w:adjustRightInd w:val="0"/>
        <w:snapToGrid w:val="0"/>
        <w:spacing w:line="440" w:lineRule="exact"/>
        <w:ind w:right="11"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u w:val="single"/>
        </w:rPr>
        <w:t>按上述原则确定价格时，措施项目费用不计取</w:t>
      </w:r>
      <w:r>
        <w:rPr>
          <w:rFonts w:ascii="宋体" w:hAnsi="宋体" w:cs="宋体"/>
          <w:color w:val="auto"/>
          <w:sz w:val="24"/>
          <w:szCs w:val="24"/>
          <w:highlight w:val="none"/>
          <w:u w:val="single"/>
        </w:rPr>
        <w:t>,清单计价及</w:t>
      </w:r>
      <w:r>
        <w:rPr>
          <w:rFonts w:hint="eastAsia" w:ascii="宋体" w:hAnsi="宋体" w:cs="宋体"/>
          <w:color w:val="auto"/>
          <w:sz w:val="24"/>
          <w:szCs w:val="24"/>
          <w:highlight w:val="none"/>
          <w:u w:val="single"/>
        </w:rPr>
        <w:t>税金的计取，应符合《广东省住房和城乡建设厅关于营业税改征增值税后调整广东省建设工程计价依据的通知》（粤建市【</w:t>
      </w:r>
      <w:r>
        <w:rPr>
          <w:rFonts w:ascii="宋体" w:hAnsi="宋体" w:cs="宋体"/>
          <w:color w:val="auto"/>
          <w:sz w:val="24"/>
          <w:szCs w:val="24"/>
          <w:highlight w:val="none"/>
          <w:u w:val="single"/>
        </w:rPr>
        <w:t>2016】1113号）、《广州市住房和城乡建设委员会转发关于营业税改增值税后调整广东省建设工程计价依据有关事项的通知》（穗建筑【2016】744号）及《广州市建设工程造价管理站关于营业税改征增值税后广州市建设工程计价有关问题的通知》（穗建造价【2016】31号）</w:t>
      </w:r>
      <w:r>
        <w:rPr>
          <w:rFonts w:hint="eastAsia" w:ascii="宋体" w:hAnsi="宋体" w:cs="宋体"/>
          <w:color w:val="auto"/>
          <w:sz w:val="24"/>
          <w:szCs w:val="24"/>
          <w:highlight w:val="none"/>
          <w:u w:val="single"/>
        </w:rPr>
        <w:t>、《广东省住房和城乡建设厅关于印发</w:t>
      </w:r>
      <w:r>
        <w:rPr>
          <w:rFonts w:ascii="宋体" w:hAnsi="宋体" w:cs="宋体"/>
          <w:color w:val="auto"/>
          <w:sz w:val="24"/>
          <w:szCs w:val="24"/>
          <w:highlight w:val="none"/>
          <w:u w:val="single"/>
        </w:rPr>
        <w:t>&lt;</w:t>
      </w:r>
      <w:r>
        <w:rPr>
          <w:rFonts w:hint="eastAsia" w:ascii="宋体" w:hAnsi="宋体" w:cs="宋体"/>
          <w:color w:val="auto"/>
          <w:sz w:val="24"/>
          <w:szCs w:val="24"/>
          <w:highlight w:val="none"/>
          <w:u w:val="single"/>
        </w:rPr>
        <w:t>广东省建设工程计价依据（</w:t>
      </w:r>
      <w:r>
        <w:rPr>
          <w:rFonts w:ascii="宋体" w:hAnsi="宋体" w:cs="宋体"/>
          <w:color w:val="auto"/>
          <w:sz w:val="24"/>
          <w:szCs w:val="24"/>
          <w:highlight w:val="none"/>
          <w:u w:val="single"/>
        </w:rPr>
        <w:t>2018)&gt;</w:t>
      </w:r>
      <w:r>
        <w:rPr>
          <w:rFonts w:hint="eastAsia" w:ascii="宋体" w:hAnsi="宋体" w:cs="宋体"/>
          <w:color w:val="auto"/>
          <w:sz w:val="24"/>
          <w:szCs w:val="24"/>
          <w:highlight w:val="none"/>
          <w:u w:val="single"/>
        </w:rPr>
        <w:t>的通知》（穗建市〔</w:t>
      </w:r>
      <w:r>
        <w:rPr>
          <w:rFonts w:ascii="宋体" w:hAnsi="宋体" w:cs="宋体"/>
          <w:color w:val="auto"/>
          <w:sz w:val="24"/>
          <w:szCs w:val="24"/>
          <w:highlight w:val="none"/>
          <w:u w:val="single"/>
        </w:rPr>
        <w:t>2019〕6号）</w:t>
      </w:r>
      <w:r>
        <w:rPr>
          <w:rFonts w:hint="eastAsia" w:ascii="宋体" w:hAnsi="宋体" w:cs="宋体"/>
          <w:color w:val="auto"/>
          <w:sz w:val="24"/>
          <w:szCs w:val="24"/>
          <w:highlight w:val="none"/>
          <w:u w:val="single"/>
          <w:lang w:eastAsia="zh-CN"/>
        </w:rPr>
        <w:t>、</w:t>
      </w:r>
      <w:r>
        <w:rPr>
          <w:rFonts w:hint="eastAsia"/>
          <w:color w:val="auto"/>
          <w:sz w:val="24"/>
          <w:szCs w:val="24"/>
          <w:highlight w:val="none"/>
          <w:lang w:val="en-US" w:eastAsia="zh-CN"/>
        </w:rPr>
        <w:t>《关于贯彻执行&lt;建设工程工程量清单计价标准&gt;及九项专业工程工程量计算标准的实施意见》(粤标定函〔2025〕24号）、《关于调整&lt;广东省建设工程计价依据2018&gt;计价规则的通知》（粤标定函〔2025〕22号）</w:t>
      </w:r>
      <w:r>
        <w:rPr>
          <w:rFonts w:hint="eastAsia" w:ascii="宋体" w:hAnsi="宋体" w:cs="宋体"/>
          <w:color w:val="auto"/>
          <w:sz w:val="24"/>
          <w:szCs w:val="24"/>
          <w:highlight w:val="none"/>
          <w:u w:val="single"/>
        </w:rPr>
        <w:t>等相关文件的规定。</w:t>
      </w:r>
    </w:p>
    <w:p w14:paraId="49EECED7">
      <w:pPr>
        <w:snapToGrid w:val="0"/>
        <w:spacing w:line="440" w:lineRule="exact"/>
        <w:ind w:firstLine="338" w:firstLineChars="141"/>
        <w:rPr>
          <w:rFonts w:ascii="宋体" w:hAnsi="宋体" w:cs="宋体"/>
          <w:color w:val="auto"/>
          <w:sz w:val="24"/>
          <w:szCs w:val="24"/>
          <w:highlight w:val="none"/>
        </w:rPr>
      </w:pPr>
      <w:r>
        <w:rPr>
          <w:rFonts w:ascii="宋体" w:hAnsi="宋体" w:cs="宋体"/>
          <w:color w:val="auto"/>
          <w:sz w:val="24"/>
          <w:szCs w:val="24"/>
          <w:highlight w:val="none"/>
        </w:rPr>
        <w:t>23.5.3</w:t>
      </w:r>
      <w:r>
        <w:rPr>
          <w:rFonts w:hint="eastAsia" w:ascii="宋体" w:hAnsi="宋体" w:cs="宋体"/>
          <w:color w:val="auto"/>
          <w:sz w:val="24"/>
          <w:szCs w:val="24"/>
          <w:highlight w:val="none"/>
          <w:u w:val="single"/>
        </w:rPr>
        <w:t>物价涨跌的价格调整</w:t>
      </w:r>
    </w:p>
    <w:p w14:paraId="104A87D3">
      <w:pPr>
        <w:snapToGrid w:val="0"/>
        <w:spacing w:line="440" w:lineRule="exact"/>
        <w:ind w:firstLine="338" w:firstLineChars="14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1）合同履行期间，出现工程造价管理机构发布的人工、材料、工程设备和施工设备、机械台班单价涨跌超过本工程招标文件规定的投标截止日期</w:t>
      </w:r>
      <w:r>
        <w:rPr>
          <w:rFonts w:hint="eastAsia" w:ascii="宋体" w:hAnsi="宋体" w:cs="宋体"/>
          <w:color w:val="auto"/>
          <w:sz w:val="24"/>
          <w:szCs w:val="24"/>
          <w:highlight w:val="none"/>
          <w:u w:val="single"/>
        </w:rPr>
        <w:t>前第</w:t>
      </w:r>
      <w:r>
        <w:rPr>
          <w:rFonts w:ascii="宋体" w:hAnsi="宋体" w:cs="宋体"/>
          <w:color w:val="auto"/>
          <w:sz w:val="24"/>
          <w:szCs w:val="24"/>
          <w:highlight w:val="none"/>
          <w:u w:val="single"/>
        </w:rPr>
        <w:t>28天</w:t>
      </w:r>
      <w:r>
        <w:rPr>
          <w:rFonts w:hint="eastAsia" w:ascii="宋体" w:hAnsi="宋体" w:cs="宋体"/>
          <w:color w:val="auto"/>
          <w:sz w:val="24"/>
          <w:szCs w:val="24"/>
          <w:highlight w:val="none"/>
          <w:u w:val="single"/>
        </w:rPr>
        <w:t>时广州市建设工程造价管理部门发布的人工、材料、工程设备和施工设备、机械台班相应单价且符合以下规定的，应调整合同价款。</w:t>
      </w:r>
    </w:p>
    <w:p w14:paraId="7DF72306">
      <w:pPr>
        <w:snapToGrid w:val="0"/>
        <w:spacing w:line="440" w:lineRule="exact"/>
        <w:ind w:firstLine="338" w:firstLineChars="14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承包人承担工料机价格涨跌幅度在</w:t>
      </w:r>
      <w:r>
        <w:rPr>
          <w:rFonts w:ascii="宋体" w:hAnsi="宋体" w:cs="宋体"/>
          <w:color w:val="auto"/>
          <w:sz w:val="24"/>
          <w:szCs w:val="24"/>
          <w:highlight w:val="none"/>
          <w:u w:val="single"/>
        </w:rPr>
        <w:t xml:space="preserve">10%以内（含10%）的风险，不予调整合同价款；工料机价格涨跌幅度超过10%时，可以调整合同价款, </w:t>
      </w:r>
      <w:r>
        <w:rPr>
          <w:rFonts w:hint="eastAsia" w:ascii="宋体" w:hAnsi="宋体" w:cs="宋体"/>
          <w:color w:val="auto"/>
          <w:sz w:val="24"/>
          <w:szCs w:val="24"/>
          <w:highlight w:val="none"/>
          <w:u w:val="single"/>
        </w:rPr>
        <w:t>调整范围为人工、机械台班、砂、碎石、石屑，及《印发</w:t>
      </w:r>
      <w:r>
        <w:rPr>
          <w:rFonts w:ascii="宋体" w:hAnsi="宋体" w:cs="宋体"/>
          <w:color w:val="auto"/>
          <w:sz w:val="24"/>
          <w:szCs w:val="24"/>
          <w:highlight w:val="none"/>
          <w:u w:val="single"/>
        </w:rPr>
        <w:t>&lt;</w:t>
      </w:r>
      <w:r>
        <w:rPr>
          <w:rFonts w:hint="eastAsia" w:ascii="宋体" w:hAnsi="宋体" w:cs="宋体"/>
          <w:color w:val="auto"/>
          <w:sz w:val="24"/>
          <w:szCs w:val="24"/>
          <w:highlight w:val="none"/>
          <w:u w:val="single"/>
        </w:rPr>
        <w:t>关于区财政投资工程人工、材料（设备）、机械价格调整的意见</w:t>
      </w:r>
      <w:r>
        <w:rPr>
          <w:rFonts w:ascii="宋体" w:hAnsi="宋体" w:cs="宋体"/>
          <w:color w:val="auto"/>
          <w:sz w:val="24"/>
          <w:szCs w:val="24"/>
          <w:highlight w:val="none"/>
          <w:u w:val="single"/>
        </w:rPr>
        <w:t>&gt;</w:t>
      </w:r>
      <w:r>
        <w:rPr>
          <w:rFonts w:hint="eastAsia" w:ascii="宋体" w:hAnsi="宋体" w:cs="宋体"/>
          <w:color w:val="auto"/>
          <w:sz w:val="24"/>
          <w:szCs w:val="24"/>
          <w:highlight w:val="none"/>
          <w:u w:val="single"/>
        </w:rPr>
        <w:t>的通知》（穗开环建〔</w:t>
      </w:r>
      <w:r>
        <w:rPr>
          <w:rFonts w:ascii="宋体" w:hAnsi="宋体" w:cs="宋体"/>
          <w:color w:val="auto"/>
          <w:sz w:val="24"/>
          <w:szCs w:val="24"/>
          <w:highlight w:val="none"/>
          <w:u w:val="single"/>
        </w:rPr>
        <w:t>2008〕59号）附件《各类工程可调价差材料（设备）清单》中对应工程类别规定的可调价材料（设备）且属《广州地区建设工程常用材料税前综合价格》（以下简称“综合价格”）包含的材料、设备；“综合价格”中没有的材料、设备均不予调整。</w:t>
      </w:r>
    </w:p>
    <w:p w14:paraId="4454A1D6">
      <w:pPr>
        <w:snapToGrid w:val="0"/>
        <w:spacing w:line="440" w:lineRule="exact"/>
        <w:ind w:firstLine="338" w:firstLineChars="14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2）价款调整的方法</w:t>
      </w:r>
    </w:p>
    <w:p w14:paraId="033F63FC">
      <w:pPr>
        <w:snapToGrid w:val="0"/>
        <w:spacing w:line="440" w:lineRule="exact"/>
        <w:ind w:firstLine="338" w:firstLineChars="14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①当人工、机械台班、可调价格的材料设备价格上涨幅度超过</w:t>
      </w:r>
      <w:r>
        <w:rPr>
          <w:rFonts w:ascii="宋体" w:hAnsi="宋体" w:cs="宋体"/>
          <w:color w:val="auto"/>
          <w:sz w:val="24"/>
          <w:szCs w:val="24"/>
          <w:highlight w:val="none"/>
          <w:u w:val="single"/>
        </w:rPr>
        <w:t>10%时，超出10%的部分由发包人承担；当人工、机械台班、可调价格的材料设备价格下跌幅度超过10%时，超出10%的部分由承包人退回发包人。人工、机械台班价格按实际发生的数量调整，材料（设备）按各类工程消耗的主要材料（设备）进行调整。</w:t>
      </w:r>
    </w:p>
    <w:p w14:paraId="3E281CD9">
      <w:pPr>
        <w:snapToGrid w:val="0"/>
        <w:spacing w:line="440" w:lineRule="exact"/>
        <w:ind w:firstLine="338" w:firstLineChars="14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②</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价款调整以各调价工料机的数量乘以单价价差，再乘以（</w:t>
      </w:r>
      <w:r>
        <w:rPr>
          <w:rFonts w:ascii="宋体" w:hAnsi="宋体" w:cs="宋体"/>
          <w:color w:val="auto"/>
          <w:sz w:val="24"/>
          <w:szCs w:val="24"/>
          <w:highlight w:val="none"/>
          <w:u w:val="single"/>
        </w:rPr>
        <w:t>1-中标下浮率）计算。各工料机的数量按该当期实际完成的适用投标单价项目的工程量计取，各调价工料机的单价价差以广州市建设工程造价管理部门发布的价格信息为依据，按施工当月信息价格与招标文件规定的投标截止日期</w:t>
      </w:r>
      <w:r>
        <w:rPr>
          <w:rFonts w:hint="eastAsia" w:ascii="宋体" w:hAnsi="宋体" w:cs="宋体"/>
          <w:color w:val="auto"/>
          <w:sz w:val="24"/>
          <w:szCs w:val="24"/>
          <w:highlight w:val="none"/>
          <w:u w:val="single"/>
        </w:rPr>
        <w:t>前第</w:t>
      </w:r>
      <w:r>
        <w:rPr>
          <w:rFonts w:ascii="宋体" w:hAnsi="宋体" w:cs="宋体"/>
          <w:color w:val="auto"/>
          <w:sz w:val="24"/>
          <w:szCs w:val="24"/>
          <w:highlight w:val="none"/>
          <w:u w:val="single"/>
        </w:rPr>
        <w:t>28天</w:t>
      </w:r>
      <w:r>
        <w:rPr>
          <w:rFonts w:hint="eastAsia" w:ascii="宋体" w:hAnsi="宋体" w:cs="宋体"/>
          <w:color w:val="auto"/>
          <w:sz w:val="24"/>
          <w:szCs w:val="24"/>
          <w:highlight w:val="none"/>
          <w:u w:val="single"/>
        </w:rPr>
        <w:t>时广州市建设工程造价管理部门发布的人工、材料、工程设备和施工设备、机械台班信息价格差值计取。</w:t>
      </w:r>
    </w:p>
    <w:p w14:paraId="71169FB6">
      <w:pPr>
        <w:snapToGrid w:val="0"/>
        <w:spacing w:line="440" w:lineRule="exact"/>
        <w:ind w:firstLine="338" w:firstLineChars="14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③</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价款调整以月为单位计算，结算时一次性调整，</w:t>
      </w:r>
      <w:r>
        <w:rPr>
          <w:rFonts w:hint="eastAsia" w:ascii="宋体" w:hAnsi="宋体" w:cs="宋体"/>
          <w:color w:val="auto"/>
          <w:sz w:val="24"/>
          <w:highlight w:val="none"/>
          <w:u w:val="single"/>
          <w:lang w:val="en-US" w:eastAsia="zh-CN"/>
        </w:rPr>
        <w:t>结算时由承包人直接计入结算申报总价内报发包人审核，无需办理申报审批手续；</w:t>
      </w:r>
      <w:r>
        <w:rPr>
          <w:rFonts w:hint="eastAsia" w:ascii="宋体" w:hAnsi="宋体" w:cs="宋体"/>
          <w:color w:val="auto"/>
          <w:sz w:val="24"/>
          <w:szCs w:val="24"/>
          <w:highlight w:val="none"/>
          <w:u w:val="single"/>
        </w:rPr>
        <w:t>如施工期间需调整价款的，经发包人、承包人协商一致后可签订价差补充协议，作为追加（减）合同价款和支付工程进度款的依据。</w:t>
      </w:r>
    </w:p>
    <w:p w14:paraId="205699C1">
      <w:pPr>
        <w:pStyle w:val="48"/>
        <w:numPr>
          <w:ilvl w:val="-1"/>
          <w:numId w:val="0"/>
        </w:numPr>
        <w:spacing w:line="360" w:lineRule="auto"/>
        <w:ind w:firstLine="480" w:firstLineChars="200"/>
        <w:rPr>
          <w:rFonts w:hint="eastAsia"/>
          <w:color w:val="auto"/>
          <w:sz w:val="24"/>
          <w:szCs w:val="24"/>
          <w:highlight w:val="none"/>
          <w:lang w:eastAsia="zh-CN"/>
        </w:rPr>
      </w:pPr>
      <w:r>
        <w:rPr>
          <w:rFonts w:hint="eastAsia" w:ascii="宋体" w:hAnsi="宋体" w:cs="宋体"/>
          <w:color w:val="auto"/>
          <w:sz w:val="24"/>
          <w:szCs w:val="24"/>
          <w:highlight w:val="none"/>
          <w:u w:val="single"/>
        </w:rPr>
        <w:t>④</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各调价材料、设备的信息价格按广州市建设工程造价管理部门发布的当月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“综合价格”计取，综合价格中没有的材料、设备单价，价差不予调整。</w:t>
      </w:r>
      <w:r>
        <w:rPr>
          <w:rFonts w:hint="eastAsia"/>
          <w:color w:val="auto"/>
          <w:sz w:val="24"/>
          <w:szCs w:val="24"/>
          <w:highlight w:val="none"/>
          <w:lang w:val="en-US" w:eastAsia="zh-CN"/>
        </w:rPr>
        <w:t>如综合价格中材料按上、下半月发布的，取当期上、下半月的平均值计算；综合价格中材料按区间价格发布的，其调差时计量当期的价格采用区间的下限值计算</w:t>
      </w:r>
      <w:r>
        <w:rPr>
          <w:rFonts w:hint="eastAsia"/>
          <w:color w:val="auto"/>
          <w:sz w:val="24"/>
          <w:szCs w:val="24"/>
          <w:highlight w:val="none"/>
          <w:lang w:eastAsia="zh-CN"/>
        </w:rPr>
        <w:t>。</w:t>
      </w:r>
    </w:p>
    <w:p w14:paraId="64F166ED">
      <w:pPr>
        <w:snapToGrid w:val="0"/>
        <w:spacing w:line="440" w:lineRule="exact"/>
        <w:ind w:firstLine="338" w:firstLineChars="14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3）由于承包人原因导致工期延误的，所延误时段内物价上涨的风险全部由承包人承担，不予调整；如物价下跌，则仍按第（2）款约定计算及扣回相应价款。</w:t>
      </w:r>
    </w:p>
    <w:p w14:paraId="3BD4DCCE">
      <w:pPr>
        <w:snapToGrid w:val="0"/>
        <w:spacing w:line="440" w:lineRule="exact"/>
        <w:ind w:firstLine="338" w:firstLineChars="141"/>
        <w:rPr>
          <w:rFonts w:ascii="宋体" w:hAnsi="宋体" w:cs="宋体"/>
          <w:b/>
          <w:color w:val="auto"/>
          <w:sz w:val="24"/>
          <w:highlight w:val="none"/>
        </w:rPr>
      </w:pPr>
      <w:r>
        <w:rPr>
          <w:rFonts w:ascii="宋体" w:hAnsi="宋体" w:cs="宋体"/>
          <w:color w:val="auto"/>
          <w:sz w:val="24"/>
          <w:highlight w:val="none"/>
        </w:rPr>
        <w:t>24</w:t>
      </w:r>
      <w:r>
        <w:rPr>
          <w:rFonts w:hint="eastAsia" w:ascii="宋体" w:hAnsi="宋体" w:cs="宋体"/>
          <w:b/>
          <w:color w:val="auto"/>
          <w:sz w:val="24"/>
          <w:highlight w:val="none"/>
        </w:rPr>
        <w:t>、工程预付款、工人工资</w:t>
      </w:r>
    </w:p>
    <w:p w14:paraId="5BE5AE8C">
      <w:pPr>
        <w:snapToGrid w:val="0"/>
        <w:spacing w:line="440" w:lineRule="exact"/>
        <w:ind w:firstLine="338" w:firstLineChars="141"/>
        <w:rPr>
          <w:rFonts w:ascii="宋体" w:hAnsi="宋体" w:cs="宋体"/>
          <w:color w:val="auto"/>
          <w:sz w:val="24"/>
          <w:szCs w:val="24"/>
          <w:highlight w:val="none"/>
        </w:rPr>
      </w:pPr>
      <w:r>
        <w:rPr>
          <w:rFonts w:ascii="宋体" w:hAnsi="宋体" w:cs="宋体"/>
          <w:color w:val="auto"/>
          <w:sz w:val="24"/>
          <w:szCs w:val="24"/>
          <w:highlight w:val="none"/>
        </w:rPr>
        <w:t>24.1工程预付款</w:t>
      </w:r>
    </w:p>
    <w:p w14:paraId="28406C3E">
      <w:pPr>
        <w:snapToGrid w:val="0"/>
        <w:spacing w:line="440" w:lineRule="exact"/>
        <w:ind w:firstLine="338" w:firstLineChars="141"/>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24.1.1发包人向承包人预付工程款的时间和金额或占合同价款总额的比例：合同生效、满足26.4款约定条件且财政拨款到位后，发包人预付合同价（扣除</w:t>
      </w:r>
      <w:r>
        <w:rPr>
          <w:rFonts w:hint="eastAsia" w:ascii="宋体" w:hAnsi="宋体"/>
          <w:bCs/>
          <w:snapToGrid w:val="0"/>
          <w:color w:val="auto"/>
          <w:kern w:val="0"/>
          <w:sz w:val="24"/>
          <w:highlight w:val="none"/>
          <w:u w:val="single"/>
        </w:rPr>
        <w:t>安全</w:t>
      </w:r>
      <w:r>
        <w:rPr>
          <w:rFonts w:hint="eastAsia" w:ascii="宋体" w:hAnsi="宋体"/>
          <w:bCs/>
          <w:snapToGrid w:val="0"/>
          <w:color w:val="auto"/>
          <w:kern w:val="0"/>
          <w:sz w:val="24"/>
          <w:highlight w:val="none"/>
          <w:u w:val="single"/>
          <w:lang w:val="en-US" w:eastAsia="zh-CN"/>
        </w:rPr>
        <w:t>生产</w:t>
      </w:r>
      <w:r>
        <w:rPr>
          <w:rFonts w:hint="eastAsia" w:ascii="宋体" w:hAnsi="宋体"/>
          <w:bCs/>
          <w:snapToGrid w:val="0"/>
          <w:color w:val="auto"/>
          <w:kern w:val="0"/>
          <w:sz w:val="24"/>
          <w:highlight w:val="none"/>
          <w:u w:val="single"/>
        </w:rPr>
        <w:t>措施费</w:t>
      </w:r>
      <w:r>
        <w:rPr>
          <w:rFonts w:hint="eastAsia" w:ascii="宋体" w:hAnsi="宋体" w:cs="宋体"/>
          <w:color w:val="auto"/>
          <w:sz w:val="24"/>
          <w:highlight w:val="none"/>
          <w:lang w:eastAsia="zh-CN"/>
        </w:rPr>
        <w:t>，若工程量清单中有暂定金(含暂列金和暂估价)则扣除暂定金(含暂列金和暂估价)部分）</w:t>
      </w:r>
      <w:r>
        <w:rPr>
          <w:rFonts w:hint="eastAsia" w:ascii="宋体" w:hAnsi="宋体" w:cs="宋体"/>
          <w:color w:val="auto"/>
          <w:sz w:val="24"/>
          <w:highlight w:val="none"/>
          <w:lang w:val="en-US" w:eastAsia="zh-CN"/>
        </w:rPr>
        <w:t xml:space="preserve">20 </w:t>
      </w:r>
      <w:r>
        <w:rPr>
          <w:rFonts w:hint="eastAsia" w:ascii="宋体" w:hAnsi="宋体" w:cs="宋体"/>
          <w:color w:val="auto"/>
          <w:sz w:val="24"/>
          <w:highlight w:val="none"/>
          <w:lang w:eastAsia="zh-CN"/>
        </w:rPr>
        <w:t>%（最高不超过</w:t>
      </w:r>
      <w:r>
        <w:rPr>
          <w:rFonts w:hint="eastAsia" w:ascii="宋体" w:hAnsi="宋体" w:cs="宋体"/>
          <w:color w:val="auto"/>
          <w:sz w:val="24"/>
          <w:highlight w:val="none"/>
          <w:lang w:val="en-US" w:eastAsia="zh-CN"/>
        </w:rPr>
        <w:t>3000</w:t>
      </w:r>
      <w:r>
        <w:rPr>
          <w:rFonts w:hint="eastAsia" w:ascii="宋体" w:hAnsi="宋体" w:cs="宋体"/>
          <w:color w:val="auto"/>
          <w:sz w:val="24"/>
          <w:highlight w:val="none"/>
          <w:lang w:eastAsia="zh-CN"/>
        </w:rPr>
        <w:t>万元）作为预付款，并将预付款扣除工人工资款后的金额支付至承包人按约定开设的共管银行账户。</w:t>
      </w:r>
    </w:p>
    <w:p w14:paraId="13F36BBA">
      <w:pPr>
        <w:snapToGrid w:val="0"/>
        <w:spacing w:line="440" w:lineRule="exact"/>
        <w:ind w:firstLine="338" w:firstLineChars="141"/>
        <w:rPr>
          <w:rFonts w:ascii="宋体" w:hAnsi="宋体" w:cs="宋体"/>
          <w:color w:val="auto"/>
          <w:sz w:val="24"/>
          <w:szCs w:val="24"/>
          <w:highlight w:val="none"/>
        </w:rPr>
      </w:pPr>
      <w:r>
        <w:rPr>
          <w:rFonts w:hint="eastAsia" w:ascii="宋体" w:hAnsi="宋体" w:cs="宋体"/>
          <w:color w:val="auto"/>
          <w:sz w:val="24"/>
          <w:highlight w:val="none"/>
          <w:lang w:eastAsia="zh-CN"/>
        </w:rPr>
        <w:t>预付款中的工人工资款（即预付款×工人工资比例）需支付至工人工资专用账户。（共管版）</w:t>
      </w:r>
      <w:r>
        <w:rPr>
          <w:rFonts w:ascii="宋体" w:hAnsi="宋体" w:cs="宋体"/>
          <w:color w:val="auto"/>
          <w:sz w:val="24"/>
          <w:szCs w:val="24"/>
          <w:highlight w:val="none"/>
        </w:rPr>
        <w:t xml:space="preserve"> </w:t>
      </w:r>
    </w:p>
    <w:p w14:paraId="25E6646B">
      <w:pPr>
        <w:snapToGrid w:val="0"/>
        <w:spacing w:line="440" w:lineRule="exact"/>
        <w:ind w:firstLine="338" w:firstLineChars="141"/>
        <w:rPr>
          <w:rFonts w:ascii="宋体" w:hAnsi="宋体" w:cs="宋体"/>
          <w:color w:val="auto"/>
          <w:sz w:val="24"/>
          <w:szCs w:val="24"/>
          <w:highlight w:val="none"/>
        </w:rPr>
      </w:pPr>
      <w:r>
        <w:rPr>
          <w:rFonts w:ascii="宋体" w:hAnsi="宋体" w:cs="宋体"/>
          <w:color w:val="auto"/>
          <w:sz w:val="24"/>
          <w:szCs w:val="24"/>
          <w:highlight w:val="none"/>
        </w:rPr>
        <w:t>24.1.2承包人收取预付款后，应优先用于按有关规定缴纳工伤保险和办理建筑意外伤害险，专款专用。</w:t>
      </w:r>
    </w:p>
    <w:p w14:paraId="5BD8471B">
      <w:pPr>
        <w:snapToGrid w:val="0"/>
        <w:spacing w:line="440" w:lineRule="exact"/>
        <w:ind w:firstLine="338" w:firstLineChars="141"/>
        <w:rPr>
          <w:rFonts w:ascii="宋体" w:hAnsi="宋体" w:cs="宋体"/>
          <w:color w:val="auto"/>
          <w:sz w:val="24"/>
          <w:szCs w:val="24"/>
          <w:highlight w:val="none"/>
        </w:rPr>
      </w:pPr>
      <w:r>
        <w:rPr>
          <w:rFonts w:ascii="宋体" w:hAnsi="宋体" w:cs="宋体"/>
          <w:color w:val="auto"/>
          <w:sz w:val="24"/>
          <w:szCs w:val="24"/>
          <w:highlight w:val="none"/>
        </w:rPr>
        <w:t xml:space="preserve"> 24.1.3扣回预付款的时间、比例：按本合同专用条款26条约定执行。</w:t>
      </w:r>
    </w:p>
    <w:p w14:paraId="5932473F">
      <w:pPr>
        <w:snapToGrid w:val="0"/>
        <w:spacing w:line="440" w:lineRule="exact"/>
        <w:ind w:firstLine="338" w:firstLineChars="141"/>
        <w:rPr>
          <w:rFonts w:ascii="宋体" w:hAnsi="宋体" w:cs="宋体"/>
          <w:color w:val="auto"/>
          <w:sz w:val="24"/>
          <w:szCs w:val="24"/>
          <w:highlight w:val="none"/>
        </w:rPr>
      </w:pPr>
      <w:r>
        <w:rPr>
          <w:rFonts w:ascii="宋体" w:hAnsi="宋体" w:cs="宋体"/>
          <w:color w:val="auto"/>
          <w:sz w:val="24"/>
          <w:szCs w:val="24"/>
          <w:highlight w:val="none"/>
        </w:rPr>
        <w:t>24.2工人工资</w:t>
      </w:r>
    </w:p>
    <w:p w14:paraId="48D6C9E1">
      <w:pPr>
        <w:snapToGrid w:val="0"/>
        <w:spacing w:line="440" w:lineRule="exact"/>
        <w:ind w:firstLine="338" w:firstLineChars="141"/>
        <w:rPr>
          <w:rFonts w:ascii="宋体" w:hAnsi="宋体" w:cs="宋体"/>
          <w:color w:val="auto"/>
          <w:sz w:val="24"/>
          <w:szCs w:val="24"/>
          <w:highlight w:val="none"/>
        </w:rPr>
      </w:pPr>
      <w:r>
        <w:rPr>
          <w:rFonts w:ascii="宋体" w:hAnsi="宋体" w:cs="宋体"/>
          <w:color w:val="auto"/>
          <w:sz w:val="24"/>
          <w:szCs w:val="24"/>
          <w:highlight w:val="none"/>
        </w:rPr>
        <w:t>24.2.1</w:t>
      </w:r>
      <w:r>
        <w:rPr>
          <w:rFonts w:hint="eastAsia" w:ascii="宋体" w:hAnsi="宋体" w:cs="宋体"/>
          <w:color w:val="auto"/>
          <w:sz w:val="24"/>
          <w:szCs w:val="24"/>
          <w:highlight w:val="none"/>
        </w:rPr>
        <w:t>承包人需按有关规定与商业银行另行签订广州市建设领域工人工资支付专用账户管理协议、开设专用账户并报发包人备案</w:t>
      </w:r>
      <w:r>
        <w:rPr>
          <w:rFonts w:ascii="宋体" w:hAnsi="宋体" w:cs="宋体"/>
          <w:color w:val="auto"/>
          <w:sz w:val="24"/>
          <w:szCs w:val="24"/>
          <w:highlight w:val="none"/>
        </w:rPr>
        <w:t>,工人工资支付至专用账户</w:t>
      </w:r>
      <w:r>
        <w:rPr>
          <w:rFonts w:hint="eastAsia" w:ascii="宋体" w:hAnsi="宋体" w:cs="宋体"/>
          <w:color w:val="auto"/>
          <w:sz w:val="24"/>
          <w:szCs w:val="24"/>
          <w:highlight w:val="none"/>
        </w:rPr>
        <w:t>。</w:t>
      </w:r>
    </w:p>
    <w:p w14:paraId="5F994C46">
      <w:pPr>
        <w:snapToGrid w:val="0"/>
        <w:spacing w:line="440" w:lineRule="exact"/>
        <w:ind w:firstLine="338" w:firstLineChars="141"/>
        <w:rPr>
          <w:rFonts w:ascii="宋体" w:hAnsi="宋体" w:cs="宋体"/>
          <w:color w:val="auto"/>
          <w:sz w:val="24"/>
          <w:szCs w:val="24"/>
          <w:highlight w:val="none"/>
        </w:rPr>
      </w:pPr>
      <w:r>
        <w:rPr>
          <w:rFonts w:ascii="宋体" w:hAnsi="宋体" w:cs="宋体"/>
          <w:color w:val="auto"/>
          <w:sz w:val="24"/>
          <w:szCs w:val="24"/>
          <w:highlight w:val="none"/>
        </w:rPr>
        <w:t>24.2.2工人工资进度款与工程进度款同步支付，其中每期需支付的工程进度款×工人工资比例为该期工人工资进度款，支付至工人工资专用账户。</w:t>
      </w:r>
    </w:p>
    <w:p w14:paraId="6D430ECE">
      <w:pPr>
        <w:snapToGrid w:val="0"/>
        <w:spacing w:line="440" w:lineRule="exact"/>
        <w:ind w:firstLine="360" w:firstLineChars="150"/>
        <w:rPr>
          <w:rFonts w:ascii="宋体" w:hAnsi="宋体" w:cs="宋体"/>
          <w:color w:val="auto"/>
          <w:sz w:val="24"/>
          <w:highlight w:val="none"/>
        </w:rPr>
      </w:pPr>
      <w:r>
        <w:rPr>
          <w:rFonts w:ascii="宋体" w:hAnsi="宋体" w:cs="宋体"/>
          <w:color w:val="auto"/>
          <w:sz w:val="24"/>
          <w:highlight w:val="none"/>
        </w:rPr>
        <w:t>25</w:t>
      </w:r>
      <w:r>
        <w:rPr>
          <w:rFonts w:hint="eastAsia" w:ascii="宋体" w:hAnsi="宋体" w:cs="宋体"/>
          <w:b/>
          <w:color w:val="auto"/>
          <w:sz w:val="24"/>
          <w:highlight w:val="none"/>
        </w:rPr>
        <w:t>、工程量确认</w:t>
      </w:r>
    </w:p>
    <w:p w14:paraId="720C466E">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25.1</w:t>
      </w:r>
      <w:r>
        <w:rPr>
          <w:rFonts w:hint="eastAsia" w:ascii="宋体" w:hAnsi="宋体" w:cs="宋体"/>
          <w:color w:val="auto"/>
          <w:sz w:val="24"/>
          <w:szCs w:val="24"/>
          <w:highlight w:val="none"/>
        </w:rPr>
        <w:t>承包人向工程师提交已完工程量报告的时间：</w:t>
      </w:r>
      <w:r>
        <w:rPr>
          <w:rFonts w:hint="eastAsia" w:ascii="宋体" w:hAnsi="宋体" w:cs="宋体"/>
          <w:color w:val="auto"/>
          <w:sz w:val="24"/>
          <w:szCs w:val="24"/>
          <w:highlight w:val="none"/>
          <w:u w:val="single"/>
        </w:rPr>
        <w:t>自开工之日起每周及每月报告已完成工程状况</w:t>
      </w:r>
      <w:r>
        <w:rPr>
          <w:rFonts w:hint="eastAsia" w:ascii="宋体" w:hAnsi="宋体" w:cs="宋体"/>
          <w:color w:val="auto"/>
          <w:sz w:val="24"/>
          <w:szCs w:val="24"/>
          <w:highlight w:val="none"/>
        </w:rPr>
        <w:t>。</w:t>
      </w:r>
    </w:p>
    <w:p w14:paraId="74F0929C">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25.2双方一致同意不适用通用条款25.2款</w:t>
      </w:r>
      <w:r>
        <w:rPr>
          <w:rFonts w:hint="eastAsia" w:ascii="宋体" w:hAnsi="宋体" w:cs="宋体"/>
          <w:color w:val="auto"/>
          <w:sz w:val="24"/>
          <w:szCs w:val="24"/>
          <w:highlight w:val="none"/>
        </w:rPr>
        <w:t>，承包人完成工程量必须经发包人书面确认。</w:t>
      </w:r>
    </w:p>
    <w:p w14:paraId="4294405A">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26</w:t>
      </w:r>
      <w:r>
        <w:rPr>
          <w:rFonts w:hint="eastAsia" w:ascii="宋体" w:hAnsi="宋体" w:cs="宋体"/>
          <w:color w:val="auto"/>
          <w:sz w:val="24"/>
          <w:highlight w:val="none"/>
        </w:rPr>
        <w:t>、</w:t>
      </w:r>
      <w:r>
        <w:rPr>
          <w:rFonts w:hint="eastAsia" w:ascii="宋体" w:hAnsi="宋体" w:cs="宋体"/>
          <w:b/>
          <w:color w:val="auto"/>
          <w:sz w:val="24"/>
          <w:highlight w:val="none"/>
        </w:rPr>
        <w:t>工程款（进度款）支付</w:t>
      </w:r>
    </w:p>
    <w:p w14:paraId="717C88ED">
      <w:pPr>
        <w:snapToGrid w:val="0"/>
        <w:spacing w:line="440" w:lineRule="exact"/>
        <w:ind w:firstLine="480"/>
        <w:rPr>
          <w:rFonts w:ascii="宋体" w:hAnsi="宋体" w:cs="宋体"/>
          <w:color w:val="auto"/>
          <w:sz w:val="24"/>
          <w:szCs w:val="24"/>
          <w:highlight w:val="none"/>
        </w:rPr>
      </w:pPr>
      <w:r>
        <w:rPr>
          <w:rFonts w:ascii="宋体" w:hAnsi="宋体" w:cs="宋体"/>
          <w:color w:val="auto"/>
          <w:sz w:val="24"/>
          <w:szCs w:val="24"/>
          <w:highlight w:val="none"/>
        </w:rPr>
        <w:t>26.1双方约定的工程款（进度款）支付采取如下的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26.1.2</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方式进行：</w:t>
      </w:r>
    </w:p>
    <w:p w14:paraId="49549414">
      <w:pPr>
        <w:snapToGrid w:val="0"/>
        <w:spacing w:line="440" w:lineRule="exact"/>
        <w:ind w:firstLine="480"/>
        <w:rPr>
          <w:rFonts w:ascii="宋体" w:hAnsi="宋体" w:cs="宋体"/>
          <w:color w:val="auto"/>
          <w:sz w:val="24"/>
          <w:szCs w:val="24"/>
          <w:highlight w:val="none"/>
        </w:rPr>
      </w:pPr>
      <w:r>
        <w:rPr>
          <w:rFonts w:ascii="宋体" w:hAnsi="宋体" w:cs="宋体"/>
          <w:color w:val="auto"/>
          <w:sz w:val="24"/>
          <w:szCs w:val="24"/>
          <w:highlight w:val="none"/>
        </w:rPr>
        <w:t>26.1.1</w:t>
      </w:r>
      <w:r>
        <w:rPr>
          <w:rFonts w:hint="eastAsia" w:ascii="宋体" w:hAnsi="宋体" w:cs="宋体"/>
          <w:color w:val="auto"/>
          <w:sz w:val="24"/>
          <w:szCs w:val="24"/>
          <w:highlight w:val="none"/>
        </w:rPr>
        <w:t>按累计完成工作量百分率支付工程款（进度款）方式：</w:t>
      </w:r>
    </w:p>
    <w:p w14:paraId="46B067DE">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u w:val="single"/>
        </w:rPr>
        <w:t>当完成工作量达到</w:t>
      </w:r>
      <w:r>
        <w:rPr>
          <w:rFonts w:ascii="宋体" w:hAnsi="宋体" w:cs="宋体"/>
          <w:color w:val="auto"/>
          <w:sz w:val="24"/>
          <w:szCs w:val="24"/>
          <w:highlight w:val="none"/>
          <w:u w:val="single"/>
        </w:rPr>
        <w:t>60%</w:t>
      </w:r>
      <w:r>
        <w:rPr>
          <w:rFonts w:hint="eastAsia" w:ascii="宋体" w:hAnsi="宋体" w:cs="宋体"/>
          <w:color w:val="auto"/>
          <w:sz w:val="24"/>
          <w:szCs w:val="24"/>
          <w:highlight w:val="none"/>
          <w:u w:val="single"/>
        </w:rPr>
        <w:t>时，支付工程进度款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累计付款(含已支付的</w:t>
      </w:r>
      <w:r>
        <w:rPr>
          <w:rFonts w:hint="eastAsia" w:ascii="宋体" w:hAnsi="宋体" w:cs="宋体"/>
          <w:color w:val="auto"/>
          <w:sz w:val="24"/>
          <w:highlight w:val="none"/>
          <w:u w:val="single"/>
        </w:rPr>
        <w:t>安全</w:t>
      </w:r>
      <w:r>
        <w:rPr>
          <w:rFonts w:hint="eastAsia" w:ascii="宋体" w:hAnsi="宋体" w:cs="宋体"/>
          <w:color w:val="auto"/>
          <w:sz w:val="24"/>
          <w:highlight w:val="none"/>
          <w:u w:val="single"/>
          <w:lang w:val="en-US" w:eastAsia="zh-CN"/>
        </w:rPr>
        <w:t>生产</w:t>
      </w:r>
      <w:r>
        <w:rPr>
          <w:rFonts w:hint="eastAsia" w:ascii="宋体" w:hAnsi="宋体" w:cs="宋体"/>
          <w:color w:val="auto"/>
          <w:sz w:val="24"/>
          <w:highlight w:val="none"/>
          <w:u w:val="single"/>
        </w:rPr>
        <w:t>措施费</w:t>
      </w:r>
      <w:r>
        <w:rPr>
          <w:rFonts w:hint="eastAsia" w:ascii="宋体" w:hAnsi="宋体" w:cs="宋体"/>
          <w:color w:val="auto"/>
          <w:sz w:val="24"/>
          <w:szCs w:val="24"/>
          <w:highlight w:val="none"/>
          <w:u w:val="single"/>
        </w:rPr>
        <w:t>费</w:t>
      </w:r>
      <w:r>
        <w:rPr>
          <w:rFonts w:ascii="宋体" w:hAnsi="宋体" w:cs="宋体"/>
          <w:color w:val="auto"/>
          <w:sz w:val="24"/>
          <w:szCs w:val="24"/>
          <w:highlight w:val="none"/>
          <w:u w:val="single"/>
        </w:rPr>
        <w:t>)至合同价款</w:t>
      </w:r>
      <w:r>
        <w:rPr>
          <w:rFonts w:hint="eastAsia" w:ascii="宋体" w:hAnsi="宋体" w:cs="宋体"/>
          <w:color w:val="auto"/>
          <w:sz w:val="24"/>
          <w:szCs w:val="24"/>
          <w:highlight w:val="none"/>
          <w:u w:val="single"/>
        </w:rPr>
        <w:t>若有暂定金</w:t>
      </w:r>
      <w:r>
        <w:rPr>
          <w:rFonts w:ascii="宋体" w:hAnsi="宋体" w:cs="宋体"/>
          <w:color w:val="auto"/>
          <w:sz w:val="24"/>
          <w:szCs w:val="24"/>
          <w:highlight w:val="none"/>
          <w:u w:val="single"/>
        </w:rPr>
        <w:t>(含暂列金额和暂估价)</w:t>
      </w:r>
      <w:r>
        <w:rPr>
          <w:rFonts w:hint="eastAsia" w:ascii="宋体" w:hAnsi="宋体" w:cs="宋体"/>
          <w:color w:val="auto"/>
          <w:sz w:val="24"/>
          <w:szCs w:val="24"/>
          <w:highlight w:val="none"/>
          <w:u w:val="single"/>
        </w:rPr>
        <w:t>扣除未计量部分暂定金</w:t>
      </w:r>
      <w:r>
        <w:rPr>
          <w:rFonts w:ascii="宋体" w:hAnsi="宋体" w:cs="宋体"/>
          <w:color w:val="auto"/>
          <w:sz w:val="24"/>
          <w:szCs w:val="24"/>
          <w:highlight w:val="none"/>
          <w:u w:val="single"/>
        </w:rPr>
        <w:t>(含暂列金额和暂估价)</w:t>
      </w:r>
      <w:r>
        <w:rPr>
          <w:rFonts w:hint="eastAsia" w:ascii="宋体" w:hAnsi="宋体" w:cs="宋体"/>
          <w:color w:val="auto"/>
          <w:sz w:val="24"/>
          <w:szCs w:val="24"/>
          <w:highlight w:val="none"/>
          <w:u w:val="single"/>
        </w:rPr>
        <w:t>后的</w:t>
      </w:r>
      <w:r>
        <w:rPr>
          <w:rFonts w:ascii="宋体" w:hAnsi="宋体" w:cs="宋体"/>
          <w:color w:val="auto"/>
          <w:sz w:val="24"/>
          <w:szCs w:val="24"/>
          <w:highlight w:val="none"/>
          <w:u w:val="single"/>
        </w:rPr>
        <w:t>55%</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w:t>
      </w:r>
    </w:p>
    <w:p w14:paraId="54A8B53E">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u w:val="single"/>
        </w:rPr>
        <w:t>工程完工，并通过初验后支付合同价款</w:t>
      </w:r>
      <w:r>
        <w:rPr>
          <w:rFonts w:ascii="宋体" w:hAnsi="宋体" w:cs="宋体"/>
          <w:color w:val="auto"/>
          <w:sz w:val="24"/>
          <w:szCs w:val="24"/>
          <w:highlight w:val="none"/>
          <w:u w:val="single"/>
        </w:rPr>
        <w:t>30%</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累计付款(含</w:t>
      </w:r>
      <w:r>
        <w:rPr>
          <w:rFonts w:hint="eastAsia" w:ascii="宋体" w:hAnsi="宋体" w:cs="宋体"/>
          <w:color w:val="auto"/>
          <w:sz w:val="24"/>
          <w:highlight w:val="none"/>
          <w:u w:val="single"/>
        </w:rPr>
        <w:t>安全</w:t>
      </w:r>
      <w:r>
        <w:rPr>
          <w:rFonts w:hint="eastAsia" w:ascii="宋体" w:hAnsi="宋体" w:cs="宋体"/>
          <w:color w:val="auto"/>
          <w:sz w:val="24"/>
          <w:highlight w:val="none"/>
          <w:u w:val="single"/>
          <w:lang w:val="en-US" w:eastAsia="zh-CN"/>
        </w:rPr>
        <w:t>生产</w:t>
      </w:r>
      <w:r>
        <w:rPr>
          <w:rFonts w:hint="eastAsia" w:ascii="宋体" w:hAnsi="宋体" w:cs="宋体"/>
          <w:color w:val="auto"/>
          <w:sz w:val="24"/>
          <w:highlight w:val="none"/>
          <w:u w:val="single"/>
        </w:rPr>
        <w:t>措施费</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至合同价款</w:t>
      </w:r>
      <w:r>
        <w:rPr>
          <w:rFonts w:hint="eastAsia" w:ascii="宋体" w:hAnsi="宋体" w:cs="宋体"/>
          <w:color w:val="auto"/>
          <w:sz w:val="24"/>
          <w:szCs w:val="24"/>
          <w:highlight w:val="none"/>
          <w:u w:val="single"/>
        </w:rPr>
        <w:t>若有暂定金</w:t>
      </w:r>
      <w:r>
        <w:rPr>
          <w:rFonts w:ascii="宋体" w:hAnsi="宋体" w:cs="宋体"/>
          <w:color w:val="auto"/>
          <w:sz w:val="24"/>
          <w:szCs w:val="24"/>
          <w:highlight w:val="none"/>
          <w:u w:val="single"/>
        </w:rPr>
        <w:t>(含暂列金额和暂估价)</w:t>
      </w:r>
      <w:r>
        <w:rPr>
          <w:rFonts w:hint="eastAsia" w:ascii="宋体" w:hAnsi="宋体" w:cs="宋体"/>
          <w:color w:val="auto"/>
          <w:sz w:val="24"/>
          <w:szCs w:val="24"/>
          <w:highlight w:val="none"/>
          <w:u w:val="single"/>
        </w:rPr>
        <w:t>扣除未计量部分暂定金</w:t>
      </w:r>
      <w:r>
        <w:rPr>
          <w:rFonts w:ascii="宋体" w:hAnsi="宋体" w:cs="宋体"/>
          <w:color w:val="auto"/>
          <w:sz w:val="24"/>
          <w:szCs w:val="24"/>
          <w:highlight w:val="none"/>
          <w:u w:val="single"/>
        </w:rPr>
        <w:t>(含暂列金额和暂估价)</w:t>
      </w:r>
      <w:r>
        <w:rPr>
          <w:rFonts w:hint="eastAsia" w:ascii="宋体" w:hAnsi="宋体" w:cs="宋体"/>
          <w:color w:val="auto"/>
          <w:sz w:val="24"/>
          <w:szCs w:val="24"/>
          <w:highlight w:val="none"/>
          <w:u w:val="single"/>
        </w:rPr>
        <w:t>后的</w:t>
      </w:r>
      <w:r>
        <w:rPr>
          <w:rFonts w:ascii="宋体" w:hAnsi="宋体" w:cs="宋体"/>
          <w:color w:val="auto"/>
          <w:sz w:val="24"/>
          <w:szCs w:val="24"/>
          <w:highlight w:val="none"/>
          <w:u w:val="single"/>
        </w:rPr>
        <w:t>85%</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w:t>
      </w:r>
    </w:p>
    <w:p w14:paraId="1C2815CA">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u w:val="single"/>
        </w:rPr>
        <w:t>工程通过验收并经广州开发区财政局审定施工结算后支付工程款</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含</w:t>
      </w:r>
      <w:r>
        <w:rPr>
          <w:rFonts w:hint="eastAsia" w:ascii="宋体" w:hAnsi="宋体" w:cs="宋体"/>
          <w:color w:val="auto"/>
          <w:sz w:val="24"/>
          <w:highlight w:val="none"/>
          <w:u w:val="single"/>
        </w:rPr>
        <w:t>安全</w:t>
      </w:r>
      <w:r>
        <w:rPr>
          <w:rFonts w:hint="eastAsia" w:ascii="宋体" w:hAnsi="宋体" w:cs="宋体"/>
          <w:color w:val="auto"/>
          <w:sz w:val="24"/>
          <w:highlight w:val="none"/>
          <w:u w:val="single"/>
          <w:lang w:val="en-US" w:eastAsia="zh-CN"/>
        </w:rPr>
        <w:t>生产</w:t>
      </w:r>
      <w:r>
        <w:rPr>
          <w:rFonts w:hint="eastAsia" w:ascii="宋体" w:hAnsi="宋体" w:cs="宋体"/>
          <w:color w:val="auto"/>
          <w:sz w:val="24"/>
          <w:highlight w:val="none"/>
          <w:u w:val="single"/>
        </w:rPr>
        <w:t>措施费</w:t>
      </w:r>
      <w:r>
        <w:rPr>
          <w:rFonts w:hint="eastAsia" w:ascii="宋体" w:hAnsi="宋体" w:cs="宋体"/>
          <w:color w:val="auto"/>
          <w:sz w:val="24"/>
          <w:szCs w:val="24"/>
          <w:highlight w:val="none"/>
          <w:u w:val="single"/>
        </w:rPr>
        <w:t>）至结算价的</w:t>
      </w:r>
      <w:r>
        <w:rPr>
          <w:rFonts w:ascii="宋体" w:hAnsi="宋体" w:cs="宋体"/>
          <w:color w:val="auto"/>
          <w:sz w:val="24"/>
          <w:szCs w:val="24"/>
          <w:highlight w:val="none"/>
          <w:u w:val="single"/>
        </w:rPr>
        <w:t>97%</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highlight w:val="none"/>
        </w:rPr>
        <w:t>工程质量要求达到“</w:t>
      </w:r>
      <w:r>
        <w:rPr>
          <w:rFonts w:hint="eastAsia" w:ascii="宋体" w:hAnsi="宋体" w:eastAsia="宋体" w:cs="宋体"/>
          <w:color w:val="auto"/>
          <w:sz w:val="24"/>
          <w:highlight w:val="none"/>
          <w:u w:val="single"/>
        </w:rPr>
        <w:t xml:space="preserve"> （按投标文件承诺填写） </w:t>
      </w:r>
      <w:r>
        <w:rPr>
          <w:rFonts w:hint="eastAsia" w:ascii="宋体" w:hAnsi="宋体" w:eastAsia="宋体" w:cs="宋体"/>
          <w:color w:val="auto"/>
          <w:sz w:val="24"/>
          <w:highlight w:val="none"/>
        </w:rPr>
        <w:t>”的质量标准而支付此款项时尚未获得相关称号的，暂按未达到质量要求暂扣相应违约金，获得相关称号后再行支付给承包人；</w:t>
      </w:r>
      <w:r>
        <w:rPr>
          <w:rFonts w:ascii="宋体" w:hAnsi="宋体" w:cs="宋体"/>
          <w:color w:val="auto"/>
          <w:sz w:val="24"/>
          <w:szCs w:val="24"/>
          <w:highlight w:val="none"/>
          <w:u w:val="single"/>
        </w:rPr>
        <w:t>工程结算价款额度的3%作为</w:t>
      </w:r>
      <w:r>
        <w:rPr>
          <w:rFonts w:hint="eastAsia" w:ascii="宋体" w:hAnsi="宋体" w:cs="宋体"/>
          <w:color w:val="auto"/>
          <w:sz w:val="24"/>
          <w:szCs w:val="24"/>
          <w:highlight w:val="none"/>
          <w:u w:val="single"/>
        </w:rPr>
        <w:t>质量</w:t>
      </w:r>
      <w:r>
        <w:rPr>
          <w:rFonts w:ascii="宋体" w:hAnsi="宋体" w:cs="宋体"/>
          <w:color w:val="auto"/>
          <w:sz w:val="24"/>
          <w:szCs w:val="24"/>
          <w:highlight w:val="none"/>
          <w:u w:val="single"/>
        </w:rPr>
        <w:t>保修金，待</w:t>
      </w:r>
      <w:r>
        <w:rPr>
          <w:rFonts w:hint="eastAsia" w:ascii="宋体" w:hAnsi="宋体" w:cs="宋体"/>
          <w:color w:val="auto"/>
          <w:sz w:val="24"/>
          <w:szCs w:val="24"/>
          <w:highlight w:val="none"/>
          <w:u w:val="single"/>
        </w:rPr>
        <w:t>缺陷责任</w:t>
      </w:r>
      <w:r>
        <w:rPr>
          <w:rFonts w:ascii="宋体" w:hAnsi="宋体" w:cs="宋体"/>
          <w:color w:val="auto"/>
          <w:sz w:val="24"/>
          <w:szCs w:val="24"/>
          <w:highlight w:val="none"/>
          <w:u w:val="single"/>
        </w:rPr>
        <w:t>期结束后结清（不计利息）</w:t>
      </w:r>
      <w:r>
        <w:rPr>
          <w:rFonts w:hint="eastAsia" w:ascii="宋体" w:hAnsi="宋体" w:cs="宋体"/>
          <w:color w:val="auto"/>
          <w:sz w:val="24"/>
          <w:szCs w:val="24"/>
          <w:highlight w:val="none"/>
        </w:rPr>
        <w:t>。</w:t>
      </w:r>
    </w:p>
    <w:p w14:paraId="5245916D">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26.1.2按月度支付工程款（进度款）</w:t>
      </w:r>
      <w:r>
        <w:rPr>
          <w:rFonts w:hint="eastAsia" w:ascii="宋体" w:hAnsi="宋体" w:cs="宋体"/>
          <w:color w:val="auto"/>
          <w:sz w:val="24"/>
          <w:szCs w:val="24"/>
          <w:highlight w:val="none"/>
        </w:rPr>
        <w:t>：</w:t>
      </w:r>
    </w:p>
    <w:p w14:paraId="339D6834">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u w:val="single"/>
        </w:rPr>
        <w:t>承包人每月上报完成工程量报表，经监理审核及发包人确认后，发包人按经审定月度完成工程量的</w:t>
      </w:r>
      <w:r>
        <w:rPr>
          <w:rFonts w:ascii="宋体" w:hAnsi="宋体" w:cs="宋体"/>
          <w:color w:val="auto"/>
          <w:sz w:val="24"/>
          <w:szCs w:val="24"/>
          <w:highlight w:val="none"/>
          <w:u w:val="single"/>
        </w:rPr>
        <w:t>85%支付工程进度款</w:t>
      </w:r>
      <w:r>
        <w:rPr>
          <w:rFonts w:hint="eastAsia" w:ascii="宋体" w:hAnsi="宋体" w:cs="宋体"/>
          <w:color w:val="auto"/>
          <w:sz w:val="24"/>
          <w:szCs w:val="24"/>
          <w:highlight w:val="none"/>
        </w:rPr>
        <w:t>。</w:t>
      </w:r>
    </w:p>
    <w:p w14:paraId="3B588EF6">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u w:val="single"/>
        </w:rPr>
        <w:t>从本工程发生的第一次进度款支付起，发包人每次按审定月度完成工程量的</w:t>
      </w:r>
      <w:r>
        <w:rPr>
          <w:rFonts w:ascii="宋体" w:hAnsi="宋体" w:cs="宋体"/>
          <w:color w:val="auto"/>
          <w:sz w:val="24"/>
          <w:szCs w:val="24"/>
          <w:highlight w:val="none"/>
          <w:u w:val="single"/>
        </w:rPr>
        <w:t>85%中之50%扣回预付款，每次按审定月度完成工程量的85%扣除应扣回的预付款后支付承包人当次的工程进度款，直至预付款全部扣回完毕止。预付款扣回完毕后，发包人按审定月度完成工程量的85%支付工程进度款；工程完工，累计支付</w:t>
      </w:r>
      <w:r>
        <w:rPr>
          <w:rFonts w:hint="eastAsia" w:ascii="宋体" w:hAnsi="宋体" w:cs="宋体"/>
          <w:color w:val="auto"/>
          <w:sz w:val="24"/>
          <w:szCs w:val="24"/>
          <w:highlight w:val="none"/>
          <w:u w:val="single"/>
        </w:rPr>
        <w:t>工程款（含</w:t>
      </w:r>
      <w:r>
        <w:rPr>
          <w:rFonts w:hint="eastAsia" w:ascii="宋体" w:hAnsi="宋体" w:cs="宋体"/>
          <w:color w:val="auto"/>
          <w:sz w:val="24"/>
          <w:highlight w:val="none"/>
          <w:u w:val="single"/>
        </w:rPr>
        <w:t>安全</w:t>
      </w:r>
      <w:r>
        <w:rPr>
          <w:rFonts w:hint="eastAsia" w:ascii="宋体" w:hAnsi="宋体" w:cs="宋体"/>
          <w:color w:val="auto"/>
          <w:sz w:val="24"/>
          <w:highlight w:val="none"/>
          <w:u w:val="single"/>
          <w:lang w:val="en-US" w:eastAsia="zh-CN"/>
        </w:rPr>
        <w:t>生产</w:t>
      </w:r>
      <w:r>
        <w:rPr>
          <w:rFonts w:hint="eastAsia" w:ascii="宋体" w:hAnsi="宋体" w:cs="宋体"/>
          <w:color w:val="auto"/>
          <w:sz w:val="24"/>
          <w:highlight w:val="none"/>
          <w:u w:val="single"/>
        </w:rPr>
        <w:t>措施费</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不超过</w:t>
      </w:r>
      <w:r>
        <w:rPr>
          <w:rFonts w:hint="eastAsia" w:ascii="宋体" w:hAnsi="宋体" w:cs="宋体"/>
          <w:color w:val="auto"/>
          <w:sz w:val="24"/>
          <w:szCs w:val="24"/>
          <w:highlight w:val="none"/>
          <w:u w:val="single"/>
        </w:rPr>
        <w:t>合同价若有暂定金（含暂列金额及暂估价）则扣除未计量部分暂定金后的</w:t>
      </w:r>
      <w:r>
        <w:rPr>
          <w:rFonts w:ascii="宋体" w:hAnsi="宋体" w:cs="宋体"/>
          <w:color w:val="auto"/>
          <w:sz w:val="24"/>
          <w:szCs w:val="24"/>
          <w:highlight w:val="none"/>
          <w:u w:val="single"/>
        </w:rPr>
        <w:t>85%</w:t>
      </w:r>
      <w:r>
        <w:rPr>
          <w:rFonts w:hint="eastAsia" w:ascii="宋体" w:hAnsi="宋体" w:cs="宋体"/>
          <w:color w:val="auto"/>
          <w:sz w:val="24"/>
          <w:szCs w:val="24"/>
          <w:highlight w:val="none"/>
        </w:rPr>
        <w:t>。</w:t>
      </w:r>
    </w:p>
    <w:p w14:paraId="5E650A66">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u w:val="single"/>
        </w:rPr>
        <w:t>工程通过验收并经广州开发区财政局审定施工结算后支付工程款（含</w:t>
      </w:r>
      <w:r>
        <w:rPr>
          <w:rFonts w:hint="eastAsia" w:ascii="宋体" w:hAnsi="宋体" w:cs="宋体"/>
          <w:color w:val="auto"/>
          <w:sz w:val="24"/>
          <w:highlight w:val="none"/>
          <w:u w:val="single"/>
        </w:rPr>
        <w:t>安全</w:t>
      </w:r>
      <w:r>
        <w:rPr>
          <w:rFonts w:hint="eastAsia" w:ascii="宋体" w:hAnsi="宋体" w:cs="宋体"/>
          <w:color w:val="auto"/>
          <w:sz w:val="24"/>
          <w:highlight w:val="none"/>
          <w:u w:val="single"/>
          <w:lang w:val="en-US" w:eastAsia="zh-CN"/>
        </w:rPr>
        <w:t>生产</w:t>
      </w:r>
      <w:r>
        <w:rPr>
          <w:rFonts w:hint="eastAsia" w:ascii="宋体" w:hAnsi="宋体" w:cs="宋体"/>
          <w:color w:val="auto"/>
          <w:sz w:val="24"/>
          <w:highlight w:val="none"/>
          <w:u w:val="single"/>
        </w:rPr>
        <w:t>措施费</w:t>
      </w:r>
      <w:r>
        <w:rPr>
          <w:rFonts w:hint="eastAsia" w:ascii="宋体" w:hAnsi="宋体" w:cs="宋体"/>
          <w:color w:val="auto"/>
          <w:sz w:val="24"/>
          <w:szCs w:val="24"/>
          <w:highlight w:val="none"/>
          <w:u w:val="single"/>
        </w:rPr>
        <w:t>）至结算价的</w:t>
      </w:r>
      <w:r>
        <w:rPr>
          <w:rFonts w:ascii="宋体" w:hAnsi="宋体" w:cs="宋体"/>
          <w:color w:val="auto"/>
          <w:sz w:val="24"/>
          <w:szCs w:val="24"/>
          <w:highlight w:val="none"/>
          <w:u w:val="single"/>
        </w:rPr>
        <w:t>97%</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highlight w:val="none"/>
        </w:rPr>
        <w:t>工程质量要求达到“</w:t>
      </w:r>
      <w:r>
        <w:rPr>
          <w:rFonts w:hint="eastAsia" w:ascii="宋体" w:hAnsi="宋体" w:eastAsia="宋体" w:cs="宋体"/>
          <w:color w:val="auto"/>
          <w:sz w:val="24"/>
          <w:highlight w:val="none"/>
          <w:u w:val="single"/>
        </w:rPr>
        <w:t xml:space="preserve"> （按投标文件承诺填写） </w:t>
      </w:r>
      <w:r>
        <w:rPr>
          <w:rFonts w:hint="eastAsia" w:ascii="宋体" w:hAnsi="宋体" w:eastAsia="宋体" w:cs="宋体"/>
          <w:color w:val="auto"/>
          <w:sz w:val="24"/>
          <w:highlight w:val="none"/>
        </w:rPr>
        <w:t>”的质量标准而支付此款项时尚未获得相关称号的，暂按未达到质量要求暂扣相应违约金，获得相关称号后再行支付给承包人</w:t>
      </w:r>
      <w:r>
        <w:rPr>
          <w:rFonts w:hint="eastAsia" w:ascii="宋体" w:hAnsi="宋体" w:cs="宋体"/>
          <w:color w:val="auto"/>
          <w:sz w:val="24"/>
          <w:highlight w:val="none"/>
        </w:rPr>
        <w:t>。</w:t>
      </w:r>
      <w:r>
        <w:rPr>
          <w:rFonts w:ascii="宋体" w:hAnsi="宋体" w:cs="宋体"/>
          <w:color w:val="auto"/>
          <w:sz w:val="24"/>
          <w:szCs w:val="24"/>
          <w:highlight w:val="none"/>
          <w:u w:val="single"/>
        </w:rPr>
        <w:t>工程结算价款额度的3%作为</w:t>
      </w:r>
      <w:r>
        <w:rPr>
          <w:rFonts w:hint="eastAsia" w:ascii="宋体" w:hAnsi="宋体" w:cs="宋体"/>
          <w:color w:val="auto"/>
          <w:sz w:val="24"/>
          <w:szCs w:val="24"/>
          <w:highlight w:val="none"/>
          <w:u w:val="single"/>
        </w:rPr>
        <w:t>质量</w:t>
      </w:r>
      <w:r>
        <w:rPr>
          <w:rFonts w:ascii="宋体" w:hAnsi="宋体" w:cs="宋体"/>
          <w:color w:val="auto"/>
          <w:sz w:val="24"/>
          <w:szCs w:val="24"/>
          <w:highlight w:val="none"/>
          <w:u w:val="single"/>
        </w:rPr>
        <w:t>保修金，待</w:t>
      </w:r>
      <w:r>
        <w:rPr>
          <w:rFonts w:hint="eastAsia" w:ascii="宋体" w:hAnsi="宋体" w:cs="宋体"/>
          <w:color w:val="auto"/>
          <w:sz w:val="24"/>
          <w:szCs w:val="24"/>
          <w:highlight w:val="none"/>
          <w:u w:val="single"/>
        </w:rPr>
        <w:t>缺陷责任</w:t>
      </w:r>
      <w:r>
        <w:rPr>
          <w:rFonts w:ascii="宋体" w:hAnsi="宋体" w:cs="宋体"/>
          <w:color w:val="auto"/>
          <w:sz w:val="24"/>
          <w:szCs w:val="24"/>
          <w:highlight w:val="none"/>
          <w:u w:val="single"/>
        </w:rPr>
        <w:t>期结束后结清（不计利息）</w:t>
      </w:r>
      <w:r>
        <w:rPr>
          <w:rFonts w:hint="eastAsia" w:ascii="宋体" w:hAnsi="宋体" w:cs="宋体"/>
          <w:color w:val="auto"/>
          <w:sz w:val="24"/>
          <w:szCs w:val="24"/>
          <w:highlight w:val="none"/>
        </w:rPr>
        <w:t>。</w:t>
      </w:r>
    </w:p>
    <w:p w14:paraId="346D8CAB">
      <w:pPr>
        <w:adjustRightInd w:val="0"/>
        <w:snapToGrid w:val="0"/>
        <w:spacing w:line="440" w:lineRule="exact"/>
        <w:ind w:right="11" w:firstLine="420" w:firstLineChars="175"/>
        <w:rPr>
          <w:rFonts w:ascii="宋体" w:hAnsi="宋体" w:cs="宋体"/>
          <w:color w:val="auto"/>
          <w:sz w:val="24"/>
          <w:szCs w:val="24"/>
          <w:highlight w:val="none"/>
        </w:rPr>
      </w:pPr>
      <w:r>
        <w:rPr>
          <w:rFonts w:ascii="宋体" w:hAnsi="宋体" w:cs="宋体"/>
          <w:color w:val="auto"/>
          <w:sz w:val="24"/>
          <w:szCs w:val="24"/>
          <w:highlight w:val="none"/>
        </w:rPr>
        <w:t>26.2所有因变更、签证及价格调整等原因所调整增加的工程价款均应由承包人按广州开发区、</w:t>
      </w:r>
      <w:r>
        <w:rPr>
          <w:rFonts w:hint="eastAsia" w:ascii="宋体" w:hAnsi="宋体" w:cs="宋体"/>
          <w:color w:val="auto"/>
          <w:sz w:val="24"/>
          <w:szCs w:val="24"/>
          <w:highlight w:val="none"/>
        </w:rPr>
        <w:t>黄埔</w:t>
      </w:r>
      <w:r>
        <w:rPr>
          <w:rFonts w:ascii="宋体" w:hAnsi="宋体" w:cs="宋体"/>
          <w:color w:val="auto"/>
          <w:sz w:val="24"/>
          <w:szCs w:val="24"/>
          <w:highlight w:val="none"/>
        </w:rPr>
        <w:t>区及发包人相关规定程序，报监理初审，并经发包人审批同意后，按审定金额另行签订补充协议支付，或在工程结算中一并支付。</w:t>
      </w:r>
    </w:p>
    <w:p w14:paraId="3037932A">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26.4</w:t>
      </w:r>
      <w:r>
        <w:rPr>
          <w:rFonts w:hint="eastAsia" w:ascii="宋体" w:hAnsi="宋体" w:cs="宋体"/>
          <w:color w:val="auto"/>
          <w:sz w:val="24"/>
          <w:szCs w:val="24"/>
          <w:highlight w:val="none"/>
        </w:rPr>
        <w:t>工程价款的支付条件：</w:t>
      </w:r>
    </w:p>
    <w:p w14:paraId="3C204328">
      <w:pPr>
        <w:ind w:firstLine="560" w:firstLineChars="200"/>
        <w:rPr>
          <w:color w:val="auto"/>
          <w:highlight w:val="none"/>
        </w:rPr>
      </w:pPr>
      <w:r>
        <w:rPr>
          <w:rFonts w:hint="eastAsia" w:ascii="仿宋_GB2312" w:eastAsia="仿宋_GB2312" w:cs="宋体"/>
          <w:color w:val="auto"/>
          <w:sz w:val="28"/>
          <w:szCs w:val="28"/>
          <w:highlight w:val="none"/>
        </w:rPr>
        <w:t>（1）支付预付款：承包人已与发包人签订工程施工合同，承包人承诺的项目管理人员、机械设备到位，工程具备开工条件，已生效的履约担保已按发包人要求准时提交发包人，且财政拨款已到位。</w:t>
      </w:r>
    </w:p>
    <w:p w14:paraId="3032018E">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2）支付工程款（进度款）：</w:t>
      </w:r>
      <w:r>
        <w:rPr>
          <w:rFonts w:hint="eastAsia" w:ascii="宋体" w:hAnsi="宋体" w:cs="宋体"/>
          <w:color w:val="auto"/>
          <w:sz w:val="24"/>
          <w:szCs w:val="24"/>
          <w:highlight w:val="none"/>
          <w:u w:val="singl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r>
        <w:rPr>
          <w:rFonts w:hint="eastAsia" w:ascii="宋体" w:hAnsi="宋体" w:cs="宋体"/>
          <w:color w:val="auto"/>
          <w:sz w:val="24"/>
          <w:szCs w:val="24"/>
          <w:highlight w:val="none"/>
        </w:rPr>
        <w:t>。</w:t>
      </w:r>
    </w:p>
    <w:p w14:paraId="615BB26D">
      <w:pPr>
        <w:pStyle w:val="223"/>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26.5</w:t>
      </w:r>
      <w:r>
        <w:rPr>
          <w:rFonts w:hint="eastAsia" w:ascii="宋体" w:hAnsi="宋体" w:cs="宋体"/>
          <w:color w:val="auto"/>
          <w:sz w:val="24"/>
          <w:highlight w:val="none"/>
          <w:u w:val="single"/>
        </w:rPr>
        <w:t>安全</w:t>
      </w:r>
      <w:r>
        <w:rPr>
          <w:rFonts w:hint="eastAsia" w:ascii="宋体" w:hAnsi="宋体" w:cs="宋体"/>
          <w:color w:val="auto"/>
          <w:sz w:val="24"/>
          <w:highlight w:val="none"/>
          <w:u w:val="single"/>
          <w:lang w:val="en-US" w:eastAsia="zh-CN"/>
        </w:rPr>
        <w:t>生产</w:t>
      </w:r>
      <w:r>
        <w:rPr>
          <w:rFonts w:hint="eastAsia" w:ascii="宋体" w:hAnsi="宋体" w:cs="宋体"/>
          <w:color w:val="auto"/>
          <w:sz w:val="24"/>
          <w:highlight w:val="none"/>
          <w:u w:val="single"/>
        </w:rPr>
        <w:t>措施费</w:t>
      </w:r>
      <w:r>
        <w:rPr>
          <w:rFonts w:hint="eastAsia" w:ascii="宋体" w:hAnsi="宋体" w:cs="宋体"/>
          <w:color w:val="auto"/>
          <w:sz w:val="24"/>
          <w:highlight w:val="none"/>
        </w:rPr>
        <w:t>支付的支付条件：</w:t>
      </w:r>
    </w:p>
    <w:p w14:paraId="146EE3E0">
      <w:pPr>
        <w:pStyle w:val="223"/>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en-US" w:eastAsia="zh-CN"/>
        </w:rPr>
        <w:t>安全生产措施费</w:t>
      </w:r>
      <w:r>
        <w:rPr>
          <w:rFonts w:hint="eastAsia" w:ascii="宋体" w:hAnsi="宋体" w:cs="宋体"/>
          <w:color w:val="auto"/>
          <w:sz w:val="24"/>
          <w:highlight w:val="none"/>
        </w:rPr>
        <w:t>按在工程投标最高报价中的</w:t>
      </w:r>
      <w:r>
        <w:rPr>
          <w:rFonts w:hint="eastAsia" w:ascii="宋体" w:hAnsi="宋体" w:cs="宋体"/>
          <w:color w:val="auto"/>
          <w:sz w:val="24"/>
          <w:highlight w:val="none"/>
          <w:u w:val="single"/>
          <w:lang w:val="en-US" w:eastAsia="zh-CN"/>
        </w:rPr>
        <w:t>安全生产措施费</w:t>
      </w:r>
      <w:r>
        <w:rPr>
          <w:rFonts w:hint="eastAsia" w:ascii="宋体" w:hAnsi="宋体" w:cs="宋体"/>
          <w:color w:val="auto"/>
          <w:sz w:val="24"/>
          <w:highlight w:val="none"/>
        </w:rPr>
        <w:t>用计取，专款专用，并从本施工合同价款中提取（</w:t>
      </w:r>
      <w:r>
        <w:rPr>
          <w:rFonts w:hint="eastAsia" w:ascii="宋体" w:hAnsi="宋体" w:cs="宋体"/>
          <w:color w:val="auto"/>
          <w:sz w:val="24"/>
          <w:highlight w:val="none"/>
          <w:u w:val="single"/>
          <w:lang w:val="en-US" w:eastAsia="zh-CN"/>
        </w:rPr>
        <w:t>安全生产措施费</w:t>
      </w:r>
      <w:r>
        <w:rPr>
          <w:rFonts w:hint="eastAsia" w:ascii="宋体" w:hAnsi="宋体" w:cs="宋体"/>
          <w:color w:val="auto"/>
          <w:sz w:val="24"/>
          <w:highlight w:val="none"/>
        </w:rPr>
        <w:t>已包含在本工程中标价即施工合同价中）。该费用根据《广州开发区财政投资建设项目管理中心建设项目绿色施工安全防护措施费支付管理实施细则（2024年修订）》（穗开建管〔2024〕47号）及“穗建筑【2008】967号”文及“穗建筑【2018】981号”规定，分阶段支付</w:t>
      </w:r>
      <w:r>
        <w:rPr>
          <w:rFonts w:hint="eastAsia" w:ascii="宋体" w:hAnsi="宋体" w:cs="宋体"/>
          <w:color w:val="auto"/>
          <w:sz w:val="24"/>
          <w:highlight w:val="none"/>
          <w:u w:val="single"/>
          <w:lang w:val="en-US" w:eastAsia="zh-CN"/>
        </w:rPr>
        <w:t>安全生产措施费</w:t>
      </w:r>
      <w:r>
        <w:rPr>
          <w:rFonts w:hint="eastAsia" w:ascii="宋体" w:hAnsi="宋体" w:cs="宋体"/>
          <w:color w:val="auto"/>
          <w:sz w:val="24"/>
          <w:highlight w:val="none"/>
        </w:rPr>
        <w:t>：</w:t>
      </w:r>
    </w:p>
    <w:p w14:paraId="6B3F38B1">
      <w:pPr>
        <w:spacing w:line="440" w:lineRule="exact"/>
        <w:rPr>
          <w:rFonts w:ascii="宋体" w:hAnsi="宋体" w:cs="宋体"/>
          <w:color w:val="auto"/>
          <w:sz w:val="24"/>
          <w:highlight w:val="none"/>
        </w:rPr>
      </w:pPr>
      <w:r>
        <w:rPr>
          <w:rFonts w:ascii="宋体" w:hAnsi="宋体" w:cs="宋体"/>
          <w:color w:val="auto"/>
          <w:sz w:val="24"/>
          <w:highlight w:val="none"/>
        </w:rPr>
        <w:t xml:space="preserve">    1</w:t>
      </w:r>
      <w:r>
        <w:rPr>
          <w:rFonts w:hint="eastAsia" w:ascii="宋体" w:hAnsi="宋体" w:cs="宋体"/>
          <w:color w:val="auto"/>
          <w:sz w:val="24"/>
          <w:highlight w:val="none"/>
        </w:rPr>
        <w:t>、</w:t>
      </w:r>
      <w:r>
        <w:rPr>
          <w:rFonts w:hint="eastAsia" w:ascii="宋体" w:hAnsi="宋体" w:eastAsia="宋体" w:cs="宋体"/>
          <w:color w:val="auto"/>
          <w:sz w:val="24"/>
          <w:szCs w:val="24"/>
          <w:highlight w:val="none"/>
        </w:rPr>
        <w:t>工程项目开工日一个月内，由</w:t>
      </w:r>
      <w:r>
        <w:rPr>
          <w:rFonts w:hint="eastAsia" w:ascii="宋体" w:hAnsi="宋体" w:cs="宋体"/>
          <w:color w:val="auto"/>
          <w:sz w:val="24"/>
          <w:highlight w:val="none"/>
        </w:rPr>
        <w:t>承包人</w:t>
      </w:r>
      <w:r>
        <w:rPr>
          <w:rFonts w:hint="eastAsia" w:ascii="宋体" w:hAnsi="宋体" w:eastAsia="宋体" w:cs="宋体"/>
          <w:color w:val="auto"/>
          <w:sz w:val="24"/>
          <w:szCs w:val="24"/>
          <w:highlight w:val="none"/>
        </w:rPr>
        <w:t>主动向</w:t>
      </w:r>
      <w:r>
        <w:rPr>
          <w:rFonts w:hint="eastAsia" w:ascii="宋体" w:hAnsi="宋体" w:cs="宋体"/>
          <w:color w:val="auto"/>
          <w:sz w:val="24"/>
          <w:highlight w:val="none"/>
        </w:rPr>
        <w:t>发包人</w:t>
      </w:r>
      <w:r>
        <w:rPr>
          <w:rFonts w:hint="eastAsia" w:ascii="宋体" w:hAnsi="宋体" w:eastAsia="宋体" w:cs="宋体"/>
          <w:color w:val="auto"/>
          <w:sz w:val="24"/>
          <w:szCs w:val="24"/>
          <w:highlight w:val="none"/>
        </w:rPr>
        <w:t>提出申请</w:t>
      </w:r>
      <w:r>
        <w:rPr>
          <w:rFonts w:hint="eastAsia" w:ascii="宋体" w:hAnsi="宋体" w:cs="宋体"/>
          <w:color w:val="auto"/>
          <w:sz w:val="24"/>
          <w:highlight w:val="none"/>
        </w:rPr>
        <w:t>，预付</w:t>
      </w:r>
      <w:r>
        <w:rPr>
          <w:rFonts w:hint="eastAsia" w:ascii="宋体" w:hAnsi="宋体" w:cs="宋体"/>
          <w:color w:val="auto"/>
          <w:sz w:val="24"/>
          <w:highlight w:val="none"/>
          <w:u w:val="single"/>
          <w:lang w:val="en-US" w:eastAsia="zh-CN"/>
        </w:rPr>
        <w:t>安全生产措施费</w:t>
      </w:r>
      <w:r>
        <w:rPr>
          <w:rFonts w:hint="eastAsia" w:ascii="宋体" w:hAnsi="宋体" w:cs="宋体"/>
          <w:color w:val="auto"/>
          <w:sz w:val="24"/>
          <w:highlight w:val="none"/>
        </w:rPr>
        <w:t>的</w:t>
      </w:r>
      <w:r>
        <w:rPr>
          <w:rFonts w:ascii="宋体" w:hAnsi="宋体" w:cs="宋体"/>
          <w:color w:val="auto"/>
          <w:sz w:val="24"/>
          <w:highlight w:val="none"/>
        </w:rPr>
        <w:t>50%</w:t>
      </w:r>
      <w:r>
        <w:rPr>
          <w:rFonts w:hint="eastAsia" w:ascii="宋体" w:hAnsi="宋体" w:cs="宋体"/>
          <w:color w:val="auto"/>
          <w:sz w:val="24"/>
          <w:highlight w:val="none"/>
        </w:rPr>
        <w:t>。</w:t>
      </w:r>
    </w:p>
    <w:p w14:paraId="2E27646A">
      <w:pPr>
        <w:spacing w:line="440" w:lineRule="exact"/>
        <w:rPr>
          <w:rFonts w:ascii="宋体" w:hAnsi="宋体" w:cs="宋体"/>
          <w:color w:val="auto"/>
          <w:sz w:val="24"/>
          <w:highlight w:val="none"/>
        </w:rPr>
      </w:pPr>
      <w:r>
        <w:rPr>
          <w:rFonts w:ascii="宋体" w:hAnsi="宋体" w:cs="宋体"/>
          <w:color w:val="auto"/>
          <w:sz w:val="24"/>
          <w:highlight w:val="none"/>
        </w:rPr>
        <w:t xml:space="preserve">    2</w:t>
      </w:r>
      <w:r>
        <w:rPr>
          <w:rFonts w:hint="eastAsia" w:ascii="宋体" w:hAnsi="宋体" w:cs="宋体"/>
          <w:color w:val="auto"/>
          <w:sz w:val="24"/>
          <w:highlight w:val="none"/>
        </w:rPr>
        <w:t>、第一次现场验收合格后可以申请</w:t>
      </w:r>
      <w:r>
        <w:rPr>
          <w:rFonts w:hint="eastAsia" w:ascii="宋体" w:hAnsi="宋体" w:cs="宋体"/>
          <w:color w:val="auto"/>
          <w:sz w:val="24"/>
          <w:highlight w:val="none"/>
          <w:u w:val="single"/>
          <w:lang w:val="en-US" w:eastAsia="zh-CN"/>
        </w:rPr>
        <w:t>安全生产措施费</w:t>
      </w:r>
      <w:r>
        <w:rPr>
          <w:rFonts w:hint="eastAsia" w:ascii="宋体" w:hAnsi="宋体" w:cs="宋体"/>
          <w:color w:val="auto"/>
          <w:sz w:val="24"/>
          <w:highlight w:val="none"/>
        </w:rPr>
        <w:t>的40%。申请需提供区建管中心出具的《检查记录表》，且评定等级为合格或以上。</w:t>
      </w:r>
    </w:p>
    <w:p w14:paraId="04146DBA">
      <w:pPr>
        <w:spacing w:line="440" w:lineRule="exact"/>
        <w:ind w:firstLine="48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、第二次现场验收合格后可以申请</w:t>
      </w:r>
      <w:r>
        <w:rPr>
          <w:rFonts w:hint="eastAsia" w:ascii="宋体" w:hAnsi="宋体" w:cs="宋体"/>
          <w:color w:val="auto"/>
          <w:sz w:val="24"/>
          <w:highlight w:val="none"/>
          <w:u w:val="single"/>
          <w:lang w:val="en-US" w:eastAsia="zh-CN"/>
        </w:rPr>
        <w:t>安全生产措施费</w:t>
      </w:r>
      <w:r>
        <w:rPr>
          <w:rFonts w:hint="eastAsia" w:ascii="宋体" w:hAnsi="宋体" w:cs="宋体"/>
          <w:color w:val="auto"/>
          <w:sz w:val="24"/>
          <w:highlight w:val="none"/>
        </w:rPr>
        <w:t>的10%。申请需提供区质监站出具的《建设工程施工安全评价书》且评定等级为合格或以上。</w:t>
      </w:r>
    </w:p>
    <w:p w14:paraId="6ADC720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u w:val="single"/>
        </w:rPr>
        <w:t>如存在特殊情况的，</w:t>
      </w:r>
      <w:r>
        <w:rPr>
          <w:rFonts w:hint="eastAsia" w:ascii="宋体" w:hAnsi="宋体" w:cs="宋体"/>
          <w:color w:val="auto"/>
          <w:sz w:val="24"/>
          <w:highlight w:val="none"/>
          <w:u w:val="single"/>
          <w:lang w:val="en-US" w:eastAsia="zh-CN"/>
        </w:rPr>
        <w:t>安全生产措施费</w:t>
      </w:r>
      <w:r>
        <w:rPr>
          <w:rFonts w:hint="eastAsia" w:ascii="宋体" w:hAnsi="宋体" w:cs="宋体"/>
          <w:color w:val="auto"/>
          <w:sz w:val="24"/>
          <w:highlight w:val="none"/>
        </w:rPr>
        <w:t>具体支付方式及条件以《广州开发区财政投资建设项目管理中心建设项目绿色施工安全防护措施费支付管理实施细则（2024年修订）》（穗开建管〔2024〕47号）为准。</w:t>
      </w:r>
    </w:p>
    <w:p w14:paraId="263E642A">
      <w:pPr>
        <w:pStyle w:val="266"/>
        <w:spacing w:line="440" w:lineRule="exact"/>
        <w:ind w:firstLine="480" w:firstLineChars="200"/>
        <w:outlineLvl w:val="1"/>
        <w:rPr>
          <w:rFonts w:ascii="宋体" w:hAnsi="宋体" w:cs="宋体"/>
          <w:strike w:val="0"/>
          <w:color w:val="auto"/>
          <w:sz w:val="24"/>
          <w:szCs w:val="24"/>
          <w:highlight w:val="none"/>
        </w:rPr>
      </w:pPr>
      <w:r>
        <w:rPr>
          <w:rFonts w:ascii="宋体" w:hAnsi="宋体" w:cs="宋体"/>
          <w:strike w:val="0"/>
          <w:color w:val="auto"/>
          <w:sz w:val="24"/>
          <w:szCs w:val="24"/>
          <w:highlight w:val="none"/>
        </w:rPr>
        <w:t>26.6根据广州市环境保护局《关于开展建筑施工扬尘排污费征收工作的通知》（穗环〔2015〕114号）及广州开发区建设和环境保护局《关于开展建筑施工扬尘排污费征收工作的通知》（穗开环〔2015〕20号）规定，本工程需向环保部门交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式如下：由承包人以发包人名义先行垫付资金向环保部门缴纳，并在10个工作日内凭缴费凭证就除超标及落后产能外的费用向发包人提交报销申请，逾期未提出申请视为放弃相关权利。</w:t>
      </w:r>
    </w:p>
    <w:p w14:paraId="7A9A05E1">
      <w:pPr>
        <w:snapToGrid w:val="0"/>
        <w:spacing w:line="440" w:lineRule="exact"/>
        <w:ind w:firstLine="480" w:firstLineChars="200"/>
        <w:rPr>
          <w:rFonts w:ascii="宋体" w:hAnsi="宋体" w:cs="宋体"/>
          <w:color w:val="auto"/>
          <w:sz w:val="24"/>
          <w:szCs w:val="24"/>
          <w:highlight w:val="none"/>
        </w:rPr>
      </w:pPr>
    </w:p>
    <w:p w14:paraId="0035457D">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七、材料设备供应</w:t>
      </w:r>
    </w:p>
    <w:p w14:paraId="657A9BF2">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27</w:t>
      </w:r>
      <w:r>
        <w:rPr>
          <w:rFonts w:hint="eastAsia" w:ascii="宋体" w:hAnsi="宋体" w:cs="宋体"/>
          <w:b/>
          <w:color w:val="auto"/>
          <w:sz w:val="24"/>
          <w:highlight w:val="none"/>
        </w:rPr>
        <w:t>、发包人供应材料设备</w:t>
      </w:r>
    </w:p>
    <w:p w14:paraId="36D6EE2B">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27.4</w:t>
      </w:r>
      <w:r>
        <w:rPr>
          <w:rFonts w:hint="eastAsia" w:ascii="宋体" w:hAnsi="宋体" w:cs="宋体"/>
          <w:color w:val="auto"/>
          <w:sz w:val="24"/>
          <w:szCs w:val="24"/>
          <w:highlight w:val="none"/>
        </w:rPr>
        <w:t>发包人供应的材料设备与一览表不符时，双方约定发包人承担责任如下：</w:t>
      </w:r>
    </w:p>
    <w:p w14:paraId="068FF7E0">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材料设备单价与一览表不符：</w:t>
      </w:r>
      <w:r>
        <w:rPr>
          <w:rFonts w:ascii="宋体" w:hAnsi="宋体" w:cs="宋体"/>
          <w:color w:val="auto"/>
          <w:sz w:val="24"/>
          <w:highlight w:val="none"/>
          <w:u w:val="single"/>
        </w:rPr>
        <mc:AlternateContent>
          <mc:Choice Requires="wps">
            <w:drawing>
              <wp:anchor distT="0" distB="0" distL="114300" distR="114300" simplePos="0" relativeHeight="251665408" behindDoc="0" locked="0" layoutInCell="0" allowOverlap="1">
                <wp:simplePos x="0" y="0"/>
                <wp:positionH relativeFrom="column">
                  <wp:posOffset>3556000</wp:posOffset>
                </wp:positionH>
                <wp:positionV relativeFrom="paragraph">
                  <wp:posOffset>0</wp:posOffset>
                </wp:positionV>
                <wp:extent cx="635" cy="0"/>
                <wp:effectExtent l="0" t="4445" r="0" b="5080"/>
                <wp:wrapNone/>
                <wp:docPr id="9" name="_x0000_s103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30" o:spid="_x0000_s1026" o:spt="20" style="position:absolute;left:0pt;margin-left:280pt;margin-top:0pt;height:0pt;width:0.05pt;z-index:251665408;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OXkENMAAAAFAQAADwAAAAAA&#10;AAABACAAAAAiAAAAZHJzL2Rvd25yZXYueG1sUEsBAhQAFAAAAAgAh07iQF/cY7TfAQAA6QMAAA4A&#10;AAAAAAAAAQAgAAAAIgEAAGRycy9lMm9Eb2MueG1sUEsFBgAAAAAGAAYAWQEAAHMFAAAAAA==&#10;">
                <v:fill on="f" focussize="0,0"/>
                <v:stroke color="#000000" joinstyle="round"/>
                <v:imagedata o:title=""/>
                <o:lock v:ext="edit" aspectratio="f"/>
              </v:line>
            </w:pict>
          </mc:Fallback>
        </mc:AlternateConten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63C7527F">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材料设备的品种、规格、型号、质量等级与一览表不符：</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7DE68A12">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承包人可代为调剂串换的材料：</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3E2BEE7C">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到货地点与一览表不符：</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3B7D8D6B">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供应数量与一览表不符：</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27E2FD3D">
      <w:pPr>
        <w:tabs>
          <w:tab w:val="left" w:pos="700"/>
        </w:tabs>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6</w:t>
      </w:r>
      <w:r>
        <w:rPr>
          <w:rFonts w:hint="eastAsia" w:ascii="宋体" w:hAnsi="宋体" w:cs="宋体"/>
          <w:color w:val="auto"/>
          <w:sz w:val="24"/>
          <w:szCs w:val="24"/>
          <w:highlight w:val="none"/>
        </w:rPr>
        <w:t>）到货时间与一览表不符；</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3470B5AA">
      <w:pPr>
        <w:tabs>
          <w:tab w:val="left" w:pos="700"/>
        </w:tabs>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27.6</w:t>
      </w:r>
      <w:r>
        <w:rPr>
          <w:rFonts w:hint="eastAsia" w:ascii="宋体" w:hAnsi="宋体" w:cs="宋体"/>
          <w:color w:val="auto"/>
          <w:sz w:val="24"/>
          <w:szCs w:val="24"/>
          <w:highlight w:val="none"/>
        </w:rPr>
        <w:t>发包人供应材料设备的结算方法：</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4075BD65">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28</w:t>
      </w:r>
      <w:r>
        <w:rPr>
          <w:rFonts w:hint="eastAsia" w:ascii="宋体" w:hAnsi="宋体" w:cs="宋体"/>
          <w:b/>
          <w:color w:val="auto"/>
          <w:sz w:val="24"/>
          <w:highlight w:val="none"/>
        </w:rPr>
        <w:t>、承包人采购材料设备</w:t>
      </w:r>
    </w:p>
    <w:p w14:paraId="217369B9">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28.1</w:t>
      </w:r>
      <w:r>
        <w:rPr>
          <w:rFonts w:hint="eastAsia" w:ascii="宋体" w:hAnsi="宋体" w:cs="宋体"/>
          <w:color w:val="auto"/>
          <w:sz w:val="24"/>
          <w:szCs w:val="24"/>
          <w:highlight w:val="none"/>
        </w:rPr>
        <w:t>承包人采购材料设备的约定：</w:t>
      </w:r>
      <w:r>
        <w:rPr>
          <w:rFonts w:hint="eastAsia" w:ascii="宋体" w:hAnsi="宋体" w:cs="宋体"/>
          <w:color w:val="auto"/>
          <w:sz w:val="24"/>
          <w:szCs w:val="24"/>
          <w:highlight w:val="none"/>
          <w:u w:val="single"/>
        </w:rPr>
        <w:t>由承包人负责采购材料设备的，按招标文件规定和本合同专用条款第</w:t>
      </w:r>
      <w:r>
        <w:rPr>
          <w:rFonts w:hint="eastAsia" w:ascii="宋体" w:hAnsi="宋体" w:cs="宋体"/>
          <w:color w:val="auto"/>
          <w:sz w:val="24"/>
          <w:szCs w:val="24"/>
          <w:highlight w:val="none"/>
          <w:u w:val="single"/>
          <w:lang w:eastAsia="zh-CN"/>
        </w:rPr>
        <w:t>4</w:t>
      </w:r>
      <w:r>
        <w:rPr>
          <w:rFonts w:hint="eastAsia" w:ascii="宋体" w:hAnsi="宋体" w:cs="宋体"/>
          <w:color w:val="auto"/>
          <w:sz w:val="24"/>
          <w:szCs w:val="24"/>
          <w:highlight w:val="none"/>
          <w:u w:val="single"/>
          <w:lang w:val="en-US" w:eastAsia="zh-CN"/>
        </w:rPr>
        <w:t>7.28</w:t>
      </w:r>
      <w:r>
        <w:rPr>
          <w:rFonts w:hint="eastAsia" w:ascii="宋体" w:hAnsi="宋体" w:cs="宋体"/>
          <w:color w:val="auto"/>
          <w:sz w:val="24"/>
          <w:szCs w:val="24"/>
          <w:highlight w:val="none"/>
          <w:u w:val="single"/>
        </w:rPr>
        <w:t>条约定、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w:t>
      </w:r>
      <w:r>
        <w:rPr>
          <w:rFonts w:ascii="宋体" w:hAnsi="宋体" w:cs="宋体"/>
          <w:color w:val="auto"/>
          <w:sz w:val="24"/>
          <w:szCs w:val="24"/>
          <w:highlight w:val="none"/>
          <w:u w:val="single"/>
        </w:rPr>
        <w:t>24小时通知工程师清点。</w:t>
      </w:r>
    </w:p>
    <w:p w14:paraId="427A8FAE">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28.2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由承包人承担。</w:t>
      </w:r>
    </w:p>
    <w:p w14:paraId="305D2131">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28.3所有材料、设备</w:t>
      </w:r>
      <w:r>
        <w:rPr>
          <w:rFonts w:hint="eastAsia" w:ascii="宋体" w:hAnsi="宋体" w:cs="宋体"/>
          <w:color w:val="auto"/>
          <w:sz w:val="24"/>
          <w:szCs w:val="24"/>
          <w:highlight w:val="none"/>
          <w:u w:val="single"/>
          <w:lang w:val="en-US" w:eastAsia="zh-CN"/>
        </w:rPr>
        <w:t>品牌</w:t>
      </w:r>
      <w:r>
        <w:rPr>
          <w:rFonts w:ascii="宋体" w:hAnsi="宋体" w:cs="宋体"/>
          <w:color w:val="auto"/>
          <w:sz w:val="24"/>
          <w:szCs w:val="24"/>
          <w:highlight w:val="none"/>
          <w:u w:val="single"/>
        </w:rPr>
        <w:t>必须报监理、业主同意后方可使用。</w:t>
      </w:r>
    </w:p>
    <w:p w14:paraId="28850D8F">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八、工程变更</w:t>
      </w:r>
    </w:p>
    <w:p w14:paraId="049C5508">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29、工程设计变更</w:t>
      </w:r>
    </w:p>
    <w:p w14:paraId="7EEC28B6">
      <w:pPr>
        <w:snapToGrid w:val="0"/>
        <w:spacing w:line="440" w:lineRule="exact"/>
        <w:ind w:firstLine="397"/>
        <w:rPr>
          <w:rFonts w:hint="eastAsia" w:ascii="宋体" w:hAnsi="宋体" w:cs="宋体"/>
          <w:color w:val="auto"/>
          <w:sz w:val="24"/>
          <w:szCs w:val="24"/>
          <w:highlight w:val="none"/>
        </w:rPr>
      </w:pPr>
      <w:r>
        <w:rPr>
          <w:rFonts w:ascii="宋体" w:hAnsi="宋体" w:cs="宋体"/>
          <w:color w:val="auto"/>
          <w:sz w:val="24"/>
          <w:szCs w:val="24"/>
          <w:highlight w:val="none"/>
        </w:rPr>
        <w:t>29.4</w:t>
      </w:r>
      <w:r>
        <w:rPr>
          <w:rFonts w:hint="eastAsia" w:ascii="宋体" w:hAnsi="宋体" w:cs="宋体"/>
          <w:color w:val="auto"/>
          <w:sz w:val="24"/>
          <w:szCs w:val="24"/>
          <w:highlight w:val="none"/>
          <w:u w:val="single"/>
        </w:rPr>
        <w:t>开工前，发包人组织承包人、监理单位、设计单位对施工图纸进行会审。如需实施工程变更签证，承包人需在实施相应变更签证</w:t>
      </w:r>
      <w:r>
        <w:rPr>
          <w:rFonts w:ascii="宋体" w:hAnsi="宋体" w:cs="宋体"/>
          <w:color w:val="auto"/>
          <w:sz w:val="24"/>
          <w:szCs w:val="24"/>
          <w:highlight w:val="none"/>
          <w:u w:val="single"/>
        </w:rPr>
        <w:t>2个月前向发包人提出（确属不可预见因素除外）。否则工程实施过程中每实施一项变更签证，承包人须按该变更签证工程价款的3%向发包人支付违约金，引起的工期延误不予顺延</w:t>
      </w:r>
      <w:r>
        <w:rPr>
          <w:rFonts w:hint="eastAsia" w:ascii="宋体" w:hAnsi="宋体" w:cs="宋体"/>
          <w:color w:val="auto"/>
          <w:sz w:val="24"/>
          <w:szCs w:val="24"/>
          <w:highlight w:val="none"/>
        </w:rPr>
        <w:t>。</w:t>
      </w:r>
    </w:p>
    <w:p w14:paraId="3DAFF90F">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同时，如实施工程变更，承包人应以书面形式通知发包人和监理工程师，经监理工程师审查并报发包人同意后，由发包人与设计单位商定修改或变更设计方案进行实施</w:t>
      </w:r>
      <w:r>
        <w:rPr>
          <w:rFonts w:hint="eastAsia" w:ascii="宋体" w:hAnsi="宋体" w:cs="宋体"/>
          <w:color w:val="auto"/>
          <w:sz w:val="24"/>
          <w:szCs w:val="24"/>
          <w:highlight w:val="none"/>
        </w:rPr>
        <w:t>。</w:t>
      </w:r>
    </w:p>
    <w:p w14:paraId="08682E4D">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29.5</w:t>
      </w:r>
      <w:r>
        <w:rPr>
          <w:rFonts w:hint="eastAsia" w:ascii="宋体" w:hAnsi="宋体" w:cs="宋体"/>
          <w:color w:val="auto"/>
          <w:sz w:val="24"/>
          <w:szCs w:val="24"/>
          <w:highlight w:val="none"/>
          <w:u w:val="single"/>
        </w:rPr>
        <w:t>变更应由监理工程师发出变更指令，没有监理工程师的指令，承包人不得进行上述变更</w:t>
      </w:r>
      <w:r>
        <w:rPr>
          <w:rFonts w:hint="eastAsia" w:ascii="宋体" w:hAnsi="宋体" w:cs="宋体"/>
          <w:color w:val="auto"/>
          <w:sz w:val="24"/>
          <w:szCs w:val="24"/>
          <w:highlight w:val="none"/>
        </w:rPr>
        <w:t>。</w:t>
      </w:r>
    </w:p>
    <w:p w14:paraId="3E50EA92">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29.6</w:t>
      </w:r>
      <w:r>
        <w:rPr>
          <w:rFonts w:hint="eastAsia" w:ascii="宋体" w:hAnsi="宋体" w:cs="宋体"/>
          <w:color w:val="auto"/>
          <w:sz w:val="24"/>
          <w:szCs w:val="24"/>
          <w:highlight w:val="none"/>
          <w:u w:val="single"/>
        </w:rPr>
        <w:t>按施工图纸实施使得工程量少于施工合同工程量清单中已确定或有规定的数量的，则该项工程量减少不需要任何指令</w:t>
      </w:r>
      <w:r>
        <w:rPr>
          <w:rFonts w:hint="eastAsia" w:ascii="宋体" w:hAnsi="宋体" w:cs="宋体"/>
          <w:color w:val="auto"/>
          <w:sz w:val="24"/>
          <w:szCs w:val="24"/>
          <w:highlight w:val="none"/>
        </w:rPr>
        <w:t>。</w:t>
      </w:r>
    </w:p>
    <w:p w14:paraId="37F07DB7">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29.7</w:t>
      </w:r>
      <w:r>
        <w:rPr>
          <w:rFonts w:hint="eastAsia" w:ascii="宋体" w:hAnsi="宋体" w:cs="宋体"/>
          <w:color w:val="auto"/>
          <w:sz w:val="24"/>
          <w:szCs w:val="24"/>
          <w:highlight w:val="none"/>
          <w:u w:val="single"/>
        </w:rPr>
        <w:t>所有涉及工期和工程量的变更均应获得发包人书面批准才能生效</w:t>
      </w:r>
      <w:r>
        <w:rPr>
          <w:rFonts w:hint="eastAsia" w:ascii="宋体" w:hAnsi="宋体" w:cs="宋体"/>
          <w:color w:val="auto"/>
          <w:sz w:val="24"/>
          <w:szCs w:val="24"/>
          <w:highlight w:val="none"/>
        </w:rPr>
        <w:t>。</w:t>
      </w:r>
    </w:p>
    <w:p w14:paraId="1601F191">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29.8</w:t>
      </w:r>
      <w:r>
        <w:rPr>
          <w:rFonts w:hint="eastAsia" w:ascii="宋体" w:hAnsi="宋体" w:cs="宋体"/>
          <w:color w:val="auto"/>
          <w:sz w:val="24"/>
          <w:szCs w:val="24"/>
          <w:highlight w:val="none"/>
          <w:u w:val="single"/>
        </w:rPr>
        <w:t>当发包人提出变更通知，承包人认为产生了增加费用，承包人应在发包人提出通知要求后</w:t>
      </w:r>
      <w:r>
        <w:rPr>
          <w:rFonts w:ascii="宋体" w:hAnsi="宋体" w:cs="宋体"/>
          <w:color w:val="auto"/>
          <w:sz w:val="24"/>
          <w:szCs w:val="24"/>
          <w:highlight w:val="none"/>
          <w:u w:val="single"/>
        </w:rPr>
        <w:t>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r>
        <w:rPr>
          <w:rFonts w:hint="eastAsia" w:ascii="宋体" w:hAnsi="宋体" w:cs="宋体"/>
          <w:color w:val="auto"/>
          <w:sz w:val="24"/>
          <w:szCs w:val="24"/>
          <w:highlight w:val="none"/>
        </w:rPr>
        <w:t>。</w:t>
      </w:r>
    </w:p>
    <w:p w14:paraId="14C60B67">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29.9</w:t>
      </w:r>
      <w:r>
        <w:rPr>
          <w:rFonts w:hint="eastAsia" w:ascii="宋体" w:hAnsi="宋体" w:cs="宋体"/>
          <w:color w:val="auto"/>
          <w:sz w:val="24"/>
          <w:szCs w:val="24"/>
          <w:highlight w:val="none"/>
          <w:u w:val="single"/>
        </w:rPr>
        <w:t>工程变更申报程序按广州开发区、黄埔区以及建设业主的有关规定执行</w:t>
      </w:r>
      <w:r>
        <w:rPr>
          <w:rFonts w:hint="eastAsia" w:ascii="宋体" w:hAnsi="宋体" w:cs="宋体"/>
          <w:color w:val="auto"/>
          <w:sz w:val="24"/>
          <w:szCs w:val="24"/>
          <w:highlight w:val="none"/>
        </w:rPr>
        <w:t>。</w:t>
      </w:r>
    </w:p>
    <w:p w14:paraId="2DBB25A4">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29.10</w:t>
      </w:r>
      <w:r>
        <w:rPr>
          <w:rFonts w:ascii="宋体" w:hAnsi="宋体" w:cs="宋体"/>
          <w:color w:val="auto"/>
          <w:sz w:val="24"/>
          <w:szCs w:val="24"/>
          <w:highlight w:val="none"/>
          <w:u w:val="single"/>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r>
        <w:rPr>
          <w:rFonts w:hint="eastAsia" w:ascii="宋体" w:hAnsi="宋体" w:cs="宋体"/>
          <w:color w:val="auto"/>
          <w:sz w:val="24"/>
          <w:szCs w:val="24"/>
          <w:highlight w:val="none"/>
        </w:rPr>
        <w:t>。</w:t>
      </w:r>
    </w:p>
    <w:p w14:paraId="2FFF709B">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30、其它变更</w:t>
      </w:r>
    </w:p>
    <w:p w14:paraId="21114C49">
      <w:pPr>
        <w:snapToGrid w:val="0"/>
        <w:spacing w:line="440" w:lineRule="exact"/>
        <w:ind w:firstLine="397"/>
        <w:rPr>
          <w:rFonts w:ascii="宋体" w:hAnsi="宋体" w:cs="宋体"/>
          <w:color w:val="auto"/>
          <w:sz w:val="24"/>
          <w:highlight w:val="none"/>
          <w:u w:val="single"/>
        </w:rPr>
      </w:pP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0.1</w:t>
      </w:r>
      <w:r>
        <w:rPr>
          <w:rFonts w:hint="eastAsia" w:ascii="宋体" w:hAnsi="宋体" w:cs="宋体"/>
          <w:color w:val="auto"/>
          <w:sz w:val="24"/>
          <w:highlight w:val="none"/>
          <w:lang w:val="en-US" w:eastAsia="zh-CN"/>
        </w:rPr>
        <w:t>工程量清单缺陷</w:t>
      </w:r>
      <w:r>
        <w:rPr>
          <w:rFonts w:ascii="宋体" w:hAnsi="宋体" w:cs="宋体"/>
          <w:color w:val="auto"/>
          <w:sz w:val="24"/>
          <w:highlight w:val="none"/>
        </w:rPr>
        <w:t>：</w:t>
      </w:r>
      <w:r>
        <w:rPr>
          <w:rFonts w:hint="eastAsia"/>
          <w:color w:val="auto"/>
          <w:sz w:val="24"/>
          <w:szCs w:val="24"/>
          <w:highlight w:val="none"/>
          <w:lang w:val="en-US" w:eastAsia="zh-CN"/>
        </w:rPr>
        <w:t>招标工程量清单与对应的招标时的设计文件（非招标工程为签约时的设计文件）、合同标准、规范和要求所要求的清单项目在列项、项目特征、工程数量上存在的差异，包括工程量清单多列项、错漏项、项目特征不符、工程数量偏差或其他同类情形时，视为工程量清单缺陷，清单缺陷的申报应按《广州开发区财政投资建设项目管理中心工程量清单错漏申报管理办法（2024年）》（穗开建管〔2024〕54号）执行</w:t>
      </w:r>
      <w:r>
        <w:rPr>
          <w:rFonts w:hint="eastAsia" w:ascii="宋体" w:hAnsi="宋体" w:cs="宋体"/>
          <w:color w:val="auto"/>
          <w:sz w:val="24"/>
          <w:highlight w:val="none"/>
          <w:u w:val="single"/>
        </w:rPr>
        <w:t>。</w:t>
      </w:r>
    </w:p>
    <w:p w14:paraId="6378477D">
      <w:pPr>
        <w:snapToGrid w:val="0"/>
        <w:spacing w:line="440" w:lineRule="exact"/>
        <w:ind w:firstLine="397"/>
        <w:rPr>
          <w:rFonts w:ascii="宋体" w:hAnsi="宋体" w:cs="宋体"/>
          <w:color w:val="auto"/>
          <w:sz w:val="24"/>
          <w:highlight w:val="none"/>
        </w:rPr>
      </w:pPr>
      <w:r>
        <w:rPr>
          <w:rFonts w:hint="eastAsia"/>
          <w:color w:val="auto"/>
          <w:sz w:val="24"/>
          <w:szCs w:val="24"/>
          <w:highlight w:val="none"/>
          <w:lang w:val="en-US" w:eastAsia="zh-CN"/>
        </w:rPr>
        <w:t>承包人需对招标图纸及招标工程量清单进行复核，如需对工程量清单缺陷进行确认，承包人需在前四分之一工期阶段内且最长不得超过中标通知书发出之日起6个月内向发包人提出，并按《广州开发区财政投资建设项目管理中心工程量清单错漏申报管理办法（2024年）》（穗开建管〔2024〕54号）办理申报手续，同时需配合发包人的复核工作，双方对复核结果盖章签名后方可作为最终结算依据；如因特殊原因，承包人无法在规定时间内申报的，经发包人同意后方可申报。承包人未按上述规定进行申报的，发包人对应申报而未办理申报手续的工程量清单缺陷不予确认。</w:t>
      </w:r>
    </w:p>
    <w:p w14:paraId="0DA2B38C">
      <w:pPr>
        <w:snapToGrid w:val="0"/>
        <w:spacing w:line="440" w:lineRule="exact"/>
        <w:ind w:firstLine="397"/>
        <w:rPr>
          <w:rFonts w:hint="default" w:ascii="宋体" w:hAnsi="宋体" w:eastAsia="宋体" w:cs="宋体"/>
          <w:color w:val="auto"/>
          <w:sz w:val="24"/>
          <w:highlight w:val="none"/>
          <w:lang w:val="en-US" w:eastAsia="zh-CN"/>
        </w:rPr>
      </w:pPr>
      <w:r>
        <w:rPr>
          <w:rFonts w:ascii="宋体" w:hAnsi="宋体" w:cs="宋体"/>
          <w:color w:val="auto"/>
          <w:sz w:val="24"/>
          <w:highlight w:val="none"/>
        </w:rPr>
        <w:t>30.2</w:t>
      </w:r>
      <w:r>
        <w:rPr>
          <w:rFonts w:hint="eastAsia" w:ascii="宋体" w:hAnsi="宋体" w:cs="宋体"/>
          <w:color w:val="auto"/>
          <w:sz w:val="24"/>
          <w:highlight w:val="none"/>
          <w:lang w:val="en-US" w:eastAsia="zh-CN"/>
        </w:rPr>
        <w:t xml:space="preserve"> 新增工程：合同当事人关于新增工程的约定：在本工程实施过程中，承包人按发包人要求完成合同约定工程范围外的内容（含现场签证），视为新增工程，新增工程参照开发区 黄埔区最新的变更签证管理办法，根据实际新增的内容，以工程变更或现场签证的形式进行申报，其计价办法按本专用条款第23.5条执行。</w:t>
      </w:r>
    </w:p>
    <w:p w14:paraId="0989F0A5">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highlight w:val="none"/>
          <w:u w:val="single"/>
          <w:lang w:val="en-US" w:eastAsia="zh-CN"/>
        </w:rPr>
        <w:t>30.3 工程量清单缺陷及新增工程</w:t>
      </w:r>
      <w:r>
        <w:rPr>
          <w:rFonts w:hint="eastAsia" w:ascii="宋体" w:hAnsi="宋体" w:cs="宋体"/>
          <w:color w:val="auto"/>
          <w:sz w:val="24"/>
          <w:highlight w:val="none"/>
          <w:u w:val="single"/>
        </w:rPr>
        <w:t>的计价：</w:t>
      </w:r>
      <w:r>
        <w:rPr>
          <w:rFonts w:hint="eastAsia" w:ascii="宋体" w:hAnsi="宋体" w:cs="宋体"/>
          <w:color w:val="auto"/>
          <w:sz w:val="24"/>
          <w:highlight w:val="none"/>
          <w:lang w:val="en-US" w:eastAsia="zh-CN"/>
        </w:rPr>
        <w:t>计价办法按本专用条款第23.5条执行</w:t>
      </w:r>
      <w:r>
        <w:rPr>
          <w:rFonts w:hint="eastAsia" w:ascii="宋体" w:hAnsi="宋体" w:cs="宋体"/>
          <w:color w:val="auto"/>
          <w:sz w:val="24"/>
          <w:highlight w:val="none"/>
          <w:u w:val="single"/>
        </w:rPr>
        <w:t>。</w:t>
      </w:r>
    </w:p>
    <w:p w14:paraId="73EA1AF8">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30.</w:t>
      </w:r>
      <w:r>
        <w:rPr>
          <w:rFonts w:hint="eastAsia" w:ascii="宋体" w:hAnsi="宋体" w:cs="宋体"/>
          <w:color w:val="auto"/>
          <w:sz w:val="24"/>
          <w:szCs w:val="24"/>
          <w:highlight w:val="none"/>
          <w:lang w:eastAsia="zh-CN"/>
        </w:rPr>
        <w:t>4</w:t>
      </w:r>
      <w:r>
        <w:rPr>
          <w:rFonts w:hint="eastAsia" w:ascii="宋体" w:hAnsi="宋体" w:cs="宋体"/>
          <w:color w:val="auto"/>
          <w:sz w:val="24"/>
          <w:highlight w:val="none"/>
          <w:lang w:val="en-US" w:eastAsia="zh-CN"/>
        </w:rPr>
        <w:t>新增工程</w:t>
      </w:r>
      <w:r>
        <w:rPr>
          <w:rFonts w:ascii="宋体" w:hAnsi="宋体" w:cs="宋体"/>
          <w:color w:val="auto"/>
          <w:sz w:val="24"/>
          <w:szCs w:val="24"/>
          <w:highlight w:val="none"/>
        </w:rPr>
        <w:t>实施前所需的施工方案：</w:t>
      </w:r>
      <w:r>
        <w:rPr>
          <w:rFonts w:hint="eastAsia" w:ascii="宋体" w:hAnsi="宋体" w:cs="宋体"/>
          <w:color w:val="auto"/>
          <w:sz w:val="24"/>
          <w:szCs w:val="24"/>
          <w:highlight w:val="none"/>
          <w:u w:val="single"/>
        </w:rPr>
        <w:t>若</w:t>
      </w:r>
      <w:r>
        <w:rPr>
          <w:rFonts w:hint="eastAsia" w:ascii="宋体" w:hAnsi="宋体" w:cs="宋体"/>
          <w:color w:val="auto"/>
          <w:sz w:val="24"/>
          <w:highlight w:val="none"/>
          <w:lang w:val="en-US" w:eastAsia="zh-CN"/>
        </w:rPr>
        <w:t>新增工程</w:t>
      </w:r>
      <w:r>
        <w:rPr>
          <w:rFonts w:hint="eastAsia" w:ascii="宋体" w:hAnsi="宋体" w:cs="宋体"/>
          <w:color w:val="auto"/>
          <w:sz w:val="24"/>
          <w:szCs w:val="24"/>
          <w:highlight w:val="none"/>
          <w:u w:val="single"/>
        </w:rPr>
        <w:t>事件发生时，需使用没有被监理工程师批准过的施工方案，则必须将该施工方案提前报监理工程师和发包人批准，经批准后才能实施，否则发包人将按最经济的施工方案对该</w:t>
      </w:r>
      <w:r>
        <w:rPr>
          <w:rFonts w:hint="eastAsia" w:ascii="宋体" w:hAnsi="宋体" w:cs="宋体"/>
          <w:color w:val="auto"/>
          <w:sz w:val="24"/>
          <w:highlight w:val="none"/>
          <w:lang w:val="en-US" w:eastAsia="zh-CN"/>
        </w:rPr>
        <w:t>新增工程</w:t>
      </w:r>
      <w:r>
        <w:rPr>
          <w:rFonts w:hint="eastAsia" w:ascii="宋体" w:hAnsi="宋体" w:cs="宋体"/>
          <w:color w:val="auto"/>
          <w:sz w:val="24"/>
          <w:szCs w:val="24"/>
          <w:highlight w:val="none"/>
          <w:u w:val="single"/>
        </w:rPr>
        <w:t>进行计价</w:t>
      </w:r>
      <w:r>
        <w:rPr>
          <w:rFonts w:hint="eastAsia" w:ascii="宋体" w:hAnsi="宋体" w:cs="宋体"/>
          <w:color w:val="auto"/>
          <w:sz w:val="24"/>
          <w:szCs w:val="24"/>
          <w:highlight w:val="none"/>
        </w:rPr>
        <w:t>。</w:t>
      </w:r>
    </w:p>
    <w:p w14:paraId="14926F1B">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30.</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u w:val="single"/>
        </w:rPr>
        <w:t>工程现场签证申报程序按广州开发区、黄埔区以及建设业主的有关规定执行</w:t>
      </w:r>
      <w:r>
        <w:rPr>
          <w:rFonts w:hint="eastAsia" w:ascii="宋体" w:hAnsi="宋体" w:cs="宋体"/>
          <w:color w:val="auto"/>
          <w:sz w:val="24"/>
          <w:szCs w:val="24"/>
          <w:highlight w:val="none"/>
        </w:rPr>
        <w:t>。</w:t>
      </w:r>
    </w:p>
    <w:p w14:paraId="522C88CB">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31、确定变更价款</w:t>
      </w:r>
    </w:p>
    <w:p w14:paraId="19BEA581">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31.1</w:t>
      </w:r>
      <w:r>
        <w:rPr>
          <w:rFonts w:ascii="宋体" w:hAnsi="宋体" w:cs="宋体"/>
          <w:color w:val="auto"/>
          <w:sz w:val="24"/>
          <w:szCs w:val="24"/>
          <w:highlight w:val="none"/>
          <w:u w:val="single"/>
        </w:rPr>
        <w:t>承包人在工程变更确定后14天内，提出变更工程价款的报告，经工程师确认后调整合同价款。</w:t>
      </w:r>
      <w:r>
        <w:rPr>
          <w:rFonts w:hint="eastAsia" w:ascii="宋体" w:hAnsi="宋体" w:cs="宋体"/>
          <w:color w:val="auto"/>
          <w:sz w:val="24"/>
          <w:szCs w:val="24"/>
          <w:highlight w:val="none"/>
          <w:u w:val="single"/>
        </w:rPr>
        <w:t>变更合同价款确定原则按本合同相关约定执行</w:t>
      </w:r>
      <w:r>
        <w:rPr>
          <w:rFonts w:hint="eastAsia" w:ascii="宋体" w:hAnsi="宋体" w:cs="宋体"/>
          <w:color w:val="auto"/>
          <w:sz w:val="24"/>
          <w:szCs w:val="24"/>
          <w:highlight w:val="none"/>
        </w:rPr>
        <w:t>。</w:t>
      </w:r>
    </w:p>
    <w:p w14:paraId="3FBE1DDC">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31.3</w:t>
      </w:r>
      <w:r>
        <w:rPr>
          <w:rFonts w:ascii="宋体" w:hAnsi="宋体" w:cs="宋体"/>
          <w:color w:val="auto"/>
          <w:sz w:val="24"/>
          <w:szCs w:val="24"/>
          <w:highlight w:val="none"/>
          <w:u w:val="single"/>
        </w:rPr>
        <w:t>所有变更工程价款的报告必须按规定程序报发包人审核确认</w:t>
      </w:r>
      <w:r>
        <w:rPr>
          <w:rFonts w:ascii="宋体" w:hAnsi="宋体" w:cs="宋体"/>
          <w:color w:val="auto"/>
          <w:sz w:val="24"/>
          <w:szCs w:val="24"/>
          <w:highlight w:val="none"/>
        </w:rPr>
        <w:t>。</w:t>
      </w:r>
    </w:p>
    <w:p w14:paraId="129160CB">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31.5</w:t>
      </w:r>
      <w:r>
        <w:rPr>
          <w:rFonts w:ascii="宋体" w:hAnsi="宋体" w:cs="宋体"/>
          <w:color w:val="auto"/>
          <w:sz w:val="24"/>
          <w:szCs w:val="24"/>
          <w:highlight w:val="none"/>
          <w:u w:val="single"/>
        </w:rPr>
        <w:t>工程变更价款的支付按本合同相关约定支付</w:t>
      </w:r>
      <w:r>
        <w:rPr>
          <w:rFonts w:ascii="宋体" w:hAnsi="宋体" w:cs="宋体"/>
          <w:color w:val="auto"/>
          <w:sz w:val="24"/>
          <w:szCs w:val="24"/>
          <w:highlight w:val="none"/>
        </w:rPr>
        <w:t>。</w:t>
      </w:r>
    </w:p>
    <w:p w14:paraId="608AA87E">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31.7</w:t>
      </w:r>
      <w:r>
        <w:rPr>
          <w:rFonts w:hint="eastAsia" w:ascii="宋体" w:hAnsi="宋体" w:cs="宋体"/>
          <w:color w:val="auto"/>
          <w:sz w:val="24"/>
          <w:szCs w:val="24"/>
          <w:highlight w:val="none"/>
          <w:u w:val="single"/>
        </w:rPr>
        <w:t>发生上述规定的变更后，承包人在收到发包人变更通知的</w:t>
      </w:r>
      <w:r>
        <w:rPr>
          <w:rFonts w:ascii="宋体" w:hAnsi="宋体" w:cs="宋体"/>
          <w:color w:val="auto"/>
          <w:sz w:val="24"/>
          <w:szCs w:val="24"/>
          <w:highlight w:val="none"/>
          <w:u w:val="single"/>
        </w:rPr>
        <w:t>7天内按合同文件规定的计价方式内容编出变更工程建议送交监理单位</w:t>
      </w:r>
      <w:r>
        <w:rPr>
          <w:rFonts w:hint="eastAsia" w:ascii="宋体" w:hAnsi="宋体" w:cs="宋体"/>
          <w:color w:val="auto"/>
          <w:sz w:val="24"/>
          <w:szCs w:val="24"/>
          <w:highlight w:val="none"/>
        </w:rPr>
        <w:t>。</w:t>
      </w:r>
    </w:p>
    <w:p w14:paraId="4BC7D8F8">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31.8</w:t>
      </w:r>
      <w:r>
        <w:rPr>
          <w:rFonts w:hint="eastAsia" w:ascii="宋体" w:hAnsi="宋体" w:cs="宋体"/>
          <w:color w:val="auto"/>
          <w:sz w:val="24"/>
          <w:szCs w:val="24"/>
          <w:highlight w:val="none"/>
          <w:u w:val="single"/>
        </w:rPr>
        <w:t>在工程变更价款计算时，承包人应按招标文件相关规定编制变更工程的预算，提供变更依据及详细的计算资料，报监理单位和发包人批准</w:t>
      </w:r>
      <w:r>
        <w:rPr>
          <w:rFonts w:hint="eastAsia" w:ascii="宋体" w:hAnsi="宋体" w:cs="宋体"/>
          <w:color w:val="auto"/>
          <w:sz w:val="24"/>
          <w:szCs w:val="24"/>
          <w:highlight w:val="none"/>
        </w:rPr>
        <w:t>。</w:t>
      </w:r>
    </w:p>
    <w:p w14:paraId="35E9B538">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31.9</w:t>
      </w:r>
      <w:r>
        <w:rPr>
          <w:rFonts w:hint="eastAsia" w:ascii="宋体" w:hAnsi="宋体" w:cs="宋体"/>
          <w:color w:val="auto"/>
          <w:sz w:val="24"/>
          <w:szCs w:val="24"/>
          <w:highlight w:val="none"/>
          <w:u w:val="single"/>
        </w:rPr>
        <w:t>工程变更、签证申报程序按广州开发区、黄埔区以及建设业主的有关规定执行</w:t>
      </w:r>
      <w:r>
        <w:rPr>
          <w:rFonts w:hint="eastAsia" w:ascii="宋体" w:hAnsi="宋体" w:cs="宋体"/>
          <w:color w:val="auto"/>
          <w:sz w:val="24"/>
          <w:szCs w:val="24"/>
          <w:highlight w:val="none"/>
        </w:rPr>
        <w:t>。</w:t>
      </w:r>
    </w:p>
    <w:p w14:paraId="450D487C">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九、竣工验收与结算</w:t>
      </w:r>
    </w:p>
    <w:p w14:paraId="53A33B08">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32</w:t>
      </w:r>
      <w:r>
        <w:rPr>
          <w:rFonts w:hint="eastAsia" w:ascii="宋体" w:hAnsi="宋体" w:cs="宋体"/>
          <w:b/>
          <w:color w:val="auto"/>
          <w:sz w:val="24"/>
          <w:highlight w:val="none"/>
        </w:rPr>
        <w:t>、竣工验收</w:t>
      </w:r>
    </w:p>
    <w:p w14:paraId="772EE7B7">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32.1</w:t>
      </w:r>
      <w:r>
        <w:rPr>
          <w:rFonts w:hint="eastAsia" w:ascii="宋体" w:hAnsi="宋体" w:cs="宋体"/>
          <w:color w:val="auto"/>
          <w:sz w:val="24"/>
          <w:szCs w:val="24"/>
          <w:highlight w:val="none"/>
        </w:rPr>
        <w:t>承包人提供竣工图纸的约定：</w:t>
      </w:r>
      <w:r>
        <w:rPr>
          <w:rFonts w:hint="eastAsia" w:ascii="宋体" w:hAnsi="宋体" w:cs="宋体"/>
          <w:color w:val="auto"/>
          <w:sz w:val="24"/>
          <w:szCs w:val="24"/>
          <w:highlight w:val="none"/>
          <w:u w:val="single"/>
        </w:rPr>
        <w:t>承包人工程竣工资料必须按照国家及广州市、开发区有关工程竣工资料档案管理的要求进行整理归档。承包人在工程竣工验收合格后四十五个日历天内，向建设单位提供符合要求按规格编制成册的工程竣工图及有关的技术档案资料一式伍份</w:t>
      </w:r>
      <w:r>
        <w:rPr>
          <w:rFonts w:hint="eastAsia" w:ascii="宋体" w:hAnsi="宋体" w:cs="宋体"/>
          <w:color w:val="auto"/>
          <w:sz w:val="24"/>
          <w:szCs w:val="24"/>
          <w:highlight w:val="none"/>
        </w:rPr>
        <w:t>。</w:t>
      </w:r>
    </w:p>
    <w:p w14:paraId="43C3018C">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32.6</w:t>
      </w:r>
      <w:r>
        <w:rPr>
          <w:rFonts w:hint="eastAsia" w:ascii="宋体" w:hAnsi="宋体" w:cs="宋体"/>
          <w:color w:val="auto"/>
          <w:sz w:val="24"/>
          <w:szCs w:val="24"/>
          <w:highlight w:val="none"/>
        </w:rPr>
        <w:t>中间交工工程的范围和竣工时间：</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7B982227">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33、竣工结算</w:t>
      </w:r>
    </w:p>
    <w:p w14:paraId="016590E5">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承发包双方一致同意不适用</w:t>
      </w:r>
      <w:r>
        <w:rPr>
          <w:rFonts w:hint="eastAsia" w:ascii="宋体" w:hAnsi="宋体" w:cs="宋体"/>
          <w:color w:val="auto"/>
          <w:sz w:val="24"/>
          <w:szCs w:val="24"/>
          <w:highlight w:val="none"/>
          <w:u w:val="single"/>
        </w:rPr>
        <w:t>通用条款</w:t>
      </w:r>
      <w:r>
        <w:rPr>
          <w:rFonts w:ascii="宋体" w:hAnsi="宋体" w:cs="宋体"/>
          <w:color w:val="auto"/>
          <w:sz w:val="24"/>
          <w:szCs w:val="24"/>
          <w:highlight w:val="none"/>
          <w:u w:val="single"/>
        </w:rPr>
        <w:t>33.2款、33.3款、33.4款</w:t>
      </w:r>
      <w:r>
        <w:rPr>
          <w:rFonts w:hint="eastAsia" w:ascii="宋体" w:hAnsi="宋体" w:cs="宋体"/>
          <w:color w:val="auto"/>
          <w:sz w:val="24"/>
          <w:szCs w:val="24"/>
          <w:highlight w:val="none"/>
        </w:rPr>
        <w:t>。</w:t>
      </w:r>
    </w:p>
    <w:p w14:paraId="32B723EE">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竣工结算办法：</w:t>
      </w:r>
      <w:r>
        <w:rPr>
          <w:rFonts w:hint="eastAsia" w:ascii="宋体" w:hAnsi="宋体" w:cs="宋体"/>
          <w:color w:val="auto"/>
          <w:sz w:val="24"/>
          <w:szCs w:val="24"/>
          <w:highlight w:val="none"/>
          <w:u w:val="single"/>
        </w:rPr>
        <w:t>所有工程量（含暂定工程量的结算）的结算均以广州开发区财政局审定的金额为准。工程竣工后，承包人编制本工程的结算书送监理单位审核，经监理单位审核后送发包人复审，按规定送广州开发区财政局审核，并以区财政局审定本工程的结算为准</w:t>
      </w:r>
      <w:r>
        <w:rPr>
          <w:rFonts w:hint="eastAsia" w:ascii="宋体" w:hAnsi="宋体" w:cs="宋体"/>
          <w:color w:val="auto"/>
          <w:sz w:val="24"/>
          <w:szCs w:val="24"/>
          <w:highlight w:val="none"/>
        </w:rPr>
        <w:t>。</w:t>
      </w:r>
    </w:p>
    <w:p w14:paraId="03A6137B">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竣工结算提交时间：</w:t>
      </w:r>
      <w:r>
        <w:rPr>
          <w:rFonts w:hint="eastAsia" w:ascii="宋体" w:hAnsi="宋体" w:cs="宋体"/>
          <w:color w:val="auto"/>
          <w:sz w:val="24"/>
          <w:szCs w:val="24"/>
          <w:highlight w:val="none"/>
          <w:u w:val="single"/>
        </w:rPr>
        <w:t>承包人须按</w:t>
      </w:r>
      <w:r>
        <w:rPr>
          <w:rFonts w:hint="eastAsia" w:ascii="宋体" w:hAnsi="宋体" w:cs="宋体"/>
          <w:color w:val="auto"/>
          <w:sz w:val="24"/>
          <w:highlight w:val="none"/>
          <w:u w:val="single"/>
        </w:rPr>
        <w:t>《广州开发区财政投资建设项目管理中心施工类合同结算编审指引（2024年修订稿）》（穗开建管【2024】65号）</w:t>
      </w:r>
      <w:r>
        <w:rPr>
          <w:rFonts w:hint="eastAsia" w:ascii="宋体" w:hAnsi="宋体" w:cs="宋体"/>
          <w:color w:val="auto"/>
          <w:sz w:val="24"/>
          <w:szCs w:val="24"/>
          <w:highlight w:val="none"/>
          <w:u w:val="single"/>
        </w:rPr>
        <w:t>及区有关规定编制及办理建设项目工程结算</w:t>
      </w:r>
      <w:r>
        <w:rPr>
          <w:rFonts w:hint="eastAsia" w:ascii="宋体" w:hAnsi="宋体" w:cs="宋体"/>
          <w:color w:val="auto"/>
          <w:sz w:val="24"/>
          <w:szCs w:val="24"/>
          <w:highlight w:val="none"/>
        </w:rPr>
        <w:t>。</w:t>
      </w:r>
    </w:p>
    <w:p w14:paraId="4BEAD2F5">
      <w:pPr>
        <w:pStyle w:val="365"/>
        <w:spacing w:line="440" w:lineRule="exact"/>
        <w:ind w:firstLine="48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承包人未按前款规定的期限和内容编制及办理建设项目工程结算（非承包人原因无法办理工程结算的情况除外），经发包人或代建单位或监理人书面通知之日起</w:t>
      </w:r>
      <w:r>
        <w:rPr>
          <w:rFonts w:ascii="宋体" w:hAnsi="宋体" w:cs="宋体"/>
          <w:color w:val="auto"/>
          <w:sz w:val="24"/>
          <w:szCs w:val="24"/>
          <w:highlight w:val="none"/>
          <w:u w:val="single"/>
        </w:rPr>
        <w:t>2个月内（最长期限不得超过6个月）仍未提交编制及办理建设项目工程结算的相关文件的，监理人和发包人有权根据发包人已有资料进行审核，并报区财政局审定，区财政局审定的竣工结算合同总价视同是经承包人认可的工程竣工结算合同总价。</w:t>
      </w:r>
    </w:p>
    <w:p w14:paraId="21A8ACCF">
      <w:pPr>
        <w:pStyle w:val="365"/>
        <w:spacing w:line="440" w:lineRule="exact"/>
        <w:ind w:firstLine="240" w:firstLineChars="100"/>
        <w:rPr>
          <w:rFonts w:hint="default"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（4）承包人应实事求是报审项目投资，编制项目竣工结算报告，如提交的施工合同结算，经财政评审后核减率超过10%的，超出部分产生的中介评审费用由承包人负担，在结算审核中予以扣除。</w:t>
      </w:r>
    </w:p>
    <w:p w14:paraId="478DBA49">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十、违约、索赔和争议</w:t>
      </w:r>
    </w:p>
    <w:p w14:paraId="30CECDCA">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35</w:t>
      </w:r>
      <w:r>
        <w:rPr>
          <w:rFonts w:hint="eastAsia" w:ascii="宋体" w:hAnsi="宋体" w:cs="宋体"/>
          <w:b/>
          <w:color w:val="auto"/>
          <w:sz w:val="24"/>
          <w:highlight w:val="none"/>
        </w:rPr>
        <w:t>、违约</w:t>
      </w:r>
    </w:p>
    <w:p w14:paraId="096BCE6C">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35.1</w:t>
      </w:r>
      <w:r>
        <w:rPr>
          <w:rFonts w:hint="eastAsia" w:ascii="宋体" w:hAnsi="宋体" w:cs="宋体"/>
          <w:color w:val="auto"/>
          <w:sz w:val="24"/>
          <w:szCs w:val="24"/>
          <w:highlight w:val="none"/>
        </w:rPr>
        <w:t>本合同中关于发包人违约的具体责任如下：</w:t>
      </w:r>
    </w:p>
    <w:p w14:paraId="4173AD91">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本合同通用条款第</w:t>
      </w:r>
      <w:r>
        <w:rPr>
          <w:rFonts w:ascii="宋体" w:hAnsi="宋体" w:cs="宋体"/>
          <w:color w:val="auto"/>
          <w:sz w:val="24"/>
          <w:szCs w:val="24"/>
          <w:highlight w:val="none"/>
        </w:rPr>
        <w:t>35.1条约定发包人违约应承担的责任：</w:t>
      </w:r>
      <w:r>
        <w:rPr>
          <w:rFonts w:hint="eastAsia" w:ascii="宋体" w:hAnsi="宋体" w:cs="宋体"/>
          <w:color w:val="auto"/>
          <w:sz w:val="24"/>
          <w:szCs w:val="24"/>
          <w:highlight w:val="none"/>
          <w:u w:val="single"/>
        </w:rPr>
        <w:t>顺延工期，但不作费用赔偿</w:t>
      </w:r>
      <w:r>
        <w:rPr>
          <w:rFonts w:hint="eastAsia" w:ascii="宋体" w:hAnsi="宋体" w:cs="宋体"/>
          <w:color w:val="auto"/>
          <w:sz w:val="24"/>
          <w:szCs w:val="24"/>
          <w:highlight w:val="none"/>
        </w:rPr>
        <w:t>。</w:t>
      </w:r>
    </w:p>
    <w:p w14:paraId="6DD054DC">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双方约定的发包人其他违约责任：</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5F57C5ED">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35.2</w:t>
      </w:r>
      <w:r>
        <w:rPr>
          <w:rFonts w:hint="eastAsia" w:ascii="宋体" w:hAnsi="宋体" w:cs="宋体"/>
          <w:color w:val="auto"/>
          <w:sz w:val="24"/>
          <w:szCs w:val="24"/>
          <w:highlight w:val="none"/>
        </w:rPr>
        <w:t>本合同中关于承包人违约的具体责任如下：</w:t>
      </w:r>
    </w:p>
    <w:p w14:paraId="6D9C1909">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35.2.1工期延误的违约责任</w:t>
      </w:r>
      <w:r>
        <w:rPr>
          <w:rFonts w:hint="eastAsia" w:ascii="宋体" w:hAnsi="宋体" w:cs="宋体"/>
          <w:color w:val="auto"/>
          <w:sz w:val="24"/>
          <w:szCs w:val="24"/>
          <w:highlight w:val="none"/>
        </w:rPr>
        <w:t>：</w:t>
      </w:r>
    </w:p>
    <w:p w14:paraId="3D5D0B54">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u w:val="single"/>
        </w:rPr>
        <w:t>承包人未按发包人或监理单位开工令要求时间开工的，每迟延开工</w:t>
      </w:r>
      <w:r>
        <w:rPr>
          <w:rFonts w:ascii="宋体" w:hAnsi="宋体" w:cs="宋体"/>
          <w:color w:val="auto"/>
          <w:sz w:val="24"/>
          <w:szCs w:val="24"/>
          <w:highlight w:val="none"/>
          <w:u w:val="single"/>
        </w:rPr>
        <w:t>1</w:t>
      </w:r>
      <w:r>
        <w:rPr>
          <w:rFonts w:hint="eastAsia" w:ascii="宋体" w:hAnsi="宋体" w:cs="宋体"/>
          <w:color w:val="auto"/>
          <w:sz w:val="24"/>
          <w:szCs w:val="24"/>
          <w:highlight w:val="none"/>
          <w:u w:val="single"/>
        </w:rPr>
        <w:t>天，应向发包人支付违约金</w:t>
      </w:r>
      <w:r>
        <w:rPr>
          <w:rFonts w:ascii="宋体" w:hAnsi="宋体" w:cs="宋体"/>
          <w:color w:val="auto"/>
          <w:sz w:val="24"/>
          <w:szCs w:val="24"/>
          <w:highlight w:val="none"/>
          <w:u w:val="single"/>
        </w:rPr>
        <w:t>5000元；迟延开工超过20</w:t>
      </w:r>
      <w:r>
        <w:rPr>
          <w:rFonts w:hint="eastAsia" w:ascii="宋体" w:hAnsi="宋体" w:cs="宋体"/>
          <w:color w:val="auto"/>
          <w:sz w:val="24"/>
          <w:szCs w:val="24"/>
          <w:highlight w:val="none"/>
          <w:u w:val="single"/>
        </w:rPr>
        <w:t>天的，发包人有权根据实际情况单方面解除合同</w:t>
      </w:r>
      <w:r>
        <w:rPr>
          <w:rFonts w:hint="eastAsia" w:ascii="宋体" w:hAnsi="宋体" w:cs="宋体"/>
          <w:color w:val="auto"/>
          <w:sz w:val="24"/>
          <w:szCs w:val="24"/>
          <w:highlight w:val="none"/>
        </w:rPr>
        <w:t>。</w:t>
      </w:r>
    </w:p>
    <w:p w14:paraId="611AB2C6">
      <w:pPr>
        <w:spacing w:line="440" w:lineRule="exact"/>
        <w:ind w:firstLine="56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因承包人的原因造成工期延误，其中属节点工期延误，从延误的第一天起，每天支付违约金</w:t>
      </w:r>
      <w:r>
        <w:rPr>
          <w:rFonts w:ascii="宋体" w:hAnsi="宋体" w:cs="宋体"/>
          <w:color w:val="auto"/>
          <w:sz w:val="24"/>
          <w:szCs w:val="24"/>
          <w:highlight w:val="none"/>
          <w:u w:val="single"/>
        </w:rPr>
        <w:t>5000</w:t>
      </w:r>
      <w:r>
        <w:rPr>
          <w:rFonts w:hint="eastAsia" w:ascii="宋体" w:hAnsi="宋体" w:cs="宋体"/>
          <w:color w:val="auto"/>
          <w:sz w:val="24"/>
          <w:szCs w:val="24"/>
          <w:highlight w:val="none"/>
          <w:u w:val="single"/>
        </w:rPr>
        <w:t>元，如在下一个节点赶回工期，可免除上述违约金。属总工期延误，从总工期延误的第一天起，每天支付违约金</w:t>
      </w:r>
      <w:r>
        <w:rPr>
          <w:rFonts w:hint="eastAsia" w:ascii="宋体" w:hAnsi="宋体" w:cs="宋体"/>
          <w:color w:val="auto"/>
          <w:sz w:val="24"/>
          <w:szCs w:val="24"/>
          <w:highlight w:val="none"/>
          <w:u w:val="single"/>
          <w:lang w:val="en-US" w:eastAsia="zh-CN"/>
        </w:rPr>
        <w:t>5</w:t>
      </w:r>
      <w:r>
        <w:rPr>
          <w:rFonts w:ascii="宋体" w:hAnsi="宋体" w:cs="宋体"/>
          <w:color w:val="auto"/>
          <w:sz w:val="24"/>
          <w:szCs w:val="24"/>
          <w:highlight w:val="none"/>
          <w:u w:val="single"/>
        </w:rPr>
        <w:t>0000元</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延误工期超过</w:t>
      </w:r>
      <w:r>
        <w:rPr>
          <w:rFonts w:ascii="宋体" w:hAnsi="宋体" w:cs="宋体"/>
          <w:color w:val="auto"/>
          <w:sz w:val="24"/>
          <w:szCs w:val="24"/>
          <w:highlight w:val="none"/>
          <w:u w:val="single"/>
        </w:rPr>
        <w:t>20天的，发包人可视情况终止合同。</w:t>
      </w:r>
    </w:p>
    <w:p w14:paraId="7A578637">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承包人必须按期完成主要工序的施工任务，若属承包人原因逾期达</w:t>
      </w:r>
      <w:r>
        <w:rPr>
          <w:rFonts w:ascii="宋体" w:hAnsi="宋体" w:cs="宋体"/>
          <w:color w:val="auto"/>
          <w:sz w:val="24"/>
          <w:szCs w:val="24"/>
          <w:highlight w:val="none"/>
          <w:u w:val="single"/>
        </w:rPr>
        <w:t>10天未完成主要节点的施工任务时，</w:t>
      </w:r>
      <w:r>
        <w:rPr>
          <w:rFonts w:hint="eastAsia" w:ascii="宋体" w:hAnsi="宋体" w:cs="宋体"/>
          <w:color w:val="auto"/>
          <w:sz w:val="24"/>
          <w:szCs w:val="24"/>
          <w:highlight w:val="none"/>
          <w:u w:val="single"/>
        </w:rPr>
        <w:t>除按第（</w:t>
      </w:r>
      <w:r>
        <w:rPr>
          <w:rFonts w:ascii="宋体" w:hAnsi="宋体" w:cs="宋体"/>
          <w:color w:val="auto"/>
          <w:sz w:val="24"/>
          <w:szCs w:val="24"/>
          <w:highlight w:val="none"/>
          <w:u w:val="single"/>
        </w:rPr>
        <w:t>2）项约定承担违约责任外，</w:t>
      </w:r>
      <w:r>
        <w:rPr>
          <w:rFonts w:hint="eastAsia" w:ascii="宋体" w:hAnsi="宋体" w:cs="宋体"/>
          <w:color w:val="auto"/>
          <w:sz w:val="24"/>
          <w:szCs w:val="24"/>
          <w:highlight w:val="none"/>
          <w:u w:val="single"/>
        </w:rPr>
        <w:t>发包人可要求撤换项目负责人，承包人应予以执行，并在总工期不调整的前提下自行消化节点工期的延误。逾期</w:t>
      </w:r>
      <w:r>
        <w:rPr>
          <w:rFonts w:ascii="宋体" w:hAnsi="宋体" w:cs="宋体"/>
          <w:color w:val="auto"/>
          <w:sz w:val="24"/>
          <w:szCs w:val="24"/>
          <w:highlight w:val="none"/>
          <w:u w:val="single"/>
        </w:rPr>
        <w:t>20天未完成主要节点的施工任务时，属承包人进度严重违约行为，发包人可</w:t>
      </w:r>
      <w:r>
        <w:rPr>
          <w:rFonts w:hint="eastAsia" w:ascii="宋体" w:hAnsi="宋体" w:cs="宋体"/>
          <w:color w:val="auto"/>
          <w:sz w:val="24"/>
          <w:szCs w:val="24"/>
          <w:highlight w:val="none"/>
          <w:u w:val="single"/>
        </w:rPr>
        <w:t>单方面终止合同，将承包人作不良纪录报区建设行政主管部门备案。并由承包人承担相应的进度严重违约责任</w:t>
      </w:r>
      <w:r>
        <w:rPr>
          <w:rFonts w:hint="eastAsia" w:ascii="宋体" w:hAnsi="宋体" w:cs="宋体"/>
          <w:color w:val="auto"/>
          <w:sz w:val="24"/>
          <w:szCs w:val="24"/>
          <w:highlight w:val="none"/>
        </w:rPr>
        <w:t>。</w:t>
      </w:r>
    </w:p>
    <w:p w14:paraId="39CD8DF0">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承包人承担的进度严重违约责任为：如果承包人出现进度严重违约事件，则须无条件接受发包人终止合同，并在接到终止合同通知书之日起</w:t>
      </w:r>
      <w:r>
        <w:rPr>
          <w:rFonts w:ascii="宋体" w:hAnsi="宋体" w:cs="宋体"/>
          <w:color w:val="auto"/>
          <w:sz w:val="24"/>
          <w:szCs w:val="24"/>
          <w:highlight w:val="none"/>
          <w:u w:val="single"/>
        </w:rPr>
        <w:t>5个</w:t>
      </w:r>
      <w:r>
        <w:rPr>
          <w:rFonts w:hint="eastAsia" w:ascii="宋体" w:hAnsi="宋体" w:cs="宋体"/>
          <w:color w:val="auto"/>
          <w:sz w:val="24"/>
          <w:szCs w:val="24"/>
          <w:highlight w:val="none"/>
          <w:u w:val="single"/>
        </w:rPr>
        <w:t>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r>
        <w:rPr>
          <w:rFonts w:hint="eastAsia" w:ascii="宋体" w:hAnsi="宋体" w:cs="宋体"/>
          <w:color w:val="auto"/>
          <w:sz w:val="24"/>
          <w:szCs w:val="24"/>
          <w:highlight w:val="none"/>
        </w:rPr>
        <w:t>。</w:t>
      </w:r>
    </w:p>
    <w:p w14:paraId="4FC0868F">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w:t>
      </w:r>
      <w:r>
        <w:rPr>
          <w:rFonts w:ascii="宋体" w:hAnsi="宋体" w:cs="宋体"/>
          <w:color w:val="auto"/>
          <w:sz w:val="24"/>
          <w:szCs w:val="24"/>
          <w:highlight w:val="none"/>
          <w:u w:val="single"/>
        </w:rPr>
        <w:t>5000元违约金</w:t>
      </w:r>
      <w:r>
        <w:rPr>
          <w:rFonts w:hint="eastAsia" w:ascii="宋体" w:hAnsi="宋体" w:cs="宋体"/>
          <w:color w:val="auto"/>
          <w:sz w:val="24"/>
          <w:szCs w:val="24"/>
          <w:highlight w:val="none"/>
        </w:rPr>
        <w:t>。</w:t>
      </w:r>
    </w:p>
    <w:p w14:paraId="37601356">
      <w:pPr>
        <w:snapToGrid w:val="0"/>
        <w:spacing w:line="440" w:lineRule="exact"/>
        <w:ind w:firstLine="397"/>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ascii="宋体" w:hAnsi="宋体" w:cs="宋体"/>
          <w:snapToGrid w:val="0"/>
          <w:color w:val="auto"/>
          <w:kern w:val="0"/>
          <w:sz w:val="24"/>
          <w:szCs w:val="24"/>
          <w:highlight w:val="none"/>
        </w:rPr>
        <w:t>6</w:t>
      </w: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u w:val="single"/>
        </w:rPr>
        <w:t>承包人违反合同专用条款的约定和发包人的规定，逾期完成竣工档案的整理、移交、送审备案工作的，每逾期</w:t>
      </w:r>
      <w:r>
        <w:rPr>
          <w:rFonts w:ascii="宋体" w:hAnsi="宋体" w:cs="宋体"/>
          <w:snapToGrid w:val="0"/>
          <w:color w:val="auto"/>
          <w:kern w:val="0"/>
          <w:sz w:val="24"/>
          <w:szCs w:val="24"/>
          <w:highlight w:val="none"/>
          <w:u w:val="single"/>
        </w:rPr>
        <w:t>1天，承包人支付违约金5000元</w:t>
      </w:r>
      <w:r>
        <w:rPr>
          <w:rFonts w:hint="eastAsia" w:ascii="宋体" w:hAnsi="宋体" w:cs="宋体"/>
          <w:snapToGrid w:val="0"/>
          <w:color w:val="auto"/>
          <w:kern w:val="0"/>
          <w:sz w:val="24"/>
          <w:szCs w:val="24"/>
          <w:highlight w:val="none"/>
        </w:rPr>
        <w:t>。</w:t>
      </w:r>
    </w:p>
    <w:p w14:paraId="341DDFDD">
      <w:pPr>
        <w:adjustRightInd w:val="0"/>
        <w:snapToGrid w:val="0"/>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35.2.2</w:t>
      </w:r>
      <w:r>
        <w:rPr>
          <w:rFonts w:hint="eastAsia" w:ascii="宋体" w:hAnsi="宋体" w:cs="宋体"/>
          <w:color w:val="auto"/>
          <w:sz w:val="24"/>
          <w:highlight w:val="none"/>
          <w:u w:val="none"/>
        </w:rPr>
        <w:t>安全、文明施工要求及违约处理</w:t>
      </w:r>
    </w:p>
    <w:p w14:paraId="1E0D3163">
      <w:pPr>
        <w:snapToGrid w:val="0"/>
        <w:spacing w:line="440" w:lineRule="exact"/>
        <w:ind w:firstLine="397"/>
        <w:rPr>
          <w:rFonts w:hint="eastAsia" w:ascii="微软雅黑" w:hAnsi="微软雅黑" w:eastAsia="微软雅黑" w:cs="微软雅黑"/>
          <w:b/>
          <w:bCs/>
          <w:i w:val="0"/>
          <w:iCs w:val="0"/>
          <w:caps w:val="0"/>
          <w:color w:val="auto"/>
          <w:spacing w:val="0"/>
          <w:sz w:val="21"/>
          <w:szCs w:val="21"/>
          <w:highlight w:val="none"/>
          <w:shd w:val="clear" w:color="auto" w:fill="DDEEEE"/>
          <w:lang w:val="en-US" w:eastAsia="zh-CN"/>
        </w:rPr>
      </w:pPr>
      <w:r>
        <w:rPr>
          <w:rFonts w:hint="eastAsia" w:ascii="宋体" w:hAnsi="宋体" w:eastAsia="宋体" w:cs="宋体"/>
          <w:color w:val="auto"/>
          <w:sz w:val="24"/>
          <w:szCs w:val="24"/>
          <w:highlight w:val="none"/>
          <w:u w:val="none"/>
          <w:lang w:val="en-US" w:eastAsia="zh-CN"/>
        </w:rPr>
        <w:t>（1）承包人必须按本合同的约定编制施工组织设计（施工方案、</w:t>
      </w:r>
      <w:r>
        <w:rPr>
          <w:rFonts w:hint="eastAsia" w:ascii="宋体" w:hAnsi="宋体" w:eastAsia="宋体" w:cs="宋体"/>
          <w:b/>
          <w:bCs/>
          <w:color w:val="auto"/>
          <w:sz w:val="24"/>
          <w:szCs w:val="24"/>
          <w:highlight w:val="none"/>
          <w:u w:val="single"/>
          <w:lang w:val="en-US" w:eastAsia="zh-CN"/>
        </w:rPr>
        <w:t>危险性较大工程专项施工方案</w:t>
      </w:r>
      <w:r>
        <w:rPr>
          <w:rFonts w:hint="eastAsia" w:ascii="宋体" w:hAnsi="宋体" w:eastAsia="宋体" w:cs="宋体"/>
          <w:color w:val="auto"/>
          <w:sz w:val="24"/>
          <w:szCs w:val="24"/>
          <w:highlight w:val="none"/>
          <w:u w:val="none"/>
          <w:lang w:val="en-US" w:eastAsia="zh-CN"/>
        </w:rPr>
        <w:t>、包括安全文明施工措施），经过监理人和发包人审核确认后按其施工，不得随意更改。如果根据实际情况确需修改，则需经工程师及发包人审批同意。如果未经工程师及发包人审批同意而擅自更改施工组织设计（施工方案，</w:t>
      </w:r>
      <w:r>
        <w:rPr>
          <w:rFonts w:hint="eastAsia" w:ascii="宋体" w:hAnsi="宋体" w:eastAsia="宋体" w:cs="宋体"/>
          <w:b/>
          <w:bCs/>
          <w:color w:val="auto"/>
          <w:sz w:val="24"/>
          <w:szCs w:val="24"/>
          <w:highlight w:val="none"/>
          <w:u w:val="single"/>
          <w:lang w:val="en-US" w:eastAsia="zh-CN"/>
        </w:rPr>
        <w:t>危险性较大工程专项施工方案</w:t>
      </w:r>
      <w:r>
        <w:rPr>
          <w:rFonts w:hint="eastAsia" w:ascii="宋体" w:hAnsi="宋体" w:eastAsia="宋体" w:cs="宋体"/>
          <w:color w:val="auto"/>
          <w:sz w:val="24"/>
          <w:szCs w:val="24"/>
          <w:highlight w:val="none"/>
          <w:u w:val="none"/>
          <w:lang w:val="en-US" w:eastAsia="zh-CN"/>
        </w:rPr>
        <w:t>、包括安全文明施工措施）或不按照施工组织设计（施工方案，</w:t>
      </w:r>
      <w:r>
        <w:rPr>
          <w:rFonts w:hint="eastAsia" w:ascii="宋体" w:hAnsi="宋体" w:eastAsia="宋体" w:cs="宋体"/>
          <w:b/>
          <w:bCs/>
          <w:color w:val="auto"/>
          <w:sz w:val="24"/>
          <w:szCs w:val="24"/>
          <w:highlight w:val="none"/>
          <w:u w:val="single"/>
          <w:lang w:val="en-US" w:eastAsia="zh-CN"/>
        </w:rPr>
        <w:t>危险性较大工程专项施工方案</w:t>
      </w:r>
      <w:r>
        <w:rPr>
          <w:rFonts w:hint="eastAsia" w:ascii="宋体" w:hAnsi="宋体" w:eastAsia="宋体" w:cs="宋体"/>
          <w:color w:val="auto"/>
          <w:sz w:val="24"/>
          <w:szCs w:val="24"/>
          <w:highlight w:val="none"/>
          <w:u w:val="none"/>
          <w:lang w:val="en-US" w:eastAsia="zh-CN"/>
        </w:rPr>
        <w:t>、包括安全文明施工措施）施工，则发包人将扣减更改部分的造价（该造价按广东省相关综合定额和取费标准计算，不下浮）；同时，每擅自更改一次，承包人需支付10000元人民币违约金给发包人。</w:t>
      </w:r>
    </w:p>
    <w:p w14:paraId="69E6ECE6">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w:t>
      </w:r>
      <w:r>
        <w:rPr>
          <w:rFonts w:ascii="宋体" w:hAnsi="宋体" w:cs="宋体"/>
          <w:color w:val="auto"/>
          <w:sz w:val="24"/>
          <w:szCs w:val="24"/>
          <w:highlight w:val="none"/>
          <w:u w:val="single"/>
        </w:rPr>
        <w:t>10000元违约金</w:t>
      </w:r>
      <w:r>
        <w:rPr>
          <w:rFonts w:hint="eastAsia" w:ascii="宋体" w:hAnsi="宋体" w:cs="宋体"/>
          <w:color w:val="auto"/>
          <w:sz w:val="24"/>
          <w:szCs w:val="24"/>
          <w:highlight w:val="none"/>
          <w:u w:val="single"/>
        </w:rPr>
        <w:t>，如发包人因此被相关部门处罚的，罚金由承包人承担</w:t>
      </w:r>
      <w:r>
        <w:rPr>
          <w:rFonts w:hint="eastAsia" w:ascii="宋体" w:hAnsi="宋体" w:cs="宋体"/>
          <w:color w:val="auto"/>
          <w:sz w:val="24"/>
          <w:szCs w:val="24"/>
          <w:highlight w:val="none"/>
        </w:rPr>
        <w:t>。</w:t>
      </w:r>
    </w:p>
    <w:p w14:paraId="3C3104CE">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u w:val="single"/>
        </w:rPr>
        <w:t>如果承包人未按招投标文件及本合同要求做好安全、文明施工相关措施，经监理工程师或发包人检查发现的，每发现一次，承包人支付</w:t>
      </w:r>
      <w:r>
        <w:rPr>
          <w:rFonts w:ascii="宋体" w:hAnsi="宋体" w:cs="宋体"/>
          <w:color w:val="auto"/>
          <w:sz w:val="24"/>
          <w:szCs w:val="24"/>
          <w:highlight w:val="none"/>
          <w:u w:val="single"/>
        </w:rPr>
        <w:t>5000元违约金，并按发包人或监理单位要求限期整改，未在限期内完成整改的，每延期一天，承包人支付10000元违约金</w:t>
      </w:r>
      <w:r>
        <w:rPr>
          <w:rFonts w:hint="eastAsia" w:ascii="宋体" w:hAnsi="宋体" w:cs="宋体"/>
          <w:color w:val="auto"/>
          <w:sz w:val="24"/>
          <w:szCs w:val="24"/>
          <w:highlight w:val="none"/>
        </w:rPr>
        <w:t>。</w:t>
      </w:r>
    </w:p>
    <w:p w14:paraId="6B705C5E">
      <w:pPr>
        <w:snapToGrid w:val="0"/>
        <w:spacing w:line="440" w:lineRule="exact"/>
        <w:ind w:firstLine="397"/>
        <w:rPr>
          <w:rFonts w:ascii="宋体" w:hAnsi="宋体" w:cs="宋体"/>
          <w:snapToGrid w:val="0"/>
          <w:color w:val="auto"/>
          <w:kern w:val="0"/>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u w:val="single"/>
        </w:rPr>
        <w:t>在施工过程中发生安全事故的，除按照国家、省、市规定进行处理外。若导致人员伤亡的，承包人按下列办法支付违约金：如发生死亡事故，死亡</w:t>
      </w:r>
      <w:r>
        <w:rPr>
          <w:rFonts w:ascii="宋体" w:hAnsi="宋体" w:cs="宋体"/>
          <w:color w:val="auto"/>
          <w:sz w:val="24"/>
          <w:szCs w:val="24"/>
          <w:highlight w:val="none"/>
          <w:u w:val="single"/>
        </w:rPr>
        <w:t>1人，</w:t>
      </w:r>
      <w:r>
        <w:rPr>
          <w:rFonts w:hint="eastAsia" w:ascii="宋体" w:hAnsi="宋体" w:cs="宋体"/>
          <w:color w:val="auto"/>
          <w:sz w:val="24"/>
          <w:szCs w:val="24"/>
          <w:highlight w:val="none"/>
          <w:u w:val="single"/>
        </w:rPr>
        <w:t>支付</w:t>
      </w:r>
      <w:r>
        <w:rPr>
          <w:rFonts w:ascii="宋体" w:hAnsi="宋体" w:cs="宋体"/>
          <w:color w:val="auto"/>
          <w:sz w:val="24"/>
          <w:szCs w:val="24"/>
          <w:highlight w:val="none"/>
          <w:u w:val="single"/>
        </w:rPr>
        <w:t>20万元；死亡2人，</w:t>
      </w:r>
      <w:r>
        <w:rPr>
          <w:rFonts w:hint="eastAsia" w:ascii="宋体" w:hAnsi="宋体" w:cs="宋体"/>
          <w:color w:val="auto"/>
          <w:sz w:val="24"/>
          <w:szCs w:val="24"/>
          <w:highlight w:val="none"/>
          <w:u w:val="single"/>
        </w:rPr>
        <w:t>支付</w:t>
      </w:r>
      <w:r>
        <w:rPr>
          <w:rFonts w:ascii="宋体" w:hAnsi="宋体" w:cs="宋体"/>
          <w:color w:val="auto"/>
          <w:sz w:val="24"/>
          <w:szCs w:val="24"/>
          <w:highlight w:val="none"/>
          <w:u w:val="single"/>
        </w:rPr>
        <w:t>40万元；死亡3人或以上，</w:t>
      </w:r>
      <w:r>
        <w:rPr>
          <w:rFonts w:hint="eastAsia" w:ascii="宋体" w:hAnsi="宋体" w:cs="宋体"/>
          <w:color w:val="auto"/>
          <w:sz w:val="24"/>
          <w:szCs w:val="24"/>
          <w:highlight w:val="none"/>
          <w:u w:val="single"/>
        </w:rPr>
        <w:t>支付</w:t>
      </w:r>
      <w:r>
        <w:rPr>
          <w:rFonts w:ascii="宋体" w:hAnsi="宋体" w:cs="宋体"/>
          <w:color w:val="auto"/>
          <w:sz w:val="24"/>
          <w:szCs w:val="24"/>
          <w:highlight w:val="none"/>
          <w:u w:val="single"/>
        </w:rPr>
        <w:t>80万元。如发生重伤事故，重伤1人，</w:t>
      </w:r>
      <w:r>
        <w:rPr>
          <w:rFonts w:hint="eastAsia" w:ascii="宋体" w:hAnsi="宋体" w:cs="宋体"/>
          <w:color w:val="auto"/>
          <w:sz w:val="24"/>
          <w:szCs w:val="24"/>
          <w:highlight w:val="none"/>
          <w:u w:val="single"/>
        </w:rPr>
        <w:t>支付</w:t>
      </w:r>
      <w:r>
        <w:rPr>
          <w:rFonts w:ascii="宋体" w:hAnsi="宋体" w:cs="宋体"/>
          <w:color w:val="auto"/>
          <w:sz w:val="24"/>
          <w:szCs w:val="24"/>
          <w:highlight w:val="none"/>
          <w:u w:val="single"/>
        </w:rPr>
        <w:t>10万元；重伤2人，</w:t>
      </w:r>
      <w:r>
        <w:rPr>
          <w:rFonts w:hint="eastAsia" w:ascii="宋体" w:hAnsi="宋体" w:cs="宋体"/>
          <w:color w:val="auto"/>
          <w:sz w:val="24"/>
          <w:szCs w:val="24"/>
          <w:highlight w:val="none"/>
          <w:u w:val="single"/>
        </w:rPr>
        <w:t>支付</w:t>
      </w:r>
      <w:r>
        <w:rPr>
          <w:rFonts w:ascii="宋体" w:hAnsi="宋体" w:cs="宋体"/>
          <w:color w:val="auto"/>
          <w:sz w:val="24"/>
          <w:szCs w:val="24"/>
          <w:highlight w:val="none"/>
          <w:u w:val="single"/>
        </w:rPr>
        <w:t>20万元；重伤3人或以上，</w:t>
      </w:r>
      <w:r>
        <w:rPr>
          <w:rFonts w:hint="eastAsia" w:ascii="宋体" w:hAnsi="宋体" w:cs="宋体"/>
          <w:color w:val="auto"/>
          <w:sz w:val="24"/>
          <w:szCs w:val="24"/>
          <w:highlight w:val="none"/>
          <w:u w:val="single"/>
        </w:rPr>
        <w:t>支付</w:t>
      </w:r>
      <w:r>
        <w:rPr>
          <w:rFonts w:ascii="宋体" w:hAnsi="宋体" w:cs="宋体"/>
          <w:color w:val="auto"/>
          <w:sz w:val="24"/>
          <w:szCs w:val="24"/>
          <w:highlight w:val="none"/>
          <w:u w:val="single"/>
        </w:rPr>
        <w:t>40万元。因承包人原因发生一般安全事故，未造成人员伤亡</w:t>
      </w:r>
      <w:r>
        <w:rPr>
          <w:rFonts w:hint="eastAsia" w:ascii="宋体" w:hAnsi="宋体" w:cs="宋体"/>
          <w:color w:val="auto"/>
          <w:sz w:val="24"/>
          <w:szCs w:val="24"/>
          <w:highlight w:val="none"/>
          <w:u w:val="single"/>
        </w:rPr>
        <w:t>或造成人员轻伤及轻微财产损失的，每发生一次，承包人支付违约金</w:t>
      </w:r>
      <w:r>
        <w:rPr>
          <w:rFonts w:ascii="宋体" w:hAnsi="宋体" w:cs="宋体"/>
          <w:color w:val="auto"/>
          <w:sz w:val="24"/>
          <w:szCs w:val="24"/>
          <w:highlight w:val="none"/>
          <w:u w:val="single"/>
        </w:rPr>
        <w:t>5000元</w:t>
      </w:r>
      <w:r>
        <w:rPr>
          <w:rFonts w:hint="eastAsia" w:ascii="宋体" w:hAnsi="宋体" w:cs="宋体"/>
          <w:color w:val="auto"/>
          <w:sz w:val="24"/>
          <w:szCs w:val="24"/>
          <w:highlight w:val="none"/>
        </w:rPr>
        <w:t>。</w:t>
      </w:r>
    </w:p>
    <w:p w14:paraId="040728E8">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在本工程余泥渣土清运施工和建筑垃圾排放运输时，承包人必须严格执行《广州市建筑废弃物管理条例（</w:t>
      </w:r>
      <w:r>
        <w:rPr>
          <w:rFonts w:ascii="宋体" w:hAnsi="宋体" w:cs="宋体"/>
          <w:color w:val="auto"/>
          <w:sz w:val="24"/>
          <w:szCs w:val="24"/>
          <w:highlight w:val="none"/>
          <w:u w:val="single"/>
        </w:rPr>
        <w:t>2015年修正本）》</w:t>
      </w:r>
      <w:r>
        <w:rPr>
          <w:rFonts w:hint="eastAsia" w:ascii="宋体" w:hAnsi="宋体" w:cs="宋体"/>
          <w:color w:val="auto"/>
          <w:sz w:val="24"/>
          <w:szCs w:val="24"/>
          <w:highlight w:val="none"/>
          <w:u w:val="single"/>
        </w:rPr>
        <w:t>、《广州市市容环境卫生管理规定》、《广州市建设工程现场文明施工管理办法》《关于加强施工现场余泥渣土排放管理工作的通知》（穗建筑【</w:t>
      </w:r>
      <w:r>
        <w:rPr>
          <w:rFonts w:ascii="宋体" w:hAnsi="宋体" w:cs="宋体"/>
          <w:color w:val="auto"/>
          <w:sz w:val="24"/>
          <w:szCs w:val="24"/>
          <w:highlight w:val="none"/>
          <w:u w:val="single"/>
        </w:rPr>
        <w:t>2008】60号）等广州市、</w:t>
      </w:r>
      <w:r>
        <w:rPr>
          <w:rFonts w:hint="eastAsia" w:ascii="宋体" w:hAnsi="宋体" w:cs="宋体"/>
          <w:color w:val="auto"/>
          <w:sz w:val="24"/>
          <w:szCs w:val="24"/>
          <w:highlight w:val="none"/>
          <w:u w:val="single"/>
        </w:rPr>
        <w:t>黄埔</w:t>
      </w:r>
      <w:r>
        <w:rPr>
          <w:rFonts w:ascii="宋体" w:hAnsi="宋体" w:cs="宋体"/>
          <w:color w:val="auto"/>
          <w:sz w:val="24"/>
          <w:szCs w:val="24"/>
          <w:highlight w:val="none"/>
          <w:u w:val="single"/>
        </w:rPr>
        <w:t>区相关管理规定的标准和要求，保证落实“</w:t>
      </w:r>
      <w:r>
        <w:rPr>
          <w:rFonts w:hint="eastAsia" w:ascii="宋体" w:hAnsi="宋体" w:cs="宋体"/>
          <w:color w:val="auto"/>
          <w:sz w:val="24"/>
          <w:szCs w:val="24"/>
          <w:highlight w:val="none"/>
          <w:u w:val="single"/>
        </w:rPr>
        <w:t>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w:t>
      </w:r>
      <w:r>
        <w:rPr>
          <w:rFonts w:ascii="宋体" w:hAnsi="宋体" w:cs="宋体"/>
          <w:color w:val="auto"/>
          <w:sz w:val="24"/>
          <w:szCs w:val="24"/>
          <w:highlight w:val="none"/>
          <w:u w:val="single"/>
        </w:rPr>
        <w:t>5000元违约金。同时，发包人将根据承包人</w:t>
      </w:r>
      <w:r>
        <w:rPr>
          <w:rFonts w:hint="eastAsia" w:ascii="宋体" w:hAnsi="宋体" w:cs="宋体"/>
          <w:color w:val="auto"/>
          <w:sz w:val="24"/>
          <w:szCs w:val="24"/>
          <w:highlight w:val="none"/>
          <w:u w:val="single"/>
        </w:rPr>
        <w:t>违反余泥渣土运输管理有关规定而造成的不良后果的严重程度，上报区建设行政主管部门进行处理</w:t>
      </w:r>
      <w:r>
        <w:rPr>
          <w:rFonts w:hint="eastAsia" w:ascii="宋体" w:hAnsi="宋体" w:cs="宋体"/>
          <w:color w:val="auto"/>
          <w:sz w:val="24"/>
          <w:szCs w:val="24"/>
          <w:highlight w:val="none"/>
        </w:rPr>
        <w:t>。</w:t>
      </w:r>
    </w:p>
    <w:p w14:paraId="0634CCD1">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35.2.3工程质量方面的违约责任</w:t>
      </w:r>
      <w:r>
        <w:rPr>
          <w:rFonts w:hint="eastAsia" w:ascii="宋体" w:hAnsi="宋体" w:cs="宋体"/>
          <w:color w:val="auto"/>
          <w:sz w:val="24"/>
          <w:szCs w:val="24"/>
          <w:highlight w:val="none"/>
        </w:rPr>
        <w:t>：</w:t>
      </w:r>
    </w:p>
    <w:p w14:paraId="5AA68F63">
      <w:pPr>
        <w:numPr>
          <w:ilvl w:val="0"/>
          <w:numId w:val="12"/>
        </w:numPr>
        <w:snapToGrid w:val="0"/>
        <w:spacing w:line="440" w:lineRule="exact"/>
        <w:ind w:firstLine="397"/>
        <w:rPr>
          <w:rFonts w:hint="eastAsia" w:ascii="宋体" w:hAnsi="宋体" w:cs="宋体"/>
          <w:color w:val="auto"/>
          <w:sz w:val="24"/>
          <w:szCs w:val="24"/>
          <w:highlight w:val="none"/>
        </w:rPr>
      </w:pPr>
      <w:r>
        <w:rPr>
          <w:rFonts w:ascii="宋体" w:hAnsi="宋体" w:cs="宋体"/>
          <w:color w:val="auto"/>
          <w:sz w:val="24"/>
          <w:szCs w:val="24"/>
          <w:highlight w:val="none"/>
          <w:u w:val="single"/>
        </w:rPr>
        <w:t>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r>
        <w:rPr>
          <w:rFonts w:hint="eastAsia" w:ascii="宋体" w:hAnsi="宋体" w:cs="宋体"/>
          <w:color w:val="auto"/>
          <w:sz w:val="24"/>
          <w:szCs w:val="24"/>
          <w:highlight w:val="none"/>
        </w:rPr>
        <w:t>。</w:t>
      </w:r>
    </w:p>
    <w:p w14:paraId="0DFF3D0C">
      <w:pPr>
        <w:pStyle w:val="25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（2）适用于省级奖项：工程质量标准要求达到省级工程质量奖标准而未达到的：承包人需按本合同工程中可申报评优部分工程结算价的</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 xml:space="preserve">%承担违约金。   </w:t>
      </w:r>
    </w:p>
    <w:p w14:paraId="227A1174">
      <w:pPr>
        <w:pStyle w:val="250"/>
        <w:spacing w:line="440" w:lineRule="exact"/>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rPr>
        <w:t>上述违约金由发包人直接从工程结算款中扣减。因非承包人原因导致本工程未能达到要求的工程质量标准的除外。</w:t>
      </w:r>
    </w:p>
    <w:p w14:paraId="45C31284">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3</w:t>
      </w:r>
      <w:r>
        <w:rPr>
          <w:rFonts w:ascii="宋体" w:hAnsi="宋体" w:cs="宋体"/>
          <w:color w:val="auto"/>
          <w:sz w:val="24"/>
          <w:szCs w:val="24"/>
          <w:highlight w:val="none"/>
          <w:u w:val="single"/>
        </w:rPr>
        <w:t>）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14:paraId="51D3A005">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4</w:t>
      </w:r>
      <w:r>
        <w:rPr>
          <w:rFonts w:ascii="宋体" w:hAnsi="宋体" w:cs="宋体"/>
          <w:color w:val="auto"/>
          <w:sz w:val="24"/>
          <w:szCs w:val="24"/>
          <w:highlight w:val="none"/>
          <w:u w:val="single"/>
        </w:rPr>
        <w:t>）对施工质量问题存在争议，应请国家认可的第三方机构出具检测报告，检测费用由责任方承担。</w:t>
      </w:r>
    </w:p>
    <w:p w14:paraId="11F70B46">
      <w:pPr>
        <w:pStyle w:val="2"/>
        <w:rPr>
          <w:rFonts w:hint="default" w:ascii="Times New Roman" w:hAnsi="Times New Roman"/>
          <w:color w:val="auto"/>
          <w:sz w:val="28"/>
          <w:szCs w:val="28"/>
          <w:highlight w:val="none"/>
          <w:u w:val="none"/>
        </w:rPr>
      </w:pPr>
      <w:r>
        <w:rPr>
          <w:rFonts w:hint="eastAsia" w:ascii="宋体" w:hAnsi="宋体" w:cs="宋体"/>
          <w:color w:val="auto"/>
          <w:sz w:val="24"/>
          <w:szCs w:val="24"/>
          <w:highlight w:val="none"/>
          <w:u w:val="single"/>
          <w:lang w:val="en-US" w:eastAsia="zh-CN"/>
        </w:rPr>
        <w:t xml:space="preserve">   （5）承包人对工程质量的自检费用由承包人承担。承包人应积极配合第三方检测和监测单位开展工作。因承包人原因导致本工程第三方监测和检测工作额外增加的相关费用由承包人承担。</w:t>
      </w:r>
    </w:p>
    <w:p w14:paraId="384C8147">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u w:val="single"/>
        </w:rPr>
        <w:t>35.2.4关于第三方质量安全评估的违约责任：</w:t>
      </w:r>
    </w:p>
    <w:p w14:paraId="2B54F0C6">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承包人应严格遵守中心制定的建设工程第三方质量安全评估服务相关管理办法，配合完成第三方质量安全评估工作。根据每次评估结果，经评估确定为一般违约情况的，承包人每次应支付</w:t>
      </w:r>
      <w:r>
        <w:rPr>
          <w:rFonts w:ascii="宋体" w:hAnsi="宋体" w:cs="宋体"/>
          <w:color w:val="auto"/>
          <w:sz w:val="24"/>
          <w:szCs w:val="24"/>
          <w:highlight w:val="none"/>
          <w:u w:val="single"/>
        </w:rPr>
        <w:t>10000元违约金给发包人；经评估确定为严重违约情况的，承包人每次应支付50000元违约金给发包人。</w:t>
      </w:r>
    </w:p>
    <w:p w14:paraId="6DAF3DD9">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35.2.5关于农民工工资支付的违约责任</w:t>
      </w:r>
      <w:r>
        <w:rPr>
          <w:rFonts w:hint="eastAsia" w:ascii="宋体" w:hAnsi="宋体" w:cs="宋体"/>
          <w:color w:val="auto"/>
          <w:sz w:val="24"/>
          <w:szCs w:val="24"/>
          <w:highlight w:val="none"/>
        </w:rPr>
        <w:t>：</w:t>
      </w:r>
    </w:p>
    <w:p w14:paraId="7C418494">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u w:val="single"/>
        </w:rPr>
        <w:t>承包人拖欠农民工工资（含代发的分包单位工人工资），被农民工投诉属实的，承包人必须在</w:t>
      </w:r>
      <w:r>
        <w:rPr>
          <w:rFonts w:ascii="宋体" w:hAnsi="宋体" w:cs="宋体"/>
          <w:color w:val="auto"/>
          <w:sz w:val="24"/>
          <w:szCs w:val="24"/>
          <w:highlight w:val="none"/>
          <w:u w:val="single"/>
        </w:rPr>
        <w:t>3天内发放拖欠的款项。若继续拖延被投诉2次及以上，经查实，承包人除应立即支付拖欠款项外，还应支付10000</w:t>
      </w:r>
      <w:r>
        <w:rPr>
          <w:rFonts w:hint="eastAsia" w:ascii="宋体" w:hAnsi="宋体" w:cs="宋体"/>
          <w:color w:val="auto"/>
          <w:sz w:val="24"/>
          <w:szCs w:val="24"/>
          <w:highlight w:val="none"/>
          <w:u w:val="single"/>
        </w:rPr>
        <w:t>违约金给发包人。因承包人拖欠农民工工资，导致农民工采取停工、集聚围阻发包人办公地点甚至政府办公部门等过激行动的，承包人应支付</w:t>
      </w:r>
      <w:r>
        <w:rPr>
          <w:rFonts w:ascii="宋体" w:hAnsi="宋体" w:cs="宋体"/>
          <w:color w:val="auto"/>
          <w:sz w:val="24"/>
          <w:szCs w:val="24"/>
          <w:highlight w:val="none"/>
          <w:u w:val="single"/>
        </w:rPr>
        <w:t>50000</w:t>
      </w:r>
      <w:r>
        <w:rPr>
          <w:rFonts w:hint="eastAsia" w:ascii="宋体" w:hAnsi="宋体" w:cs="宋体"/>
          <w:color w:val="auto"/>
          <w:sz w:val="24"/>
          <w:szCs w:val="24"/>
          <w:highlight w:val="none"/>
          <w:u w:val="single"/>
        </w:rPr>
        <w:t>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r>
        <w:rPr>
          <w:rFonts w:hint="eastAsia" w:ascii="宋体" w:hAnsi="宋体" w:cs="宋体"/>
          <w:color w:val="auto"/>
          <w:sz w:val="24"/>
          <w:szCs w:val="24"/>
          <w:highlight w:val="none"/>
        </w:rPr>
        <w:t>。</w:t>
      </w:r>
    </w:p>
    <w:p w14:paraId="6E1F6637">
      <w:pPr>
        <w:pStyle w:val="260"/>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35.2.6</w:t>
      </w:r>
      <w:r>
        <w:rPr>
          <w:rFonts w:hint="eastAsia" w:ascii="宋体" w:hAnsi="宋体" w:cs="宋体"/>
          <w:color w:val="auto"/>
          <w:sz w:val="24"/>
          <w:szCs w:val="24"/>
          <w:highlight w:val="none"/>
        </w:rPr>
        <w:t>项目管理机构人员、机械设备、劳动力到位方面的违约责任：</w:t>
      </w:r>
    </w:p>
    <w:p w14:paraId="186E6E13">
      <w:pPr>
        <w:pStyle w:val="260"/>
        <w:numPr>
          <w:ilvl w:val="0"/>
          <w:numId w:val="13"/>
        </w:num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w:t>
      </w:r>
      <w:r>
        <w:rPr>
          <w:rFonts w:ascii="宋体" w:hAnsi="宋体" w:cs="宋体"/>
          <w:color w:val="auto"/>
          <w:sz w:val="24"/>
          <w:szCs w:val="24"/>
          <w:highlight w:val="none"/>
          <w:u w:val="single"/>
        </w:rPr>
        <w:t>50000元违约金给发包人，擅自更换主要施工管理人员的，每更换一人次，承包人需支付30000元违约金给发包人</w:t>
      </w:r>
      <w:r>
        <w:rPr>
          <w:rFonts w:hint="eastAsia" w:ascii="宋体" w:hAnsi="宋体" w:cs="宋体"/>
          <w:color w:val="auto"/>
          <w:sz w:val="24"/>
          <w:szCs w:val="24"/>
          <w:highlight w:val="none"/>
        </w:rPr>
        <w:t>。但征得</w:t>
      </w:r>
      <w:r>
        <w:rPr>
          <w:rFonts w:hint="eastAsia" w:ascii="宋体" w:hAnsi="宋体" w:cs="宋体"/>
          <w:color w:val="auto"/>
          <w:sz w:val="24"/>
          <w:szCs w:val="24"/>
          <w:highlight w:val="none"/>
          <w:u w:val="single"/>
        </w:rPr>
        <w:t>发包人书面同意更换或因发包人按本协议要求更换仍需支付违约金，具体为：更换项目负责人或项目技术负责人的，承包人每更换一人次，需支付</w:t>
      </w:r>
      <w:r>
        <w:rPr>
          <w:rFonts w:ascii="宋体" w:hAnsi="宋体" w:cs="宋体"/>
          <w:color w:val="auto"/>
          <w:sz w:val="24"/>
          <w:szCs w:val="24"/>
          <w:highlight w:val="none"/>
          <w:u w:val="single"/>
        </w:rPr>
        <w:t>30000元违约金给发包人，更换主要施工管理人员的，每更换一人次，承包人需支付10000元违约金给发包人</w:t>
      </w:r>
      <w:r>
        <w:rPr>
          <w:rFonts w:hint="eastAsia" w:ascii="宋体" w:hAnsi="宋体" w:cs="宋体"/>
          <w:color w:val="auto"/>
          <w:sz w:val="24"/>
          <w:szCs w:val="24"/>
          <w:highlight w:val="none"/>
          <w:u w:val="single"/>
          <w:lang w:eastAsia="zh-CN"/>
        </w:rPr>
        <w:t>。</w:t>
      </w:r>
    </w:p>
    <w:p w14:paraId="2E5711CD">
      <w:pPr>
        <w:pStyle w:val="260"/>
        <w:snapToGrid w:val="0"/>
        <w:spacing w:line="440" w:lineRule="exact"/>
        <w:rPr>
          <w:rFonts w:ascii="宋体" w:hAnsi="宋体" w:cs="宋体"/>
          <w:color w:val="auto"/>
          <w:sz w:val="24"/>
          <w:szCs w:val="24"/>
          <w:highlight w:val="none"/>
          <w:u w:val="single"/>
        </w:rPr>
      </w:pPr>
      <w:r>
        <w:rPr>
          <w:rFonts w:ascii="宋体" w:hAnsi="宋体" w:cs="宋体"/>
          <w:color w:val="auto"/>
          <w:sz w:val="24"/>
          <w:szCs w:val="24"/>
          <w:highlight w:val="none"/>
        </w:rPr>
        <w:t xml:space="preserve">    （2</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如果承包人未按投标文件中的《拟投入本工程施工的主要机械设备配备表》投入机械设备，经监理工程师或发包人代表检查发现的，将书面告知限期整改，未在限期内完成整改的，每延期一天，承包人需支付</w:t>
      </w:r>
      <w:r>
        <w:rPr>
          <w:rFonts w:ascii="宋体" w:hAnsi="宋体" w:cs="宋体"/>
          <w:color w:val="auto"/>
          <w:sz w:val="24"/>
          <w:szCs w:val="24"/>
          <w:highlight w:val="none"/>
          <w:u w:val="single"/>
        </w:rPr>
        <w:t>10000元违约金给发包人。且承包人应按照本合同相关约定投入相应比例的新能源工程车，否则发包人有权要求其限期整改，逾期不整改的，每缺少提供一台，承包人支付违约金20000元/台。</w:t>
      </w:r>
    </w:p>
    <w:p w14:paraId="52B08873">
      <w:pPr>
        <w:pStyle w:val="260"/>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如果承包人未投标文件中的人力投入计划投入人力，经监理工程师和发包人代表检查发现的，每发现一次，承包人支付</w:t>
      </w:r>
      <w:r>
        <w:rPr>
          <w:rFonts w:ascii="宋体" w:hAnsi="宋体" w:cs="宋体"/>
          <w:color w:val="auto"/>
          <w:sz w:val="24"/>
          <w:szCs w:val="24"/>
          <w:highlight w:val="none"/>
          <w:u w:val="single"/>
        </w:rPr>
        <w:t>10000元违约金给发包人</w:t>
      </w:r>
      <w:r>
        <w:rPr>
          <w:rFonts w:hint="eastAsia" w:ascii="宋体" w:hAnsi="宋体" w:cs="宋体"/>
          <w:color w:val="auto"/>
          <w:sz w:val="24"/>
          <w:szCs w:val="24"/>
          <w:highlight w:val="none"/>
        </w:rPr>
        <w:t>。</w:t>
      </w:r>
    </w:p>
    <w:p w14:paraId="302A2D4A">
      <w:pPr>
        <w:pStyle w:val="260"/>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如果检查发现承包人超过三次未按承诺投入的人力、机械、物力组织施工，发包人将作为不良纪录报区建设行政主管部门备案。如果检查发现承包人没有按施工组织设计的进度安排推进工程建设，使主要工序的工期延误超过</w:t>
      </w:r>
      <w:r>
        <w:rPr>
          <w:rFonts w:ascii="宋体" w:hAnsi="宋体" w:cs="宋体"/>
          <w:color w:val="auto"/>
          <w:sz w:val="24"/>
          <w:szCs w:val="24"/>
          <w:highlight w:val="none"/>
          <w:u w:val="single"/>
        </w:rPr>
        <w:t>10天，没有按发包人的意见撤换现场负责人；或者按发包人的意见撤换现场负责人后，仍然无法有效控制工程进度，</w:t>
      </w:r>
      <w:r>
        <w:rPr>
          <w:rFonts w:hint="eastAsia" w:ascii="宋体" w:hAnsi="宋体" w:cs="宋体"/>
          <w:color w:val="auto"/>
          <w:sz w:val="24"/>
          <w:szCs w:val="24"/>
          <w:highlight w:val="none"/>
          <w:u w:val="single"/>
        </w:rPr>
        <w:t>承包人除需按本条第（</w:t>
      </w:r>
      <w:r>
        <w:rPr>
          <w:rFonts w:ascii="宋体" w:hAnsi="宋体" w:cs="宋体"/>
          <w:color w:val="auto"/>
          <w:sz w:val="24"/>
          <w:szCs w:val="24"/>
          <w:highlight w:val="none"/>
          <w:u w:val="single"/>
        </w:rPr>
        <w:t>1）项支付违约金外，发包人将发出书面警告，警告发出后15</w:t>
      </w:r>
      <w:r>
        <w:rPr>
          <w:rFonts w:hint="eastAsia" w:ascii="宋体" w:hAnsi="宋体" w:cs="宋体"/>
          <w:color w:val="auto"/>
          <w:sz w:val="24"/>
          <w:szCs w:val="24"/>
          <w:highlight w:val="none"/>
          <w:u w:val="single"/>
        </w:rPr>
        <w:t>天内，主要工序的工期延误仍然超过</w:t>
      </w:r>
      <w:r>
        <w:rPr>
          <w:rFonts w:ascii="宋体" w:hAnsi="宋体" w:cs="宋体"/>
          <w:color w:val="auto"/>
          <w:sz w:val="24"/>
          <w:szCs w:val="24"/>
          <w:highlight w:val="none"/>
          <w:u w:val="single"/>
        </w:rPr>
        <w:t>10天，发包人将作为不良纪录报区建</w:t>
      </w:r>
      <w:r>
        <w:rPr>
          <w:rFonts w:hint="eastAsia" w:ascii="宋体" w:hAnsi="宋体" w:cs="宋体"/>
          <w:color w:val="auto"/>
          <w:sz w:val="24"/>
          <w:szCs w:val="24"/>
          <w:highlight w:val="none"/>
          <w:u w:val="single"/>
        </w:rPr>
        <w:t>设行政主管部门备案。对此，承包人不得有异议</w:t>
      </w:r>
      <w:r>
        <w:rPr>
          <w:rFonts w:hint="eastAsia" w:ascii="宋体" w:hAnsi="宋体" w:cs="宋体"/>
          <w:color w:val="auto"/>
          <w:sz w:val="24"/>
          <w:szCs w:val="24"/>
          <w:highlight w:val="none"/>
        </w:rPr>
        <w:t>。</w:t>
      </w:r>
    </w:p>
    <w:p w14:paraId="50EABF92">
      <w:pPr>
        <w:pStyle w:val="260"/>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承包人的项目负责人、技术负责人、安全负责人、质量负责人</w:t>
      </w:r>
      <w:r>
        <w:rPr>
          <w:rFonts w:hint="eastAsia" w:ascii="宋体" w:hAnsi="宋体" w:cs="宋体"/>
          <w:strike/>
          <w:color w:val="auto"/>
          <w:sz w:val="24"/>
          <w:szCs w:val="24"/>
          <w:highlight w:val="none"/>
          <w:u w:val="single"/>
        </w:rPr>
        <w:t>、防火负责人</w:t>
      </w:r>
      <w:r>
        <w:rPr>
          <w:rFonts w:hint="eastAsia" w:ascii="宋体" w:hAnsi="宋体" w:cs="宋体"/>
          <w:color w:val="auto"/>
          <w:sz w:val="24"/>
          <w:szCs w:val="24"/>
          <w:highlight w:val="none"/>
          <w:u w:val="single"/>
        </w:rPr>
        <w:t>等必须常驻施工现场，且须无条件参加每周的工地例会以及发包人书面通知的其它会议，如有缺席，则每人每缺席一次，承包人需支付</w:t>
      </w:r>
      <w:r>
        <w:rPr>
          <w:rFonts w:ascii="宋体" w:hAnsi="宋体" w:cs="宋体"/>
          <w:color w:val="auto"/>
          <w:sz w:val="24"/>
          <w:szCs w:val="24"/>
          <w:highlight w:val="none"/>
          <w:u w:val="single"/>
        </w:rPr>
        <w:t>5000元人民币违约金</w:t>
      </w:r>
      <w:r>
        <w:rPr>
          <w:rFonts w:hint="eastAsia" w:ascii="宋体" w:hAnsi="宋体" w:cs="宋体"/>
          <w:color w:val="auto"/>
          <w:sz w:val="24"/>
          <w:szCs w:val="24"/>
          <w:highlight w:val="none"/>
        </w:rPr>
        <w:t>。</w:t>
      </w:r>
    </w:p>
    <w:p w14:paraId="4DE3E80A">
      <w:pPr>
        <w:snapToGrid w:val="0"/>
        <w:spacing w:line="440" w:lineRule="exact"/>
        <w:rPr>
          <w:rFonts w:ascii="宋体" w:hAnsi="宋体" w:cs="宋体"/>
          <w:color w:val="auto"/>
          <w:sz w:val="24"/>
          <w:szCs w:val="24"/>
          <w:highlight w:val="none"/>
        </w:rPr>
      </w:pPr>
      <w:r>
        <w:rPr>
          <w:rFonts w:ascii="宋体" w:hAnsi="宋体" w:cs="宋体"/>
          <w:color w:val="auto"/>
          <w:sz w:val="24"/>
          <w:szCs w:val="24"/>
          <w:highlight w:val="none"/>
        </w:rPr>
        <w:t xml:space="preserve">    35.2.7工程转包违约责任</w:t>
      </w:r>
      <w:r>
        <w:rPr>
          <w:rFonts w:hint="eastAsia" w:ascii="宋体" w:hAnsi="宋体" w:cs="宋体"/>
          <w:color w:val="auto"/>
          <w:sz w:val="24"/>
          <w:szCs w:val="24"/>
          <w:highlight w:val="none"/>
        </w:rPr>
        <w:t>：</w:t>
      </w:r>
    </w:p>
    <w:p w14:paraId="65FEE3DC">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u w:val="single"/>
        </w:rPr>
        <w:t>合同约定的工程项目承包人不得转包，必须分包的少量子项工程和专业工程，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w:t>
      </w:r>
      <w:r>
        <w:rPr>
          <w:rFonts w:hint="eastAsia" w:ascii="宋体" w:hAnsi="宋体" w:cs="宋体"/>
          <w:color w:val="auto"/>
          <w:sz w:val="24"/>
          <w:szCs w:val="24"/>
          <w:highlight w:val="none"/>
        </w:rPr>
        <w:t>。</w:t>
      </w:r>
    </w:p>
    <w:p w14:paraId="4AD4C7FF">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承包人在本工程中有转包、转让、出借资质证书或者以其他方式允许他人以本企业的名义承揽工程的，发包人将根据实际情况解除合同，承包人按合同价的</w:t>
      </w:r>
      <w:r>
        <w:rPr>
          <w:rFonts w:ascii="宋体" w:hAnsi="宋体" w:cs="宋体"/>
          <w:color w:val="auto"/>
          <w:sz w:val="24"/>
          <w:szCs w:val="24"/>
          <w:highlight w:val="none"/>
          <w:u w:val="single"/>
        </w:rPr>
        <w:t>10%承担违约金。因此导致发包人损失超出违约金的部分，承包人应负责赔偿。</w:t>
      </w:r>
    </w:p>
    <w:p w14:paraId="7B41666E">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35.2.8解除合同的违约责任</w:t>
      </w:r>
      <w:r>
        <w:rPr>
          <w:rFonts w:hint="eastAsia" w:ascii="宋体" w:hAnsi="宋体" w:cs="宋体"/>
          <w:color w:val="auto"/>
          <w:sz w:val="24"/>
          <w:szCs w:val="24"/>
          <w:highlight w:val="none"/>
        </w:rPr>
        <w:t>：</w:t>
      </w:r>
    </w:p>
    <w:p w14:paraId="2BE969EF">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u w:val="single"/>
        </w:rPr>
        <w:t>35.2.8.1因承包人严重违约</w:t>
      </w:r>
      <w:r>
        <w:rPr>
          <w:rFonts w:hint="eastAsia" w:ascii="宋体" w:hAnsi="宋体" w:cs="宋体"/>
          <w:color w:val="auto"/>
          <w:sz w:val="24"/>
          <w:szCs w:val="24"/>
          <w:highlight w:val="none"/>
          <w:u w:val="single"/>
        </w:rPr>
        <w:t>导致发包人单方面解除合同或承包人违约擅自解除合同的，承包人应向发包人支付本合同价款</w:t>
      </w:r>
      <w:r>
        <w:rPr>
          <w:rFonts w:ascii="宋体" w:hAnsi="宋体" w:cs="宋体"/>
          <w:color w:val="auto"/>
          <w:sz w:val="24"/>
          <w:szCs w:val="24"/>
          <w:highlight w:val="none"/>
          <w:u w:val="single"/>
        </w:rPr>
        <w:t>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14:paraId="331C4B22">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u w:val="single"/>
        </w:rPr>
        <w:t>35.2.8.2不适用通用条款44.6条的约定。</w:t>
      </w:r>
    </w:p>
    <w:p w14:paraId="55B0452A">
      <w:pPr>
        <w:tabs>
          <w:tab w:val="left" w:pos="8280"/>
        </w:tabs>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35.2.9</w:t>
      </w:r>
      <w:r>
        <w:rPr>
          <w:rFonts w:hint="eastAsia" w:ascii="宋体" w:hAnsi="宋体" w:cs="宋体"/>
          <w:color w:val="auto"/>
          <w:sz w:val="24"/>
          <w:szCs w:val="24"/>
          <w:highlight w:val="none"/>
        </w:rPr>
        <w:t>办理结算的违约责任：</w:t>
      </w:r>
    </w:p>
    <w:p w14:paraId="641877EF">
      <w:pPr>
        <w:tabs>
          <w:tab w:val="left" w:pos="8280"/>
        </w:tabs>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承包人不执行</w:t>
      </w:r>
      <w:r>
        <w:rPr>
          <w:rFonts w:hint="eastAsia" w:ascii="宋体" w:hAnsi="宋体" w:cs="宋体"/>
          <w:color w:val="auto"/>
          <w:sz w:val="24"/>
          <w:highlight w:val="none"/>
          <w:u w:val="single"/>
        </w:rPr>
        <w:t>《广州开发区财政投资建设项目管理中心施工类合同结算编审指引（2024年修订稿）》（穗开建管【2024】65号）</w:t>
      </w:r>
      <w:r>
        <w:rPr>
          <w:rFonts w:hint="eastAsia" w:ascii="宋体" w:hAnsi="宋体" w:cs="宋体"/>
          <w:color w:val="auto"/>
          <w:sz w:val="24"/>
          <w:szCs w:val="24"/>
          <w:highlight w:val="none"/>
          <w:u w:val="single"/>
        </w:rPr>
        <w:t>有关规定的，须按该指引有关规定承担违约责任</w:t>
      </w:r>
      <w:r>
        <w:rPr>
          <w:rFonts w:hint="eastAsia" w:ascii="宋体" w:hAnsi="宋体" w:cs="宋体"/>
          <w:color w:val="auto"/>
          <w:sz w:val="24"/>
          <w:szCs w:val="24"/>
          <w:highlight w:val="none"/>
        </w:rPr>
        <w:t>。</w:t>
      </w:r>
    </w:p>
    <w:p w14:paraId="5B9C7256">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35.2.10</w:t>
      </w:r>
      <w:r>
        <w:rPr>
          <w:rFonts w:hint="eastAsia" w:ascii="宋体" w:hAnsi="宋体" w:cs="宋体"/>
          <w:color w:val="auto"/>
          <w:sz w:val="24"/>
          <w:szCs w:val="24"/>
          <w:highlight w:val="none"/>
          <w:u w:val="single"/>
        </w:rPr>
        <w:t>除上述违约责任外，因承包人履行本合同不符合约定或相关规定，发包人可根据实际情况，给予承包人通报批评及作不良记录等处罚措施；情节严重的，可报请上级行政主管部门给予相应处罚</w:t>
      </w:r>
      <w:r>
        <w:rPr>
          <w:rFonts w:hint="eastAsia" w:ascii="宋体" w:hAnsi="宋体" w:cs="宋体"/>
          <w:color w:val="auto"/>
          <w:sz w:val="24"/>
          <w:szCs w:val="24"/>
          <w:highlight w:val="none"/>
        </w:rPr>
        <w:t>。</w:t>
      </w:r>
    </w:p>
    <w:p w14:paraId="716E294F">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u w:val="single"/>
        </w:rPr>
        <w:t>35.2.11</w:t>
      </w:r>
      <w:r>
        <w:rPr>
          <w:rFonts w:hint="eastAsia" w:ascii="宋体" w:hAnsi="宋体" w:cs="宋体"/>
          <w:color w:val="auto"/>
          <w:sz w:val="24"/>
          <w:szCs w:val="24"/>
          <w:highlight w:val="none"/>
          <w:u w:val="single"/>
        </w:rPr>
        <w:t>承包人违约责任的认定方式、送达程序及违约金的处理</w:t>
      </w:r>
    </w:p>
    <w:p w14:paraId="01CEC260">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1）认定方式：以发包人发出的通知、通报、会议纪要等书面文件确定的内容为准。</w:t>
      </w:r>
    </w:p>
    <w:p w14:paraId="48C6BAFD">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2）送达程序：发包人以下列方式之一将书面违约处理决定送达承包人：</w:t>
      </w:r>
    </w:p>
    <w:p w14:paraId="43B1BAFD">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u w:val="single"/>
        </w:rPr>
        <w:t>1）承包人现场管理机构工作人员签收。</w:t>
      </w:r>
    </w:p>
    <w:p w14:paraId="16DD93DB">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u w:val="single"/>
        </w:rPr>
        <w:t>2）承包人其他工作人员签收。</w:t>
      </w:r>
    </w:p>
    <w:p w14:paraId="467D59BB">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u w:val="single"/>
        </w:rPr>
        <w:t>3）发包人邮寄送达。</w:t>
      </w:r>
    </w:p>
    <w:p w14:paraId="5B932DE0">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14:paraId="05D9925F">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37</w:t>
      </w:r>
      <w:r>
        <w:rPr>
          <w:rFonts w:hint="eastAsia" w:ascii="宋体" w:hAnsi="宋体" w:cs="宋体"/>
          <w:b/>
          <w:color w:val="auto"/>
          <w:sz w:val="24"/>
          <w:highlight w:val="none"/>
        </w:rPr>
        <w:t>、争议</w:t>
      </w:r>
    </w:p>
    <w:p w14:paraId="22D3E7EC">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37.1</w:t>
      </w:r>
      <w:r>
        <w:rPr>
          <w:rFonts w:hint="eastAsia" w:ascii="宋体" w:hAnsi="宋体" w:cs="宋体"/>
          <w:color w:val="auto"/>
          <w:sz w:val="24"/>
          <w:szCs w:val="24"/>
          <w:highlight w:val="none"/>
        </w:rPr>
        <w:t>双方约定，在履行合同过程中产生争议时：</w:t>
      </w:r>
    </w:p>
    <w:p w14:paraId="12162FF0">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）由双方协商解决；</w:t>
      </w:r>
    </w:p>
    <w:p w14:paraId="6289FA2B">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）协商不成的，向</w:t>
      </w:r>
      <w:r>
        <w:rPr>
          <w:rFonts w:hint="eastAsia" w:ascii="宋体" w:hAnsi="宋体" w:cs="宋体"/>
          <w:color w:val="auto"/>
          <w:sz w:val="24"/>
          <w:szCs w:val="24"/>
          <w:highlight w:val="none"/>
          <w:u w:val="single"/>
        </w:rPr>
        <w:t>工程所在地</w:t>
      </w:r>
      <w:r>
        <w:rPr>
          <w:rFonts w:hint="eastAsia" w:ascii="宋体" w:hAnsi="宋体" w:cs="宋体"/>
          <w:color w:val="auto"/>
          <w:sz w:val="24"/>
          <w:szCs w:val="24"/>
          <w:highlight w:val="none"/>
        </w:rPr>
        <w:t>人民法院提起诉讼。</w:t>
      </w:r>
    </w:p>
    <w:p w14:paraId="25C72300">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十一、其他</w:t>
      </w:r>
    </w:p>
    <w:p w14:paraId="03A78113">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38</w:t>
      </w:r>
      <w:r>
        <w:rPr>
          <w:rFonts w:hint="eastAsia" w:ascii="宋体" w:hAnsi="宋体" w:cs="宋体"/>
          <w:b/>
          <w:color w:val="auto"/>
          <w:sz w:val="24"/>
          <w:highlight w:val="none"/>
        </w:rPr>
        <w:t>、工程分包</w:t>
      </w:r>
    </w:p>
    <w:p w14:paraId="0A480B09">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38.1（1）本工程发包人同意承包人分包的工程：非主体非关键工程。承包人</w:t>
      </w:r>
      <w:r>
        <w:rPr>
          <w:rFonts w:hint="eastAsia" w:ascii="宋体" w:hAnsi="宋体" w:cs="宋体"/>
          <w:color w:val="auto"/>
          <w:sz w:val="24"/>
          <w:highlight w:val="none"/>
          <w:lang w:eastAsia="zh-CN"/>
        </w:rPr>
        <w:t>分</w:t>
      </w:r>
      <w:r>
        <w:rPr>
          <w:rFonts w:hint="eastAsia" w:ascii="宋体" w:hAnsi="宋体" w:eastAsia="宋体" w:cs="宋体"/>
          <w:color w:val="auto"/>
          <w:sz w:val="24"/>
          <w:highlight w:val="none"/>
        </w:rPr>
        <w:t xml:space="preserve">包专业工程或劳务作业以及专业分包单位发包劳务作业的，应将拟分包专业工程或劳务作业的内容、数量、分包单位的资质、信誉、施工能力等情况形成书面报告，经监理单位审核通过，报发包人审批同意后实施，否则不得分包。 劳务分包必须严格执行广州市相关规定，禁止分包劳务给无资质单位或个人。在发包人同意承包人进行劳务分包的情况下，劳务分包单位须与向政府相关部门备案的劳务分包的单位一致，不得私自变更劳务分包单位。 </w:t>
      </w:r>
    </w:p>
    <w:p w14:paraId="3483CEF7">
      <w:pPr>
        <w:numPr>
          <w:ilvl w:val="-1"/>
          <w:numId w:val="0"/>
        </w:numPr>
        <w:snapToGrid w:val="0"/>
        <w:spacing w:line="440" w:lineRule="exact"/>
        <w:ind w:left="0" w:firstLine="420" w:firstLineChars="200"/>
        <w:rPr>
          <w:rFonts w:hint="eastAsia"/>
          <w:color w:val="auto"/>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承包人向一家或者多家小微施工企业分包的合同份额为合同总金额   %（其中：向 XXXX公司分包工程本合同金额占比为   %、向 XXXX公司分包工程本合同金额占比为   %...）（按《中小企业声明函》执行）。经查实，该分包企业若不具备承接分包工作任务相应资质的，承包人需另行分包给具备承接分包工作任务资质的小微企业，分包给小微企业的总分包合同（含专业工程分包和劳务分包）金额占比不得低于《中小企业声明函》执行,且发包人予以承包人中标价的千分之五的处罚，并限制其一定期限内参与招标人后续项目投标。（本条适用于承包人为大中型企业，且其投标出具《中小企业声明函》，并享受中小企业扶持政策，否则签订合同做删除）承包人需建立分包管理台账，定期报监理、发包人审核和检查。</w:t>
      </w:r>
    </w:p>
    <w:p w14:paraId="5FFA7456">
      <w:pPr>
        <w:snapToGrid w:val="0"/>
        <w:spacing w:line="440" w:lineRule="exact"/>
        <w:ind w:firstLine="397"/>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承包人和分包单位应当采用国家制定的施工分包合同示范文本，依法签订分包合同，明确各自的安全生产方面的权利、义务。承包人与分包单位签订的分包合同中应明确工人工资比例及支付期限，款项支付严格按照《保障中小企业款项支付条例》执行。施工总承包单位应将分包合同分别报建设、监理单位备存。 若承包人违反以上条款，承包人应按总监理工程师或者发包人的指令限期改正。承包人拒不改正或未及时完成整改的，发包人有权视情节要求承包人承担一般违约责任或严重违约责任，同时前述违约情形与承包人履约评价考核挂钩。发包人可根据实际情况，给予承包人通报批评、拒绝其一段时期投标等处罚措施；情节严重的，可报请上级行政主管部门给予相应处罚。</w:t>
      </w:r>
    </w:p>
    <w:p w14:paraId="48BCD9EB">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39</w:t>
      </w:r>
      <w:r>
        <w:rPr>
          <w:rFonts w:hint="eastAsia" w:ascii="宋体" w:hAnsi="宋体" w:cs="宋体"/>
          <w:b/>
          <w:color w:val="auto"/>
          <w:sz w:val="24"/>
          <w:highlight w:val="none"/>
        </w:rPr>
        <w:t>、不可抗力</w:t>
      </w:r>
    </w:p>
    <w:p w14:paraId="1878E3A9">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39.1</w:t>
      </w:r>
      <w:r>
        <w:rPr>
          <w:rFonts w:hint="eastAsia" w:ascii="宋体" w:hAnsi="宋体" w:cs="宋体"/>
          <w:color w:val="auto"/>
          <w:sz w:val="24"/>
          <w:szCs w:val="24"/>
          <w:highlight w:val="none"/>
        </w:rPr>
        <w:t>双方关于不可抗力的约定：按本合同通用条款执行，自然灾害的范围及其认定方式，按下述约定执行：</w:t>
      </w:r>
    </w:p>
    <w:p w14:paraId="754C1040">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u w:val="single"/>
        </w:rPr>
        <w:t>异常天气：仅指</w:t>
      </w:r>
      <w:r>
        <w:rPr>
          <w:rFonts w:ascii="宋体" w:hAnsi="宋体" w:cs="宋体"/>
          <w:color w:val="auto"/>
          <w:sz w:val="24"/>
          <w:szCs w:val="24"/>
          <w:highlight w:val="none"/>
          <w:u w:val="single"/>
        </w:rPr>
        <w:t>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Pr>
          <w:rFonts w:hint="eastAsia" w:ascii="宋体" w:hAnsi="宋体" w:cs="宋体"/>
          <w:color w:val="auto"/>
          <w:sz w:val="24"/>
          <w:szCs w:val="24"/>
          <w:highlight w:val="none"/>
        </w:rPr>
        <w:t>。</w:t>
      </w:r>
    </w:p>
    <w:p w14:paraId="14E746D1">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u w:val="single"/>
        </w:rPr>
        <w:t>里氏</w:t>
      </w:r>
      <w:r>
        <w:rPr>
          <w:rFonts w:ascii="宋体" w:hAnsi="宋体" w:cs="宋体"/>
          <w:color w:val="auto"/>
          <w:sz w:val="24"/>
          <w:szCs w:val="24"/>
          <w:highlight w:val="none"/>
          <w:u w:val="single"/>
        </w:rPr>
        <w:t>5级（含本数）以上地震</w:t>
      </w:r>
      <w:r>
        <w:rPr>
          <w:rFonts w:hint="eastAsia" w:ascii="宋体" w:hAnsi="宋体" w:cs="宋体"/>
          <w:color w:val="auto"/>
          <w:sz w:val="24"/>
          <w:szCs w:val="24"/>
          <w:highlight w:val="none"/>
        </w:rPr>
        <w:t>。</w:t>
      </w:r>
    </w:p>
    <w:p w14:paraId="1284EF3A">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39.3双方关于不可抗力事件导致的</w:t>
      </w:r>
      <w:r>
        <w:rPr>
          <w:rFonts w:hint="eastAsia" w:ascii="宋体" w:hAnsi="宋体" w:cs="宋体"/>
          <w:color w:val="auto"/>
          <w:sz w:val="24"/>
          <w:szCs w:val="24"/>
          <w:highlight w:val="none"/>
        </w:rPr>
        <w:t>费用承担</w:t>
      </w:r>
      <w:r>
        <w:rPr>
          <w:rFonts w:hint="eastAsia" w:ascii="宋体" w:hAnsi="宋体" w:cs="宋体"/>
          <w:color w:val="auto"/>
          <w:sz w:val="24"/>
          <w:szCs w:val="24"/>
          <w:highlight w:val="none"/>
          <w:u w:val="single"/>
        </w:rPr>
        <w:t>按本专用条款</w:t>
      </w:r>
      <w:r>
        <w:rPr>
          <w:rFonts w:ascii="宋体" w:hAnsi="宋体" w:cs="宋体"/>
          <w:color w:val="auto"/>
          <w:sz w:val="24"/>
          <w:szCs w:val="24"/>
          <w:highlight w:val="none"/>
          <w:u w:val="single"/>
        </w:rPr>
        <w:t>12.3款约定</w:t>
      </w:r>
      <w:r>
        <w:rPr>
          <w:rFonts w:ascii="宋体" w:hAnsi="宋体" w:cs="宋体"/>
          <w:color w:val="auto"/>
          <w:sz w:val="24"/>
          <w:szCs w:val="24"/>
          <w:highlight w:val="none"/>
        </w:rPr>
        <w:t>执行</w:t>
      </w:r>
      <w:r>
        <w:rPr>
          <w:rFonts w:hint="eastAsia" w:ascii="宋体" w:hAnsi="宋体" w:cs="宋体"/>
          <w:color w:val="auto"/>
          <w:sz w:val="24"/>
          <w:szCs w:val="24"/>
          <w:highlight w:val="none"/>
        </w:rPr>
        <w:t>。</w:t>
      </w:r>
    </w:p>
    <w:p w14:paraId="217679AE">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40</w:t>
      </w:r>
      <w:r>
        <w:rPr>
          <w:rFonts w:hint="eastAsia" w:ascii="宋体" w:hAnsi="宋体" w:cs="宋体"/>
          <w:b/>
          <w:color w:val="auto"/>
          <w:sz w:val="24"/>
          <w:highlight w:val="none"/>
        </w:rPr>
        <w:t>、保险</w:t>
      </w:r>
    </w:p>
    <w:p w14:paraId="177DA4A6">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40.2承包人对其运至施工场地内用于工程的材料和待安装设备办理保险并支付保险费</w:t>
      </w:r>
      <w:r>
        <w:rPr>
          <w:rFonts w:hint="eastAsia" w:ascii="宋体" w:hAnsi="宋体" w:cs="宋体"/>
          <w:color w:val="auto"/>
          <w:sz w:val="24"/>
          <w:szCs w:val="24"/>
          <w:highlight w:val="none"/>
        </w:rPr>
        <w:t>用。</w:t>
      </w:r>
    </w:p>
    <w:p w14:paraId="37B7685A">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40.6</w:t>
      </w:r>
      <w:r>
        <w:rPr>
          <w:rFonts w:hint="eastAsia" w:ascii="宋体" w:hAnsi="宋体" w:cs="宋体"/>
          <w:color w:val="auto"/>
          <w:sz w:val="24"/>
          <w:szCs w:val="24"/>
          <w:highlight w:val="none"/>
        </w:rPr>
        <w:t>本工程双方约定投保内容如下：</w:t>
      </w:r>
    </w:p>
    <w:p w14:paraId="048CABA5">
      <w:pPr>
        <w:snapToGrid w:val="0"/>
        <w:spacing w:line="440" w:lineRule="exact"/>
        <w:ind w:left="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发包人投保内容：</w:t>
      </w:r>
      <w:r>
        <w:rPr>
          <w:rFonts w:hint="eastAsia" w:ascii="宋体" w:hAnsi="宋体" w:cs="宋体"/>
          <w:color w:val="auto"/>
          <w:sz w:val="24"/>
          <w:szCs w:val="24"/>
          <w:highlight w:val="none"/>
          <w:u w:val="single"/>
        </w:rPr>
        <w:t>按广州市建设项目劳动保险相关规定投保</w:t>
      </w:r>
      <w:r>
        <w:rPr>
          <w:rFonts w:hint="eastAsia" w:ascii="宋体" w:hAnsi="宋体" w:cs="宋体"/>
          <w:color w:val="auto"/>
          <w:sz w:val="24"/>
          <w:szCs w:val="24"/>
          <w:highlight w:val="none"/>
        </w:rPr>
        <w:t>。</w:t>
      </w:r>
    </w:p>
    <w:p w14:paraId="53F46B4B">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发包人委托承包人办理的保险事项：</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749C78EB">
      <w:pPr>
        <w:snapToGrid w:val="0"/>
        <w:spacing w:line="440" w:lineRule="exact"/>
        <w:ind w:left="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承包人投保内容：</w:t>
      </w:r>
      <w:r>
        <w:rPr>
          <w:rFonts w:hint="eastAsia" w:ascii="宋体" w:hAnsi="宋体" w:cs="宋体"/>
          <w:color w:val="auto"/>
          <w:sz w:val="24"/>
          <w:szCs w:val="24"/>
          <w:highlight w:val="none"/>
          <w:u w:val="single"/>
        </w:rPr>
        <w:t>开工前承包人应当投保安全生产责任保险，且该保险保障场所应包含本项目，合同价视作已含该项费用。承包人未按规定购买安全生产责任保险，发包人可视严重程度拒绝该单位一定时期内参与后续工程投标</w:t>
      </w:r>
      <w:r>
        <w:rPr>
          <w:rFonts w:hint="eastAsia" w:ascii="宋体" w:hAnsi="宋体" w:cs="宋体"/>
          <w:color w:val="auto"/>
          <w:sz w:val="24"/>
          <w:szCs w:val="24"/>
          <w:highlight w:val="none"/>
        </w:rPr>
        <w:t>。</w:t>
      </w:r>
    </w:p>
    <w:p w14:paraId="61FC04C7">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41</w:t>
      </w:r>
      <w:r>
        <w:rPr>
          <w:rFonts w:hint="eastAsia" w:ascii="宋体" w:hAnsi="宋体" w:cs="宋体"/>
          <w:b/>
          <w:color w:val="auto"/>
          <w:sz w:val="24"/>
          <w:highlight w:val="none"/>
        </w:rPr>
        <w:t>、担保</w:t>
      </w:r>
    </w:p>
    <w:p w14:paraId="6AE389F5">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41.1 </w:t>
      </w:r>
      <w:r>
        <w:rPr>
          <w:rFonts w:hint="eastAsia" w:ascii="宋体" w:hAnsi="宋体" w:cs="宋体"/>
          <w:color w:val="auto"/>
          <w:sz w:val="24"/>
          <w:highlight w:val="none"/>
        </w:rPr>
        <w:t>本工程双方约定担保事项如下：</w:t>
      </w:r>
    </w:p>
    <w:p w14:paraId="2B33464A">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1）发包人向承包人提供支付担保，担保方式为：支付担保保函。</w:t>
      </w:r>
    </w:p>
    <w:p w14:paraId="4C2E43BB">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2）承包人按如下方式向发包人提供履约担保：</w:t>
      </w:r>
    </w:p>
    <w:p w14:paraId="36870419">
      <w:pPr>
        <w:snapToGrid w:val="0"/>
        <w:spacing w:line="440" w:lineRule="exact"/>
        <w:ind w:firstLine="516" w:firstLineChars="215"/>
        <w:rPr>
          <w:rFonts w:ascii="宋体" w:hAnsi="宋体" w:cs="宋体"/>
          <w:color w:val="auto"/>
          <w:sz w:val="24"/>
          <w:highlight w:val="none"/>
        </w:rPr>
      </w:pPr>
      <w:r>
        <w:rPr>
          <w:rFonts w:hint="eastAsia" w:ascii="宋体" w:hAnsi="宋体" w:cs="宋体"/>
          <w:color w:val="auto"/>
          <w:sz w:val="24"/>
          <w:highlight w:val="none"/>
        </w:rPr>
        <w:t>①</w:t>
      </w:r>
      <w:r>
        <w:rPr>
          <w:rFonts w:ascii="宋体" w:hAnsi="宋体" w:cs="宋体"/>
          <w:color w:val="auto"/>
          <w:sz w:val="24"/>
          <w:highlight w:val="none"/>
        </w:rPr>
        <w:t xml:space="preserve"> </w:t>
      </w:r>
      <w:r>
        <w:rPr>
          <w:rFonts w:hint="eastAsia" w:ascii="宋体" w:hAnsi="宋体" w:cs="宋体"/>
          <w:color w:val="auto"/>
          <w:sz w:val="24"/>
          <w:highlight w:val="none"/>
        </w:rPr>
        <w:t>履约担保：承包人向发包人提交担保金额为中标价</w:t>
      </w:r>
      <w:r>
        <w:rPr>
          <w:rFonts w:ascii="宋体" w:hAnsi="宋体" w:cs="宋体"/>
          <w:color w:val="auto"/>
          <w:sz w:val="24"/>
          <w:highlight w:val="none"/>
        </w:rPr>
        <w:t xml:space="preserve">10%的履约担保，担保形式执行《关于规范招投标领域工程建设保证金收取有关工作的通知》（粤发改法规函〔2022〕1178 </w:t>
      </w:r>
      <w:r>
        <w:rPr>
          <w:rFonts w:hint="eastAsia" w:ascii="宋体" w:hAnsi="宋体" w:cs="宋体"/>
          <w:color w:val="auto"/>
          <w:sz w:val="24"/>
          <w:highlight w:val="none"/>
        </w:rPr>
        <w:t>号）规定。担保到期但工程尚未验收的，承包人应自觉办理担保延期手续，确保担保期限不出现空缺，否则，发包人不予支付工程款。</w:t>
      </w:r>
    </w:p>
    <w:p w14:paraId="0337C914">
      <w:pPr>
        <w:snapToGrid w:val="0"/>
        <w:spacing w:line="440" w:lineRule="exact"/>
        <w:ind w:firstLine="516" w:firstLineChars="215"/>
        <w:rPr>
          <w:rFonts w:ascii="宋体" w:hAnsi="宋体" w:cs="宋体"/>
          <w:color w:val="auto"/>
          <w:sz w:val="24"/>
          <w:highlight w:val="none"/>
        </w:rPr>
      </w:pPr>
      <w:r>
        <w:rPr>
          <w:rFonts w:hint="eastAsia" w:ascii="宋体" w:hAnsi="宋体" w:cs="宋体"/>
          <w:color w:val="auto"/>
          <w:sz w:val="24"/>
          <w:highlight w:val="none"/>
        </w:rPr>
        <w:t>首次办理履约担保，如合同工期低于</w:t>
      </w:r>
      <w:r>
        <w:rPr>
          <w:rFonts w:ascii="宋体" w:hAnsi="宋体" w:cs="宋体"/>
          <w:color w:val="auto"/>
          <w:sz w:val="24"/>
          <w:highlight w:val="none"/>
        </w:rPr>
        <w:t xml:space="preserve">1 </w:t>
      </w:r>
      <w:r>
        <w:rPr>
          <w:rFonts w:hint="eastAsia" w:ascii="宋体" w:hAnsi="宋体" w:cs="宋体"/>
          <w:color w:val="auto"/>
          <w:sz w:val="24"/>
          <w:highlight w:val="none"/>
        </w:rPr>
        <w:t>年的，担保期限可按合同工期，如合同工期高于</w:t>
      </w:r>
      <w:r>
        <w:rPr>
          <w:rFonts w:ascii="宋体" w:hAnsi="宋体" w:cs="宋体"/>
          <w:color w:val="auto"/>
          <w:sz w:val="24"/>
          <w:highlight w:val="none"/>
        </w:rPr>
        <w:t xml:space="preserve">1年的，担保期限不低于1 </w:t>
      </w:r>
      <w:r>
        <w:rPr>
          <w:rFonts w:hint="eastAsia" w:ascii="宋体" w:hAnsi="宋体" w:cs="宋体"/>
          <w:color w:val="auto"/>
          <w:sz w:val="24"/>
          <w:highlight w:val="none"/>
        </w:rPr>
        <w:t>年。</w:t>
      </w:r>
    </w:p>
    <w:p w14:paraId="2CC4A7C9">
      <w:pPr>
        <w:snapToGrid w:val="0"/>
        <w:spacing w:line="440" w:lineRule="exact"/>
        <w:ind w:firstLine="516" w:firstLineChars="215"/>
        <w:rPr>
          <w:rFonts w:ascii="宋体" w:hAnsi="宋体" w:cs="宋体"/>
          <w:color w:val="auto"/>
          <w:sz w:val="24"/>
          <w:highlight w:val="none"/>
        </w:rPr>
      </w:pPr>
      <w:r>
        <w:rPr>
          <w:rFonts w:hint="eastAsia" w:ascii="宋体" w:hAnsi="宋体" w:cs="宋体"/>
          <w:color w:val="auto"/>
          <w:sz w:val="24"/>
          <w:highlight w:val="none"/>
        </w:rPr>
        <w:t>履约担保办理延期手续时，若项目的完成工程量不足一半，担保金额按中标价的</w:t>
      </w:r>
      <w:r>
        <w:rPr>
          <w:rFonts w:ascii="宋体" w:hAnsi="宋体" w:cs="宋体"/>
          <w:color w:val="auto"/>
          <w:sz w:val="24"/>
          <w:highlight w:val="none"/>
        </w:rPr>
        <w:t>10%；若项目的完成工程量超过一半，担保金额可按中标价的5%；其他特殊情况需调整的，需报发包人审议同意。</w:t>
      </w:r>
    </w:p>
    <w:p w14:paraId="75B534BF">
      <w:pPr>
        <w:snapToGrid w:val="0"/>
        <w:spacing w:line="44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szCs w:val="24"/>
          <w:highlight w:val="none"/>
          <w:u w:val="single"/>
          <w:lang w:val="en-US" w:eastAsia="zh-CN"/>
        </w:rPr>
        <w:t>履约担保</w:t>
      </w:r>
      <w:r>
        <w:rPr>
          <w:rFonts w:hint="eastAsia" w:ascii="宋体" w:hAnsi="宋体" w:cs="宋体"/>
          <w:color w:val="auto"/>
          <w:sz w:val="24"/>
          <w:szCs w:val="24"/>
          <w:highlight w:val="none"/>
          <w:u w:val="single"/>
        </w:rPr>
        <w:t>的管理和格式按《广州开发区财政投资建设项目管理中心建设工程履约担保管理细则（2025修订版）》执行。</w:t>
      </w:r>
    </w:p>
    <w:p w14:paraId="58A1B308">
      <w:pPr>
        <w:snapToGrid w:val="0"/>
        <w:spacing w:line="440" w:lineRule="exact"/>
        <w:ind w:firstLine="516" w:firstLineChars="215"/>
        <w:rPr>
          <w:rFonts w:ascii="宋体" w:hAnsi="宋体" w:cs="宋体"/>
          <w:color w:val="auto"/>
          <w:sz w:val="24"/>
          <w:highlight w:val="none"/>
        </w:rPr>
      </w:pPr>
      <w:r>
        <w:rPr>
          <w:rFonts w:hint="eastAsia" w:ascii="宋体" w:hAnsi="宋体" w:cs="宋体"/>
          <w:color w:val="auto"/>
          <w:sz w:val="24"/>
          <w:highlight w:val="none"/>
        </w:rPr>
        <w:t>②</w:t>
      </w:r>
      <w:r>
        <w:rPr>
          <w:rFonts w:ascii="宋体" w:hAnsi="宋体" w:cs="宋体"/>
          <w:color w:val="auto"/>
          <w:sz w:val="24"/>
          <w:highlight w:val="none"/>
        </w:rPr>
        <w:t xml:space="preserve"> </w:t>
      </w:r>
      <w:r>
        <w:rPr>
          <w:rFonts w:hint="eastAsia" w:ascii="宋体" w:hAnsi="宋体" w:cs="宋体"/>
          <w:color w:val="auto"/>
          <w:sz w:val="24"/>
          <w:highlight w:val="none"/>
        </w:rPr>
        <w:t>履约担保的返还方式：在工程</w:t>
      </w:r>
      <w:r>
        <w:rPr>
          <w:rFonts w:hint="eastAsia" w:ascii="宋体" w:hAnsi="宋体" w:cs="宋体"/>
          <w:color w:val="auto"/>
          <w:sz w:val="24"/>
          <w:highlight w:val="none"/>
          <w:lang w:val="en-US" w:eastAsia="zh-CN"/>
        </w:rPr>
        <w:t>竣工</w:t>
      </w:r>
      <w:r>
        <w:rPr>
          <w:rFonts w:hint="eastAsia" w:ascii="宋体" w:hAnsi="宋体" w:cs="宋体"/>
          <w:color w:val="auto"/>
          <w:sz w:val="24"/>
          <w:highlight w:val="none"/>
        </w:rPr>
        <w:t>验收合格后返还承包人。</w:t>
      </w:r>
    </w:p>
    <w:p w14:paraId="71F8A285">
      <w:pPr>
        <w:snapToGrid w:val="0"/>
        <w:spacing w:line="440" w:lineRule="exact"/>
        <w:ind w:firstLine="516" w:firstLineChars="215"/>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14:paraId="6AAF4498">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46</w:t>
      </w:r>
      <w:r>
        <w:rPr>
          <w:rFonts w:hint="eastAsia" w:ascii="宋体" w:hAnsi="宋体" w:cs="宋体"/>
          <w:b/>
          <w:color w:val="auto"/>
          <w:sz w:val="24"/>
          <w:highlight w:val="none"/>
        </w:rPr>
        <w:t>、合同份数</w:t>
      </w:r>
    </w:p>
    <w:p w14:paraId="0AD5F6A5">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46.1</w:t>
      </w:r>
      <w:r>
        <w:rPr>
          <w:rFonts w:hint="eastAsia" w:ascii="宋体" w:hAnsi="宋体" w:cs="宋体"/>
          <w:color w:val="auto"/>
          <w:sz w:val="24"/>
          <w:szCs w:val="24"/>
          <w:highlight w:val="none"/>
        </w:rPr>
        <w:t>双方约定合同正副本份数：</w:t>
      </w:r>
      <w:r>
        <w:rPr>
          <w:rFonts w:hint="eastAsia" w:ascii="宋体" w:hAnsi="宋体" w:cs="宋体"/>
          <w:color w:val="auto"/>
          <w:sz w:val="24"/>
          <w:szCs w:val="24"/>
          <w:highlight w:val="none"/>
          <w:u w:val="single"/>
        </w:rPr>
        <w:t>共</w:t>
      </w: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份，正本一式</w:t>
      </w: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份，发包人承包人各执</w:t>
      </w: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份；副本</w:t>
      </w: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份，发包人肆份，承包人</w:t>
      </w: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份，监理人</w:t>
      </w: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份</w:t>
      </w:r>
      <w:r>
        <w:rPr>
          <w:rFonts w:hint="eastAsia" w:ascii="宋体" w:hAnsi="宋体" w:cs="宋体"/>
          <w:color w:val="auto"/>
          <w:sz w:val="24"/>
          <w:szCs w:val="24"/>
          <w:highlight w:val="none"/>
        </w:rPr>
        <w:t>。</w:t>
      </w:r>
    </w:p>
    <w:p w14:paraId="5E76C088">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47</w:t>
      </w:r>
      <w:r>
        <w:rPr>
          <w:rFonts w:hint="eastAsia" w:ascii="宋体" w:hAnsi="宋体" w:cs="宋体"/>
          <w:b/>
          <w:color w:val="auto"/>
          <w:sz w:val="24"/>
          <w:highlight w:val="none"/>
        </w:rPr>
        <w:t>、补充条款</w:t>
      </w:r>
    </w:p>
    <w:p w14:paraId="7B223EA2">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安全、文明、科学、规范的施工要求</w:t>
      </w:r>
      <w:r>
        <w:rPr>
          <w:rFonts w:hint="eastAsia" w:ascii="宋体" w:hAnsi="宋体" w:eastAsia="宋体" w:cs="宋体"/>
          <w:color w:val="auto"/>
          <w:sz w:val="24"/>
          <w:szCs w:val="24"/>
          <w:highlight w:val="none"/>
        </w:rPr>
        <w:t>）</w:t>
      </w:r>
    </w:p>
    <w:p w14:paraId="6270757D">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47.1</w:t>
      </w:r>
      <w:r>
        <w:rPr>
          <w:rFonts w:hint="eastAsia" w:ascii="宋体" w:hAnsi="宋体" w:cs="宋体"/>
          <w:color w:val="auto"/>
          <w:sz w:val="24"/>
          <w:szCs w:val="24"/>
          <w:highlight w:val="none"/>
          <w:u w:val="single"/>
        </w:rPr>
        <w:t>承包人在开工前，必须按照广州市、开发区有关要求办理好相应的施工手续方可开工</w:t>
      </w:r>
      <w:r>
        <w:rPr>
          <w:rFonts w:hint="eastAsia" w:ascii="宋体" w:hAnsi="宋体" w:cs="宋体"/>
          <w:color w:val="auto"/>
          <w:sz w:val="24"/>
          <w:szCs w:val="24"/>
          <w:highlight w:val="none"/>
        </w:rPr>
        <w:t>。</w:t>
      </w:r>
    </w:p>
    <w:p w14:paraId="526A279E">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47.2</w:t>
      </w:r>
      <w:r>
        <w:rPr>
          <w:rFonts w:hint="eastAsia" w:ascii="宋体" w:hAnsi="宋体" w:cs="宋体"/>
          <w:color w:val="auto"/>
          <w:sz w:val="24"/>
          <w:szCs w:val="24"/>
          <w:highlight w:val="none"/>
          <w:u w:val="single"/>
        </w:rPr>
        <w:t>施工范围的具体位置及可交付承包人施工安排的用地范围，由承包人根据现场勘察情况报发包人同意确定，</w:t>
      </w:r>
      <w:r>
        <w:rPr>
          <w:rFonts w:hint="eastAsia" w:ascii="宋体" w:hAnsi="宋体" w:cs="宋体"/>
          <w:color w:val="auto"/>
          <w:sz w:val="24"/>
          <w:szCs w:val="24"/>
          <w:highlight w:val="none"/>
          <w:u w:val="single"/>
          <w:lang w:val="en-US" w:eastAsia="zh-CN"/>
        </w:rPr>
        <w:t>测量</w:t>
      </w:r>
      <w:r>
        <w:rPr>
          <w:rFonts w:hint="eastAsia" w:ascii="宋体" w:hAnsi="宋体" w:cs="宋体"/>
          <w:color w:val="auto"/>
          <w:sz w:val="24"/>
          <w:szCs w:val="24"/>
          <w:highlight w:val="none"/>
          <w:u w:val="single"/>
        </w:rPr>
        <w:t>控制基点由承包人联系规划局提供</w:t>
      </w:r>
      <w:r>
        <w:rPr>
          <w:rFonts w:hint="eastAsia" w:ascii="宋体" w:hAnsi="宋体" w:cs="宋体"/>
          <w:color w:val="auto"/>
          <w:sz w:val="24"/>
          <w:szCs w:val="24"/>
          <w:highlight w:val="none"/>
        </w:rPr>
        <w:t>。</w:t>
      </w:r>
    </w:p>
    <w:p w14:paraId="5C937A9A">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47.3</w:t>
      </w:r>
      <w:r>
        <w:rPr>
          <w:rFonts w:hint="eastAsia" w:ascii="宋体" w:hAnsi="宋体" w:cs="宋体"/>
          <w:color w:val="auto"/>
          <w:sz w:val="24"/>
          <w:szCs w:val="24"/>
          <w:highlight w:val="none"/>
          <w:u w:val="single"/>
        </w:rPr>
        <w:t>承包人必须保证在合同签订后五天内进场作好施工准备，十五天内提交有关开工报告、施工组织设计、能满足开工条件的主要材料设备厂家及材料设备品牌的选择报验，完成本工程开工所需的相关工作（如配合比试验、土工试验、场地原地面标高测量、导线放线及复测工作、水准点加密、现场临时设施建设等工作），经监理工程师批准开工或下达开工令后正式施工。</w:t>
      </w:r>
      <w:r>
        <w:rPr>
          <w:rFonts w:ascii="宋体" w:hAnsi="宋体" w:cs="宋体"/>
          <w:color w:val="auto"/>
          <w:sz w:val="24"/>
          <w:szCs w:val="24"/>
          <w:highlight w:val="none"/>
        </w:rPr>
        <w:t>47.4</w:t>
      </w:r>
      <w:r>
        <w:rPr>
          <w:rFonts w:hint="eastAsia" w:ascii="宋体" w:hAnsi="宋体" w:cs="宋体"/>
          <w:color w:val="auto"/>
          <w:sz w:val="24"/>
          <w:szCs w:val="24"/>
          <w:highlight w:val="none"/>
          <w:u w:val="single"/>
        </w:rPr>
        <w:t>承包人在施工期间要确保工程外场地清洁及道路畅通，如须使用他方道路，则还必须负责养护、保洁责任，否则责任自负。施工和警示标志明显，因施工造成人身损害和财产损失的，由承包人承担责任</w:t>
      </w:r>
      <w:r>
        <w:rPr>
          <w:rFonts w:hint="eastAsia" w:ascii="宋体" w:hAnsi="宋体" w:cs="宋体"/>
          <w:color w:val="auto"/>
          <w:sz w:val="24"/>
          <w:szCs w:val="24"/>
          <w:highlight w:val="none"/>
        </w:rPr>
        <w:t>。</w:t>
      </w:r>
    </w:p>
    <w:p w14:paraId="294E3FDF">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47.5</w:t>
      </w:r>
      <w:r>
        <w:rPr>
          <w:rFonts w:hint="eastAsia" w:ascii="宋体" w:hAnsi="宋体" w:cs="宋体"/>
          <w:color w:val="auto"/>
          <w:sz w:val="24"/>
          <w:szCs w:val="24"/>
          <w:highlight w:val="none"/>
          <w:u w:val="single"/>
        </w:rPr>
        <w:t>承包人必须考虑安全、环保等因素在局部施工范围进行围蔽施工，现场围蔽不符合国家有关安全措施及技术要求的，不得开展施工作业，由此造成的工期延长，由承包人自己负责，当作延误工期处理</w:t>
      </w:r>
      <w:r>
        <w:rPr>
          <w:rFonts w:hint="eastAsia" w:ascii="宋体" w:hAnsi="宋体" w:cs="宋体"/>
          <w:color w:val="auto"/>
          <w:sz w:val="24"/>
          <w:szCs w:val="24"/>
          <w:highlight w:val="none"/>
        </w:rPr>
        <w:t>。</w:t>
      </w:r>
    </w:p>
    <w:p w14:paraId="600090A3">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47.6</w:t>
      </w:r>
      <w:r>
        <w:rPr>
          <w:rFonts w:hint="eastAsia" w:ascii="宋体" w:hAnsi="宋体" w:cs="宋体"/>
          <w:color w:val="auto"/>
          <w:sz w:val="24"/>
          <w:szCs w:val="24"/>
          <w:highlight w:val="none"/>
          <w:u w:val="singl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r>
        <w:rPr>
          <w:rFonts w:hint="eastAsia" w:ascii="宋体" w:hAnsi="宋体" w:cs="宋体"/>
          <w:color w:val="auto"/>
          <w:sz w:val="24"/>
          <w:szCs w:val="24"/>
          <w:highlight w:val="none"/>
        </w:rPr>
        <w:t>。</w:t>
      </w:r>
    </w:p>
    <w:p w14:paraId="31BD2AA3">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47.7</w:t>
      </w:r>
      <w:r>
        <w:rPr>
          <w:rFonts w:hint="eastAsia" w:ascii="宋体" w:hAnsi="宋体" w:cs="宋体"/>
          <w:color w:val="auto"/>
          <w:sz w:val="24"/>
          <w:szCs w:val="24"/>
          <w:highlight w:val="none"/>
          <w:u w:val="singl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r>
        <w:rPr>
          <w:rFonts w:hint="eastAsia" w:ascii="宋体" w:hAnsi="宋体" w:cs="宋体"/>
          <w:color w:val="auto"/>
          <w:sz w:val="24"/>
          <w:szCs w:val="24"/>
          <w:highlight w:val="none"/>
        </w:rPr>
        <w:t>。</w:t>
      </w:r>
    </w:p>
    <w:p w14:paraId="39572F96">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47.8</w:t>
      </w:r>
      <w:r>
        <w:rPr>
          <w:rFonts w:hint="eastAsia" w:ascii="宋体" w:hAnsi="宋体" w:cs="宋体"/>
          <w:color w:val="auto"/>
          <w:sz w:val="24"/>
          <w:szCs w:val="24"/>
          <w:highlight w:val="none"/>
          <w:u w:val="single"/>
        </w:rPr>
        <w:t>若遇阻碍施工需拆迁的旧建（构）筑物、地下孤石等障碍物，由承包人负责清障，所需清障费用经监理、发包人现场签证调整</w:t>
      </w:r>
      <w:r>
        <w:rPr>
          <w:rFonts w:hint="eastAsia" w:ascii="宋体" w:hAnsi="宋体" w:cs="宋体"/>
          <w:color w:val="auto"/>
          <w:sz w:val="24"/>
          <w:szCs w:val="24"/>
          <w:highlight w:val="none"/>
        </w:rPr>
        <w:t>。</w:t>
      </w:r>
    </w:p>
    <w:p w14:paraId="4780D2ED">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47.9</w:t>
      </w:r>
      <w:r>
        <w:rPr>
          <w:rFonts w:hint="eastAsia" w:ascii="宋体" w:hAnsi="宋体" w:cs="宋体"/>
          <w:color w:val="auto"/>
          <w:sz w:val="24"/>
          <w:szCs w:val="24"/>
          <w:highlight w:val="none"/>
          <w:u w:val="single"/>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程款中扣除</w:t>
      </w:r>
      <w:r>
        <w:rPr>
          <w:rFonts w:hint="eastAsia" w:ascii="宋体" w:hAnsi="宋体" w:cs="宋体"/>
          <w:color w:val="auto"/>
          <w:sz w:val="24"/>
          <w:szCs w:val="24"/>
          <w:highlight w:val="none"/>
        </w:rPr>
        <w:t>。</w:t>
      </w:r>
    </w:p>
    <w:p w14:paraId="13013DAB">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47.10</w:t>
      </w:r>
      <w:r>
        <w:rPr>
          <w:rFonts w:hint="eastAsia" w:ascii="宋体" w:hAnsi="宋体" w:cs="宋体"/>
          <w:color w:val="auto"/>
          <w:sz w:val="24"/>
          <w:szCs w:val="24"/>
          <w:highlight w:val="none"/>
          <w:u w:val="single"/>
        </w:rPr>
        <w:t>双方根据国家有关规定，结合具体工程约定质量缺陷责任期如下</w:t>
      </w:r>
      <w:r>
        <w:rPr>
          <w:rFonts w:hint="eastAsia" w:ascii="宋体" w:hAnsi="宋体" w:cs="宋体"/>
          <w:color w:val="auto"/>
          <w:sz w:val="24"/>
          <w:szCs w:val="24"/>
          <w:highlight w:val="none"/>
        </w:rPr>
        <w:t>：</w:t>
      </w:r>
    </w:p>
    <w:p w14:paraId="56697B2B">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1、</w:t>
      </w:r>
      <w:r>
        <w:rPr>
          <w:rFonts w:hint="eastAsia" w:ascii="宋体" w:hAnsi="宋体" w:cs="宋体"/>
          <w:color w:val="auto"/>
          <w:sz w:val="24"/>
          <w:szCs w:val="24"/>
          <w:highlight w:val="none"/>
          <w:u w:val="single"/>
        </w:rPr>
        <w:t>基础设施工程、房屋建筑的地基基础工程和主体结构工程为</w:t>
      </w:r>
      <w:r>
        <w:rPr>
          <w:rFonts w:ascii="宋体" w:hAnsi="宋体" w:cs="宋体"/>
          <w:color w:val="auto"/>
          <w:sz w:val="24"/>
          <w:szCs w:val="24"/>
          <w:highlight w:val="none"/>
          <w:u w:val="single"/>
        </w:rPr>
        <w:t>2年</w:t>
      </w:r>
      <w:r>
        <w:rPr>
          <w:rFonts w:hint="eastAsia" w:ascii="宋体" w:hAnsi="宋体" w:cs="宋体"/>
          <w:color w:val="auto"/>
          <w:sz w:val="24"/>
          <w:szCs w:val="24"/>
          <w:highlight w:val="none"/>
        </w:rPr>
        <w:t>；</w:t>
      </w:r>
    </w:p>
    <w:p w14:paraId="108AB2C0">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2、</w:t>
      </w:r>
      <w:r>
        <w:rPr>
          <w:rFonts w:hint="eastAsia" w:ascii="宋体" w:hAnsi="宋体" w:cs="宋体"/>
          <w:color w:val="auto"/>
          <w:sz w:val="24"/>
          <w:szCs w:val="24"/>
          <w:highlight w:val="none"/>
          <w:u w:val="single"/>
        </w:rPr>
        <w:t>屋面防水工程为</w:t>
      </w:r>
      <w:r>
        <w:rPr>
          <w:rFonts w:ascii="宋体" w:hAnsi="宋体" w:cs="宋体"/>
          <w:color w:val="auto"/>
          <w:sz w:val="24"/>
          <w:szCs w:val="24"/>
          <w:highlight w:val="none"/>
          <w:u w:val="single"/>
        </w:rPr>
        <w:t xml:space="preserve"> 2 </w:t>
      </w:r>
      <w:r>
        <w:rPr>
          <w:rFonts w:hint="eastAsia" w:ascii="宋体" w:hAnsi="宋体" w:cs="宋体"/>
          <w:color w:val="auto"/>
          <w:sz w:val="24"/>
          <w:szCs w:val="24"/>
          <w:highlight w:val="none"/>
          <w:u w:val="single"/>
        </w:rPr>
        <w:t>年，室外装饰工程为</w:t>
      </w:r>
      <w:r>
        <w:rPr>
          <w:rFonts w:ascii="宋体" w:hAnsi="宋体" w:cs="宋体"/>
          <w:color w:val="auto"/>
          <w:sz w:val="24"/>
          <w:szCs w:val="24"/>
          <w:highlight w:val="none"/>
          <w:u w:val="single"/>
        </w:rPr>
        <w:t xml:space="preserve"> 2 年</w:t>
      </w:r>
      <w:r>
        <w:rPr>
          <w:rFonts w:hint="eastAsia" w:ascii="宋体" w:hAnsi="宋体" w:cs="宋体"/>
          <w:color w:val="auto"/>
          <w:sz w:val="24"/>
          <w:szCs w:val="24"/>
          <w:highlight w:val="none"/>
        </w:rPr>
        <w:t>；</w:t>
      </w:r>
    </w:p>
    <w:p w14:paraId="56334FC6">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3、</w:t>
      </w:r>
      <w:r>
        <w:rPr>
          <w:rFonts w:hint="eastAsia" w:ascii="宋体" w:hAnsi="宋体" w:cs="宋体"/>
          <w:color w:val="auto"/>
          <w:sz w:val="24"/>
          <w:szCs w:val="24"/>
          <w:highlight w:val="none"/>
          <w:u w:val="single"/>
        </w:rPr>
        <w:t>电力管线、上下水管线安装工程为</w:t>
      </w:r>
      <w:r>
        <w:rPr>
          <w:rFonts w:ascii="宋体" w:hAnsi="宋体" w:cs="宋体"/>
          <w:color w:val="auto"/>
          <w:sz w:val="24"/>
          <w:szCs w:val="24"/>
          <w:highlight w:val="none"/>
          <w:u w:val="single"/>
        </w:rPr>
        <w:t xml:space="preserve"> 2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rPr>
        <w:t>；</w:t>
      </w:r>
    </w:p>
    <w:p w14:paraId="2F311B09">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w:t>
      </w:r>
      <w:r>
        <w:rPr>
          <w:rFonts w:hint="eastAsia" w:ascii="宋体" w:hAnsi="宋体" w:cs="宋体"/>
          <w:color w:val="auto"/>
          <w:sz w:val="24"/>
          <w:szCs w:val="24"/>
          <w:highlight w:val="none"/>
          <w:u w:val="single"/>
        </w:rPr>
        <w:t>供热及供冷为</w:t>
      </w:r>
      <w:r>
        <w:rPr>
          <w:rFonts w:ascii="宋体" w:hAnsi="宋体" w:cs="宋体"/>
          <w:color w:val="auto"/>
          <w:sz w:val="24"/>
          <w:szCs w:val="24"/>
          <w:highlight w:val="none"/>
          <w:u w:val="single"/>
        </w:rPr>
        <w:t xml:space="preserve"> 2 </w:t>
      </w:r>
      <w:r>
        <w:rPr>
          <w:rFonts w:hint="eastAsia" w:ascii="宋体" w:hAnsi="宋体" w:cs="宋体"/>
          <w:color w:val="auto"/>
          <w:sz w:val="24"/>
          <w:szCs w:val="24"/>
          <w:highlight w:val="none"/>
          <w:u w:val="single"/>
        </w:rPr>
        <w:t>个采暖期及供冷期</w:t>
      </w:r>
      <w:r>
        <w:rPr>
          <w:rFonts w:hint="eastAsia" w:ascii="宋体" w:hAnsi="宋体" w:cs="宋体"/>
          <w:color w:val="auto"/>
          <w:sz w:val="24"/>
          <w:szCs w:val="24"/>
          <w:highlight w:val="none"/>
        </w:rPr>
        <w:t>；</w:t>
      </w:r>
    </w:p>
    <w:p w14:paraId="33402C24">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5、</w:t>
      </w:r>
      <w:r>
        <w:rPr>
          <w:rFonts w:hint="eastAsia" w:ascii="宋体" w:hAnsi="宋体" w:cs="宋体"/>
          <w:color w:val="auto"/>
          <w:sz w:val="24"/>
          <w:szCs w:val="24"/>
          <w:highlight w:val="none"/>
          <w:u w:val="single"/>
        </w:rPr>
        <w:t>室外的上下水和小区道路等市政公用工程为</w:t>
      </w:r>
      <w:r>
        <w:rPr>
          <w:rFonts w:ascii="宋体" w:hAnsi="宋体" w:cs="宋体"/>
          <w:color w:val="auto"/>
          <w:sz w:val="24"/>
          <w:szCs w:val="24"/>
          <w:highlight w:val="none"/>
          <w:u w:val="single"/>
        </w:rPr>
        <w:t xml:space="preserve"> 2 年</w:t>
      </w:r>
      <w:r>
        <w:rPr>
          <w:rFonts w:hint="eastAsia" w:ascii="宋体" w:hAnsi="宋体" w:cs="宋体"/>
          <w:color w:val="auto"/>
          <w:sz w:val="24"/>
          <w:szCs w:val="24"/>
          <w:highlight w:val="none"/>
        </w:rPr>
        <w:t>；</w:t>
      </w:r>
    </w:p>
    <w:p w14:paraId="64FB08D2">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6、</w:t>
      </w:r>
      <w:r>
        <w:rPr>
          <w:rFonts w:hint="eastAsia" w:ascii="宋体" w:hAnsi="宋体" w:cs="宋体"/>
          <w:color w:val="auto"/>
          <w:sz w:val="24"/>
          <w:szCs w:val="24"/>
          <w:highlight w:val="none"/>
          <w:u w:val="single"/>
        </w:rPr>
        <w:t>市政道路排水工程为</w:t>
      </w:r>
      <w:r>
        <w:rPr>
          <w:rFonts w:ascii="宋体" w:hAnsi="宋体" w:cs="宋体"/>
          <w:color w:val="auto"/>
          <w:sz w:val="24"/>
          <w:szCs w:val="24"/>
          <w:highlight w:val="none"/>
          <w:u w:val="single"/>
        </w:rPr>
        <w:t xml:space="preserve"> 2 年，市政供水工程为 2 年</w:t>
      </w:r>
      <w:r>
        <w:rPr>
          <w:rFonts w:hint="eastAsia" w:ascii="宋体" w:hAnsi="宋体" w:cs="宋体"/>
          <w:color w:val="auto"/>
          <w:sz w:val="24"/>
          <w:szCs w:val="24"/>
          <w:highlight w:val="none"/>
        </w:rPr>
        <w:t>；</w:t>
      </w:r>
    </w:p>
    <w:p w14:paraId="7CF6D8B1">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7、</w:t>
      </w:r>
      <w:r>
        <w:rPr>
          <w:rFonts w:hint="eastAsia" w:ascii="宋体" w:hAnsi="宋体" w:cs="宋体"/>
          <w:color w:val="auto"/>
          <w:sz w:val="24"/>
          <w:szCs w:val="24"/>
          <w:highlight w:val="none"/>
          <w:u w:val="single"/>
        </w:rPr>
        <w:t>市政供电工程为</w:t>
      </w:r>
      <w:r>
        <w:rPr>
          <w:rFonts w:ascii="宋体" w:hAnsi="宋体" w:cs="宋体"/>
          <w:color w:val="auto"/>
          <w:sz w:val="24"/>
          <w:szCs w:val="24"/>
          <w:highlight w:val="none"/>
          <w:u w:val="single"/>
        </w:rPr>
        <w:t xml:space="preserve"> 2 年，市政道路照明工程 2 年，市政交通设施工程为 2 年</w:t>
      </w:r>
      <w:r>
        <w:rPr>
          <w:rFonts w:hint="eastAsia" w:ascii="宋体" w:hAnsi="宋体" w:cs="宋体"/>
          <w:color w:val="auto"/>
          <w:sz w:val="24"/>
          <w:szCs w:val="24"/>
          <w:highlight w:val="none"/>
        </w:rPr>
        <w:t>。</w:t>
      </w:r>
    </w:p>
    <w:p w14:paraId="083499AE">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8、</w:t>
      </w:r>
      <w:r>
        <w:rPr>
          <w:rFonts w:hint="eastAsia" w:ascii="宋体" w:hAnsi="宋体" w:cs="宋体"/>
          <w:color w:val="auto"/>
          <w:sz w:val="24"/>
          <w:szCs w:val="24"/>
          <w:highlight w:val="none"/>
          <w:u w:val="single"/>
        </w:rPr>
        <w:t>园林建筑工程为</w:t>
      </w:r>
      <w:r>
        <w:rPr>
          <w:rFonts w:ascii="宋体" w:hAnsi="宋体" w:cs="宋体"/>
          <w:color w:val="auto"/>
          <w:sz w:val="24"/>
          <w:szCs w:val="24"/>
          <w:highlight w:val="none"/>
          <w:u w:val="single"/>
        </w:rPr>
        <w:t>1年，喷淋工程为2年，胸径15cm</w:t>
      </w:r>
      <w:r>
        <w:rPr>
          <w:rFonts w:hint="eastAsia" w:ascii="宋体" w:hAnsi="宋体" w:cs="宋体"/>
          <w:color w:val="auto"/>
          <w:sz w:val="24"/>
          <w:szCs w:val="24"/>
          <w:highlight w:val="none"/>
          <w:u w:val="single"/>
        </w:rPr>
        <w:t>以内（含</w:t>
      </w:r>
      <w:r>
        <w:rPr>
          <w:rFonts w:ascii="宋体" w:hAnsi="宋体" w:cs="宋体"/>
          <w:color w:val="auto"/>
          <w:sz w:val="24"/>
          <w:szCs w:val="24"/>
          <w:highlight w:val="none"/>
          <w:u w:val="single"/>
        </w:rPr>
        <w:t>15cm</w:t>
      </w:r>
      <w:r>
        <w:rPr>
          <w:rFonts w:hint="eastAsia" w:ascii="宋体" w:hAnsi="宋体" w:cs="宋体"/>
          <w:color w:val="auto"/>
          <w:sz w:val="24"/>
          <w:szCs w:val="24"/>
          <w:highlight w:val="none"/>
          <w:u w:val="single"/>
        </w:rPr>
        <w:t>）的苗木养护期为</w:t>
      </w:r>
      <w:r>
        <w:rPr>
          <w:rFonts w:ascii="宋体" w:hAnsi="宋体" w:cs="宋体"/>
          <w:color w:val="auto"/>
          <w:sz w:val="24"/>
          <w:szCs w:val="24"/>
          <w:highlight w:val="none"/>
          <w:u w:val="single"/>
        </w:rPr>
        <w:t>3个月，胸径15cm</w:t>
      </w:r>
      <w:r>
        <w:rPr>
          <w:rFonts w:hint="eastAsia" w:ascii="宋体" w:hAnsi="宋体" w:cs="宋体"/>
          <w:color w:val="auto"/>
          <w:sz w:val="24"/>
          <w:szCs w:val="24"/>
          <w:highlight w:val="none"/>
          <w:u w:val="single"/>
        </w:rPr>
        <w:t>以上的苗木养护期为</w:t>
      </w:r>
      <w:r>
        <w:rPr>
          <w:rFonts w:ascii="宋体" w:hAnsi="宋体" w:cs="宋体"/>
          <w:color w:val="auto"/>
          <w:sz w:val="24"/>
          <w:szCs w:val="24"/>
          <w:highlight w:val="none"/>
          <w:u w:val="single"/>
        </w:rPr>
        <w:t>1年</w:t>
      </w:r>
      <w:r>
        <w:rPr>
          <w:rFonts w:hint="eastAsia" w:ascii="宋体" w:hAnsi="宋体" w:cs="宋体"/>
          <w:color w:val="auto"/>
          <w:sz w:val="24"/>
          <w:szCs w:val="24"/>
          <w:highlight w:val="none"/>
        </w:rPr>
        <w:t>。</w:t>
      </w:r>
    </w:p>
    <w:p w14:paraId="0253024C">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9、</w:t>
      </w:r>
      <w:r>
        <w:rPr>
          <w:rFonts w:hint="eastAsia" w:ascii="宋体" w:hAnsi="宋体" w:cs="宋体"/>
          <w:color w:val="auto"/>
          <w:sz w:val="24"/>
          <w:szCs w:val="24"/>
          <w:highlight w:val="none"/>
          <w:u w:val="single"/>
        </w:rPr>
        <w:t>除上述专业工程外其它工程的质量缺陷责任期按相关规定或经双方另行协商确定</w:t>
      </w:r>
      <w:r>
        <w:rPr>
          <w:rFonts w:hint="eastAsia" w:ascii="宋体" w:hAnsi="宋体" w:cs="宋体"/>
          <w:color w:val="auto"/>
          <w:sz w:val="24"/>
          <w:szCs w:val="24"/>
          <w:highlight w:val="none"/>
        </w:rPr>
        <w:t>。</w:t>
      </w:r>
    </w:p>
    <w:p w14:paraId="237BDDFA">
      <w:pP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本工程质量缺陷责任期从广州开发区管委会或其相关职能部门批准的提前移交之日或者正式通过竣工验收之日（以先发生日期为准）算起。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r>
        <w:rPr>
          <w:rFonts w:hint="eastAsia" w:ascii="宋体" w:hAnsi="宋体" w:cs="宋体"/>
          <w:color w:val="auto"/>
          <w:sz w:val="24"/>
          <w:szCs w:val="24"/>
          <w:highlight w:val="none"/>
        </w:rPr>
        <w:t>。</w:t>
      </w:r>
    </w:p>
    <w:p w14:paraId="6B122FEA">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47.11</w:t>
      </w:r>
      <w:r>
        <w:rPr>
          <w:rFonts w:hint="eastAsia" w:ascii="宋体" w:hAnsi="宋体" w:cs="宋体"/>
          <w:color w:val="auto"/>
          <w:sz w:val="24"/>
          <w:szCs w:val="24"/>
          <w:highlight w:val="none"/>
          <w:u w:val="single"/>
        </w:rPr>
        <w:t>本工程的保修期按本合同《工程质量保修责任书》规定的保修期限实行。在保修期内因施工质量而造成返修，其费用由承包人负责。工程质量按市政工程现行验评标准组织验收认定</w:t>
      </w:r>
      <w:r>
        <w:rPr>
          <w:rFonts w:hint="eastAsia" w:ascii="宋体" w:hAnsi="宋体" w:cs="宋体"/>
          <w:color w:val="auto"/>
          <w:sz w:val="24"/>
          <w:szCs w:val="24"/>
          <w:highlight w:val="none"/>
        </w:rPr>
        <w:t>。</w:t>
      </w:r>
    </w:p>
    <w:p w14:paraId="33BA9BD6">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47.12施工现场生活区应设置信息公示栏，每月10日前将上月作业工人考勤和工资结算和支付信息在信息公示栏进行公示，公示期不少于5天。</w:t>
      </w:r>
    </w:p>
    <w:p w14:paraId="34BC3442">
      <w:pPr>
        <w:spacing w:line="44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农民工佣工要求</w:t>
      </w:r>
      <w:r>
        <w:rPr>
          <w:rFonts w:hint="eastAsia" w:ascii="宋体" w:hAnsi="宋体" w:eastAsia="宋体" w:cs="宋体"/>
          <w:color w:val="auto"/>
          <w:sz w:val="24"/>
          <w:szCs w:val="24"/>
          <w:highlight w:val="none"/>
        </w:rPr>
        <w:t>）</w:t>
      </w:r>
    </w:p>
    <w:p w14:paraId="0F00C43F">
      <w:pPr>
        <w:spacing w:line="440" w:lineRule="exact"/>
        <w:ind w:firstLine="480" w:firstLineChars="200"/>
        <w:rPr>
          <w:rFonts w:ascii="宋体" w:hAnsi="宋体" w:cs="宋体"/>
          <w:color w:val="auto"/>
          <w:sz w:val="24"/>
          <w:szCs w:val="24"/>
          <w:highlight w:val="none"/>
          <w:u w:val="single"/>
        </w:rPr>
      </w:pPr>
      <w:r>
        <w:rPr>
          <w:rFonts w:ascii="宋体" w:hAnsi="宋体" w:cs="宋体"/>
          <w:strike/>
          <w:color w:val="auto"/>
          <w:sz w:val="24"/>
          <w:szCs w:val="24"/>
          <w:highlight w:val="none"/>
        </w:rPr>
        <w:t>47.13</w:t>
      </w:r>
      <w:r>
        <w:rPr>
          <w:rFonts w:hint="eastAsia" w:ascii="宋体" w:hAnsi="宋体" w:cs="宋体"/>
          <w:strike/>
          <w:color w:val="auto"/>
          <w:sz w:val="24"/>
          <w:szCs w:val="24"/>
          <w:highlight w:val="none"/>
          <w:u w:val="single"/>
        </w:rPr>
        <w:t>承包人必须按照穗开规『</w:t>
      </w:r>
      <w:r>
        <w:rPr>
          <w:rFonts w:ascii="宋体" w:hAnsi="宋体" w:cs="宋体"/>
          <w:strike/>
          <w:color w:val="auto"/>
          <w:sz w:val="24"/>
          <w:szCs w:val="24"/>
          <w:highlight w:val="none"/>
          <w:u w:val="single"/>
        </w:rPr>
        <w:t>2004』58号文的有关要求及规定优先使用广州开发区的农民工</w:t>
      </w:r>
      <w:r>
        <w:rPr>
          <w:rFonts w:hint="eastAsia" w:ascii="宋体" w:hAnsi="宋体" w:cs="宋体"/>
          <w:strike/>
          <w:color w:val="auto"/>
          <w:sz w:val="24"/>
          <w:szCs w:val="24"/>
          <w:highlight w:val="none"/>
        </w:rPr>
        <w:t>。</w:t>
      </w:r>
    </w:p>
    <w:p w14:paraId="505CDFED">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47.14</w:t>
      </w:r>
      <w:r>
        <w:rPr>
          <w:rFonts w:hint="eastAsia" w:ascii="宋体" w:hAnsi="宋体" w:cs="宋体"/>
          <w:color w:val="auto"/>
          <w:sz w:val="24"/>
          <w:szCs w:val="24"/>
          <w:highlight w:val="none"/>
          <w:u w:val="single"/>
        </w:rPr>
        <w:t>承包人必须严格执行穗开纪</w:t>
      </w:r>
      <w:r>
        <w:rPr>
          <w:rFonts w:ascii="宋体" w:hAnsi="宋体" w:cs="宋体"/>
          <w:color w:val="auto"/>
          <w:sz w:val="24"/>
          <w:szCs w:val="24"/>
          <w:highlight w:val="none"/>
          <w:u w:val="single"/>
        </w:rPr>
        <w:t>[2005]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r>
        <w:rPr>
          <w:rFonts w:hint="eastAsia" w:ascii="宋体" w:hAnsi="宋体" w:cs="宋体"/>
          <w:color w:val="auto"/>
          <w:sz w:val="24"/>
          <w:szCs w:val="24"/>
          <w:highlight w:val="none"/>
        </w:rPr>
        <w:t>。</w:t>
      </w:r>
    </w:p>
    <w:p w14:paraId="6DE64E1C">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47.15</w:t>
      </w:r>
      <w:r>
        <w:rPr>
          <w:rFonts w:hint="eastAsia" w:ascii="宋体" w:hAnsi="宋体" w:cs="宋体"/>
          <w:color w:val="auto"/>
          <w:sz w:val="24"/>
          <w:szCs w:val="24"/>
          <w:highlight w:val="none"/>
          <w:u w:val="single"/>
        </w:rPr>
        <w:t>承包人应按照《广州市住房和城乡建设委员会关于印发</w:t>
      </w:r>
      <w:r>
        <w:rPr>
          <w:rFonts w:ascii="宋体" w:hAnsi="宋体" w:cs="宋体"/>
          <w:color w:val="auto"/>
          <w:sz w:val="24"/>
          <w:szCs w:val="24"/>
          <w:highlight w:val="none"/>
          <w:u w:val="single"/>
        </w:rPr>
        <w:t>&lt;</w:t>
      </w:r>
      <w:r>
        <w:rPr>
          <w:rFonts w:hint="eastAsia" w:ascii="宋体" w:hAnsi="宋体" w:cs="宋体"/>
          <w:color w:val="auto"/>
          <w:sz w:val="24"/>
          <w:szCs w:val="24"/>
          <w:highlight w:val="none"/>
          <w:u w:val="single"/>
        </w:rPr>
        <w:t>广州市建筑施工实名制管理办法</w:t>
      </w:r>
      <w:r>
        <w:rPr>
          <w:rFonts w:ascii="宋体" w:hAnsi="宋体" w:cs="宋体"/>
          <w:color w:val="auto"/>
          <w:sz w:val="24"/>
          <w:szCs w:val="24"/>
          <w:highlight w:val="none"/>
          <w:u w:val="single"/>
        </w:rPr>
        <w:t>&gt;</w:t>
      </w:r>
      <w:r>
        <w:rPr>
          <w:rFonts w:hint="eastAsia" w:ascii="宋体" w:hAnsi="宋体" w:cs="宋体"/>
          <w:color w:val="auto"/>
          <w:sz w:val="24"/>
          <w:szCs w:val="24"/>
          <w:highlight w:val="none"/>
          <w:u w:val="single"/>
        </w:rPr>
        <w:t>的通知》（穗建规字</w:t>
      </w:r>
      <w:r>
        <w:rPr>
          <w:rFonts w:ascii="宋体" w:hAnsi="宋体" w:cs="宋体"/>
          <w:color w:val="auto"/>
          <w:sz w:val="24"/>
          <w:szCs w:val="24"/>
          <w:highlight w:val="none"/>
          <w:u w:val="single"/>
        </w:rPr>
        <w:t>[2017]4号）、《关于印发广州市建设领域工人工资支付分帐管理实施细则的通知》（穗建规字[2020]37号）、《广州市根治拖欠农民工工资工作领导小组办公室关于广州市建设领域工程项目全面实施农民工工资总包代发制度的通知》及广州市黄埔区、开发区对应出台的相关文件规定办理建筑工地实名制管理和工人工资支付分帐管理事宜；防止出现拖欠工人工资情况。承包人违法转包、分包工程的或其他承包人原因导致相应工程出现拖欠工人工资情况的，承包人对拖欠工人工资承担清偿责任，对此引起的纠纷负全责，造成</w:t>
      </w:r>
      <w:r>
        <w:rPr>
          <w:rFonts w:hint="eastAsia" w:ascii="宋体" w:hAnsi="宋体" w:cs="宋体"/>
          <w:color w:val="auto"/>
          <w:sz w:val="24"/>
          <w:szCs w:val="24"/>
          <w:highlight w:val="none"/>
          <w:u w:val="single"/>
        </w:rPr>
        <w:t>发包人损失（包括但不限于发包人因此而支付的赔偿款、律师费、诉讼费、保全费、公证费、鉴定费等）的，承包人须承担全部责任。</w:t>
      </w:r>
    </w:p>
    <w:p w14:paraId="31EF740C">
      <w:pPr>
        <w:spacing w:line="440" w:lineRule="exact"/>
        <w:ind w:firstLine="480" w:firstLineChars="200"/>
        <w:rPr>
          <w:rFonts w:ascii="宋体" w:hAnsi="宋体" w:cs="宋体"/>
          <w:b/>
          <w:color w:val="auto"/>
          <w:sz w:val="24"/>
          <w:szCs w:val="24"/>
          <w:highlight w:val="none"/>
        </w:rPr>
      </w:pPr>
      <w:r>
        <w:rPr>
          <w:rFonts w:ascii="宋体" w:hAnsi="宋体" w:cs="宋体"/>
          <w:color w:val="auto"/>
          <w:sz w:val="24"/>
          <w:szCs w:val="24"/>
          <w:highlight w:val="none"/>
        </w:rPr>
        <w:t>47.16</w:t>
      </w:r>
      <w:r>
        <w:rPr>
          <w:rFonts w:hint="eastAsia" w:ascii="宋体" w:hAnsi="宋体" w:cs="宋体"/>
          <w:color w:val="auto"/>
          <w:sz w:val="24"/>
          <w:szCs w:val="24"/>
          <w:highlight w:val="none"/>
          <w:u w:val="single"/>
        </w:rPr>
        <w:t>若承包人在本工程内发生无故拖欠农民工工资现象，将被作不良记录，上报区建设行政主管部门</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若承包人转包或者违法分包造成拖欠工人工资的，除上报区建设行政主管部门外，还将提请省建设行业主管部门禁止在广东省行政区域范围内承包工程。</w:t>
      </w:r>
    </w:p>
    <w:p w14:paraId="7DD8E0D8">
      <w:pPr>
        <w:snapToGrid w:val="0"/>
        <w:spacing w:line="440" w:lineRule="exact"/>
        <w:ind w:firstLine="480"/>
        <w:rPr>
          <w:rFonts w:ascii="宋体" w:hAnsi="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项目管理机构人员、机械设备、劳动力到位方面的要求</w:t>
      </w:r>
      <w:r>
        <w:rPr>
          <w:rFonts w:hint="eastAsia" w:ascii="宋体" w:hAnsi="宋体" w:eastAsia="宋体" w:cs="宋体"/>
          <w:color w:val="auto"/>
          <w:sz w:val="24"/>
          <w:szCs w:val="24"/>
          <w:highlight w:val="none"/>
        </w:rPr>
        <w:t>）</w:t>
      </w:r>
    </w:p>
    <w:p w14:paraId="15F4EC5A">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47.17</w:t>
      </w:r>
      <w:r>
        <w:rPr>
          <w:rFonts w:hint="eastAsia" w:ascii="宋体" w:hAnsi="宋体" w:cs="宋体"/>
          <w:color w:val="auto"/>
          <w:sz w:val="24"/>
          <w:szCs w:val="24"/>
          <w:highlight w:val="none"/>
          <w:u w:val="singl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r>
        <w:rPr>
          <w:rFonts w:hint="eastAsia" w:ascii="宋体" w:hAnsi="宋体" w:cs="宋体"/>
          <w:color w:val="auto"/>
          <w:sz w:val="24"/>
          <w:szCs w:val="24"/>
          <w:highlight w:val="none"/>
        </w:rPr>
        <w:t>。</w:t>
      </w:r>
    </w:p>
    <w:p w14:paraId="0F84A478">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47.18</w:t>
      </w:r>
      <w:r>
        <w:rPr>
          <w:rFonts w:hint="eastAsia" w:ascii="宋体" w:hAnsi="宋体" w:cs="宋体"/>
          <w:color w:val="auto"/>
          <w:sz w:val="24"/>
          <w:szCs w:val="24"/>
          <w:highlight w:val="none"/>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r>
        <w:rPr>
          <w:rFonts w:hint="eastAsia" w:ascii="宋体" w:hAnsi="宋体" w:cs="宋体"/>
          <w:color w:val="auto"/>
          <w:sz w:val="24"/>
          <w:szCs w:val="24"/>
          <w:highlight w:val="none"/>
        </w:rPr>
        <w:t>。</w:t>
      </w:r>
    </w:p>
    <w:p w14:paraId="1E250A90">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47.19</w:t>
      </w:r>
      <w:r>
        <w:rPr>
          <w:rFonts w:hint="eastAsia" w:ascii="宋体" w:hAnsi="宋体" w:cs="宋体"/>
          <w:color w:val="auto"/>
          <w:sz w:val="24"/>
          <w:szCs w:val="24"/>
          <w:highlight w:val="none"/>
          <w:u w:val="single"/>
        </w:rPr>
        <w:t>现场施工时，施工员（技术员）不在施工现场不得施工，否则发包人可随时要求停工，工期延误由承包人负责</w:t>
      </w:r>
      <w:r>
        <w:rPr>
          <w:rFonts w:hint="eastAsia" w:ascii="宋体" w:hAnsi="宋体" w:cs="宋体"/>
          <w:color w:val="auto"/>
          <w:sz w:val="24"/>
          <w:szCs w:val="24"/>
          <w:highlight w:val="none"/>
        </w:rPr>
        <w:t>。</w:t>
      </w:r>
    </w:p>
    <w:p w14:paraId="7A8B0E86">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47.20</w:t>
      </w:r>
      <w:r>
        <w:rPr>
          <w:rFonts w:hint="eastAsia" w:ascii="宋体" w:hAnsi="宋体" w:cs="宋体"/>
          <w:color w:val="auto"/>
          <w:sz w:val="24"/>
          <w:szCs w:val="24"/>
          <w:highlight w:val="none"/>
          <w:u w:val="single"/>
        </w:rPr>
        <w:t>承包人派往现场的管理人员若因不负责任、或玩忽职守、或严重失职等给发包人造成经济损失，承包人承担相应的经济责任和连带法律责任</w:t>
      </w:r>
      <w:r>
        <w:rPr>
          <w:rFonts w:hint="eastAsia" w:ascii="宋体" w:hAnsi="宋体" w:cs="宋体"/>
          <w:color w:val="auto"/>
          <w:sz w:val="24"/>
          <w:szCs w:val="24"/>
          <w:highlight w:val="none"/>
        </w:rPr>
        <w:t>。</w:t>
      </w:r>
    </w:p>
    <w:p w14:paraId="15DD562E">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投标报价及造价承包和变更结算方式的要求</w:t>
      </w:r>
      <w:r>
        <w:rPr>
          <w:rFonts w:hint="eastAsia" w:ascii="宋体" w:hAnsi="宋体" w:eastAsia="宋体" w:cs="宋体"/>
          <w:color w:val="auto"/>
          <w:sz w:val="24"/>
          <w:szCs w:val="24"/>
          <w:highlight w:val="none"/>
        </w:rPr>
        <w:t>）</w:t>
      </w:r>
    </w:p>
    <w:p w14:paraId="5345E810">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47.21工程量清单报价中有关问题的说明：</w:t>
      </w:r>
    </w:p>
    <w:p w14:paraId="3696C49C">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投标时, 土石方单位工程中的土方单价，参照《广州开发区、萝岗区财政投资土地平整工程实施细则》（穗开环建〔2012〕197 号）及广州开发区管委会办公室《关于调整我区土地平整项 目土方单价的复函》（穗开内收〔2016〕58 号）设置最高限价：①土地平整综合单价按 3 公里内 13.2 元/立方米进行控制，运距超出 3 公里后每增加 1 公里运距的运土综合单价为 2.14 元/立方米，运距最高计算至 15 公里，若选定的弃土点超岀该地块 15 公里范围之外的，仍按 15 公里计算的综合单价 38.88 元/立方米包干。此综合单价包含挖填、运输、推平、压实、地块内清表、临时排水、临时道路、修坡工程费用及措施费、规费、税金。在项目实施过程中，如果上级部门重新出具新的土方限价文件，则在相应实施期按照相应文件对土方单价进行计取。②石方工程，距离厂房、民 房、桥梁及高速公路等建、构筑物 50 米范围内的控制爆破炸石综合单价按 70 元/立方米进行控制，50 米至 300米范围内的控制爆破炸石综合单价按60元/立方米进行控制；在高压线（1 万伏以上供电线路）周围300米范围内控制爆破炸石综合单价按70元/ 立方米进行控制，在高压线（1 万伏以上供电线路）周围 300 至 500 米范围内控制爆破 炸石综合单价按 60 元/立方米进行控制，其他范围内的炸石综合单价按 40 元/立方米进行控制，此综合单价包含挖土露石、炸石及土石方清运等综合费用，石方工程量按爆破前的天然密实体积计算。（因清表、树木砍伐和地上附着物的清理及土方工程中不能利用产生的余泥渣土排放由承包人按照有关规定进行外运，费用不另行计算）；石方工程单位工程内的石方静力爆破综合单价,单位工程量在 5 万立方以内按 192.93 元／立方米或单位工程量在 5 万立方以外按 176.58 元／立方米进行控制，此综合单价包含挖土露石、炸石及土石方清运及措施费、预算包干费、税金等综合费用。③其他单位工程中：余方弃置清单（含土方弃置、石方弃置、淤泥、泥浆弃置、废弃物弃置等），投标人依据招标文件提供的地勘报告、并自行完成现场踏勘及了解工程所在地政策，充分评估消纳场分布、运距、道路状况、交通管制等因素进行投标报价。④在项目实施过程中，如果区政府、管委会重新修订了新的土方平整工程土石方限价文件，则按新的文件执行。</w:t>
      </w:r>
    </w:p>
    <w:p w14:paraId="3F423848">
      <w:pPr>
        <w:spacing w:line="440" w:lineRule="exact"/>
        <w:ind w:firstLine="480" w:firstLineChars="200"/>
        <w:rPr>
          <w:rFonts w:ascii="宋体" w:hAnsi="宋体" w:cs="宋体"/>
          <w:color w:val="auto"/>
          <w:sz w:val="24"/>
          <w:szCs w:val="24"/>
          <w:highlight w:val="none"/>
        </w:rPr>
      </w:pPr>
    </w:p>
    <w:p w14:paraId="49C3AE44">
      <w:pP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2）</w:t>
      </w:r>
      <w:r>
        <w:rPr>
          <w:rFonts w:hint="eastAsia" w:ascii="宋体" w:hAnsi="宋体" w:cs="宋体"/>
          <w:color w:val="auto"/>
          <w:sz w:val="24"/>
          <w:highlight w:val="none"/>
          <w:u w:val="none"/>
        </w:rPr>
        <w:t>工程量清单中措施项目清单费计价表中的</w:t>
      </w:r>
      <w:r>
        <w:rPr>
          <w:rFonts w:hint="eastAsia" w:ascii="宋体" w:hAnsi="宋体" w:cs="宋体"/>
          <w:color w:val="auto"/>
          <w:sz w:val="24"/>
          <w:highlight w:val="none"/>
          <w:u w:val="none"/>
          <w:lang w:val="en-US" w:eastAsia="zh-CN"/>
        </w:rPr>
        <w:t>安全生产措施费</w:t>
      </w:r>
      <w:r>
        <w:rPr>
          <w:rFonts w:hint="eastAsia" w:ascii="宋体" w:hAnsi="宋体" w:cs="宋体"/>
          <w:color w:val="auto"/>
          <w:sz w:val="24"/>
          <w:highlight w:val="none"/>
          <w:u w:val="none"/>
        </w:rPr>
        <w:t>执行《关于调整</w:t>
      </w:r>
      <w:r>
        <w:rPr>
          <w:rFonts w:hint="eastAsia" w:ascii="宋体" w:hAnsi="宋体" w:cs="宋体"/>
          <w:color w:val="auto"/>
          <w:sz w:val="24"/>
          <w:highlight w:val="none"/>
          <w:u w:val="none"/>
          <w:lang w:val="en-US" w:eastAsia="zh-CN"/>
        </w:rPr>
        <w:t>&lt;</w:t>
      </w:r>
      <w:r>
        <w:rPr>
          <w:rFonts w:hint="eastAsia" w:ascii="宋体" w:hAnsi="宋体" w:cs="宋体"/>
          <w:color w:val="auto"/>
          <w:sz w:val="24"/>
          <w:highlight w:val="none"/>
          <w:u w:val="none"/>
        </w:rPr>
        <w:t>广东省建设工程计价依据2018</w:t>
      </w:r>
      <w:r>
        <w:rPr>
          <w:rFonts w:hint="eastAsia" w:ascii="宋体" w:hAnsi="宋体" w:cs="宋体"/>
          <w:color w:val="auto"/>
          <w:sz w:val="24"/>
          <w:highlight w:val="none"/>
          <w:u w:val="none"/>
          <w:lang w:val="en-US" w:eastAsia="zh-CN"/>
        </w:rPr>
        <w:t>&gt;</w:t>
      </w:r>
      <w:r>
        <w:rPr>
          <w:rFonts w:hint="eastAsia" w:ascii="宋体" w:hAnsi="宋体" w:cs="宋体"/>
          <w:color w:val="auto"/>
          <w:sz w:val="24"/>
          <w:highlight w:val="none"/>
          <w:u w:val="none"/>
        </w:rPr>
        <w:t xml:space="preserve"> 计价规则的通知》（粤标定函〔2025〕22号</w:t>
      </w:r>
      <w:r>
        <w:rPr>
          <w:rFonts w:hint="eastAsia" w:ascii="宋体" w:hAnsi="宋体" w:cs="宋体"/>
          <w:color w:val="auto"/>
          <w:sz w:val="24"/>
          <w:highlight w:val="none"/>
          <w:u w:val="none"/>
          <w:lang w:val="en-US" w:eastAsia="zh-CN"/>
        </w:rPr>
        <w:t>)</w:t>
      </w:r>
      <w:r>
        <w:rPr>
          <w:rFonts w:hint="eastAsia" w:ascii="宋体" w:hAnsi="宋体" w:cs="宋体"/>
          <w:color w:val="auto"/>
          <w:sz w:val="24"/>
          <w:highlight w:val="none"/>
          <w:u w:val="none"/>
        </w:rPr>
        <w:t>文，</w:t>
      </w:r>
      <w:r>
        <w:rPr>
          <w:rFonts w:hint="eastAsia" w:ascii="宋体" w:hAnsi="宋体" w:cs="宋体"/>
          <w:color w:val="auto"/>
          <w:sz w:val="24"/>
          <w:highlight w:val="none"/>
          <w:u w:val="none"/>
          <w:lang w:val="en-US" w:eastAsia="zh-CN"/>
        </w:rPr>
        <w:t>安全生产措施费</w:t>
      </w:r>
      <w:r>
        <w:rPr>
          <w:rFonts w:hint="eastAsia" w:ascii="宋体" w:hAnsi="宋体" w:cs="宋体"/>
          <w:color w:val="auto"/>
          <w:sz w:val="24"/>
          <w:highlight w:val="none"/>
          <w:u w:val="none"/>
        </w:rPr>
        <w:t>按发包人公布的本工程招标控制价中的</w:t>
      </w:r>
      <w:r>
        <w:rPr>
          <w:rFonts w:hint="eastAsia" w:ascii="宋体" w:hAnsi="宋体" w:cs="宋体"/>
          <w:color w:val="auto"/>
          <w:sz w:val="24"/>
          <w:highlight w:val="none"/>
          <w:u w:val="none"/>
          <w:lang w:val="en-US" w:eastAsia="zh-CN"/>
        </w:rPr>
        <w:t>安全生产措施费</w:t>
      </w:r>
      <w:r>
        <w:rPr>
          <w:rFonts w:hint="eastAsia" w:ascii="宋体" w:hAnsi="宋体" w:cs="宋体"/>
          <w:color w:val="auto"/>
          <w:sz w:val="24"/>
          <w:highlight w:val="none"/>
          <w:u w:val="none"/>
        </w:rPr>
        <w:t>计取，作为非竞争费用，在投标报价中单列，不参与投标竞价，该费用从工程施工中标价中提取，专款专用。</w:t>
      </w:r>
      <w:r>
        <w:rPr>
          <w:rFonts w:hint="eastAsia" w:ascii="宋体" w:hAnsi="宋体" w:cs="宋体"/>
          <w:color w:val="auto"/>
          <w:sz w:val="24"/>
          <w:szCs w:val="24"/>
          <w:highlight w:val="none"/>
        </w:rPr>
        <w:t>。</w:t>
      </w:r>
    </w:p>
    <w:p w14:paraId="52D84140">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47.22</w:t>
      </w:r>
      <w:r>
        <w:rPr>
          <w:rFonts w:hint="eastAsia" w:ascii="宋体" w:hAnsi="宋体" w:cs="宋体"/>
          <w:color w:val="auto"/>
          <w:sz w:val="24"/>
          <w:szCs w:val="24"/>
          <w:highlight w:val="none"/>
          <w:u w:val="single"/>
        </w:rPr>
        <w:t>本工程承包人通过现场考察，提出具体施工方案，无论在工程施工期间或是在质量保修期内，若因施工而引起的一切索赔、赔偿、诉讼费用和其他开支，由承包人承担全部责任。该项费用</w:t>
      </w:r>
      <w:r>
        <w:rPr>
          <w:rFonts w:hint="eastAsia" w:ascii="宋体" w:hAnsi="宋体" w:cs="宋体"/>
          <w:color w:val="auto"/>
          <w:sz w:val="24"/>
          <w:highlight w:val="none"/>
          <w:lang w:val="en-US" w:eastAsia="zh-CN"/>
        </w:rPr>
        <w:t>包含在投标总价内</w:t>
      </w:r>
      <w:r>
        <w:rPr>
          <w:rFonts w:hint="eastAsia" w:ascii="宋体" w:hAnsi="宋体" w:cs="宋体"/>
          <w:color w:val="auto"/>
          <w:sz w:val="24"/>
          <w:szCs w:val="24"/>
          <w:highlight w:val="none"/>
          <w:u w:val="single"/>
        </w:rPr>
        <w:t>，该费用包干使用，且承包人不得以任何理由要求发包人另行增加该部分费用（承包人要充分考虑最不利因素影响而采用的施工方案所需的费用）</w:t>
      </w:r>
      <w:r>
        <w:rPr>
          <w:rFonts w:hint="eastAsia" w:ascii="宋体" w:hAnsi="宋体" w:cs="宋体"/>
          <w:color w:val="auto"/>
          <w:sz w:val="24"/>
          <w:szCs w:val="24"/>
          <w:highlight w:val="none"/>
        </w:rPr>
        <w:t>。</w:t>
      </w:r>
    </w:p>
    <w:p w14:paraId="4C28D6F2">
      <w:pPr>
        <w:pBdr>
          <w:top w:val="single" w:color="auto" w:sz="4" w:space="1"/>
          <w:bottom w:val="single" w:color="auto" w:sz="6" w:space="1"/>
        </w:pBd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47.23</w:t>
      </w:r>
      <w:r>
        <w:rPr>
          <w:rFonts w:hint="eastAsia" w:ascii="宋体" w:hAnsi="宋体" w:cs="宋体"/>
          <w:color w:val="auto"/>
          <w:sz w:val="24"/>
          <w:szCs w:val="24"/>
          <w:highlight w:val="none"/>
          <w:u w:val="single"/>
        </w:rPr>
        <w:t>承包人应结合本工程招标内容对现场进行充分的调查，充分考虑工程招标内容及施工组织方案，承包单位应与相关管理部门（如铁路管理部门）协商，取得同意协调，按要求完成工程招标内容，工程及相关费用包含在合同价中，不另行计费。如果承包人不及时按要求完成，发包人可以另行委托实施，发包人按实际发生的费用在工程款中扣除，承包人不得有任何异议。</w:t>
      </w:r>
    </w:p>
    <w:p w14:paraId="74A425C4">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47.24</w:t>
      </w:r>
      <w:r>
        <w:rPr>
          <w:rFonts w:hint="eastAsia" w:ascii="宋体" w:hAnsi="宋体" w:cs="宋体"/>
          <w:color w:val="auto"/>
          <w:sz w:val="24"/>
          <w:szCs w:val="24"/>
          <w:highlight w:val="none"/>
          <w:u w:val="single"/>
        </w:rPr>
        <w:t>承包人应根据区相关主管部门批复的水土保持实施方案及相关规定完成本工程的水土保持工作，承担防止水土流失职责，相关费用包含在合同价中，不另行计费。如果承包人不及时按要求完成上述工作，发包人可以另行委托实施，发包人按实际发生的费用在工程款中扣除，承包人不得有任何异议。</w:t>
      </w:r>
    </w:p>
    <w:p w14:paraId="3DFA7638">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47.25</w:t>
      </w:r>
      <w:r>
        <w:rPr>
          <w:rFonts w:hint="eastAsia" w:ascii="宋体" w:hAnsi="宋体" w:cs="宋体"/>
          <w:color w:val="auto"/>
          <w:sz w:val="24"/>
          <w:szCs w:val="24"/>
          <w:highlight w:val="none"/>
          <w:u w:val="single"/>
        </w:rPr>
        <w:t>承包人应使用绿色生产达标企业生产的混凝土，若不遵守承诺，自愿按不履行合同约定处理。</w:t>
      </w:r>
    </w:p>
    <w:p w14:paraId="218630A8">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47.26</w:t>
      </w:r>
      <w:r>
        <w:rPr>
          <w:rFonts w:hint="eastAsia" w:ascii="宋体" w:hAnsi="宋体" w:cs="宋体"/>
          <w:color w:val="auto"/>
          <w:sz w:val="24"/>
          <w:szCs w:val="24"/>
          <w:highlight w:val="none"/>
          <w:u w:val="single"/>
        </w:rPr>
        <w:t>承包人人应按有关规定协助发包人完成公共排水设施竣工图纸备案工作。</w:t>
      </w:r>
    </w:p>
    <w:p w14:paraId="60C43305">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47.27</w:t>
      </w:r>
      <w:r>
        <w:rPr>
          <w:rFonts w:hint="eastAsia" w:ascii="宋体" w:hAnsi="宋体" w:cs="宋体"/>
          <w:color w:val="auto"/>
          <w:sz w:val="24"/>
          <w:szCs w:val="24"/>
          <w:highlight w:val="none"/>
          <w:u w:val="single"/>
        </w:rPr>
        <w:t>在整个合同执行期间发包人如发现有不合理投标报价的，发包人有权按有关规定和合同约定进行调整，并将书面通知承包人，并以此作为结算依据</w:t>
      </w:r>
      <w:r>
        <w:rPr>
          <w:rFonts w:hint="eastAsia" w:ascii="宋体" w:hAnsi="宋体" w:cs="宋体"/>
          <w:color w:val="auto"/>
          <w:sz w:val="24"/>
          <w:szCs w:val="24"/>
          <w:highlight w:val="none"/>
        </w:rPr>
        <w:t>。</w:t>
      </w:r>
    </w:p>
    <w:p w14:paraId="2FD80F41">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47.28</w:t>
      </w:r>
      <w:r>
        <w:rPr>
          <w:rFonts w:hint="eastAsia" w:ascii="宋体" w:hAnsi="宋体" w:cs="宋体"/>
          <w:color w:val="auto"/>
          <w:sz w:val="24"/>
          <w:highlight w:val="none"/>
          <w:u w:val="single"/>
        </w:rPr>
        <w:t>本工程采用的所有材料品牌选择均须报发包人、监理工程师确认，且经检验合格后方能使用。</w:t>
      </w:r>
    </w:p>
    <w:p w14:paraId="1EB421D8">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47.29</w:t>
      </w:r>
      <w:r>
        <w:rPr>
          <w:rFonts w:hint="eastAsia" w:ascii="宋体" w:hAnsi="宋体" w:cs="宋体"/>
          <w:color w:val="auto"/>
          <w:sz w:val="24"/>
          <w:szCs w:val="24"/>
          <w:highlight w:val="none"/>
          <w:u w:val="singl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r>
        <w:rPr>
          <w:rFonts w:hint="eastAsia" w:ascii="宋体" w:hAnsi="宋体" w:cs="宋体"/>
          <w:color w:val="auto"/>
          <w:sz w:val="24"/>
          <w:szCs w:val="24"/>
          <w:highlight w:val="none"/>
        </w:rPr>
        <w:t>。</w:t>
      </w:r>
    </w:p>
    <w:p w14:paraId="28DF751F">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47.30</w:t>
      </w:r>
      <w:r>
        <w:rPr>
          <w:rFonts w:hint="eastAsia" w:ascii="宋体" w:hAnsi="宋体" w:cs="宋体"/>
          <w:color w:val="auto"/>
          <w:sz w:val="24"/>
          <w:szCs w:val="24"/>
          <w:highlight w:val="none"/>
          <w:u w:val="singl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r>
        <w:rPr>
          <w:rFonts w:hint="eastAsia" w:ascii="宋体" w:hAnsi="宋体" w:cs="宋体"/>
          <w:color w:val="auto"/>
          <w:sz w:val="24"/>
          <w:szCs w:val="24"/>
          <w:highlight w:val="none"/>
        </w:rPr>
        <w:t>。</w:t>
      </w:r>
    </w:p>
    <w:p w14:paraId="203336EE">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47.31</w:t>
      </w:r>
      <w:r>
        <w:rPr>
          <w:rFonts w:hint="eastAsia" w:ascii="宋体" w:hAnsi="宋体" w:cs="宋体"/>
          <w:color w:val="auto"/>
          <w:sz w:val="24"/>
          <w:szCs w:val="24"/>
          <w:highlight w:val="none"/>
          <w:u w:val="single"/>
        </w:rPr>
        <w:t>承包人须按照发包人与监理人签订的委托监理合同接受监理人的全过程监理</w:t>
      </w:r>
      <w:r>
        <w:rPr>
          <w:rFonts w:hint="eastAsia" w:ascii="宋体" w:hAnsi="宋体" w:cs="宋体"/>
          <w:color w:val="auto"/>
          <w:sz w:val="24"/>
          <w:szCs w:val="24"/>
          <w:highlight w:val="none"/>
        </w:rPr>
        <w:t>。</w:t>
      </w:r>
    </w:p>
    <w:p w14:paraId="497E5718">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47.32</w:t>
      </w:r>
      <w:r>
        <w:rPr>
          <w:rFonts w:hint="eastAsia" w:ascii="宋体" w:hAnsi="宋体" w:cs="宋体"/>
          <w:color w:val="auto"/>
          <w:sz w:val="24"/>
          <w:szCs w:val="24"/>
          <w:highlight w:val="none"/>
          <w:u w:val="single"/>
        </w:rPr>
        <w:t>如广州开发区、黄埔区对工程竣工验收及备案有相关规定，则本合同执行该规定</w:t>
      </w:r>
      <w:r>
        <w:rPr>
          <w:rFonts w:hint="eastAsia" w:ascii="宋体" w:hAnsi="宋体" w:cs="宋体"/>
          <w:color w:val="auto"/>
          <w:sz w:val="24"/>
          <w:szCs w:val="24"/>
          <w:highlight w:val="none"/>
        </w:rPr>
        <w:t>。</w:t>
      </w:r>
    </w:p>
    <w:p w14:paraId="2C922216">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47.33</w:t>
      </w:r>
      <w:r>
        <w:rPr>
          <w:rFonts w:hint="eastAsia" w:ascii="宋体" w:hAnsi="宋体" w:cs="宋体"/>
          <w:color w:val="auto"/>
          <w:sz w:val="24"/>
          <w:szCs w:val="24"/>
          <w:highlight w:val="none"/>
          <w:u w:val="single"/>
        </w:rPr>
        <w:t>如果审计机关依法对本工程实施审计，发包人、承包人及监理单位应积极配合</w:t>
      </w:r>
      <w:r>
        <w:rPr>
          <w:rFonts w:hint="eastAsia" w:ascii="宋体" w:hAnsi="宋体" w:cs="宋体"/>
          <w:color w:val="auto"/>
          <w:sz w:val="24"/>
          <w:szCs w:val="24"/>
          <w:highlight w:val="none"/>
        </w:rPr>
        <w:t>。</w:t>
      </w:r>
    </w:p>
    <w:p w14:paraId="2CE6BA60">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47.34</w:t>
      </w:r>
      <w:r>
        <w:rPr>
          <w:rFonts w:hint="eastAsia" w:ascii="宋体" w:hAnsi="宋体" w:cs="宋体"/>
          <w:color w:val="auto"/>
          <w:sz w:val="24"/>
          <w:szCs w:val="24"/>
          <w:highlight w:val="none"/>
          <w:u w:val="single"/>
        </w:rPr>
        <w:t>本合同在实施过程中所发生的文件来往，双方不得拒绝签收。如果发生类似事件，发文一方可以监理工程师签收为准，视为送达</w:t>
      </w:r>
      <w:r>
        <w:rPr>
          <w:rFonts w:hint="eastAsia" w:ascii="宋体" w:hAnsi="宋体" w:cs="宋体"/>
          <w:color w:val="auto"/>
          <w:sz w:val="24"/>
          <w:szCs w:val="24"/>
          <w:highlight w:val="none"/>
        </w:rPr>
        <w:t>。</w:t>
      </w:r>
    </w:p>
    <w:p w14:paraId="6B4A3A2D">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47.35</w:t>
      </w:r>
      <w:r>
        <w:rPr>
          <w:rFonts w:hint="eastAsia" w:ascii="宋体" w:hAnsi="宋体" w:cs="宋体"/>
          <w:color w:val="auto"/>
          <w:sz w:val="24"/>
          <w:szCs w:val="24"/>
          <w:highlight w:val="none"/>
          <w:u w:val="singl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r>
        <w:rPr>
          <w:rFonts w:hint="eastAsia" w:ascii="宋体" w:hAnsi="宋体" w:cs="宋体"/>
          <w:color w:val="auto"/>
          <w:sz w:val="24"/>
          <w:szCs w:val="24"/>
          <w:highlight w:val="none"/>
        </w:rPr>
        <w:t>。</w:t>
      </w:r>
    </w:p>
    <w:p w14:paraId="0243E0AC">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47.36</w:t>
      </w:r>
      <w:r>
        <w:rPr>
          <w:rFonts w:hint="eastAsia" w:ascii="宋体" w:hAnsi="宋体" w:cs="宋体"/>
          <w:color w:val="auto"/>
          <w:sz w:val="24"/>
          <w:szCs w:val="24"/>
          <w:highlight w:val="none"/>
          <w:u w:val="single"/>
        </w:rPr>
        <w:t>在本合同实施过程中所发生的违约金、罚款、扣款等费用，经监理工程师核实并通知承包人后直接作为财务扣款依据（无需承包人签认或同意），可由发包人在履约担保中主张或在工程款中扣除，承包人对此无异议</w:t>
      </w:r>
      <w:r>
        <w:rPr>
          <w:rFonts w:hint="eastAsia" w:ascii="宋体" w:hAnsi="宋体" w:cs="宋体"/>
          <w:color w:val="auto"/>
          <w:sz w:val="24"/>
          <w:szCs w:val="24"/>
          <w:highlight w:val="none"/>
        </w:rPr>
        <w:t>。</w:t>
      </w:r>
    </w:p>
    <w:p w14:paraId="47B474B8">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47.37</w:t>
      </w:r>
      <w:r>
        <w:rPr>
          <w:rFonts w:hint="eastAsia" w:ascii="宋体" w:hAnsi="宋体" w:cs="宋体"/>
          <w:color w:val="auto"/>
          <w:sz w:val="24"/>
          <w:szCs w:val="24"/>
          <w:highlight w:val="none"/>
          <w:u w:val="single"/>
        </w:rPr>
        <w:t>承包人施工过程中不得侵犯他人的专利权或者其他合法权益，否则由承包人承担相关责任，并保证不因该侵权行为影响工程建设</w:t>
      </w:r>
      <w:r>
        <w:rPr>
          <w:rFonts w:hint="eastAsia" w:ascii="宋体" w:hAnsi="宋体" w:cs="宋体"/>
          <w:color w:val="auto"/>
          <w:sz w:val="24"/>
          <w:szCs w:val="24"/>
          <w:highlight w:val="none"/>
        </w:rPr>
        <w:t>。</w:t>
      </w:r>
    </w:p>
    <w:p w14:paraId="54513871">
      <w:pPr>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47.38</w:t>
      </w:r>
      <w:r>
        <w:rPr>
          <w:rFonts w:hint="eastAsia" w:ascii="宋体" w:hAnsi="宋体" w:cs="宋体"/>
          <w:color w:val="auto"/>
          <w:sz w:val="24"/>
          <w:szCs w:val="24"/>
          <w:highlight w:val="none"/>
          <w:u w:val="single"/>
        </w:rPr>
        <w:t>承包人与发包人签订合同时所提供的开户银行名称及帐号不得擅自变更，如需变更必须</w:t>
      </w:r>
      <w:r>
        <w:rPr>
          <w:rFonts w:hint="eastAsia" w:ascii="宋体" w:hAnsi="宋体" w:cs="宋体"/>
          <w:color w:val="auto"/>
          <w:sz w:val="24"/>
          <w:szCs w:val="24"/>
          <w:highlight w:val="none"/>
          <w:u w:val="single"/>
          <w:lang w:val="en-US" w:eastAsia="zh-CN"/>
        </w:rPr>
        <w:t>书面告知</w:t>
      </w:r>
      <w:r>
        <w:rPr>
          <w:rFonts w:hint="eastAsia" w:ascii="宋体" w:hAnsi="宋体" w:cs="宋体"/>
          <w:color w:val="auto"/>
          <w:sz w:val="24"/>
          <w:szCs w:val="24"/>
          <w:highlight w:val="none"/>
          <w:u w:val="single"/>
        </w:rPr>
        <w:t>发包人，否则发包人有权停止工程款的拨付，所造成的一切后果由承包人承担</w:t>
      </w:r>
      <w:r>
        <w:rPr>
          <w:rFonts w:hint="eastAsia" w:ascii="宋体" w:hAnsi="宋体" w:cs="宋体"/>
          <w:color w:val="auto"/>
          <w:sz w:val="24"/>
          <w:szCs w:val="24"/>
          <w:highlight w:val="none"/>
        </w:rPr>
        <w:t>。</w:t>
      </w:r>
    </w:p>
    <w:p w14:paraId="15FC766C">
      <w:pPr>
        <w:spacing w:line="440" w:lineRule="exact"/>
        <w:ind w:firstLine="480" w:firstLineChars="200"/>
        <w:rPr>
          <w:rFonts w:ascii="宋体" w:hAnsi="宋体" w:cs="宋体"/>
          <w:color w:val="auto"/>
          <w:sz w:val="24"/>
          <w:szCs w:val="24"/>
          <w:highlight w:val="none"/>
          <w:u w:val="single"/>
        </w:rPr>
      </w:pPr>
    </w:p>
    <w:p w14:paraId="31623CF5">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47.39</w:t>
      </w:r>
      <w:r>
        <w:rPr>
          <w:rFonts w:hint="eastAsia" w:ascii="宋体" w:hAnsi="宋体" w:cs="宋体"/>
          <w:color w:val="auto"/>
          <w:sz w:val="24"/>
          <w:szCs w:val="24"/>
          <w:highlight w:val="none"/>
          <w:u w:val="single"/>
        </w:rPr>
        <w:t>如发包人为本工程的代建单位，则本工程建设业主同时享有本合同项下属发包人的权利，并且合同中约定需发包人审批的事项，必须经建设业主审批同意后方可实施</w:t>
      </w:r>
      <w:r>
        <w:rPr>
          <w:rFonts w:hint="eastAsia" w:ascii="宋体" w:hAnsi="宋体" w:cs="宋体"/>
          <w:color w:val="auto"/>
          <w:sz w:val="24"/>
          <w:szCs w:val="24"/>
          <w:highlight w:val="none"/>
        </w:rPr>
        <w:t>。</w:t>
      </w:r>
    </w:p>
    <w:p w14:paraId="1A98E213">
      <w:pPr>
        <w:spacing w:line="440" w:lineRule="exact"/>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47.40</w:t>
      </w:r>
      <w:r>
        <w:rPr>
          <w:rFonts w:hint="eastAsia" w:ascii="宋体" w:hAnsi="宋体" w:cs="宋体"/>
          <w:color w:val="auto"/>
          <w:sz w:val="24"/>
          <w:szCs w:val="24"/>
          <w:highlight w:val="none"/>
          <w:u w:val="single"/>
        </w:rPr>
        <w:t>《广州开发区财政投资建设项目管理中心</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绿化景观工程计量管理办法》将作为合同附件，各相关单位须遵照执行</w:t>
      </w:r>
      <w:r>
        <w:rPr>
          <w:rFonts w:hint="eastAsia" w:ascii="宋体" w:hAnsi="宋体" w:cs="宋体"/>
          <w:color w:val="auto"/>
          <w:sz w:val="24"/>
          <w:szCs w:val="24"/>
          <w:highlight w:val="none"/>
        </w:rPr>
        <w:t>。</w:t>
      </w:r>
    </w:p>
    <w:p w14:paraId="44B1BF06">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47.41</w:t>
      </w:r>
      <w:r>
        <w:rPr>
          <w:rFonts w:hint="eastAsia" w:ascii="宋体" w:hAnsi="宋体" w:cs="宋体"/>
          <w:color w:val="auto"/>
          <w:sz w:val="24"/>
          <w:szCs w:val="24"/>
          <w:highlight w:val="none"/>
          <w:u w:val="single"/>
        </w:rPr>
        <w:t>工程获得国家、省级、市级所发奖项的，可给予通报表彰，但不给予任何物质奖励</w:t>
      </w:r>
      <w:r>
        <w:rPr>
          <w:rFonts w:hint="eastAsia" w:ascii="宋体" w:hAnsi="宋体" w:cs="宋体"/>
          <w:color w:val="auto"/>
          <w:sz w:val="24"/>
          <w:szCs w:val="24"/>
          <w:highlight w:val="none"/>
        </w:rPr>
        <w:t>。</w:t>
      </w:r>
    </w:p>
    <w:p w14:paraId="5896D82D">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47.42</w:t>
      </w:r>
      <w:r>
        <w:rPr>
          <w:rFonts w:hint="eastAsia" w:ascii="宋体" w:hAnsi="宋体" w:cs="宋体"/>
          <w:color w:val="auto"/>
          <w:sz w:val="24"/>
          <w:szCs w:val="24"/>
          <w:highlight w:val="none"/>
          <w:u w:val="single"/>
        </w:rPr>
        <w:t>如本合同需缴纳合同印花税，承包人需在有关税务部门规定期限及结清本合同费用前，代缴按规定属发包人缴纳的部分，代缴后发包人按代缴金额实报实销。承包人未按规定期限代缴印花税的，因此产生的滞纳金由承包人承担。</w:t>
      </w:r>
    </w:p>
    <w:p w14:paraId="3D2F2BE7">
      <w:pPr>
        <w:spacing w:line="440" w:lineRule="exact"/>
        <w:ind w:firstLine="480" w:firstLineChars="200"/>
        <w:rPr>
          <w:rFonts w:ascii="宋体" w:hAnsi="宋体" w:cs="宋体"/>
          <w:strike w:val="0"/>
          <w:color w:val="auto"/>
          <w:sz w:val="24"/>
          <w:szCs w:val="24"/>
          <w:highlight w:val="none"/>
          <w:u w:val="single"/>
        </w:rPr>
      </w:pPr>
      <w:r>
        <w:rPr>
          <w:rFonts w:ascii="宋体" w:hAnsi="宋体" w:cs="宋体"/>
          <w:strike w:val="0"/>
          <w:color w:val="auto"/>
          <w:sz w:val="24"/>
          <w:szCs w:val="24"/>
          <w:highlight w:val="none"/>
          <w:u w:val="single"/>
        </w:rPr>
        <w:t>47.43</w:t>
      </w:r>
      <w:r>
        <w:rPr>
          <w:rFonts w:hint="eastAsia" w:ascii="宋体" w:hAnsi="宋体" w:cs="宋体"/>
          <w:strike w:val="0"/>
          <w:color w:val="auto"/>
          <w:sz w:val="24"/>
          <w:szCs w:val="24"/>
          <w:highlight w:val="none"/>
          <w:u w:val="single"/>
        </w:rPr>
        <w:t>如承包人为联合体的，本合同由联合体</w:t>
      </w:r>
      <w:r>
        <w:rPr>
          <w:rFonts w:hint="eastAsia" w:ascii="宋体" w:hAnsi="宋体" w:cs="宋体"/>
          <w:strike w:val="0"/>
          <w:color w:val="auto"/>
          <w:sz w:val="24"/>
          <w:szCs w:val="24"/>
          <w:highlight w:val="none"/>
          <w:u w:val="single"/>
          <w:lang w:eastAsia="zh-CN"/>
        </w:rPr>
        <w:t>各方共同</w:t>
      </w:r>
      <w:r>
        <w:rPr>
          <w:rFonts w:hint="eastAsia" w:ascii="宋体" w:hAnsi="宋体" w:cs="宋体"/>
          <w:strike w:val="0"/>
          <w:color w:val="auto"/>
          <w:sz w:val="24"/>
          <w:szCs w:val="24"/>
          <w:highlight w:val="none"/>
          <w:u w:val="single"/>
        </w:rPr>
        <w:t>签订</w:t>
      </w:r>
      <w:r>
        <w:rPr>
          <w:rFonts w:hint="eastAsia" w:ascii="宋体" w:hAnsi="宋体" w:cs="宋体"/>
          <w:strike w:val="0"/>
          <w:color w:val="auto"/>
          <w:sz w:val="24"/>
          <w:szCs w:val="24"/>
          <w:highlight w:val="none"/>
          <w:u w:val="single"/>
          <w:lang w:eastAsia="zh-CN"/>
        </w:rPr>
        <w:t>。</w:t>
      </w:r>
      <w:r>
        <w:rPr>
          <w:rFonts w:hint="eastAsia" w:ascii="宋体" w:hAnsi="宋体" w:cs="宋体"/>
          <w:strike w:val="0"/>
          <w:color w:val="auto"/>
          <w:sz w:val="24"/>
          <w:szCs w:val="24"/>
          <w:highlight w:val="none"/>
          <w:u w:val="single"/>
        </w:rPr>
        <w:t>并由联合体主办方负责开具合同价款全额发票、收取合同款项，联合体主办方收取合同款项后由联合体各方自行分配相应款项，或由联合体各方负责开具其对应价款的全额发票，具体分配事宜与发包人无关。</w:t>
      </w:r>
    </w:p>
    <w:p w14:paraId="3125C894">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47.44</w:t>
      </w:r>
      <w:r>
        <w:rPr>
          <w:rFonts w:hint="eastAsia" w:ascii="宋体" w:hAnsi="宋体" w:cs="宋体"/>
          <w:color w:val="auto"/>
          <w:sz w:val="24"/>
          <w:szCs w:val="24"/>
          <w:highlight w:val="none"/>
          <w:u w:val="single"/>
        </w:rPr>
        <w:t>如承包人及承包人的项目负责人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发包人核实，发包人有权终止合同。</w:t>
      </w:r>
    </w:p>
    <w:p w14:paraId="5AF1D64F">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47.45</w:t>
      </w:r>
      <w:r>
        <w:rPr>
          <w:rFonts w:hint="eastAsia" w:ascii="宋体" w:hAnsi="宋体" w:cs="宋体"/>
          <w:color w:val="auto"/>
          <w:sz w:val="24"/>
          <w:szCs w:val="24"/>
          <w:highlight w:val="none"/>
          <w:u w:val="single"/>
        </w:rPr>
        <w:t>如承包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发包人核实，发包人有权终止合同。</w:t>
      </w:r>
    </w:p>
    <w:p w14:paraId="7D506D27">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47.4</w:t>
      </w:r>
      <w:r>
        <w:rPr>
          <w:rFonts w:hint="eastAsia" w:ascii="宋体" w:hAnsi="宋体" w:cs="宋体"/>
          <w:color w:val="auto"/>
          <w:sz w:val="24"/>
          <w:highlight w:val="none"/>
        </w:rPr>
        <w:t>6</w:t>
      </w:r>
      <w:r>
        <w:rPr>
          <w:rFonts w:ascii="宋体" w:hAnsi="宋体" w:cs="宋体"/>
          <w:color w:val="auto"/>
          <w:sz w:val="24"/>
          <w:highlight w:val="none"/>
        </w:rPr>
        <w:t>开工前中标人应当投保安全生产责任保险，且该保险保障场所应包含中标项目。投标人的投标报价视为包含该项目费用。中标人未按规定购买安全生产责任保险，招标人可视严重程度拒绝该单位一定时期内参与后续工程投标。</w:t>
      </w:r>
    </w:p>
    <w:p w14:paraId="6F68D1C2">
      <w:pPr>
        <w:spacing w:line="440" w:lineRule="exact"/>
        <w:ind w:firstLine="480" w:firstLineChars="200"/>
        <w:rPr>
          <w:rFonts w:ascii="宋体" w:hAnsi="宋体" w:cs="宋体"/>
          <w:color w:val="auto"/>
          <w:sz w:val="24"/>
          <w:highlight w:val="none"/>
          <w:u w:val="single"/>
        </w:rPr>
      </w:pPr>
      <w:r>
        <w:rPr>
          <w:rFonts w:ascii="宋体" w:hAnsi="宋体" w:cs="宋体"/>
          <w:color w:val="auto"/>
          <w:sz w:val="24"/>
          <w:szCs w:val="24"/>
          <w:highlight w:val="none"/>
          <w:u w:val="single"/>
        </w:rPr>
        <w:t>47.47</w:t>
      </w:r>
      <w:r>
        <w:rPr>
          <w:rFonts w:hint="eastAsia" w:ascii="宋体" w:hAnsi="宋体" w:cs="宋体"/>
          <w:color w:val="auto"/>
          <w:sz w:val="24"/>
          <w:highlight w:val="none"/>
          <w:u w:val="single"/>
        </w:rPr>
        <w:t xml:space="preserve"> 承包人在施工过程中应严格执行《城市绿化条例》、《广东省城市绿化条例》、《广州市绿化条例》、《广州市城市树木保护管理规定（试行）》（穗林业园林规字〔2022〕1号）等法规规定。不得破坏树木和树木立地生境，不得随意更改树木根颈处的地形标高。对可能影响绿地使用功能或树木正常生长的，应采取避让和保护措施。涉及树木周边环境施工时，承包人应对可能受损的树木采取保护措施，包括设立保护区域、使用保护物料包裹树干、设置临时支撑、定期检查树木健康状况等。工程建设应符合相关规划和标准，保证树木的生长空间。相关费用包含在合同价中，不另行计费。如果承包人不及时按要求完成，发包人可以另行委托实施，发包人按实际发生的费用在工程款中扣除，承包人不得有任何异议。</w:t>
      </w:r>
    </w:p>
    <w:p w14:paraId="776955FD">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highlight w:val="none"/>
          <w:u w:val="single"/>
        </w:rPr>
        <w:t xml:space="preserve">47.48 </w:t>
      </w:r>
      <w:r>
        <w:rPr>
          <w:rFonts w:hint="eastAsia" w:ascii="宋体" w:hAnsi="宋体" w:cs="宋体"/>
          <w:color w:val="auto"/>
          <w:sz w:val="24"/>
          <w:highlight w:val="none"/>
          <w:u w:val="single"/>
        </w:rPr>
        <w:t>承包人应严格保护古树名木、古树后续资源、行道树、大树等树木，禁止擅自砍伐树木，禁止擅自迁移树木。如承包人未经批准擅自砍伐树木、损害绿化、损害树木及绿化保护设施的，发包人将上报绿化行政主管部门，视情节轻重给予相应处罚，构成犯罪的将依法移交相关机关追究刑事责任。</w:t>
      </w:r>
    </w:p>
    <w:p w14:paraId="7D61D157">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47.49 承包人应切实遵守《中华人民共和国文物保护法》、《中华人民共和国文物保护法实施条例》、《广州市文物保护规定》等文物保护相关法律、法规规定，在工程施工前，协助发包人按规定履行文物保护相关审批手续，及配合相关单位完成考古调查、勘探相关工作。不得因施工发生损毁文物的情况。承包人应加强对其施工队伍及分包单位（如有）关于文物保护相关法律、法规的宣传教育，保证施工全过程不违反文物保护相关规定。如因承包人原因发生未履行文物考古调查、勘探等前置工作擅自开工建设的，由承包人承担全部法律责任，发包人将上报文物行政主管部门，视情节轻重给予相应处罚，构成犯罪的将依法移交相关机关追究刑事责任。</w:t>
      </w:r>
    </w:p>
    <w:p w14:paraId="4B9A5C75">
      <w:pPr>
        <w:spacing w:line="440" w:lineRule="exact"/>
        <w:ind w:firstLine="480" w:firstLineChars="200"/>
        <w:rPr>
          <w:rFonts w:hint="eastAsia" w:ascii="宋体" w:hAnsi="宋体" w:cs="宋体"/>
          <w:color w:val="auto"/>
          <w:sz w:val="24"/>
          <w:szCs w:val="24"/>
          <w:highlight w:val="none"/>
          <w:u w:val="single"/>
        </w:rPr>
      </w:pPr>
      <w:r>
        <w:rPr>
          <w:rFonts w:ascii="宋体" w:hAnsi="宋体" w:cs="宋体"/>
          <w:color w:val="auto"/>
          <w:sz w:val="24"/>
          <w:szCs w:val="24"/>
          <w:highlight w:val="none"/>
          <w:u w:val="single"/>
        </w:rPr>
        <w:t xml:space="preserve">47.50 </w:t>
      </w:r>
      <w:r>
        <w:rPr>
          <w:rFonts w:hint="eastAsia" w:ascii="宋体" w:hAnsi="宋体" w:cs="宋体"/>
          <w:color w:val="auto"/>
          <w:sz w:val="24"/>
          <w:szCs w:val="24"/>
          <w:highlight w:val="none"/>
          <w:u w:val="single"/>
        </w:rPr>
        <w:t>未尽事宜，经双方友好协商解决。</w:t>
      </w:r>
    </w:p>
    <w:p w14:paraId="50EFED0D">
      <w:pPr>
        <w:numPr>
          <w:ilvl w:val="0"/>
          <w:numId w:val="0"/>
        </w:numPr>
        <w:jc w:val="both"/>
        <w:rPr>
          <w:rFonts w:hint="eastAsia" w:ascii="宋体" w:hAnsi="宋体" w:cs="宋体"/>
          <w:b/>
          <w:bCs/>
          <w:color w:val="auto"/>
          <w:sz w:val="28"/>
          <w:szCs w:val="28"/>
          <w:highlight w:val="none"/>
          <w:lang w:val="en-US" w:eastAsia="zh-CN"/>
        </w:rPr>
      </w:pPr>
    </w:p>
    <w:p w14:paraId="7B88BD37">
      <w:pPr>
        <w:numPr>
          <w:ilvl w:val="0"/>
          <w:numId w:val="0"/>
        </w:numPr>
        <w:jc w:val="both"/>
        <w:rPr>
          <w:rFonts w:hint="eastAsia" w:ascii="宋体" w:hAnsi="宋体" w:cs="宋体"/>
          <w:b/>
          <w:bCs/>
          <w:color w:val="auto"/>
          <w:sz w:val="28"/>
          <w:szCs w:val="28"/>
          <w:highlight w:val="none"/>
          <w:lang w:val="en-US" w:eastAsia="zh-CN"/>
        </w:rPr>
      </w:pPr>
    </w:p>
    <w:p w14:paraId="7D7749F9">
      <w:pPr>
        <w:pStyle w:val="313"/>
        <w:spacing w:line="400" w:lineRule="exact"/>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附件：</w:t>
      </w:r>
    </w:p>
    <w:p w14:paraId="0E5FC446">
      <w:pPr>
        <w:numPr>
          <w:ilvl w:val="-1"/>
          <w:numId w:val="0"/>
        </w:numPr>
        <w:adjustRightInd w:val="0"/>
        <w:snapToGrid w:val="0"/>
        <w:spacing w:line="440" w:lineRule="exact"/>
        <w:ind w:firstLine="480" w:firstLineChars="200"/>
        <w:jc w:val="both"/>
        <w:rPr>
          <w:rFonts w:hint="eastAsia" w:ascii="宋体" w:hAnsi="宋体" w:cs="宋体"/>
          <w:b w:val="0"/>
          <w:snapToGrid w:val="0"/>
          <w:color w:val="auto"/>
          <w:kern w:val="0"/>
          <w:sz w:val="24"/>
          <w:szCs w:val="32"/>
          <w:highlight w:val="none"/>
        </w:rPr>
      </w:pPr>
      <w:r>
        <w:rPr>
          <w:rFonts w:hint="eastAsia" w:ascii="宋体" w:hAnsi="宋体" w:cs="宋体"/>
          <w:b w:val="0"/>
          <w:snapToGrid w:val="0"/>
          <w:color w:val="auto"/>
          <w:kern w:val="0"/>
          <w:sz w:val="24"/>
          <w:szCs w:val="32"/>
          <w:highlight w:val="none"/>
          <w:lang w:val="en-US" w:eastAsia="zh-CN"/>
        </w:rPr>
        <w:t>1.</w:t>
      </w:r>
      <w:r>
        <w:rPr>
          <w:rFonts w:hint="eastAsia" w:ascii="宋体" w:hAnsi="宋体" w:cs="宋体"/>
          <w:b w:val="0"/>
          <w:snapToGrid w:val="0"/>
          <w:color w:val="auto"/>
          <w:kern w:val="0"/>
          <w:sz w:val="24"/>
          <w:szCs w:val="32"/>
          <w:highlight w:val="none"/>
        </w:rPr>
        <w:t>工程质量保修责任书</w:t>
      </w:r>
    </w:p>
    <w:p w14:paraId="50D36FCC">
      <w:pPr>
        <w:numPr>
          <w:ilvl w:val="-1"/>
          <w:numId w:val="0"/>
        </w:numPr>
        <w:ind w:firstLine="480" w:firstLineChars="200"/>
        <w:jc w:val="both"/>
        <w:rPr>
          <w:rFonts w:hint="eastAsia" w:ascii="宋体" w:hAnsi="宋体" w:cs="宋体"/>
          <w:b w:val="0"/>
          <w:bCs w:val="0"/>
          <w:snapToGrid w:val="0"/>
          <w:color w:val="auto"/>
          <w:kern w:val="0"/>
          <w:sz w:val="24"/>
          <w:szCs w:val="32"/>
          <w:highlight w:val="none"/>
        </w:rPr>
      </w:pPr>
      <w:r>
        <w:rPr>
          <w:rFonts w:hint="eastAsia" w:ascii="宋体" w:hAnsi="宋体" w:cs="宋体"/>
          <w:b w:val="0"/>
          <w:bCs w:val="0"/>
          <w:snapToGrid w:val="0"/>
          <w:color w:val="auto"/>
          <w:kern w:val="0"/>
          <w:sz w:val="24"/>
          <w:szCs w:val="32"/>
          <w:highlight w:val="none"/>
          <w:lang w:val="en-US" w:eastAsia="zh-CN"/>
        </w:rPr>
        <w:t>2.</w:t>
      </w:r>
      <w:r>
        <w:rPr>
          <w:rFonts w:hint="eastAsia" w:ascii="宋体" w:hAnsi="宋体" w:cs="宋体"/>
          <w:b w:val="0"/>
          <w:bCs w:val="0"/>
          <w:snapToGrid w:val="0"/>
          <w:color w:val="auto"/>
          <w:kern w:val="0"/>
          <w:sz w:val="24"/>
          <w:szCs w:val="32"/>
          <w:highlight w:val="none"/>
        </w:rPr>
        <w:t>工程建设项目廉政责任书</w:t>
      </w:r>
    </w:p>
    <w:p w14:paraId="75581706">
      <w:pPr>
        <w:numPr>
          <w:ilvl w:val="0"/>
          <w:numId w:val="0"/>
        </w:numPr>
        <w:adjustRightInd w:val="0"/>
        <w:snapToGrid w:val="0"/>
        <w:spacing w:line="440" w:lineRule="exact"/>
        <w:ind w:firstLine="480" w:firstLineChars="200"/>
        <w:rPr>
          <w:rFonts w:hint="eastAsia" w:ascii="宋体" w:hAnsi="宋体" w:cs="宋体"/>
          <w:snapToGrid w:val="0"/>
          <w:color w:val="auto"/>
          <w:kern w:val="0"/>
          <w:sz w:val="24"/>
          <w:szCs w:val="32"/>
          <w:highlight w:val="none"/>
        </w:rPr>
      </w:pPr>
      <w:r>
        <w:rPr>
          <w:rFonts w:hint="eastAsia" w:ascii="宋体" w:hAnsi="宋体" w:cs="宋体"/>
          <w:b w:val="0"/>
          <w:bCs w:val="0"/>
          <w:snapToGrid w:val="0"/>
          <w:color w:val="auto"/>
          <w:kern w:val="0"/>
          <w:sz w:val="24"/>
          <w:szCs w:val="32"/>
          <w:highlight w:val="none"/>
          <w:lang w:val="en-US" w:eastAsia="zh-CN"/>
        </w:rPr>
        <w:t>3.</w:t>
      </w:r>
      <w:r>
        <w:rPr>
          <w:rFonts w:hint="eastAsia" w:ascii="宋体" w:hAnsi="宋体" w:cs="宋体"/>
          <w:b w:val="0"/>
          <w:bCs w:val="0"/>
          <w:snapToGrid w:val="0"/>
          <w:color w:val="auto"/>
          <w:kern w:val="0"/>
          <w:sz w:val="24"/>
          <w:szCs w:val="32"/>
          <w:highlight w:val="none"/>
        </w:rPr>
        <w:t>绿化种植专篇</w:t>
      </w:r>
    </w:p>
    <w:p w14:paraId="3C3BFA1F">
      <w:pPr>
        <w:pStyle w:val="313"/>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标函承诺书</w:t>
      </w:r>
    </w:p>
    <w:p w14:paraId="78E13EC0">
      <w:pPr>
        <w:pStyle w:val="313"/>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项目负责人驻场承诺书</w:t>
      </w:r>
    </w:p>
    <w:p w14:paraId="092472C8">
      <w:pPr>
        <w:pStyle w:val="313"/>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危险性较大的分部分项工程安全管理措施</w:t>
      </w:r>
    </w:p>
    <w:p w14:paraId="76DFFFD4">
      <w:pPr>
        <w:pStyle w:val="313"/>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拟投入本工程的主要技术、经济和管理人员一览表</w:t>
      </w:r>
    </w:p>
    <w:p w14:paraId="7EBF594C">
      <w:pPr>
        <w:pStyle w:val="313"/>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拟投入本工程施工的主要机械设备配备表</w:t>
      </w:r>
    </w:p>
    <w:p w14:paraId="75C2A466">
      <w:pPr>
        <w:pStyle w:val="313"/>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中小企业声明函（如有)</w:t>
      </w:r>
    </w:p>
    <w:p w14:paraId="2685F245">
      <w:pPr>
        <w:pStyle w:val="313"/>
        <w:spacing w:line="400" w:lineRule="exact"/>
        <w:ind w:firstLine="480" w:firstLineChars="200"/>
        <w:rPr>
          <w:rFonts w:hint="eastAsia" w:ascii="宋体" w:hAnsi="宋体"/>
          <w:color w:val="auto"/>
          <w:sz w:val="24"/>
          <w:szCs w:val="24"/>
          <w:highlight w:val="none"/>
          <w:u w:val="single"/>
          <w:lang w:val="en-US" w:eastAsia="zh-CN"/>
        </w:rPr>
      </w:pPr>
      <w:r>
        <w:rPr>
          <w:rFonts w:hint="eastAsia" w:ascii="宋体" w:hAnsi="宋体"/>
          <w:color w:val="auto"/>
          <w:sz w:val="24"/>
          <w:highlight w:val="none"/>
          <w:lang w:val="en-US" w:eastAsia="zh-CN"/>
        </w:rPr>
        <w:t>10</w:t>
      </w:r>
      <w:r>
        <w:rPr>
          <w:rFonts w:hint="eastAsia" w:ascii="宋体" w:hAnsi="宋体"/>
          <w:color w:val="auto"/>
          <w:sz w:val="24"/>
          <w:highlight w:val="none"/>
        </w:rPr>
        <w:t>分包意向协议书(如有)</w:t>
      </w:r>
    </w:p>
    <w:p w14:paraId="21CDEE05">
      <w:pPr>
        <w:pStyle w:val="313"/>
        <w:spacing w:line="400" w:lineRule="exact"/>
        <w:ind w:firstLine="480" w:firstLineChars="200"/>
        <w:rPr>
          <w:rFonts w:hint="eastAsia" w:ascii="宋体" w:hAnsi="宋体"/>
          <w:color w:val="auto"/>
          <w:sz w:val="24"/>
          <w:szCs w:val="32"/>
          <w:highlight w:val="none"/>
          <w:u w:val="none"/>
        </w:rPr>
      </w:pPr>
      <w:r>
        <w:rPr>
          <w:rFonts w:hint="eastAsia" w:ascii="宋体" w:hAnsi="宋体"/>
          <w:color w:val="auto"/>
          <w:sz w:val="24"/>
          <w:szCs w:val="32"/>
          <w:highlight w:val="none"/>
          <w:u w:val="none"/>
          <w:lang w:val="en-US" w:eastAsia="zh-CN"/>
        </w:rPr>
        <w:t>11.</w:t>
      </w:r>
      <w:r>
        <w:rPr>
          <w:rFonts w:hint="eastAsia" w:ascii="宋体" w:hAnsi="宋体"/>
          <w:color w:val="auto"/>
          <w:sz w:val="24"/>
          <w:szCs w:val="32"/>
          <w:highlight w:val="none"/>
          <w:u w:val="none"/>
          <w:lang w:eastAsia="zh-CN"/>
        </w:rPr>
        <w:t>共管工程预付款使用监管办法（实施预付款共管时）</w:t>
      </w:r>
    </w:p>
    <w:p w14:paraId="0013FC5B">
      <w:pPr>
        <w:pStyle w:val="313"/>
        <w:snapToGrid/>
        <w:spacing w:line="400" w:lineRule="exact"/>
        <w:ind w:firstLine="480" w:firstLineChars="200"/>
        <w:jc w:val="both"/>
        <w:rPr>
          <w:rFonts w:hint="eastAsia" w:ascii="宋体" w:hAnsi="宋体"/>
          <w:color w:val="auto"/>
          <w:sz w:val="24"/>
          <w:szCs w:val="24"/>
          <w:highlight w:val="none"/>
          <w:u w:val="single"/>
          <w:lang w:eastAsia="zh-CN"/>
        </w:rPr>
      </w:pPr>
      <w:r>
        <w:rPr>
          <w:rFonts w:hint="eastAsia" w:ascii="宋体" w:hAnsi="宋体"/>
          <w:color w:val="auto"/>
          <w:sz w:val="24"/>
          <w:szCs w:val="32"/>
          <w:highlight w:val="none"/>
          <w:u w:val="none"/>
          <w:lang w:val="en-US" w:eastAsia="zh-CN"/>
        </w:rPr>
        <w:t>12.</w:t>
      </w:r>
      <w:r>
        <w:rPr>
          <w:rFonts w:hint="eastAsia" w:ascii="宋体" w:hAnsi="宋体"/>
          <w:color w:val="auto"/>
          <w:sz w:val="24"/>
          <w:highlight w:val="none"/>
        </w:rPr>
        <w:t>《</w:t>
      </w:r>
      <w:r>
        <w:rPr>
          <w:rFonts w:hint="eastAsia" w:ascii="宋体" w:hAnsi="宋体" w:eastAsia="宋体" w:cs="宋体"/>
          <w:b w:val="0"/>
          <w:bCs w:val="0"/>
          <w:color w:val="auto"/>
          <w:sz w:val="24"/>
          <w:szCs w:val="32"/>
          <w:highlight w:val="none"/>
        </w:rPr>
        <w:t>工程</w:t>
      </w:r>
      <w:r>
        <w:rPr>
          <w:rFonts w:hint="eastAsia" w:ascii="宋体" w:hAnsi="宋体" w:eastAsia="宋体" w:cs="宋体"/>
          <w:b w:val="0"/>
          <w:bCs w:val="0"/>
          <w:color w:val="auto"/>
          <w:sz w:val="24"/>
          <w:szCs w:val="32"/>
          <w:highlight w:val="none"/>
          <w:lang w:eastAsia="zh-CN"/>
        </w:rPr>
        <w:t>预付款</w:t>
      </w:r>
      <w:r>
        <w:rPr>
          <w:rFonts w:hint="eastAsia" w:ascii="宋体" w:hAnsi="宋体" w:eastAsia="宋体" w:cs="宋体"/>
          <w:b w:val="0"/>
          <w:bCs w:val="0"/>
          <w:color w:val="auto"/>
          <w:sz w:val="24"/>
          <w:szCs w:val="32"/>
          <w:highlight w:val="none"/>
        </w:rPr>
        <w:t>资金共管协议</w:t>
      </w:r>
      <w:r>
        <w:rPr>
          <w:rFonts w:hint="eastAsia" w:ascii="宋体" w:hAnsi="宋体"/>
          <w:color w:val="auto"/>
          <w:sz w:val="24"/>
          <w:highlight w:val="none"/>
        </w:rPr>
        <w:t>》</w:t>
      </w:r>
      <w:r>
        <w:rPr>
          <w:rFonts w:hint="eastAsia" w:ascii="宋体" w:hAnsi="宋体"/>
          <w:color w:val="auto"/>
          <w:sz w:val="24"/>
          <w:szCs w:val="32"/>
          <w:highlight w:val="none"/>
          <w:u w:val="none"/>
        </w:rPr>
        <w:t>格式</w:t>
      </w:r>
      <w:r>
        <w:rPr>
          <w:rFonts w:hint="eastAsia" w:ascii="宋体" w:hAnsi="宋体"/>
          <w:color w:val="auto"/>
          <w:sz w:val="24"/>
          <w:szCs w:val="32"/>
          <w:highlight w:val="none"/>
          <w:u w:val="none"/>
          <w:lang w:eastAsia="zh-CN"/>
        </w:rPr>
        <w:t>（实施</w:t>
      </w:r>
      <w:r>
        <w:rPr>
          <w:rFonts w:hint="eastAsia" w:ascii="宋体" w:hAnsi="宋体"/>
          <w:color w:val="auto"/>
          <w:sz w:val="24"/>
          <w:szCs w:val="32"/>
          <w:highlight w:val="none"/>
          <w:u w:val="none"/>
          <w:lang w:val="en-US" w:eastAsia="zh-CN"/>
        </w:rPr>
        <w:t>全过程</w:t>
      </w:r>
      <w:r>
        <w:rPr>
          <w:rFonts w:hint="eastAsia" w:ascii="宋体" w:hAnsi="宋体"/>
          <w:color w:val="auto"/>
          <w:sz w:val="24"/>
          <w:szCs w:val="32"/>
          <w:highlight w:val="none"/>
          <w:u w:val="none"/>
          <w:lang w:eastAsia="zh-CN"/>
        </w:rPr>
        <w:t>共管时）</w:t>
      </w:r>
    </w:p>
    <w:p w14:paraId="00F524D4">
      <w:pPr>
        <w:spacing w:line="520" w:lineRule="exact"/>
        <w:ind w:firstLine="545" w:firstLineChars="227"/>
        <w:rPr>
          <w:rFonts w:ascii="宋体" w:hAnsi="宋体"/>
          <w:b/>
          <w:color w:val="auto"/>
          <w:sz w:val="24"/>
          <w:highlight w:val="none"/>
        </w:rPr>
      </w:pPr>
    </w:p>
    <w:p w14:paraId="66AE3302">
      <w:pPr>
        <w:pStyle w:val="2"/>
        <w:rPr>
          <w:rFonts w:ascii="宋体" w:hAnsi="宋体"/>
          <w:b/>
          <w:color w:val="auto"/>
          <w:sz w:val="24"/>
          <w:highlight w:val="none"/>
        </w:rPr>
      </w:pPr>
    </w:p>
    <w:p w14:paraId="746203EE">
      <w:pPr>
        <w:rPr>
          <w:rFonts w:ascii="宋体" w:hAnsi="宋体"/>
          <w:b/>
          <w:color w:val="auto"/>
          <w:sz w:val="24"/>
          <w:highlight w:val="none"/>
        </w:rPr>
      </w:pPr>
    </w:p>
    <w:p w14:paraId="2783A8AA">
      <w:pPr>
        <w:pStyle w:val="2"/>
        <w:rPr>
          <w:rFonts w:ascii="宋体" w:hAnsi="宋体"/>
          <w:b/>
          <w:color w:val="auto"/>
          <w:sz w:val="24"/>
          <w:highlight w:val="none"/>
        </w:rPr>
        <w:sectPr>
          <w:pgSz w:w="11907" w:h="16840"/>
          <w:pgMar w:top="1134" w:right="1418" w:bottom="1134" w:left="1418" w:header="851" w:footer="992" w:gutter="0"/>
          <w:cols w:space="720" w:num="1"/>
          <w:docGrid w:linePitch="312" w:charSpace="0"/>
        </w:sectPr>
      </w:pPr>
    </w:p>
    <w:p w14:paraId="7CC30193">
      <w:pPr>
        <w:numPr>
          <w:ilvl w:val="-1"/>
          <w:numId w:val="0"/>
        </w:numPr>
        <w:spacing w:line="440" w:lineRule="exact"/>
        <w:ind w:firstLine="420" w:firstLineChars="200"/>
        <w:jc w:val="both"/>
        <w:rPr>
          <w:rFonts w:ascii="宋体" w:hAnsi="宋体"/>
          <w:color w:val="auto"/>
          <w:sz w:val="28"/>
          <w:szCs w:val="28"/>
          <w:highlight w:val="none"/>
        </w:rPr>
      </w:pPr>
      <w:r>
        <w:rPr>
          <w:rFonts w:hint="eastAsia"/>
          <w:color w:val="auto"/>
          <w:highlight w:val="none"/>
          <w:lang w:eastAsia="zh-CN"/>
        </w:rPr>
        <w:t>附件</w:t>
      </w:r>
      <w:r>
        <w:rPr>
          <w:rFonts w:hint="eastAsia"/>
          <w:color w:val="auto"/>
          <w:highlight w:val="none"/>
          <w:lang w:val="en-US" w:eastAsia="zh-CN"/>
        </w:rPr>
        <w:t>1：</w:t>
      </w:r>
      <w:r>
        <w:rPr>
          <w:rFonts w:ascii="宋体" w:hAnsi="宋体"/>
          <w:b/>
          <w:color w:val="auto"/>
          <w:sz w:val="28"/>
          <w:szCs w:val="28"/>
          <w:highlight w:val="none"/>
        </w:rPr>
        <w:t xml:space="preserve"> </w:t>
      </w:r>
      <w:r>
        <w:rPr>
          <w:rFonts w:hint="eastAsia" w:ascii="宋体" w:hAnsi="宋体"/>
          <w:b/>
          <w:color w:val="auto"/>
          <w:sz w:val="28"/>
          <w:szCs w:val="28"/>
          <w:highlight w:val="none"/>
        </w:rPr>
        <w:t>工程质量保修责任书</w:t>
      </w:r>
    </w:p>
    <w:p w14:paraId="3D444C9E">
      <w:pPr>
        <w:numPr>
          <w:ilvl w:val="255"/>
          <w:numId w:val="0"/>
        </w:numPr>
        <w:spacing w:line="440" w:lineRule="exact"/>
        <w:jc w:val="center"/>
        <w:rPr>
          <w:rStyle w:val="158"/>
          <w:color w:val="auto"/>
          <w:sz w:val="32"/>
          <w:szCs w:val="32"/>
          <w:highlight w:val="none"/>
        </w:rPr>
      </w:pPr>
    </w:p>
    <w:p w14:paraId="0655589F">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发包人：中新广州知识城财政投资建设项目管理中心</w:t>
      </w:r>
    </w:p>
    <w:p w14:paraId="32C78A41">
      <w:pPr>
        <w:spacing w:line="440" w:lineRule="exact"/>
        <w:ind w:firstLine="480" w:firstLineChars="200"/>
        <w:rPr>
          <w:rFonts w:ascii="宋体" w:hAnsi="宋体"/>
          <w:snapToGrid w:val="0"/>
          <w:color w:val="auto"/>
          <w:kern w:val="0"/>
          <w:sz w:val="24"/>
          <w:highlight w:val="none"/>
          <w:u w:val="single"/>
        </w:rPr>
      </w:pPr>
      <w:r>
        <w:rPr>
          <w:rFonts w:hint="eastAsia" w:ascii="宋体" w:hAnsi="宋体"/>
          <w:snapToGrid w:val="0"/>
          <w:color w:val="auto"/>
          <w:kern w:val="0"/>
          <w:sz w:val="24"/>
          <w:highlight w:val="none"/>
        </w:rPr>
        <w:t>承包人：</w:t>
      </w:r>
      <w:r>
        <w:rPr>
          <w:rFonts w:hint="eastAsia" w:ascii="宋体" w:hAnsi="宋体"/>
          <w:color w:val="auto"/>
          <w:sz w:val="24"/>
          <w:highlight w:val="none"/>
          <w:u w:val="single"/>
        </w:rPr>
        <w:t xml:space="preserve">                       </w:t>
      </w:r>
    </w:p>
    <w:p w14:paraId="06BE8172">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发包人、承包人根据《中华人民共和国建筑法》、《建设工程质量管理条例》和《房屋建筑工程质量保修办法》等相关规定，经协商一致，对</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rPr>
        <w:t>建设项目工程项目签订工程质量保修书。</w:t>
      </w:r>
    </w:p>
    <w:p w14:paraId="238824B5">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一、工程质量保修范围和内容</w:t>
      </w:r>
    </w:p>
    <w:p w14:paraId="4A1F4927">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1、承包人在质量保修期内，按照有关法律、法规、规章的管理规定和双方约定，承担本工程质量保修责任。</w:t>
      </w:r>
    </w:p>
    <w:p w14:paraId="38E8EE6B">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2、质量保修范围本工程施工合同约定的工程内容。</w:t>
      </w:r>
    </w:p>
    <w:p w14:paraId="331F1946">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二、质量保修期</w:t>
      </w:r>
    </w:p>
    <w:p w14:paraId="7F83653F">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双方根据《建设工程质量管理条例》、《房屋建筑工程质量保修办法》（建设部第80号令）的有关规定及设计要求，约定本工程质量保修期如下：</w:t>
      </w:r>
    </w:p>
    <w:p w14:paraId="689CB834">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1、地基基础工程和主体结构工程为设计文件规定的该工程的合理使用年限；</w:t>
      </w:r>
    </w:p>
    <w:p w14:paraId="050DE370">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2、屋面防水工程、有防水要求的卫生间、房间和外墙面的防渗漏为</w:t>
      </w:r>
      <w:r>
        <w:rPr>
          <w:rFonts w:hint="eastAsia" w:ascii="宋体" w:hAnsi="宋体"/>
          <w:snapToGrid w:val="0"/>
          <w:color w:val="auto"/>
          <w:kern w:val="0"/>
          <w:sz w:val="24"/>
          <w:highlight w:val="none"/>
          <w:u w:val="single"/>
        </w:rPr>
        <w:t xml:space="preserve"> 5 </w:t>
      </w:r>
      <w:r>
        <w:rPr>
          <w:rFonts w:hint="eastAsia" w:ascii="宋体" w:hAnsi="宋体"/>
          <w:snapToGrid w:val="0"/>
          <w:color w:val="auto"/>
          <w:kern w:val="0"/>
          <w:sz w:val="24"/>
          <w:highlight w:val="none"/>
        </w:rPr>
        <w:t>年；</w:t>
      </w:r>
    </w:p>
    <w:p w14:paraId="429610B9">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3、电气管线、给排水管道、设备安装工程为</w:t>
      </w:r>
      <w:r>
        <w:rPr>
          <w:rFonts w:hint="eastAsia" w:ascii="宋体" w:hAnsi="宋体"/>
          <w:snapToGrid w:val="0"/>
          <w:color w:val="auto"/>
          <w:kern w:val="0"/>
          <w:sz w:val="24"/>
          <w:highlight w:val="none"/>
          <w:u w:val="single"/>
        </w:rPr>
        <w:t xml:space="preserve"> 2 </w:t>
      </w:r>
      <w:r>
        <w:rPr>
          <w:rFonts w:hint="eastAsia" w:ascii="宋体" w:hAnsi="宋体"/>
          <w:snapToGrid w:val="0"/>
          <w:color w:val="auto"/>
          <w:kern w:val="0"/>
          <w:sz w:val="24"/>
          <w:highlight w:val="none"/>
        </w:rPr>
        <w:t>年；</w:t>
      </w:r>
    </w:p>
    <w:p w14:paraId="2A76CFBD">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4、供热及供冷为</w:t>
      </w:r>
      <w:r>
        <w:rPr>
          <w:rFonts w:hint="eastAsia" w:ascii="宋体" w:hAnsi="宋体"/>
          <w:snapToGrid w:val="0"/>
          <w:color w:val="auto"/>
          <w:kern w:val="0"/>
          <w:sz w:val="24"/>
          <w:highlight w:val="none"/>
          <w:u w:val="single"/>
        </w:rPr>
        <w:t xml:space="preserve"> 2</w:t>
      </w:r>
      <w:r>
        <w:rPr>
          <w:rFonts w:hint="eastAsia" w:ascii="宋体" w:hAnsi="宋体"/>
          <w:snapToGrid w:val="0"/>
          <w:color w:val="auto"/>
          <w:kern w:val="0"/>
          <w:sz w:val="24"/>
          <w:highlight w:val="none"/>
        </w:rPr>
        <w:t>个采暖期及供冷期；</w:t>
      </w:r>
    </w:p>
    <w:p w14:paraId="0B1B7BB0">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5、装饰装修工程为</w:t>
      </w:r>
      <w:r>
        <w:rPr>
          <w:rFonts w:hint="eastAsia" w:ascii="宋体" w:hAnsi="宋体"/>
          <w:snapToGrid w:val="0"/>
          <w:color w:val="auto"/>
          <w:kern w:val="0"/>
          <w:sz w:val="24"/>
          <w:highlight w:val="none"/>
          <w:u w:val="single"/>
        </w:rPr>
        <w:t xml:space="preserve"> 2 </w:t>
      </w:r>
      <w:r>
        <w:rPr>
          <w:rFonts w:hint="eastAsia" w:ascii="宋体" w:hAnsi="宋体"/>
          <w:snapToGrid w:val="0"/>
          <w:color w:val="auto"/>
          <w:kern w:val="0"/>
          <w:sz w:val="24"/>
          <w:highlight w:val="none"/>
        </w:rPr>
        <w:t>年；</w:t>
      </w:r>
    </w:p>
    <w:p w14:paraId="47D3A6E6">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 xml:space="preserve">6、室外的上下水和小区道路等市政公用工程为 </w:t>
      </w:r>
      <w:r>
        <w:rPr>
          <w:rFonts w:hint="eastAsia" w:ascii="宋体" w:hAnsi="宋体"/>
          <w:snapToGrid w:val="0"/>
          <w:color w:val="auto"/>
          <w:kern w:val="0"/>
          <w:sz w:val="24"/>
          <w:highlight w:val="none"/>
          <w:u w:val="single"/>
        </w:rPr>
        <w:t xml:space="preserve"> 2 </w:t>
      </w:r>
      <w:r>
        <w:rPr>
          <w:rFonts w:hint="eastAsia" w:ascii="宋体" w:hAnsi="宋体"/>
          <w:snapToGrid w:val="0"/>
          <w:color w:val="auto"/>
          <w:kern w:val="0"/>
          <w:sz w:val="24"/>
          <w:highlight w:val="none"/>
        </w:rPr>
        <w:t>年；</w:t>
      </w:r>
    </w:p>
    <w:p w14:paraId="797EBFD9">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7、在本项目建成投入使用的前两年内，需对钢结构的节点、杆件应力集中部位、支座等受力关键部位进行应力、应变监控（监测方案由双方确定）。</w:t>
      </w:r>
    </w:p>
    <w:p w14:paraId="060AF348">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8、</w:t>
      </w:r>
      <w:r>
        <w:rPr>
          <w:rFonts w:hint="eastAsia" w:ascii="宋体" w:hAnsi="宋体"/>
          <w:color w:val="auto"/>
          <w:sz w:val="24"/>
          <w:highlight w:val="none"/>
        </w:rPr>
        <w:t>园林建筑工程为</w:t>
      </w:r>
      <w:r>
        <w:rPr>
          <w:rFonts w:ascii="宋体" w:hAnsi="宋体"/>
          <w:color w:val="auto"/>
          <w:sz w:val="24"/>
          <w:highlight w:val="none"/>
          <w:u w:val="single"/>
        </w:rPr>
        <w:t xml:space="preserve"> 1 </w:t>
      </w:r>
      <w:r>
        <w:rPr>
          <w:rFonts w:hint="eastAsia" w:ascii="宋体" w:hAnsi="宋体"/>
          <w:color w:val="auto"/>
          <w:sz w:val="24"/>
          <w:highlight w:val="none"/>
        </w:rPr>
        <w:t>年，喷淋工程为</w:t>
      </w:r>
      <w:r>
        <w:rPr>
          <w:rFonts w:ascii="宋体" w:hAnsi="宋体"/>
          <w:color w:val="auto"/>
          <w:sz w:val="24"/>
          <w:highlight w:val="none"/>
          <w:u w:val="single"/>
        </w:rPr>
        <w:t xml:space="preserve"> 2</w:t>
      </w:r>
      <w:r>
        <w:rPr>
          <w:rFonts w:hint="eastAsia" w:ascii="宋体" w:hAnsi="宋体"/>
          <w:color w:val="auto"/>
          <w:sz w:val="24"/>
          <w:highlight w:val="none"/>
          <w:u w:val="single"/>
        </w:rPr>
        <w:t xml:space="preserve"> </w:t>
      </w:r>
      <w:r>
        <w:rPr>
          <w:rFonts w:hint="eastAsia" w:ascii="宋体" w:hAnsi="宋体"/>
          <w:color w:val="auto"/>
          <w:sz w:val="24"/>
          <w:highlight w:val="none"/>
        </w:rPr>
        <w:t>年，胸径</w:t>
      </w:r>
      <w:r>
        <w:rPr>
          <w:rFonts w:ascii="宋体" w:hAnsi="宋体"/>
          <w:color w:val="auto"/>
          <w:sz w:val="24"/>
          <w:highlight w:val="none"/>
        </w:rPr>
        <w:t>15cm</w:t>
      </w:r>
      <w:r>
        <w:rPr>
          <w:rFonts w:hint="eastAsia" w:ascii="宋体" w:hAnsi="宋体"/>
          <w:color w:val="auto"/>
          <w:sz w:val="24"/>
          <w:highlight w:val="none"/>
        </w:rPr>
        <w:t>以内（含</w:t>
      </w:r>
      <w:r>
        <w:rPr>
          <w:rFonts w:ascii="宋体" w:hAnsi="宋体"/>
          <w:color w:val="auto"/>
          <w:sz w:val="24"/>
          <w:highlight w:val="none"/>
        </w:rPr>
        <w:t>15cm</w:t>
      </w:r>
      <w:r>
        <w:rPr>
          <w:rFonts w:hint="eastAsia" w:ascii="宋体" w:hAnsi="宋体"/>
          <w:color w:val="auto"/>
          <w:sz w:val="24"/>
          <w:highlight w:val="none"/>
        </w:rPr>
        <w:t>）的苗木养护期为</w:t>
      </w:r>
      <w:r>
        <w:rPr>
          <w:rFonts w:ascii="宋体" w:hAnsi="宋体"/>
          <w:color w:val="auto"/>
          <w:sz w:val="24"/>
          <w:highlight w:val="none"/>
          <w:u w:val="single"/>
        </w:rPr>
        <w:t xml:space="preserve"> 3</w:t>
      </w:r>
      <w:r>
        <w:rPr>
          <w:rFonts w:hint="eastAsia" w:ascii="宋体" w:hAnsi="宋体"/>
          <w:color w:val="auto"/>
          <w:sz w:val="24"/>
          <w:highlight w:val="none"/>
          <w:u w:val="single"/>
        </w:rPr>
        <w:t xml:space="preserve"> </w:t>
      </w:r>
      <w:r>
        <w:rPr>
          <w:rFonts w:hint="eastAsia" w:ascii="宋体" w:hAnsi="宋体"/>
          <w:color w:val="auto"/>
          <w:sz w:val="24"/>
          <w:highlight w:val="none"/>
        </w:rPr>
        <w:t>个月，胸径</w:t>
      </w:r>
      <w:r>
        <w:rPr>
          <w:rFonts w:ascii="宋体" w:hAnsi="宋体"/>
          <w:color w:val="auto"/>
          <w:sz w:val="24"/>
          <w:highlight w:val="none"/>
        </w:rPr>
        <w:t>15cm</w:t>
      </w:r>
      <w:r>
        <w:rPr>
          <w:rFonts w:hint="eastAsia" w:ascii="宋体" w:hAnsi="宋体"/>
          <w:color w:val="auto"/>
          <w:sz w:val="24"/>
          <w:highlight w:val="none"/>
        </w:rPr>
        <w:t>以上的苗木养护期为</w:t>
      </w:r>
      <w:r>
        <w:rPr>
          <w:rFonts w:ascii="宋体" w:hAnsi="宋体"/>
          <w:color w:val="auto"/>
          <w:sz w:val="24"/>
          <w:highlight w:val="none"/>
          <w:u w:val="single"/>
        </w:rPr>
        <w:t xml:space="preserve"> 1</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36BE3A83">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 xml:space="preserve">9、其他约定：按国家现行规范规程及相关标准和设计的有关要求执行。 </w:t>
      </w:r>
    </w:p>
    <w:p w14:paraId="7B208F36">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质量保修期自广州开发区管委会或其相关职能部门批准的提前移交之日或工程竣工验收合格之日起（以先发生日期为准）计算（广州开发区、黄埔区对工程竣工验收有相关规定的，按该规定执行）。</w:t>
      </w:r>
    </w:p>
    <w:p w14:paraId="147BA037">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三、质量保修责任</w:t>
      </w:r>
    </w:p>
    <w:p w14:paraId="01C28E04">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1、属于保修范围、内容的项目，承包人应当在接到保修通知之日后7天内派人修理。承包人不在约定期限内派人修理，发包人委托他人修理。</w:t>
      </w:r>
    </w:p>
    <w:p w14:paraId="5D1DB6C9">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2、发生须紧急抢修事故的，承包人接到事故通知后，应当立即到达事故现场抢修。</w:t>
      </w:r>
    </w:p>
    <w:p w14:paraId="288EAF8C">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1）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5C7D3BF2">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（2）质量保修完成后，由发包人组织验收。</w:t>
      </w:r>
    </w:p>
    <w:p w14:paraId="64D617C7">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四、保修费用</w:t>
      </w:r>
    </w:p>
    <w:p w14:paraId="4AE2610D">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保修费用及相关的损害赔偿费，由造成质量缺陷的责任方承担。</w:t>
      </w:r>
    </w:p>
    <w:p w14:paraId="72B657C6">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五、其他</w:t>
      </w:r>
    </w:p>
    <w:p w14:paraId="2798A552">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1、保修金的使用、约定和支付按施工合同的约定执行。</w:t>
      </w:r>
    </w:p>
    <w:p w14:paraId="0FC23DA0">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2、发包人将保修金返还给承包人后，承包人仍须按《建设工程质量管理条例》及市政府有关部门规定承担保修责任。</w:t>
      </w:r>
    </w:p>
    <w:p w14:paraId="72614DF4">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 xml:space="preserve">3、本工程质量保修书由施工合同发包人、承包人双方共同签署，作为施工合同附件，其有效期限至保修期满。 </w:t>
      </w:r>
    </w:p>
    <w:p w14:paraId="6F0557D4">
      <w:pPr>
        <w:adjustRightInd w:val="0"/>
        <w:snapToGrid w:val="0"/>
        <w:spacing w:beforeLines="50" w:afterLines="50" w:line="440" w:lineRule="exact"/>
        <w:rPr>
          <w:rFonts w:ascii="宋体" w:hAnsi="宋体"/>
          <w:color w:val="auto"/>
          <w:sz w:val="24"/>
          <w:highlight w:val="none"/>
        </w:rPr>
      </w:pPr>
    </w:p>
    <w:p w14:paraId="4B44ABFC">
      <w:pPr>
        <w:adjustRightInd w:val="0"/>
        <w:snapToGrid w:val="0"/>
        <w:spacing w:beforeLines="50" w:afterLines="50" w:line="440" w:lineRule="exact"/>
        <w:rPr>
          <w:rFonts w:ascii="宋体" w:hAnsi="宋体"/>
          <w:color w:val="auto"/>
          <w:sz w:val="24"/>
          <w:highlight w:val="none"/>
        </w:rPr>
      </w:pPr>
    </w:p>
    <w:tbl>
      <w:tblPr>
        <w:tblStyle w:val="50"/>
        <w:tblW w:w="0" w:type="auto"/>
        <w:tblInd w:w="431" w:type="dxa"/>
        <w:tblLayout w:type="fixed"/>
        <w:tblCellMar>
          <w:top w:w="0" w:type="dxa"/>
          <w:left w:w="108" w:type="dxa"/>
          <w:bottom w:w="0" w:type="dxa"/>
          <w:right w:w="108" w:type="dxa"/>
        </w:tblCellMar>
      </w:tblPr>
      <w:tblGrid>
        <w:gridCol w:w="1668"/>
        <w:gridCol w:w="2835"/>
        <w:gridCol w:w="1559"/>
        <w:gridCol w:w="2835"/>
      </w:tblGrid>
      <w:tr w14:paraId="18966E5B">
        <w:tblPrEx>
          <w:tblCellMar>
            <w:top w:w="0" w:type="dxa"/>
            <w:left w:w="108" w:type="dxa"/>
            <w:bottom w:w="0" w:type="dxa"/>
            <w:right w:w="108" w:type="dxa"/>
          </w:tblCellMar>
        </w:tblPrEx>
        <w:trPr>
          <w:trHeight w:val="857" w:hRule="atLeast"/>
        </w:trPr>
        <w:tc>
          <w:tcPr>
            <w:tcW w:w="1668" w:type="dxa"/>
            <w:vAlign w:val="center"/>
          </w:tcPr>
          <w:p w14:paraId="6513B0CB">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发</w:t>
            </w:r>
            <w:r>
              <w:rPr>
                <w:rFonts w:ascii="宋体" w:hAnsi="宋体" w:eastAsia="宋体"/>
                <w:color w:val="auto"/>
                <w:sz w:val="24"/>
                <w:highlight w:val="none"/>
              </w:rPr>
              <w:t xml:space="preserve">  </w:t>
            </w:r>
            <w:r>
              <w:rPr>
                <w:rFonts w:hint="eastAsia" w:ascii="宋体" w:hAnsi="宋体" w:eastAsia="宋体"/>
                <w:color w:val="auto"/>
                <w:sz w:val="24"/>
                <w:highlight w:val="none"/>
              </w:rPr>
              <w:t>包</w:t>
            </w:r>
            <w:r>
              <w:rPr>
                <w:rFonts w:ascii="宋体" w:hAnsi="宋体" w:eastAsia="宋体"/>
                <w:color w:val="auto"/>
                <w:sz w:val="24"/>
                <w:highlight w:val="none"/>
              </w:rPr>
              <w:t xml:space="preserve">  </w:t>
            </w:r>
            <w:r>
              <w:rPr>
                <w:rFonts w:hint="eastAsia" w:ascii="宋体" w:hAnsi="宋体" w:eastAsia="宋体"/>
                <w:color w:val="auto"/>
                <w:sz w:val="24"/>
                <w:highlight w:val="none"/>
              </w:rPr>
              <w:t>人：</w:t>
            </w:r>
          </w:p>
        </w:tc>
        <w:tc>
          <w:tcPr>
            <w:tcW w:w="2835" w:type="dxa"/>
            <w:vAlign w:val="center"/>
          </w:tcPr>
          <w:p w14:paraId="77C23071">
            <w:pPr>
              <w:widowControl/>
              <w:wordWrap w:val="0"/>
              <w:topLinePunct/>
              <w:adjustRightInd w:val="0"/>
              <w:snapToGrid w:val="0"/>
              <w:spacing w:line="300" w:lineRule="exact"/>
              <w:rPr>
                <w:rFonts w:ascii="宋体" w:hAnsi="宋体" w:eastAsia="宋体"/>
                <w:color w:val="auto"/>
                <w:sz w:val="24"/>
                <w:highlight w:val="none"/>
              </w:rPr>
            </w:pPr>
            <w:r>
              <w:rPr>
                <w:rFonts w:hint="eastAsia" w:ascii="宋体" w:hAnsi="宋体" w:eastAsia="宋体"/>
                <w:color w:val="auto"/>
                <w:sz w:val="24"/>
                <w:highlight w:val="none"/>
              </w:rPr>
              <w:t>中新广州知识城财政投资建设项目管理中心</w:t>
            </w:r>
          </w:p>
        </w:tc>
        <w:tc>
          <w:tcPr>
            <w:tcW w:w="1559" w:type="dxa"/>
            <w:vAlign w:val="center"/>
          </w:tcPr>
          <w:p w14:paraId="327F0687">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承</w:t>
            </w:r>
            <w:r>
              <w:rPr>
                <w:rFonts w:ascii="宋体" w:hAnsi="宋体" w:eastAsia="宋体"/>
                <w:color w:val="auto"/>
                <w:sz w:val="24"/>
                <w:highlight w:val="none"/>
              </w:rPr>
              <w:t xml:space="preserve">  </w:t>
            </w:r>
            <w:r>
              <w:rPr>
                <w:rFonts w:hint="eastAsia" w:ascii="宋体" w:hAnsi="宋体" w:eastAsia="宋体"/>
                <w:color w:val="auto"/>
                <w:sz w:val="24"/>
                <w:highlight w:val="none"/>
              </w:rPr>
              <w:t>包</w:t>
            </w:r>
            <w:r>
              <w:rPr>
                <w:rFonts w:ascii="宋体" w:hAnsi="宋体" w:eastAsia="宋体"/>
                <w:color w:val="auto"/>
                <w:sz w:val="24"/>
                <w:highlight w:val="none"/>
              </w:rPr>
              <w:t xml:space="preserve">  </w:t>
            </w:r>
            <w:r>
              <w:rPr>
                <w:rFonts w:hint="eastAsia" w:ascii="宋体" w:hAnsi="宋体" w:eastAsia="宋体"/>
                <w:color w:val="auto"/>
                <w:sz w:val="24"/>
                <w:highlight w:val="none"/>
              </w:rPr>
              <w:t>人：</w:t>
            </w:r>
          </w:p>
        </w:tc>
        <w:tc>
          <w:tcPr>
            <w:tcW w:w="2835" w:type="dxa"/>
            <w:vAlign w:val="center"/>
          </w:tcPr>
          <w:p w14:paraId="7B77E578">
            <w:pPr>
              <w:widowControl/>
              <w:wordWrap w:val="0"/>
              <w:topLinePunct/>
              <w:adjustRightInd w:val="0"/>
              <w:snapToGrid w:val="0"/>
              <w:spacing w:line="300" w:lineRule="exact"/>
              <w:rPr>
                <w:rFonts w:ascii="宋体" w:hAnsi="宋体" w:eastAsia="宋体"/>
                <w:color w:val="auto"/>
                <w:sz w:val="22"/>
                <w:highlight w:val="none"/>
              </w:rPr>
            </w:pPr>
          </w:p>
        </w:tc>
      </w:tr>
      <w:tr w14:paraId="138737D0">
        <w:tblPrEx>
          <w:tblCellMar>
            <w:top w:w="0" w:type="dxa"/>
            <w:left w:w="108" w:type="dxa"/>
            <w:bottom w:w="0" w:type="dxa"/>
            <w:right w:w="108" w:type="dxa"/>
          </w:tblCellMar>
        </w:tblPrEx>
        <w:trPr>
          <w:trHeight w:val="1021" w:hRule="atLeast"/>
        </w:trPr>
        <w:tc>
          <w:tcPr>
            <w:tcW w:w="1668" w:type="dxa"/>
            <w:vAlign w:val="center"/>
          </w:tcPr>
          <w:p w14:paraId="106DBF8D">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法定代表人：</w:t>
            </w:r>
          </w:p>
        </w:tc>
        <w:tc>
          <w:tcPr>
            <w:tcW w:w="2835" w:type="dxa"/>
            <w:vAlign w:val="center"/>
          </w:tcPr>
          <w:p w14:paraId="673D5FCC">
            <w:pPr>
              <w:widowControl/>
              <w:wordWrap w:val="0"/>
              <w:topLinePunct/>
              <w:adjustRightInd w:val="0"/>
              <w:snapToGrid w:val="0"/>
              <w:spacing w:line="480" w:lineRule="exact"/>
              <w:rPr>
                <w:rFonts w:ascii="宋体" w:hAnsi="宋体" w:eastAsia="宋体"/>
                <w:color w:val="auto"/>
                <w:sz w:val="24"/>
                <w:highlight w:val="none"/>
              </w:rPr>
            </w:pPr>
          </w:p>
        </w:tc>
        <w:tc>
          <w:tcPr>
            <w:tcW w:w="1559" w:type="dxa"/>
            <w:vAlign w:val="center"/>
          </w:tcPr>
          <w:p w14:paraId="30C7ED32">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法定代表人：</w:t>
            </w:r>
          </w:p>
        </w:tc>
        <w:tc>
          <w:tcPr>
            <w:tcW w:w="2835" w:type="dxa"/>
            <w:vAlign w:val="center"/>
          </w:tcPr>
          <w:p w14:paraId="4A80A174">
            <w:pPr>
              <w:widowControl/>
              <w:wordWrap w:val="0"/>
              <w:topLinePunct/>
              <w:adjustRightInd w:val="0"/>
              <w:snapToGrid w:val="0"/>
              <w:spacing w:line="360" w:lineRule="exact"/>
              <w:rPr>
                <w:rFonts w:ascii="宋体" w:hAnsi="宋体" w:eastAsia="宋体"/>
                <w:color w:val="auto"/>
                <w:sz w:val="24"/>
                <w:highlight w:val="none"/>
              </w:rPr>
            </w:pPr>
          </w:p>
        </w:tc>
      </w:tr>
      <w:tr w14:paraId="5E1B2D5B">
        <w:tblPrEx>
          <w:tblCellMar>
            <w:top w:w="0" w:type="dxa"/>
            <w:left w:w="108" w:type="dxa"/>
            <w:bottom w:w="0" w:type="dxa"/>
            <w:right w:w="108" w:type="dxa"/>
          </w:tblCellMar>
        </w:tblPrEx>
        <w:trPr>
          <w:trHeight w:val="1021" w:hRule="atLeast"/>
        </w:trPr>
        <w:tc>
          <w:tcPr>
            <w:tcW w:w="1668" w:type="dxa"/>
            <w:vAlign w:val="center"/>
          </w:tcPr>
          <w:p w14:paraId="02E5DCA9">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委托代理人：</w:t>
            </w:r>
          </w:p>
        </w:tc>
        <w:tc>
          <w:tcPr>
            <w:tcW w:w="2835" w:type="dxa"/>
            <w:vAlign w:val="center"/>
          </w:tcPr>
          <w:p w14:paraId="053D9111">
            <w:pPr>
              <w:widowControl/>
              <w:wordWrap w:val="0"/>
              <w:topLinePunct/>
              <w:adjustRightInd w:val="0"/>
              <w:snapToGrid w:val="0"/>
              <w:spacing w:line="480" w:lineRule="exact"/>
              <w:rPr>
                <w:rFonts w:ascii="宋体" w:hAnsi="宋体" w:eastAsia="宋体"/>
                <w:color w:val="auto"/>
                <w:sz w:val="24"/>
                <w:highlight w:val="none"/>
              </w:rPr>
            </w:pPr>
          </w:p>
        </w:tc>
        <w:tc>
          <w:tcPr>
            <w:tcW w:w="1559" w:type="dxa"/>
            <w:vAlign w:val="center"/>
          </w:tcPr>
          <w:p w14:paraId="4CC39CB9">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委托代理人：</w:t>
            </w:r>
          </w:p>
        </w:tc>
        <w:tc>
          <w:tcPr>
            <w:tcW w:w="2835" w:type="dxa"/>
            <w:vAlign w:val="center"/>
          </w:tcPr>
          <w:p w14:paraId="49A0BB72">
            <w:pPr>
              <w:widowControl/>
              <w:wordWrap w:val="0"/>
              <w:topLinePunct/>
              <w:adjustRightInd w:val="0"/>
              <w:snapToGrid w:val="0"/>
              <w:spacing w:line="360" w:lineRule="exact"/>
              <w:rPr>
                <w:rFonts w:ascii="宋体" w:hAnsi="宋体" w:eastAsia="宋体"/>
                <w:color w:val="auto"/>
                <w:sz w:val="24"/>
                <w:highlight w:val="none"/>
              </w:rPr>
            </w:pPr>
          </w:p>
        </w:tc>
      </w:tr>
    </w:tbl>
    <w:p w14:paraId="3CDBC772">
      <w:pPr>
        <w:pStyle w:val="313"/>
        <w:tabs>
          <w:tab w:val="left" w:pos="5460"/>
        </w:tabs>
        <w:adjustRightInd w:val="0"/>
        <w:snapToGrid w:val="0"/>
        <w:spacing w:line="360" w:lineRule="auto"/>
        <w:ind w:left="-2" w:leftChars="-1" w:right="11" w:firstLine="480" w:firstLineChars="200"/>
        <w:rPr>
          <w:rFonts w:ascii="宋体" w:hAnsi="宋体" w:eastAsia="宋体"/>
          <w:color w:val="auto"/>
          <w:sz w:val="24"/>
          <w:highlight w:val="none"/>
        </w:rPr>
      </w:pPr>
    </w:p>
    <w:p w14:paraId="0F9289B8">
      <w:pPr>
        <w:spacing w:line="440" w:lineRule="exact"/>
        <w:ind w:firstLine="397"/>
        <w:jc w:val="left"/>
        <w:rPr>
          <w:rFonts w:ascii="宋体" w:hAnsi="宋体" w:eastAsia="宋体"/>
          <w:color w:val="auto"/>
          <w:sz w:val="24"/>
          <w:highlight w:val="none"/>
        </w:rPr>
      </w:pPr>
    </w:p>
    <w:p w14:paraId="47A23BB6">
      <w:pPr>
        <w:tabs>
          <w:tab w:val="left" w:pos="5460"/>
        </w:tabs>
        <w:adjustRightInd w:val="0"/>
        <w:snapToGrid w:val="0"/>
        <w:spacing w:line="400" w:lineRule="exact"/>
        <w:ind w:left="-2" w:leftChars="-1" w:right="11" w:firstLine="480" w:firstLineChars="200"/>
        <w:rPr>
          <w:rFonts w:ascii="宋体" w:hAnsi="宋体" w:eastAsia="宋体" w:cs="宋体"/>
          <w:snapToGrid w:val="0"/>
          <w:color w:val="auto"/>
          <w:kern w:val="0"/>
          <w:sz w:val="24"/>
          <w:highlight w:val="none"/>
          <w:u w:val="single"/>
        </w:rPr>
      </w:pPr>
      <w:r>
        <w:rPr>
          <w:rFonts w:hint="eastAsia" w:ascii="宋体" w:hAnsi="宋体" w:eastAsia="宋体" w:cs="宋体"/>
          <w:snapToGrid w:val="0"/>
          <w:color w:val="auto"/>
          <w:kern w:val="0"/>
          <w:sz w:val="24"/>
          <w:highlight w:val="none"/>
        </w:rPr>
        <w:t>签订日期：</w:t>
      </w:r>
      <w:r>
        <w:rPr>
          <w:rFonts w:hint="eastAsia" w:ascii="宋体" w:hAnsi="宋体" w:cs="宋体"/>
          <w:snapToGrid w:val="0"/>
          <w:color w:val="auto"/>
          <w:kern w:val="0"/>
          <w:sz w:val="24"/>
          <w:highlight w:val="none"/>
          <w:u w:val="single"/>
        </w:rPr>
        <w:t xml:space="preserve">      年  </w:t>
      </w:r>
      <w:r>
        <w:rPr>
          <w:rFonts w:ascii="宋体" w:hAnsi="宋体" w:eastAsia="宋体" w:cs="宋体"/>
          <w:snapToGrid w:val="0"/>
          <w:color w:val="auto"/>
          <w:kern w:val="0"/>
          <w:sz w:val="24"/>
          <w:highlight w:val="none"/>
          <w:u w:val="single"/>
        </w:rPr>
        <w:t xml:space="preserve"> 月 </w:t>
      </w:r>
      <w:r>
        <w:rPr>
          <w:rFonts w:hint="eastAsia" w:ascii="宋体" w:hAnsi="宋体" w:cs="宋体"/>
          <w:snapToGrid w:val="0"/>
          <w:color w:val="auto"/>
          <w:kern w:val="0"/>
          <w:sz w:val="24"/>
          <w:highlight w:val="none"/>
          <w:u w:val="single"/>
        </w:rPr>
        <w:t xml:space="preserve">  </w:t>
      </w:r>
      <w:r>
        <w:rPr>
          <w:rFonts w:ascii="宋体" w:hAnsi="宋体" w:eastAsia="宋体" w:cs="宋体"/>
          <w:snapToGrid w:val="0"/>
          <w:color w:val="auto"/>
          <w:kern w:val="0"/>
          <w:sz w:val="24"/>
          <w:highlight w:val="none"/>
          <w:u w:val="single"/>
        </w:rPr>
        <w:t xml:space="preserve"> 日</w:t>
      </w:r>
    </w:p>
    <w:p w14:paraId="5801829A">
      <w:pPr>
        <w:spacing w:line="400" w:lineRule="exact"/>
        <w:ind w:firstLine="480" w:firstLineChars="200"/>
        <w:rPr>
          <w:rFonts w:ascii="宋体" w:hAnsi="宋体" w:eastAsia="宋体"/>
          <w:color w:val="auto"/>
          <w:sz w:val="24"/>
          <w:highlight w:val="none"/>
          <w:u w:val="single"/>
        </w:rPr>
      </w:pPr>
      <w:r>
        <w:rPr>
          <w:rFonts w:hint="eastAsia" w:ascii="宋体" w:hAnsi="宋体" w:eastAsia="宋体" w:cs="宋体"/>
          <w:snapToGrid w:val="0"/>
          <w:color w:val="auto"/>
          <w:kern w:val="0"/>
          <w:sz w:val="24"/>
          <w:highlight w:val="none"/>
        </w:rPr>
        <w:t>签订地点：</w:t>
      </w:r>
      <w:r>
        <w:rPr>
          <w:rFonts w:hint="eastAsia" w:ascii="宋体" w:hAnsi="宋体" w:eastAsia="宋体" w:cs="宋体"/>
          <w:snapToGrid w:val="0"/>
          <w:color w:val="auto"/>
          <w:kern w:val="0"/>
          <w:sz w:val="24"/>
          <w:highlight w:val="none"/>
          <w:u w:val="single"/>
        </w:rPr>
        <w:t>广州市黄埔区</w:t>
      </w:r>
    </w:p>
    <w:p w14:paraId="2FB6E72C">
      <w:pPr>
        <w:snapToGrid w:val="0"/>
        <w:spacing w:line="440" w:lineRule="exact"/>
        <w:jc w:val="center"/>
        <w:rPr>
          <w:rFonts w:ascii="宋体" w:hAnsi="宋体"/>
          <w:color w:val="auto"/>
          <w:sz w:val="24"/>
          <w:highlight w:val="none"/>
        </w:rPr>
      </w:pPr>
    </w:p>
    <w:p w14:paraId="708AD1CF">
      <w:pPr>
        <w:snapToGrid w:val="0"/>
        <w:spacing w:line="440" w:lineRule="exact"/>
        <w:jc w:val="center"/>
        <w:rPr>
          <w:rFonts w:ascii="宋体" w:hAnsi="宋体"/>
          <w:color w:val="auto"/>
          <w:sz w:val="24"/>
          <w:highlight w:val="none"/>
        </w:rPr>
      </w:pPr>
    </w:p>
    <w:p w14:paraId="0017A841">
      <w:pPr>
        <w:snapToGrid w:val="0"/>
        <w:spacing w:line="440" w:lineRule="exact"/>
        <w:jc w:val="center"/>
        <w:rPr>
          <w:rFonts w:ascii="宋体" w:hAnsi="宋体"/>
          <w:color w:val="auto"/>
          <w:sz w:val="24"/>
          <w:highlight w:val="none"/>
        </w:rPr>
      </w:pPr>
    </w:p>
    <w:p w14:paraId="42D8BD8F">
      <w:pPr>
        <w:snapToGrid w:val="0"/>
        <w:spacing w:line="440" w:lineRule="exact"/>
        <w:jc w:val="center"/>
        <w:rPr>
          <w:rFonts w:ascii="宋体" w:hAnsi="宋体"/>
          <w:color w:val="auto"/>
          <w:sz w:val="24"/>
          <w:highlight w:val="none"/>
        </w:rPr>
      </w:pPr>
    </w:p>
    <w:p w14:paraId="19D12F5E">
      <w:pPr>
        <w:rPr>
          <w:color w:val="auto"/>
          <w:highlight w:val="none"/>
        </w:rPr>
      </w:pPr>
    </w:p>
    <w:p w14:paraId="19FE1486">
      <w:pPr>
        <w:numPr>
          <w:ilvl w:val="-1"/>
          <w:numId w:val="0"/>
        </w:numPr>
        <w:jc w:val="both"/>
        <w:rPr>
          <w:color w:val="auto"/>
          <w:highlight w:val="none"/>
        </w:rPr>
      </w:pPr>
      <w:r>
        <w:rPr>
          <w:color w:val="auto"/>
          <w:highlight w:val="none"/>
        </w:rPr>
        <w:br w:type="page"/>
      </w:r>
    </w:p>
    <w:p w14:paraId="49358F60">
      <w:pPr>
        <w:pStyle w:val="313"/>
        <w:adjustRightInd w:val="0"/>
        <w:snapToGrid w:val="0"/>
        <w:spacing w:line="400" w:lineRule="exact"/>
        <w:rPr>
          <w:rFonts w:ascii="宋体" w:hAnsi="宋体"/>
          <w:color w:val="auto"/>
          <w:sz w:val="24"/>
          <w:highlight w:val="none"/>
        </w:rPr>
      </w:pPr>
      <w:r>
        <w:rPr>
          <w:rFonts w:hint="eastAsia" w:ascii="宋体" w:hAnsi="宋体"/>
          <w:b/>
          <w:bCs/>
          <w:color w:val="auto"/>
          <w:sz w:val="30"/>
          <w:szCs w:val="30"/>
          <w:highlight w:val="none"/>
        </w:rPr>
        <w:t>附件</w:t>
      </w:r>
      <w:r>
        <w:rPr>
          <w:rFonts w:hint="eastAsia" w:ascii="宋体" w:hAnsi="宋体"/>
          <w:b/>
          <w:bCs/>
          <w:color w:val="auto"/>
          <w:sz w:val="30"/>
          <w:szCs w:val="30"/>
          <w:highlight w:val="none"/>
          <w:lang w:val="en-US" w:eastAsia="zh-CN"/>
        </w:rPr>
        <w:t>2</w:t>
      </w:r>
      <w:r>
        <w:rPr>
          <w:rFonts w:hint="eastAsia" w:ascii="宋体" w:hAnsi="宋体"/>
          <w:b/>
          <w:bCs/>
          <w:color w:val="auto"/>
          <w:sz w:val="30"/>
          <w:szCs w:val="30"/>
          <w:highlight w:val="none"/>
        </w:rPr>
        <w:t xml:space="preserve">：            </w:t>
      </w:r>
      <w:r>
        <w:rPr>
          <w:rFonts w:hint="eastAsia" w:ascii="宋体" w:hAnsi="宋体"/>
          <w:color w:val="auto"/>
          <w:sz w:val="24"/>
          <w:highlight w:val="none"/>
        </w:rPr>
        <w:t xml:space="preserve">  </w:t>
      </w:r>
    </w:p>
    <w:p w14:paraId="55859760">
      <w:pPr>
        <w:pStyle w:val="313"/>
        <w:adjustRightInd w:val="0"/>
        <w:snapToGrid w:val="0"/>
        <w:spacing w:line="400" w:lineRule="exact"/>
        <w:rPr>
          <w:rFonts w:ascii="宋体" w:hAnsi="宋体"/>
          <w:color w:val="auto"/>
          <w:sz w:val="24"/>
          <w:highlight w:val="none"/>
        </w:rPr>
      </w:pPr>
    </w:p>
    <w:p w14:paraId="0FD06DF2">
      <w:pPr>
        <w:pStyle w:val="313"/>
        <w:adjustRightInd w:val="0"/>
        <w:snapToGrid w:val="0"/>
        <w:spacing w:line="440" w:lineRule="exact"/>
        <w:jc w:val="center"/>
        <w:rPr>
          <w:rFonts w:ascii="宋体" w:hAnsi="宋体"/>
          <w:b/>
          <w:bCs/>
          <w:color w:val="auto"/>
          <w:sz w:val="36"/>
          <w:szCs w:val="30"/>
          <w:highlight w:val="none"/>
        </w:rPr>
      </w:pPr>
      <w:r>
        <w:rPr>
          <w:rFonts w:hint="eastAsia" w:ascii="宋体" w:hAnsi="宋体"/>
          <w:b/>
          <w:bCs/>
          <w:color w:val="auto"/>
          <w:sz w:val="36"/>
          <w:szCs w:val="30"/>
          <w:highlight w:val="none"/>
        </w:rPr>
        <w:t>工程建设项目廉政责任书</w:t>
      </w:r>
    </w:p>
    <w:p w14:paraId="666E3D01">
      <w:pPr>
        <w:pStyle w:val="312"/>
        <w:adjustRightInd w:val="0"/>
        <w:snapToGrid w:val="0"/>
        <w:spacing w:line="440" w:lineRule="exact"/>
        <w:ind w:firstLine="0"/>
        <w:rPr>
          <w:rFonts w:ascii="宋体" w:hAnsi="宋体"/>
          <w:snapToGrid w:val="0"/>
          <w:color w:val="auto"/>
          <w:kern w:val="0"/>
          <w:sz w:val="24"/>
          <w:highlight w:val="none"/>
        </w:rPr>
      </w:pPr>
    </w:p>
    <w:p w14:paraId="673F8E58">
      <w:pPr>
        <w:pStyle w:val="313"/>
        <w:adjustRightInd w:val="0"/>
        <w:snapToGrid w:val="0"/>
        <w:spacing w:line="400" w:lineRule="exact"/>
        <w:ind w:left="495" w:hanging="495"/>
        <w:rPr>
          <w:rFonts w:ascii="宋体" w:hAnsi="宋体"/>
          <w:color w:val="auto"/>
          <w:sz w:val="24"/>
          <w:highlight w:val="none"/>
          <w:u w:val="single"/>
        </w:rPr>
      </w:pPr>
      <w:r>
        <w:rPr>
          <w:rFonts w:hint="eastAsia" w:ascii="宋体" w:hAnsi="宋体"/>
          <w:color w:val="auto"/>
          <w:sz w:val="24"/>
          <w:highlight w:val="none"/>
        </w:rPr>
        <w:t>工程项目名称：</w:t>
      </w:r>
      <w:r>
        <w:rPr>
          <w:rFonts w:hint="eastAsia" w:ascii="宋体" w:hAnsi="宋体"/>
          <w:color w:val="auto"/>
          <w:sz w:val="24"/>
          <w:highlight w:val="none"/>
          <w:u w:val="single"/>
        </w:rPr>
        <w:t xml:space="preserve">                                </w:t>
      </w:r>
    </w:p>
    <w:p w14:paraId="612E3972">
      <w:pPr>
        <w:pStyle w:val="313"/>
        <w:adjustRightInd w:val="0"/>
        <w:snapToGrid w:val="0"/>
        <w:spacing w:line="400" w:lineRule="exact"/>
        <w:ind w:left="495" w:hanging="495"/>
        <w:rPr>
          <w:rFonts w:ascii="宋体" w:hAnsi="宋体"/>
          <w:color w:val="auto"/>
          <w:sz w:val="24"/>
          <w:highlight w:val="none"/>
        </w:rPr>
      </w:pPr>
      <w:r>
        <w:rPr>
          <w:rFonts w:hint="eastAsia" w:ascii="宋体" w:hAnsi="宋体"/>
          <w:color w:val="auto"/>
          <w:sz w:val="24"/>
          <w:highlight w:val="none"/>
        </w:rPr>
        <w:t>工程项目地址：</w:t>
      </w:r>
      <w:r>
        <w:rPr>
          <w:rFonts w:hint="eastAsia" w:ascii="宋体" w:hAnsi="宋体"/>
          <w:color w:val="auto"/>
          <w:sz w:val="24"/>
          <w:highlight w:val="none"/>
          <w:u w:val="single"/>
        </w:rPr>
        <w:t xml:space="preserve">                                </w:t>
      </w:r>
    </w:p>
    <w:p w14:paraId="24EA40EF">
      <w:pPr>
        <w:pStyle w:val="313"/>
        <w:adjustRightInd w:val="0"/>
        <w:snapToGrid w:val="0"/>
        <w:spacing w:line="400" w:lineRule="exact"/>
        <w:rPr>
          <w:rFonts w:ascii="宋体" w:hAnsi="宋体"/>
          <w:color w:val="auto"/>
          <w:sz w:val="24"/>
          <w:szCs w:val="24"/>
          <w:highlight w:val="none"/>
          <w:u w:val="single"/>
        </w:rPr>
      </w:pPr>
      <w:r>
        <w:rPr>
          <w:rFonts w:hint="eastAsia" w:ascii="宋体" w:hAnsi="宋体"/>
          <w:color w:val="auto"/>
          <w:sz w:val="24"/>
          <w:highlight w:val="none"/>
        </w:rPr>
        <w:t>甲        方：中新广州知识城财政投资建设项目管理中心</w:t>
      </w:r>
    </w:p>
    <w:p w14:paraId="7B4FACF4">
      <w:pPr>
        <w:pStyle w:val="313"/>
        <w:adjustRightInd w:val="0"/>
        <w:snapToGrid w:val="0"/>
        <w:spacing w:line="400" w:lineRule="exact"/>
        <w:rPr>
          <w:rFonts w:ascii="宋体" w:hAnsi="宋体"/>
          <w:color w:val="auto"/>
          <w:sz w:val="24"/>
          <w:highlight w:val="none"/>
        </w:rPr>
      </w:pPr>
      <w:r>
        <w:rPr>
          <w:rFonts w:hint="eastAsia" w:ascii="宋体" w:hAnsi="宋体"/>
          <w:color w:val="auto"/>
          <w:sz w:val="24"/>
          <w:highlight w:val="none"/>
        </w:rPr>
        <w:t>乙        方：</w:t>
      </w:r>
      <w:r>
        <w:rPr>
          <w:rFonts w:hint="eastAsia" w:ascii="宋体" w:hAnsi="宋体"/>
          <w:color w:val="auto"/>
          <w:sz w:val="24"/>
          <w:highlight w:val="none"/>
          <w:u w:val="single"/>
        </w:rPr>
        <w:t xml:space="preserve">                                 </w:t>
      </w:r>
    </w:p>
    <w:p w14:paraId="270296DB">
      <w:pPr>
        <w:pStyle w:val="313"/>
        <w:adjustRightInd w:val="0"/>
        <w:snapToGrid w:val="0"/>
        <w:spacing w:line="400" w:lineRule="exact"/>
        <w:rPr>
          <w:rFonts w:ascii="宋体" w:hAnsi="宋体"/>
          <w:color w:val="auto"/>
          <w:sz w:val="24"/>
          <w:highlight w:val="none"/>
        </w:rPr>
      </w:pPr>
    </w:p>
    <w:p w14:paraId="6F391586">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0F272446">
      <w:pPr>
        <w:adjustRightInd w:val="0"/>
        <w:snapToGrid w:val="0"/>
        <w:spacing w:line="400" w:lineRule="exact"/>
        <w:ind w:firstLine="482"/>
        <w:rPr>
          <w:rFonts w:ascii="宋体" w:hAnsi="宋体" w:cs="宋体"/>
          <w:b/>
          <w:color w:val="auto"/>
          <w:kern w:val="0"/>
          <w:sz w:val="24"/>
          <w:highlight w:val="none"/>
        </w:rPr>
      </w:pPr>
      <w:r>
        <w:rPr>
          <w:rFonts w:hint="eastAsia" w:ascii="宋体" w:hAnsi="宋体" w:cs="宋体"/>
          <w:b/>
          <w:snapToGrid w:val="0"/>
          <w:color w:val="auto"/>
          <w:kern w:val="0"/>
          <w:sz w:val="24"/>
          <w:highlight w:val="none"/>
        </w:rPr>
        <w:t xml:space="preserve">第一条  </w:t>
      </w:r>
      <w:r>
        <w:rPr>
          <w:rFonts w:hint="eastAsia" w:ascii="宋体" w:hAnsi="宋体" w:cs="宋体"/>
          <w:b/>
          <w:snapToGrid w:val="0"/>
          <w:color w:val="auto"/>
          <w:kern w:val="0"/>
          <w:sz w:val="24"/>
          <w:szCs w:val="24"/>
          <w:highlight w:val="none"/>
        </w:rPr>
        <w:t>甲、乙双方的责任</w:t>
      </w:r>
    </w:p>
    <w:p w14:paraId="7187002E">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（一）应严格遵守国家关于市场准入、项目招标投标、</w:t>
      </w:r>
      <w:r>
        <w:rPr>
          <w:rFonts w:hint="eastAsia" w:ascii="宋体" w:hAnsi="宋体" w:cs="宋体"/>
          <w:color w:val="auto"/>
          <w:kern w:val="0"/>
          <w:sz w:val="24"/>
          <w:highlight w:val="none"/>
        </w:rPr>
        <w:t>工程建设和市场活动</w:t>
      </w:r>
      <w:r>
        <w:rPr>
          <w:rFonts w:hint="eastAsia" w:ascii="宋体" w:hAnsi="宋体" w:cs="宋体"/>
          <w:snapToGrid w:val="0"/>
          <w:color w:val="auto"/>
          <w:kern w:val="0"/>
          <w:sz w:val="24"/>
          <w:highlight w:val="none"/>
        </w:rPr>
        <w:t>等有关法律、法规、相关政策，以及廉政建设的各项规定。</w:t>
      </w:r>
    </w:p>
    <w:p w14:paraId="031E893E">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（二）严格执行建设工程项目承发包合同文件，自觉按合同办事。</w:t>
      </w:r>
    </w:p>
    <w:p w14:paraId="46E3A984">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（三）业务活动必须坚持公开、公平、公正、诚信、透明的原则（除法律法规另有规定者外），不得为获取不正当的利益，损害国家、集体和对方利益，不得</w:t>
      </w:r>
      <w:r>
        <w:rPr>
          <w:rFonts w:hint="eastAsia" w:ascii="宋体" w:hAnsi="宋体" w:cs="宋体"/>
          <w:color w:val="auto"/>
          <w:kern w:val="0"/>
          <w:sz w:val="24"/>
          <w:highlight w:val="none"/>
        </w:rPr>
        <w:t>违反工程建设过程管理的规章制度。</w:t>
      </w:r>
    </w:p>
    <w:p w14:paraId="5166C913">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（四）发现对方在业务活动中有违规、违纪、违法行为的，应及时提醒对方，情节严重的，应向其上级主管部门或纪检监察、司法等有关机关举报。</w:t>
      </w:r>
    </w:p>
    <w:p w14:paraId="7A92CFA4">
      <w:pPr>
        <w:adjustRightInd w:val="0"/>
        <w:snapToGrid w:val="0"/>
        <w:spacing w:line="400" w:lineRule="exact"/>
        <w:ind w:firstLine="482"/>
        <w:rPr>
          <w:rFonts w:ascii="宋体" w:hAnsi="宋体" w:cs="宋体"/>
          <w:b/>
          <w:color w:val="auto"/>
          <w:kern w:val="0"/>
          <w:sz w:val="24"/>
          <w:highlight w:val="none"/>
        </w:rPr>
      </w:pPr>
      <w:r>
        <w:rPr>
          <w:rFonts w:hint="eastAsia" w:ascii="宋体" w:hAnsi="宋体" w:cs="宋体"/>
          <w:b/>
          <w:snapToGrid w:val="0"/>
          <w:color w:val="auto"/>
          <w:kern w:val="0"/>
          <w:sz w:val="24"/>
          <w:highlight w:val="none"/>
        </w:rPr>
        <w:t xml:space="preserve">第二条  </w:t>
      </w:r>
      <w:r>
        <w:rPr>
          <w:rFonts w:hint="eastAsia" w:ascii="宋体" w:hAnsi="宋体" w:cs="宋体"/>
          <w:b/>
          <w:snapToGrid w:val="0"/>
          <w:color w:val="auto"/>
          <w:kern w:val="0"/>
          <w:sz w:val="24"/>
          <w:szCs w:val="24"/>
          <w:highlight w:val="none"/>
        </w:rPr>
        <w:t>甲方的责任</w:t>
      </w:r>
    </w:p>
    <w:p w14:paraId="5FC2A97F">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甲方的领导和从事本建设工程项目的工作人员，在工程建设的事前、事中、事后应遵守以下规定：</w:t>
      </w:r>
    </w:p>
    <w:p w14:paraId="2D87811F">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（一）不准向乙方和相关单位索要或接受回扣、礼金、有价证券、贵重物品和好处费、感谢费等。</w:t>
      </w:r>
    </w:p>
    <w:p w14:paraId="0B76F0D7">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（二）不准在乙方和相关单位报销任何应由甲方或个人支付的费用。</w:t>
      </w:r>
    </w:p>
    <w:p w14:paraId="4B211C24">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（三）不准要求、暗示或接受乙方和相关单位为个人装修住房、婚丧嫁娶、配偶子女的工作安排以及出国（境）、旅游等提供方便。</w:t>
      </w:r>
    </w:p>
    <w:p w14:paraId="538EAE38">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（四）不准参加有可能影响公正执行公务的乙方及相关单位的宴请、健身、娱乐等活动。</w:t>
      </w:r>
    </w:p>
    <w:p w14:paraId="15A6DCB3">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（五）不准向乙方介绍或为配偶、子女、亲属参与同甲方项目工程合同有关的设备、材料、工程分包、劳务等经济活动。不得以任何理由向乙方和相关单位推荐分包单位。</w:t>
      </w:r>
    </w:p>
    <w:p w14:paraId="0E117248">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b/>
          <w:snapToGrid w:val="0"/>
          <w:color w:val="auto"/>
          <w:kern w:val="0"/>
          <w:sz w:val="24"/>
          <w:highlight w:val="none"/>
        </w:rPr>
        <w:t xml:space="preserve">第三条  </w:t>
      </w:r>
      <w:r>
        <w:rPr>
          <w:rFonts w:hint="eastAsia" w:ascii="宋体" w:hAnsi="宋体" w:cs="宋体"/>
          <w:b/>
          <w:snapToGrid w:val="0"/>
          <w:color w:val="auto"/>
          <w:kern w:val="0"/>
          <w:sz w:val="24"/>
          <w:szCs w:val="24"/>
          <w:highlight w:val="none"/>
        </w:rPr>
        <w:t>乙方的责任</w:t>
      </w:r>
    </w:p>
    <w:p w14:paraId="0528602D">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应与甲方保持正常的业务交往，按照有关法律法规和程序开展业务工作，严格执行</w:t>
      </w:r>
      <w:r>
        <w:rPr>
          <w:rFonts w:hint="eastAsia" w:ascii="宋体" w:hAnsi="宋体" w:cs="宋体"/>
          <w:color w:val="auto"/>
          <w:kern w:val="0"/>
          <w:sz w:val="24"/>
          <w:highlight w:val="none"/>
        </w:rPr>
        <w:t>工程建设过程管理的有关方针、政策，尤其是强制性标准和规范</w:t>
      </w:r>
      <w:r>
        <w:rPr>
          <w:rFonts w:hint="eastAsia" w:ascii="宋体" w:hAnsi="宋体" w:cs="宋体"/>
          <w:snapToGrid w:val="0"/>
          <w:color w:val="auto"/>
          <w:kern w:val="0"/>
          <w:sz w:val="24"/>
          <w:highlight w:val="none"/>
        </w:rPr>
        <w:t>，并遵守以下规定：</w:t>
      </w:r>
    </w:p>
    <w:p w14:paraId="4ECC440E">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（一）不准以任何理由向甲方、相关单位及其工作人员索要、接受或赠送礼金、有价证券、贵重物品及回扣、好处费、感谢费等。</w:t>
      </w:r>
    </w:p>
    <w:p w14:paraId="2093D7A3">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（二）不准以任何理由为甲方和相关单位报销应由对方或个人支付的费用。</w:t>
      </w:r>
    </w:p>
    <w:p w14:paraId="064DBF75">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（三）不准接受或暗示为甲方、相关单位或个人装修住房、婚丧嫁娶、配偶子女的工作安排以及出国（境）、旅游等提供方便。</w:t>
      </w:r>
    </w:p>
    <w:p w14:paraId="084E9347">
      <w:pPr>
        <w:adjustRightInd w:val="0"/>
        <w:snapToGrid w:val="0"/>
        <w:spacing w:line="400" w:lineRule="exact"/>
        <w:ind w:firstLine="482"/>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（四）不准以任何理由为甲方、相关单位或个人组织有可能影响公正执行公务的宴请、健身、娱乐等活动。</w:t>
      </w:r>
    </w:p>
    <w:p w14:paraId="3582EBCF">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b/>
          <w:snapToGrid w:val="0"/>
          <w:color w:val="auto"/>
          <w:kern w:val="0"/>
          <w:sz w:val="24"/>
          <w:highlight w:val="none"/>
        </w:rPr>
        <w:t xml:space="preserve">第四条  </w:t>
      </w:r>
      <w:r>
        <w:rPr>
          <w:rFonts w:hint="eastAsia" w:ascii="宋体" w:hAnsi="宋体" w:cs="宋体"/>
          <w:b/>
          <w:snapToGrid w:val="0"/>
          <w:color w:val="auto"/>
          <w:kern w:val="0"/>
          <w:sz w:val="24"/>
          <w:szCs w:val="24"/>
          <w:highlight w:val="none"/>
        </w:rPr>
        <w:t>违约责任</w:t>
      </w:r>
    </w:p>
    <w:p w14:paraId="65CF63B6">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14:paraId="4C23BAAB">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1C91FB91">
      <w:pPr>
        <w:adjustRightInd w:val="0"/>
        <w:snapToGrid w:val="0"/>
        <w:spacing w:line="400" w:lineRule="exact"/>
        <w:ind w:firstLine="482"/>
        <w:rPr>
          <w:rFonts w:ascii="宋体" w:hAnsi="宋体" w:cs="宋体"/>
          <w:b/>
          <w:color w:val="auto"/>
          <w:kern w:val="0"/>
          <w:sz w:val="24"/>
          <w:highlight w:val="none"/>
        </w:rPr>
      </w:pPr>
      <w:r>
        <w:rPr>
          <w:rFonts w:hint="eastAsia" w:ascii="宋体" w:hAnsi="宋体" w:cs="宋体"/>
          <w:b/>
          <w:snapToGrid w:val="0"/>
          <w:color w:val="auto"/>
          <w:kern w:val="0"/>
          <w:sz w:val="24"/>
          <w:highlight w:val="none"/>
        </w:rPr>
        <w:t xml:space="preserve">第五条  </w:t>
      </w:r>
      <w:r>
        <w:rPr>
          <w:rFonts w:hint="eastAsia" w:ascii="宋体" w:hAnsi="宋体" w:cs="宋体"/>
          <w:snapToGrid w:val="0"/>
          <w:color w:val="auto"/>
          <w:kern w:val="0"/>
          <w:sz w:val="24"/>
          <w:highlight w:val="none"/>
        </w:rPr>
        <w:t>本廉政责任书作为合同的附件，与合同具有同等法律效力。经双方签署后立即生效。</w:t>
      </w:r>
    </w:p>
    <w:p w14:paraId="0304F53E">
      <w:pPr>
        <w:adjustRightInd w:val="0"/>
        <w:snapToGrid w:val="0"/>
        <w:spacing w:line="400" w:lineRule="exact"/>
        <w:ind w:firstLine="482"/>
        <w:rPr>
          <w:rFonts w:ascii="宋体" w:hAnsi="宋体" w:cs="宋体"/>
          <w:b/>
          <w:color w:val="auto"/>
          <w:kern w:val="0"/>
          <w:sz w:val="24"/>
          <w:highlight w:val="none"/>
        </w:rPr>
      </w:pPr>
      <w:r>
        <w:rPr>
          <w:rFonts w:hint="eastAsia" w:ascii="宋体" w:hAnsi="宋体" w:cs="宋体"/>
          <w:b/>
          <w:snapToGrid w:val="0"/>
          <w:color w:val="auto"/>
          <w:kern w:val="0"/>
          <w:sz w:val="24"/>
          <w:highlight w:val="none"/>
        </w:rPr>
        <w:t xml:space="preserve">第六条  </w:t>
      </w:r>
      <w:r>
        <w:rPr>
          <w:rFonts w:hint="eastAsia" w:ascii="宋体" w:hAnsi="宋体" w:cs="宋体"/>
          <w:snapToGrid w:val="0"/>
          <w:color w:val="auto"/>
          <w:kern w:val="0"/>
          <w:sz w:val="24"/>
          <w:highlight w:val="none"/>
        </w:rPr>
        <w:t>本廉政责任书的有效期与合同的有效期相同。</w:t>
      </w:r>
    </w:p>
    <w:p w14:paraId="2E5F4C9D">
      <w:pPr>
        <w:adjustRightInd w:val="0"/>
        <w:snapToGrid w:val="0"/>
        <w:spacing w:line="400" w:lineRule="exact"/>
        <w:rPr>
          <w:rFonts w:ascii="宋体" w:hAnsi="宋体" w:cs="宋体"/>
          <w:color w:val="auto"/>
          <w:kern w:val="0"/>
          <w:sz w:val="24"/>
          <w:highlight w:val="none"/>
        </w:rPr>
      </w:pPr>
      <w:r>
        <w:rPr>
          <w:rFonts w:hint="eastAsia" w:ascii="宋体" w:hAnsi="宋体" w:cs="宋体"/>
          <w:b/>
          <w:color w:val="auto"/>
          <w:kern w:val="0"/>
          <w:sz w:val="24"/>
          <w:highlight w:val="none"/>
        </w:rPr>
        <w:t xml:space="preserve">    </w:t>
      </w:r>
      <w:r>
        <w:rPr>
          <w:rFonts w:hint="eastAsia" w:ascii="宋体" w:hAnsi="宋体" w:cs="宋体"/>
          <w:b/>
          <w:snapToGrid w:val="0"/>
          <w:color w:val="auto"/>
          <w:kern w:val="0"/>
          <w:sz w:val="24"/>
          <w:highlight w:val="none"/>
        </w:rPr>
        <w:t xml:space="preserve">第七条  </w:t>
      </w:r>
      <w:r>
        <w:rPr>
          <w:rFonts w:hint="eastAsia" w:ascii="宋体" w:hAnsi="宋体" w:cs="宋体"/>
          <w:snapToGrid w:val="0"/>
          <w:color w:val="auto"/>
          <w:kern w:val="0"/>
          <w:sz w:val="24"/>
          <w:highlight w:val="none"/>
        </w:rPr>
        <w:t>本廉政责任书份数和合同份数一致</w:t>
      </w:r>
      <w:r>
        <w:rPr>
          <w:rFonts w:hint="eastAsia" w:ascii="宋体" w:hAnsi="宋体" w:cs="宋体"/>
          <w:bCs/>
          <w:color w:val="auto"/>
          <w:kern w:val="0"/>
          <w:sz w:val="24"/>
          <w:highlight w:val="none"/>
        </w:rPr>
        <w:t>。</w:t>
      </w:r>
    </w:p>
    <w:p w14:paraId="625D232A">
      <w:pPr>
        <w:adjustRightInd w:val="0"/>
        <w:snapToGrid w:val="0"/>
        <w:spacing w:line="440" w:lineRule="exact"/>
        <w:ind w:right="11"/>
        <w:rPr>
          <w:rFonts w:ascii="宋体" w:hAnsi="宋体" w:cs="宋体"/>
          <w:snapToGrid w:val="0"/>
          <w:color w:val="auto"/>
          <w:kern w:val="0"/>
          <w:sz w:val="24"/>
          <w:highlight w:val="none"/>
        </w:rPr>
      </w:pPr>
    </w:p>
    <w:p w14:paraId="455DC47F">
      <w:pPr>
        <w:adjustRightInd w:val="0"/>
        <w:snapToGrid w:val="0"/>
        <w:spacing w:line="440" w:lineRule="exact"/>
        <w:ind w:right="11"/>
        <w:rPr>
          <w:rFonts w:ascii="宋体" w:hAnsi="宋体" w:cs="宋体"/>
          <w:snapToGrid w:val="0"/>
          <w:color w:val="auto"/>
          <w:kern w:val="0"/>
          <w:sz w:val="24"/>
          <w:highlight w:val="none"/>
        </w:rPr>
      </w:pPr>
    </w:p>
    <w:tbl>
      <w:tblPr>
        <w:tblStyle w:val="50"/>
        <w:tblW w:w="0" w:type="auto"/>
        <w:tblInd w:w="431" w:type="dxa"/>
        <w:tblLayout w:type="fixed"/>
        <w:tblCellMar>
          <w:top w:w="0" w:type="dxa"/>
          <w:left w:w="108" w:type="dxa"/>
          <w:bottom w:w="0" w:type="dxa"/>
          <w:right w:w="108" w:type="dxa"/>
        </w:tblCellMar>
      </w:tblPr>
      <w:tblGrid>
        <w:gridCol w:w="1668"/>
        <w:gridCol w:w="2835"/>
        <w:gridCol w:w="1559"/>
        <w:gridCol w:w="2835"/>
      </w:tblGrid>
      <w:tr w14:paraId="213B3658">
        <w:tblPrEx>
          <w:tblCellMar>
            <w:top w:w="0" w:type="dxa"/>
            <w:left w:w="108" w:type="dxa"/>
            <w:bottom w:w="0" w:type="dxa"/>
            <w:right w:w="108" w:type="dxa"/>
          </w:tblCellMar>
        </w:tblPrEx>
        <w:trPr>
          <w:trHeight w:val="857" w:hRule="atLeast"/>
        </w:trPr>
        <w:tc>
          <w:tcPr>
            <w:tcW w:w="1668" w:type="dxa"/>
            <w:vAlign w:val="center"/>
          </w:tcPr>
          <w:p w14:paraId="7148E732">
            <w:pPr>
              <w:widowControl/>
              <w:wordWrap w:val="0"/>
              <w:topLinePunct/>
              <w:adjustRightInd w:val="0"/>
              <w:snapToGrid w:val="0"/>
              <w:spacing w:line="480" w:lineRule="exact"/>
              <w:rPr>
                <w:rFonts w:ascii="宋体" w:hAnsi="宋体"/>
                <w:color w:val="auto"/>
                <w:sz w:val="24"/>
                <w:highlight w:val="none"/>
              </w:rPr>
            </w:pPr>
            <w:r>
              <w:rPr>
                <w:rFonts w:hint="eastAsia" w:ascii="宋体" w:hAnsi="宋体"/>
                <w:color w:val="auto"/>
                <w:sz w:val="24"/>
                <w:highlight w:val="none"/>
              </w:rPr>
              <w:t>发  包  人：</w:t>
            </w:r>
          </w:p>
        </w:tc>
        <w:tc>
          <w:tcPr>
            <w:tcW w:w="2835" w:type="dxa"/>
            <w:vAlign w:val="center"/>
          </w:tcPr>
          <w:p w14:paraId="4B7B99FE">
            <w:pPr>
              <w:widowControl/>
              <w:wordWrap w:val="0"/>
              <w:topLinePunct/>
              <w:adjustRightInd w:val="0"/>
              <w:snapToGrid w:val="0"/>
              <w:spacing w:line="300" w:lineRule="exact"/>
              <w:rPr>
                <w:rFonts w:ascii="宋体" w:hAnsi="宋体"/>
                <w:color w:val="auto"/>
                <w:sz w:val="24"/>
                <w:highlight w:val="none"/>
              </w:rPr>
            </w:pPr>
            <w:r>
              <w:rPr>
                <w:rFonts w:hint="eastAsia" w:ascii="宋体" w:hAnsi="宋体"/>
                <w:color w:val="auto"/>
                <w:sz w:val="24"/>
                <w:highlight w:val="none"/>
              </w:rPr>
              <w:t>中新广州知识城财政投资建设项目管理中心</w:t>
            </w:r>
          </w:p>
        </w:tc>
        <w:tc>
          <w:tcPr>
            <w:tcW w:w="1559" w:type="dxa"/>
            <w:vAlign w:val="center"/>
          </w:tcPr>
          <w:p w14:paraId="7056675A">
            <w:pPr>
              <w:widowControl/>
              <w:wordWrap w:val="0"/>
              <w:topLinePunct/>
              <w:adjustRightInd w:val="0"/>
              <w:snapToGrid w:val="0"/>
              <w:spacing w:line="480" w:lineRule="exact"/>
              <w:rPr>
                <w:rFonts w:ascii="宋体" w:hAnsi="宋体"/>
                <w:color w:val="auto"/>
                <w:sz w:val="24"/>
                <w:highlight w:val="none"/>
              </w:rPr>
            </w:pPr>
            <w:r>
              <w:rPr>
                <w:rFonts w:hint="eastAsia" w:ascii="宋体" w:hAnsi="宋体"/>
                <w:color w:val="auto"/>
                <w:sz w:val="24"/>
                <w:highlight w:val="none"/>
              </w:rPr>
              <w:t>承  包  人：</w:t>
            </w:r>
          </w:p>
        </w:tc>
        <w:tc>
          <w:tcPr>
            <w:tcW w:w="2835" w:type="dxa"/>
            <w:vAlign w:val="center"/>
          </w:tcPr>
          <w:p w14:paraId="7BABE1F6">
            <w:pPr>
              <w:widowControl/>
              <w:wordWrap w:val="0"/>
              <w:topLinePunct/>
              <w:adjustRightInd w:val="0"/>
              <w:snapToGrid w:val="0"/>
              <w:spacing w:line="300" w:lineRule="exact"/>
              <w:rPr>
                <w:rFonts w:ascii="宋体" w:hAnsi="宋体"/>
                <w:color w:val="auto"/>
                <w:sz w:val="22"/>
                <w:highlight w:val="none"/>
              </w:rPr>
            </w:pPr>
          </w:p>
        </w:tc>
      </w:tr>
      <w:tr w14:paraId="1DD24286">
        <w:tblPrEx>
          <w:tblCellMar>
            <w:top w:w="0" w:type="dxa"/>
            <w:left w:w="108" w:type="dxa"/>
            <w:bottom w:w="0" w:type="dxa"/>
            <w:right w:w="108" w:type="dxa"/>
          </w:tblCellMar>
        </w:tblPrEx>
        <w:trPr>
          <w:trHeight w:val="1021" w:hRule="atLeast"/>
        </w:trPr>
        <w:tc>
          <w:tcPr>
            <w:tcW w:w="1668" w:type="dxa"/>
            <w:vAlign w:val="center"/>
          </w:tcPr>
          <w:p w14:paraId="07C68135">
            <w:pPr>
              <w:widowControl/>
              <w:wordWrap w:val="0"/>
              <w:topLinePunct/>
              <w:adjustRightInd w:val="0"/>
              <w:snapToGrid w:val="0"/>
              <w:spacing w:line="480" w:lineRule="exact"/>
              <w:rPr>
                <w:rFonts w:ascii="宋体" w:hAnsi="宋体"/>
                <w:color w:val="auto"/>
                <w:sz w:val="24"/>
                <w:highlight w:val="none"/>
              </w:rPr>
            </w:pPr>
            <w:r>
              <w:rPr>
                <w:rFonts w:hint="eastAsia" w:ascii="宋体" w:hAnsi="宋体"/>
                <w:color w:val="auto"/>
                <w:sz w:val="24"/>
                <w:highlight w:val="none"/>
              </w:rPr>
              <w:t>法定代表人：</w:t>
            </w:r>
          </w:p>
        </w:tc>
        <w:tc>
          <w:tcPr>
            <w:tcW w:w="2835" w:type="dxa"/>
            <w:vAlign w:val="center"/>
          </w:tcPr>
          <w:p w14:paraId="46B93351">
            <w:pPr>
              <w:widowControl/>
              <w:wordWrap w:val="0"/>
              <w:topLinePunct/>
              <w:adjustRightInd w:val="0"/>
              <w:snapToGrid w:val="0"/>
              <w:spacing w:line="480" w:lineRule="exact"/>
              <w:rPr>
                <w:rFonts w:ascii="宋体" w:hAnsi="宋体"/>
                <w:color w:val="auto"/>
                <w:sz w:val="24"/>
                <w:highlight w:val="none"/>
              </w:rPr>
            </w:pPr>
          </w:p>
        </w:tc>
        <w:tc>
          <w:tcPr>
            <w:tcW w:w="1559" w:type="dxa"/>
            <w:vAlign w:val="center"/>
          </w:tcPr>
          <w:p w14:paraId="172768BE">
            <w:pPr>
              <w:widowControl/>
              <w:wordWrap w:val="0"/>
              <w:topLinePunct/>
              <w:adjustRightInd w:val="0"/>
              <w:snapToGrid w:val="0"/>
              <w:spacing w:line="480" w:lineRule="exact"/>
              <w:rPr>
                <w:rFonts w:ascii="宋体" w:hAnsi="宋体"/>
                <w:color w:val="auto"/>
                <w:sz w:val="24"/>
                <w:highlight w:val="none"/>
              </w:rPr>
            </w:pPr>
            <w:r>
              <w:rPr>
                <w:rFonts w:hint="eastAsia" w:ascii="宋体" w:hAnsi="宋体"/>
                <w:color w:val="auto"/>
                <w:sz w:val="24"/>
                <w:highlight w:val="none"/>
              </w:rPr>
              <w:t>法定代表人：</w:t>
            </w:r>
          </w:p>
        </w:tc>
        <w:tc>
          <w:tcPr>
            <w:tcW w:w="2835" w:type="dxa"/>
            <w:vAlign w:val="center"/>
          </w:tcPr>
          <w:p w14:paraId="7EFAB2A5">
            <w:pPr>
              <w:widowControl/>
              <w:wordWrap w:val="0"/>
              <w:topLinePunct/>
              <w:adjustRightInd w:val="0"/>
              <w:snapToGrid w:val="0"/>
              <w:spacing w:line="360" w:lineRule="exact"/>
              <w:rPr>
                <w:rFonts w:ascii="宋体" w:hAnsi="宋体"/>
                <w:color w:val="auto"/>
                <w:sz w:val="24"/>
                <w:highlight w:val="none"/>
              </w:rPr>
            </w:pPr>
          </w:p>
        </w:tc>
      </w:tr>
      <w:tr w14:paraId="661701D1">
        <w:tblPrEx>
          <w:tblCellMar>
            <w:top w:w="0" w:type="dxa"/>
            <w:left w:w="108" w:type="dxa"/>
            <w:bottom w:w="0" w:type="dxa"/>
            <w:right w:w="108" w:type="dxa"/>
          </w:tblCellMar>
        </w:tblPrEx>
        <w:trPr>
          <w:trHeight w:val="1021" w:hRule="atLeast"/>
        </w:trPr>
        <w:tc>
          <w:tcPr>
            <w:tcW w:w="1668" w:type="dxa"/>
            <w:vAlign w:val="center"/>
          </w:tcPr>
          <w:p w14:paraId="60B8426B">
            <w:pPr>
              <w:widowControl/>
              <w:wordWrap w:val="0"/>
              <w:topLinePunct/>
              <w:adjustRightInd w:val="0"/>
              <w:snapToGrid w:val="0"/>
              <w:spacing w:line="480" w:lineRule="exact"/>
              <w:rPr>
                <w:rFonts w:ascii="宋体" w:hAnsi="宋体"/>
                <w:color w:val="auto"/>
                <w:sz w:val="24"/>
                <w:highlight w:val="none"/>
              </w:rPr>
            </w:pPr>
            <w:r>
              <w:rPr>
                <w:rFonts w:hint="eastAsia" w:ascii="宋体" w:hAnsi="宋体"/>
                <w:color w:val="auto"/>
                <w:sz w:val="24"/>
                <w:highlight w:val="none"/>
              </w:rPr>
              <w:t>委托代理人：</w:t>
            </w:r>
          </w:p>
        </w:tc>
        <w:tc>
          <w:tcPr>
            <w:tcW w:w="2835" w:type="dxa"/>
            <w:vAlign w:val="center"/>
          </w:tcPr>
          <w:p w14:paraId="18143983">
            <w:pPr>
              <w:widowControl/>
              <w:wordWrap w:val="0"/>
              <w:topLinePunct/>
              <w:adjustRightInd w:val="0"/>
              <w:snapToGrid w:val="0"/>
              <w:spacing w:line="480" w:lineRule="exact"/>
              <w:rPr>
                <w:rFonts w:ascii="宋体" w:hAnsi="宋体"/>
                <w:color w:val="auto"/>
                <w:sz w:val="24"/>
                <w:highlight w:val="none"/>
              </w:rPr>
            </w:pPr>
          </w:p>
        </w:tc>
        <w:tc>
          <w:tcPr>
            <w:tcW w:w="1559" w:type="dxa"/>
            <w:vAlign w:val="center"/>
          </w:tcPr>
          <w:p w14:paraId="21E983EF">
            <w:pPr>
              <w:widowControl/>
              <w:wordWrap w:val="0"/>
              <w:topLinePunct/>
              <w:adjustRightInd w:val="0"/>
              <w:snapToGrid w:val="0"/>
              <w:spacing w:line="480" w:lineRule="exact"/>
              <w:rPr>
                <w:rFonts w:ascii="宋体" w:hAnsi="宋体"/>
                <w:color w:val="auto"/>
                <w:sz w:val="24"/>
                <w:highlight w:val="none"/>
              </w:rPr>
            </w:pPr>
            <w:r>
              <w:rPr>
                <w:rFonts w:hint="eastAsia" w:ascii="宋体" w:hAnsi="宋体"/>
                <w:color w:val="auto"/>
                <w:sz w:val="24"/>
                <w:highlight w:val="none"/>
              </w:rPr>
              <w:t>委托代理人：</w:t>
            </w:r>
          </w:p>
        </w:tc>
        <w:tc>
          <w:tcPr>
            <w:tcW w:w="2835" w:type="dxa"/>
            <w:vAlign w:val="center"/>
          </w:tcPr>
          <w:p w14:paraId="7DAB29E1">
            <w:pPr>
              <w:widowControl/>
              <w:wordWrap w:val="0"/>
              <w:topLinePunct/>
              <w:adjustRightInd w:val="0"/>
              <w:snapToGrid w:val="0"/>
              <w:spacing w:line="360" w:lineRule="exact"/>
              <w:rPr>
                <w:rFonts w:ascii="宋体" w:hAnsi="宋体"/>
                <w:color w:val="auto"/>
                <w:sz w:val="24"/>
                <w:highlight w:val="none"/>
              </w:rPr>
            </w:pPr>
          </w:p>
        </w:tc>
      </w:tr>
    </w:tbl>
    <w:p w14:paraId="33AB9CDD">
      <w:pPr>
        <w:spacing w:line="440" w:lineRule="exact"/>
        <w:ind w:firstLine="397"/>
        <w:jc w:val="left"/>
        <w:rPr>
          <w:rFonts w:ascii="宋体" w:hAnsi="宋体" w:cs="宋体"/>
          <w:snapToGrid w:val="0"/>
          <w:color w:val="auto"/>
          <w:kern w:val="0"/>
          <w:sz w:val="24"/>
          <w:highlight w:val="none"/>
        </w:rPr>
      </w:pPr>
    </w:p>
    <w:p w14:paraId="11647BE5">
      <w:pPr>
        <w:tabs>
          <w:tab w:val="left" w:pos="5460"/>
        </w:tabs>
        <w:adjustRightInd w:val="0"/>
        <w:snapToGrid w:val="0"/>
        <w:spacing w:line="460" w:lineRule="exact"/>
        <w:ind w:left="-2" w:leftChars="-1" w:right="11"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签订日期：</w:t>
      </w:r>
      <w:r>
        <w:rPr>
          <w:rFonts w:hint="eastAsia" w:ascii="宋体" w:hAnsi="宋体" w:cs="宋体"/>
          <w:snapToGrid w:val="0"/>
          <w:color w:val="auto"/>
          <w:kern w:val="0"/>
          <w:sz w:val="24"/>
          <w:highlight w:val="none"/>
          <w:u w:val="single"/>
        </w:rPr>
        <w:t xml:space="preserve">      年   月    日</w:t>
      </w:r>
    </w:p>
    <w:p w14:paraId="6FE27D52">
      <w:pPr>
        <w:adjustRightInd/>
        <w:snapToGrid/>
        <w:spacing w:line="460" w:lineRule="exact"/>
        <w:ind w:right="0" w:firstLine="480" w:firstLineChars="200"/>
        <w:rPr>
          <w:rFonts w:hint="eastAsia"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签订地点：</w:t>
      </w:r>
      <w:r>
        <w:rPr>
          <w:rFonts w:hint="eastAsia" w:ascii="宋体" w:hAnsi="宋体" w:cs="宋体"/>
          <w:snapToGrid w:val="0"/>
          <w:color w:val="auto"/>
          <w:kern w:val="0"/>
          <w:sz w:val="24"/>
          <w:highlight w:val="none"/>
          <w:u w:val="single"/>
        </w:rPr>
        <w:t>广州市黄埔区</w:t>
      </w:r>
    </w:p>
    <w:p w14:paraId="306D1E02">
      <w:pPr>
        <w:adjustRightInd/>
        <w:snapToGrid/>
        <w:spacing w:line="460" w:lineRule="exact"/>
        <w:ind w:right="0" w:firstLine="480" w:firstLineChars="200"/>
        <w:rPr>
          <w:rFonts w:hint="eastAsia" w:ascii="宋体" w:hAnsi="宋体" w:cs="宋体"/>
          <w:snapToGrid w:val="0"/>
          <w:color w:val="auto"/>
          <w:kern w:val="0"/>
          <w:sz w:val="24"/>
          <w:highlight w:val="none"/>
          <w:u w:val="single"/>
        </w:rPr>
      </w:pPr>
    </w:p>
    <w:p w14:paraId="20E62036">
      <w:pPr>
        <w:numPr>
          <w:ilvl w:val="-1"/>
          <w:numId w:val="0"/>
        </w:numPr>
        <w:jc w:val="both"/>
        <w:rPr>
          <w:color w:val="auto"/>
          <w:highlight w:val="none"/>
        </w:rPr>
      </w:pPr>
    </w:p>
    <w:p w14:paraId="67084B60">
      <w:pPr>
        <w:numPr>
          <w:ilvl w:val="-1"/>
          <w:numId w:val="0"/>
        </w:numPr>
        <w:jc w:val="both"/>
        <w:rPr>
          <w:color w:val="auto"/>
          <w:highlight w:val="none"/>
        </w:rPr>
      </w:pPr>
    </w:p>
    <w:p w14:paraId="3A3D63A1">
      <w:pPr>
        <w:numPr>
          <w:ilvl w:val="-1"/>
          <w:numId w:val="0"/>
        </w:numPr>
        <w:jc w:val="both"/>
        <w:rPr>
          <w:rFonts w:hint="eastAsia"/>
          <w:color w:val="auto"/>
          <w:highlight w:val="none"/>
          <w:lang w:eastAsia="zh-CN"/>
        </w:rPr>
      </w:pPr>
    </w:p>
    <w:p w14:paraId="768CF7C6">
      <w:pPr>
        <w:numPr>
          <w:ilvl w:val="-1"/>
          <w:numId w:val="0"/>
        </w:numPr>
        <w:jc w:val="both"/>
        <w:rPr>
          <w:rFonts w:hint="eastAsia"/>
          <w:color w:val="auto"/>
          <w:highlight w:val="none"/>
          <w:lang w:eastAsia="zh-CN"/>
        </w:rPr>
      </w:pPr>
    </w:p>
    <w:p w14:paraId="0C7CA90E">
      <w:pPr>
        <w:numPr>
          <w:ilvl w:val="-1"/>
          <w:numId w:val="0"/>
        </w:numPr>
        <w:ind w:firstLine="630" w:firstLineChars="300"/>
        <w:jc w:val="both"/>
        <w:rPr>
          <w:rFonts w:ascii="宋体" w:hAnsi="宋体" w:cs="宋体"/>
          <w:b/>
          <w:bCs/>
          <w:color w:val="auto"/>
          <w:sz w:val="28"/>
          <w:szCs w:val="28"/>
          <w:highlight w:val="none"/>
        </w:rPr>
      </w:pPr>
      <w:r>
        <w:rPr>
          <w:rFonts w:hint="eastAsia"/>
          <w:color w:val="auto"/>
          <w:highlight w:val="none"/>
          <w:lang w:eastAsia="zh-CN"/>
        </w:rPr>
        <w:t>附件</w:t>
      </w:r>
      <w:r>
        <w:rPr>
          <w:rFonts w:hint="eastAsia"/>
          <w:color w:val="auto"/>
          <w:highlight w:val="none"/>
          <w:lang w:val="en-US" w:eastAsia="zh-CN"/>
        </w:rPr>
        <w:t>3：</w:t>
      </w:r>
      <w:r>
        <w:rPr>
          <w:rFonts w:hint="eastAsia" w:ascii="宋体" w:hAnsi="宋体" w:cs="宋体"/>
          <w:b/>
          <w:bCs/>
          <w:color w:val="auto"/>
          <w:sz w:val="28"/>
          <w:szCs w:val="28"/>
          <w:highlight w:val="none"/>
        </w:rPr>
        <w:t>绿化种植专篇</w:t>
      </w:r>
    </w:p>
    <w:p w14:paraId="44BCEFF1">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（本专篇适用于绿化建设项目、房建及道路配套绿化项目。）</w:t>
      </w:r>
    </w:p>
    <w:p w14:paraId="3C651D25">
      <w:pPr>
        <w:spacing w:line="440" w:lineRule="exact"/>
        <w:rPr>
          <w:rFonts w:ascii="宋体" w:hAnsi="宋体" w:cs="宋体"/>
          <w:color w:val="auto"/>
          <w:sz w:val="24"/>
          <w:highlight w:val="none"/>
        </w:rPr>
      </w:pPr>
    </w:p>
    <w:p w14:paraId="13D5AE0A">
      <w:pPr>
        <w:spacing w:line="440" w:lineRule="exact"/>
        <w:rPr>
          <w:rFonts w:ascii="宋体" w:hAnsi="宋体" w:cs="宋体"/>
          <w:color w:val="auto"/>
          <w:sz w:val="24"/>
          <w:highlight w:val="none"/>
        </w:rPr>
      </w:pPr>
      <w:r>
        <w:rPr>
          <w:rFonts w:hint="eastAsia" w:ascii="宋体" w:hAnsi="宋体" w:cs="宋体"/>
          <w:color w:val="auto"/>
          <w:sz w:val="24"/>
          <w:highlight w:val="none"/>
        </w:rPr>
        <w:t>发包人（甲方）：中新广州知识城财政投资建设项目管理中心</w:t>
      </w:r>
    </w:p>
    <w:p w14:paraId="125675F0">
      <w:pPr>
        <w:spacing w:line="440" w:lineRule="exact"/>
        <w:rPr>
          <w:rFonts w:ascii="宋体" w:hAnsi="宋体" w:cs="宋体"/>
          <w:color w:val="auto"/>
          <w:sz w:val="24"/>
          <w:highlight w:val="none"/>
        </w:rPr>
      </w:pPr>
      <w:r>
        <w:rPr>
          <w:rFonts w:hint="eastAsia" w:ascii="宋体" w:hAnsi="宋体" w:cs="宋体"/>
          <w:color w:val="auto"/>
          <w:sz w:val="24"/>
          <w:highlight w:val="none"/>
        </w:rPr>
        <w:t>承包人（乙方）：</w:t>
      </w:r>
      <w:r>
        <w:rPr>
          <w:rFonts w:hint="eastAsia" w:ascii="宋体" w:hAnsi="宋体" w:cs="宋体"/>
          <w:color w:val="auto"/>
          <w:sz w:val="24"/>
          <w:highlight w:val="none"/>
          <w:u w:val="single"/>
        </w:rPr>
        <w:t xml:space="preserve">                    </w:t>
      </w:r>
    </w:p>
    <w:p w14:paraId="4BC1D707">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为提高绿化苗木选取和种植苗木质量，加强科学绿化建设和管理，提升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项目绿化种植和养护管理标准，制订本项目绿化种植专篇。</w:t>
      </w:r>
    </w:p>
    <w:p w14:paraId="66196391">
      <w:pPr>
        <w:spacing w:line="440" w:lineRule="exact"/>
        <w:ind w:firstLine="480" w:firstLineChars="200"/>
        <w:jc w:val="left"/>
        <w:rPr>
          <w:rFonts w:ascii="宋体" w:hAnsi="宋体" w:cs="宋体"/>
          <w:b/>
          <w:bCs/>
          <w:color w:val="auto"/>
          <w:sz w:val="24"/>
          <w:highlight w:val="none"/>
        </w:rPr>
      </w:pPr>
      <w:r>
        <w:rPr>
          <w:rFonts w:hint="eastAsia" w:ascii="宋体" w:hAnsi="宋体" w:cs="宋体"/>
          <w:b/>
          <w:bCs/>
          <w:color w:val="auto"/>
          <w:sz w:val="24"/>
          <w:highlight w:val="none"/>
        </w:rPr>
        <w:t>一、绿化种植、养护内容及范围</w:t>
      </w:r>
    </w:p>
    <w:p w14:paraId="130C6856">
      <w:pPr>
        <w:spacing w:line="44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1、本项目绿化工程范围：</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u w:val="single"/>
        </w:rPr>
        <w:t>本项目施工合同约定的承包范围内的全部绿化工程内容</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AB9CF6F">
      <w:pPr>
        <w:pStyle w:val="18"/>
        <w:spacing w:line="440" w:lineRule="exact"/>
        <w:rPr>
          <w:rFonts w:ascii="宋体" w:hAnsi="宋体" w:cs="宋体"/>
          <w:color w:val="auto"/>
          <w:sz w:val="24"/>
          <w:highlight w:val="none"/>
        </w:rPr>
      </w:pPr>
      <w:r>
        <w:rPr>
          <w:rFonts w:hint="eastAsia" w:ascii="宋体" w:hAnsi="宋体" w:cs="宋体"/>
          <w:color w:val="auto"/>
          <w:kern w:val="0"/>
          <w:sz w:val="24"/>
          <w:highlight w:val="none"/>
        </w:rPr>
        <w:t xml:space="preserve">    </w:t>
      </w:r>
      <w:r>
        <w:rPr>
          <w:rFonts w:ascii="宋体" w:hAnsi="宋体" w:cs="宋体"/>
          <w:color w:val="auto"/>
          <w:kern w:val="0"/>
          <w:sz w:val="24"/>
          <w:highlight w:val="none"/>
        </w:rPr>
        <w:t>2</w:t>
      </w:r>
      <w:r>
        <w:rPr>
          <w:rFonts w:hint="eastAsia" w:ascii="宋体" w:hAnsi="宋体" w:cs="宋体"/>
          <w:color w:val="auto"/>
          <w:kern w:val="0"/>
          <w:sz w:val="24"/>
          <w:highlight w:val="none"/>
        </w:rPr>
        <w:t>、</w:t>
      </w:r>
      <w:r>
        <w:rPr>
          <w:rFonts w:hint="eastAsia" w:ascii="宋体" w:hAnsi="宋体" w:eastAsia="宋体" w:cs="宋体"/>
          <w:color w:val="auto"/>
          <w:kern w:val="0"/>
          <w:sz w:val="24"/>
          <w:highlight w:val="none"/>
        </w:rPr>
        <w:t>本项目苗木供应清单，详见招标工程量清单。</w:t>
      </w:r>
    </w:p>
    <w:p w14:paraId="31A4DD77">
      <w:pPr>
        <w:spacing w:line="440" w:lineRule="exact"/>
        <w:ind w:firstLine="480" w:firstLineChars="200"/>
        <w:rPr>
          <w:rFonts w:ascii="宋体" w:hAnsi="宋体" w:cs="宋体"/>
          <w:b/>
          <w:bCs/>
          <w:color w:val="auto"/>
          <w:sz w:val="24"/>
          <w:highlight w:val="none"/>
        </w:rPr>
      </w:pPr>
      <w:r>
        <w:rPr>
          <w:rFonts w:hint="eastAsia" w:ascii="宋体" w:hAnsi="宋体" w:cs="宋体"/>
          <w:b/>
          <w:bCs/>
          <w:color w:val="auto"/>
          <w:sz w:val="24"/>
          <w:highlight w:val="none"/>
        </w:rPr>
        <w:t>二、质量要求</w:t>
      </w:r>
    </w:p>
    <w:p w14:paraId="4637EC9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要求符合国家、省、市园林绿化规程、检评标准、相关要求及行业标准，包括但不限于以下： </w:t>
      </w:r>
    </w:p>
    <w:p w14:paraId="79D5E498">
      <w:pPr>
        <w:spacing w:line="440" w:lineRule="exact"/>
        <w:ind w:firstLine="480" w:firstLineChars="200"/>
        <w:rPr>
          <w:rFonts w:ascii="宋体" w:hAnsi="宋体" w:cs="宋体"/>
          <w:b/>
          <w:bCs/>
          <w:color w:val="auto"/>
          <w:sz w:val="24"/>
          <w:highlight w:val="none"/>
        </w:rPr>
      </w:pPr>
      <w:r>
        <w:rPr>
          <w:rFonts w:hint="eastAsia" w:ascii="宋体" w:hAnsi="宋体" w:cs="宋体"/>
          <w:b/>
          <w:bCs/>
          <w:color w:val="auto"/>
          <w:sz w:val="24"/>
          <w:highlight w:val="none"/>
        </w:rPr>
        <w:t>1、 相关法律法规与政策文件</w:t>
      </w:r>
    </w:p>
    <w:p w14:paraId="5DC7815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（1）《城市绿化条例》（2017 年修订）</w:t>
      </w:r>
    </w:p>
    <w:p w14:paraId="384A2500">
      <w:pPr>
        <w:pStyle w:val="48"/>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（2）《广东省城市绿化条例》（2022 年修订）</w:t>
      </w:r>
    </w:p>
    <w:p w14:paraId="1ECEB30E">
      <w:pPr>
        <w:pStyle w:val="48"/>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（3）《广州市绿化条例》（2022 年修订）</w:t>
      </w:r>
    </w:p>
    <w:p w14:paraId="49FA0FA1">
      <w:pPr>
        <w:pStyle w:val="48"/>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（4）《国务院办公厅关于科学绿化的指导意见》（国办发〔2021〕19 号）</w:t>
      </w:r>
    </w:p>
    <w:p w14:paraId="4753ED6C">
      <w:pPr>
        <w:pStyle w:val="48"/>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（5）《中共广东省委关于深入推进绿美广东生态建设的决定》（2022 年 12 月 8 日中国共产党广东省第十三届委员会第二次全体会议通过）</w:t>
      </w:r>
    </w:p>
    <w:p w14:paraId="25677CB8">
      <w:pPr>
        <w:pStyle w:val="48"/>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（6）《广东省人民政府办公厅关于科学绿化的实施意见》（粤府办〔2021〕48 号）</w:t>
      </w:r>
    </w:p>
    <w:p w14:paraId="7EB28DBB">
      <w:pPr>
        <w:pStyle w:val="48"/>
        <w:spacing w:line="440" w:lineRule="exact"/>
        <w:ind w:firstLine="0" w:firstLineChars="0"/>
        <w:rPr>
          <w:rFonts w:ascii="宋体" w:hAnsi="宋体" w:cs="宋体"/>
          <w:color w:val="auto"/>
          <w:sz w:val="24"/>
          <w:highlight w:val="none"/>
        </w:rPr>
      </w:pPr>
      <w:r>
        <w:rPr>
          <w:rFonts w:hint="eastAsia" w:ascii="宋体" w:hAnsi="宋体" w:cs="宋体"/>
          <w:color w:val="auto"/>
          <w:sz w:val="24"/>
          <w:highlight w:val="none"/>
        </w:rPr>
        <w:t>（7）中共广州市委办公厅 广州市人民政府办公厅印发《广州市关于科学绿化的实施意见》的通知（穗办〔2021〕11号）</w:t>
      </w:r>
    </w:p>
    <w:p w14:paraId="7CF1D749">
      <w:pPr>
        <w:pStyle w:val="48"/>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（8）《广州市林业和园林局关于印发广州市树木修剪技术指引（试行）的通知》（穗林业园林通〔2021〕153 号）</w:t>
      </w:r>
    </w:p>
    <w:p w14:paraId="69ACF693">
      <w:pPr>
        <w:pStyle w:val="48"/>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（9）《广州市林业和园林局关于规范提升全市树木支撑的通知》（穗林业园林通〔2019〕100 号）</w:t>
      </w:r>
    </w:p>
    <w:p w14:paraId="32EF9304">
      <w:pPr>
        <w:pStyle w:val="48"/>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（10）黄埔区住房和城乡建设局 广州开发区建设和交通局关于印发《黄埔区绿化苗木选用及种植技术指引（1.0版）》《黄埔区园林绿化养护技术指引（1.0版）》的通知（穗埔建〔2023〕93 号）</w:t>
      </w:r>
    </w:p>
    <w:p w14:paraId="2E817D0A">
      <w:pPr>
        <w:pStyle w:val="48"/>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 《黄埔区住房和城乡建设局 广州开发区建设和交通局关于加强科学绿化工作的提醒函》（穗埔建函[2023]2767号）</w:t>
      </w:r>
    </w:p>
    <w:p w14:paraId="5A38641A">
      <w:pPr>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2、 相关标准规范</w:t>
      </w:r>
    </w:p>
    <w:p w14:paraId="29EC8E00">
      <w:pPr>
        <w:spacing w:line="440" w:lineRule="exact"/>
        <w:jc w:val="left"/>
        <w:rPr>
          <w:rFonts w:ascii="宋体" w:hAnsi="宋体" w:cs="宋体"/>
          <w:color w:val="auto"/>
          <w:sz w:val="24"/>
          <w:highlight w:val="none"/>
        </w:rPr>
      </w:pPr>
      <w:r>
        <w:rPr>
          <w:rFonts w:hint="eastAsia" w:ascii="宋体" w:hAnsi="宋体" w:cs="宋体"/>
          <w:color w:val="auto"/>
          <w:sz w:val="24"/>
          <w:highlight w:val="none"/>
        </w:rPr>
        <w:t>（1）《园林绿化工程项目规范》（GB55014-2021）；</w:t>
      </w:r>
    </w:p>
    <w:p w14:paraId="46CF20F3">
      <w:pPr>
        <w:spacing w:line="440" w:lineRule="exact"/>
        <w:jc w:val="left"/>
        <w:rPr>
          <w:rFonts w:ascii="宋体" w:hAnsi="宋体" w:cs="宋体"/>
          <w:color w:val="auto"/>
          <w:sz w:val="24"/>
          <w:highlight w:val="none"/>
        </w:rPr>
      </w:pPr>
      <w:r>
        <w:rPr>
          <w:rFonts w:hint="eastAsia" w:ascii="宋体" w:hAnsi="宋体" w:cs="宋体"/>
          <w:color w:val="auto"/>
          <w:sz w:val="24"/>
          <w:highlight w:val="none"/>
        </w:rPr>
        <w:t>（2）《城市园林绿化评价标准》GBT 50563-2010；</w:t>
      </w:r>
    </w:p>
    <w:p w14:paraId="43CAA629">
      <w:pPr>
        <w:spacing w:line="440" w:lineRule="exact"/>
        <w:jc w:val="left"/>
        <w:rPr>
          <w:rFonts w:ascii="宋体" w:hAnsi="宋体" w:cs="宋体"/>
          <w:color w:val="auto"/>
          <w:sz w:val="24"/>
          <w:highlight w:val="none"/>
        </w:rPr>
      </w:pPr>
      <w:r>
        <w:rPr>
          <w:rFonts w:hint="eastAsia" w:ascii="宋体" w:hAnsi="宋体" w:cs="宋体"/>
          <w:color w:val="auto"/>
          <w:sz w:val="24"/>
          <w:highlight w:val="none"/>
        </w:rPr>
        <w:t>（3）《城市绿地草坪建植与管理技术规程》GBT 19535.2-2004；</w:t>
      </w:r>
    </w:p>
    <w:p w14:paraId="4A63977C">
      <w:pPr>
        <w:spacing w:line="440" w:lineRule="exact"/>
        <w:jc w:val="left"/>
        <w:rPr>
          <w:rFonts w:ascii="宋体" w:hAnsi="宋体" w:cs="宋体"/>
          <w:color w:val="auto"/>
          <w:sz w:val="24"/>
          <w:highlight w:val="none"/>
        </w:rPr>
      </w:pPr>
      <w:r>
        <w:rPr>
          <w:rFonts w:hint="eastAsia" w:ascii="宋体" w:hAnsi="宋体" w:cs="宋体"/>
          <w:color w:val="auto"/>
          <w:sz w:val="24"/>
          <w:highlight w:val="none"/>
        </w:rPr>
        <w:t>（4）《城市园林绿化评价标准》[附条文说明]GB/T 50563-2010</w:t>
      </w:r>
    </w:p>
    <w:p w14:paraId="4283848D">
      <w:pPr>
        <w:spacing w:line="440" w:lineRule="exact"/>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（5）《地表水环境质量标准》GB 3838-2002</w:t>
      </w:r>
      <w:r>
        <w:rPr>
          <w:rFonts w:hint="eastAsia" w:ascii="宋体" w:hAnsi="宋体" w:cs="宋体"/>
          <w:color w:val="auto"/>
          <w:sz w:val="24"/>
          <w:highlight w:val="none"/>
          <w:lang w:val="en-US" w:eastAsia="zh-CN"/>
        </w:rPr>
        <w:t>；</w:t>
      </w:r>
    </w:p>
    <w:p w14:paraId="59BE05F2">
      <w:pPr>
        <w:spacing w:line="440" w:lineRule="exact"/>
        <w:jc w:val="left"/>
        <w:rPr>
          <w:rFonts w:ascii="宋体" w:hAnsi="宋体" w:cs="宋体"/>
          <w:color w:val="auto"/>
          <w:sz w:val="24"/>
          <w:highlight w:val="none"/>
        </w:rPr>
      </w:pPr>
      <w:r>
        <w:rPr>
          <w:rFonts w:hint="eastAsia" w:ascii="宋体" w:hAnsi="宋体" w:cs="宋体"/>
          <w:color w:val="auto"/>
          <w:sz w:val="24"/>
          <w:highlight w:val="none"/>
        </w:rPr>
        <w:t>（6）《园林树木安全性评价技术规范》DB4401/T17—2019 ；</w:t>
      </w:r>
    </w:p>
    <w:p w14:paraId="62765173">
      <w:pPr>
        <w:spacing w:line="440" w:lineRule="exact"/>
        <w:jc w:val="left"/>
        <w:rPr>
          <w:rFonts w:ascii="宋体" w:hAnsi="宋体" w:cs="宋体"/>
          <w:color w:val="auto"/>
          <w:sz w:val="24"/>
          <w:highlight w:val="none"/>
        </w:rPr>
      </w:pPr>
      <w:r>
        <w:rPr>
          <w:rFonts w:hint="eastAsia" w:ascii="宋体" w:hAnsi="宋体" w:cs="宋体"/>
          <w:color w:val="auto"/>
          <w:sz w:val="24"/>
          <w:highlight w:val="none"/>
        </w:rPr>
        <w:t>（7）《广东城市绿化工程施工和验收规范》DBBT581-2009 ；</w:t>
      </w:r>
    </w:p>
    <w:p w14:paraId="6C311C6C">
      <w:pPr>
        <w:spacing w:line="440" w:lineRule="exact"/>
        <w:jc w:val="left"/>
        <w:rPr>
          <w:rFonts w:ascii="宋体" w:hAnsi="宋体" w:cs="宋体"/>
          <w:color w:val="auto"/>
          <w:sz w:val="24"/>
          <w:highlight w:val="none"/>
        </w:rPr>
      </w:pPr>
      <w:r>
        <w:rPr>
          <w:rFonts w:hint="eastAsia" w:ascii="宋体" w:hAnsi="宋体" w:cs="宋体"/>
          <w:color w:val="auto"/>
          <w:sz w:val="24"/>
          <w:highlight w:val="none"/>
        </w:rPr>
        <w:t>（8）《城市园林绿化工程施工及验收规范》DB11/T 212-2017；</w:t>
      </w:r>
    </w:p>
    <w:p w14:paraId="67AA70B7">
      <w:pPr>
        <w:spacing w:line="44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（9）《城市园林绿化用苗-木本苗木分级》DB440300/T 28—2006</w:t>
      </w:r>
      <w:r>
        <w:rPr>
          <w:rFonts w:hint="eastAsia" w:ascii="宋体" w:hAnsi="宋体" w:cs="宋体"/>
          <w:color w:val="auto"/>
          <w:sz w:val="24"/>
          <w:highlight w:val="none"/>
          <w:lang w:val="en-US" w:eastAsia="zh-CN"/>
        </w:rPr>
        <w:t>；</w:t>
      </w:r>
    </w:p>
    <w:p w14:paraId="339B3025">
      <w:pPr>
        <w:spacing w:line="440" w:lineRule="exact"/>
        <w:jc w:val="left"/>
        <w:rPr>
          <w:rFonts w:ascii="宋体" w:hAnsi="宋体" w:cs="宋体"/>
          <w:color w:val="auto"/>
          <w:sz w:val="24"/>
          <w:highlight w:val="none"/>
        </w:rPr>
      </w:pPr>
      <w:r>
        <w:rPr>
          <w:rFonts w:hint="eastAsia" w:ascii="宋体" w:hAnsi="宋体" w:cs="宋体"/>
          <w:color w:val="auto"/>
          <w:sz w:val="24"/>
          <w:highlight w:val="none"/>
        </w:rPr>
        <w:t>（10）《城市绿化和园林绿地用植物材料-木本苗》CJT 24-1999；</w:t>
      </w:r>
    </w:p>
    <w:p w14:paraId="54259AE4">
      <w:pPr>
        <w:spacing w:line="440" w:lineRule="exact"/>
        <w:jc w:val="left"/>
        <w:rPr>
          <w:rFonts w:ascii="宋体" w:hAnsi="宋体" w:cs="宋体"/>
          <w:color w:val="auto"/>
          <w:sz w:val="24"/>
          <w:highlight w:val="none"/>
        </w:rPr>
      </w:pPr>
      <w:r>
        <w:rPr>
          <w:rFonts w:hint="eastAsia" w:ascii="宋体" w:hAnsi="宋体" w:cs="宋体"/>
          <w:color w:val="auto"/>
          <w:sz w:val="24"/>
          <w:highlight w:val="none"/>
        </w:rPr>
        <w:t>（11）《城市绿化和园林绿地用植物材料- 球根花卉种球》CJT135-2001 ；</w:t>
      </w:r>
    </w:p>
    <w:p w14:paraId="2480AA40">
      <w:pPr>
        <w:spacing w:line="440" w:lineRule="exact"/>
        <w:jc w:val="left"/>
        <w:rPr>
          <w:rFonts w:ascii="宋体" w:hAnsi="宋体" w:cs="宋体"/>
          <w:color w:val="auto"/>
          <w:sz w:val="24"/>
          <w:highlight w:val="none"/>
        </w:rPr>
      </w:pPr>
      <w:r>
        <w:rPr>
          <w:rFonts w:hint="eastAsia" w:ascii="宋体" w:hAnsi="宋体" w:cs="宋体"/>
          <w:color w:val="auto"/>
          <w:sz w:val="24"/>
          <w:highlight w:val="none"/>
        </w:rPr>
        <w:t>（12）《绿化种植土壤》CJ/T340-2016；</w:t>
      </w:r>
    </w:p>
    <w:p w14:paraId="37C9EABD">
      <w:pPr>
        <w:spacing w:line="440" w:lineRule="exact"/>
        <w:jc w:val="left"/>
        <w:rPr>
          <w:rFonts w:ascii="宋体" w:hAnsi="宋体" w:cs="宋体"/>
          <w:color w:val="auto"/>
          <w:sz w:val="24"/>
          <w:highlight w:val="none"/>
        </w:rPr>
      </w:pPr>
      <w:r>
        <w:rPr>
          <w:rFonts w:hint="eastAsia" w:ascii="宋体" w:hAnsi="宋体" w:cs="宋体"/>
          <w:color w:val="auto"/>
          <w:sz w:val="24"/>
          <w:highlight w:val="none"/>
        </w:rPr>
        <w:t>（13）《园林植物筛选通用技术要求》CJT 512-2017；</w:t>
      </w:r>
    </w:p>
    <w:p w14:paraId="27DC8DA4">
      <w:pPr>
        <w:spacing w:line="440" w:lineRule="exact"/>
        <w:jc w:val="left"/>
        <w:rPr>
          <w:rFonts w:ascii="宋体" w:hAnsi="宋体" w:cs="宋体"/>
          <w:color w:val="auto"/>
          <w:sz w:val="24"/>
          <w:highlight w:val="none"/>
        </w:rPr>
      </w:pPr>
      <w:r>
        <w:rPr>
          <w:rFonts w:hint="eastAsia" w:ascii="宋体" w:hAnsi="宋体" w:cs="宋体"/>
          <w:color w:val="auto"/>
          <w:sz w:val="24"/>
          <w:highlight w:val="none"/>
        </w:rPr>
        <w:t>（14）《城市主要绿化竹种苗木等级》LYT 2345-2014；</w:t>
      </w:r>
    </w:p>
    <w:p w14:paraId="62887232">
      <w:pPr>
        <w:spacing w:line="440" w:lineRule="exact"/>
        <w:jc w:val="left"/>
        <w:rPr>
          <w:rFonts w:ascii="宋体" w:hAnsi="宋体" w:cs="宋体"/>
          <w:color w:val="auto"/>
          <w:sz w:val="24"/>
          <w:highlight w:val="none"/>
        </w:rPr>
      </w:pPr>
      <w:r>
        <w:rPr>
          <w:rFonts w:hint="eastAsia" w:ascii="宋体" w:hAnsi="宋体" w:cs="宋体"/>
          <w:color w:val="auto"/>
          <w:sz w:val="24"/>
          <w:highlight w:val="none"/>
        </w:rPr>
        <w:t>（15）《绿化全冠苗木栽植技术规程》LYT 2632-2016；</w:t>
      </w:r>
    </w:p>
    <w:p w14:paraId="03552122">
      <w:pPr>
        <w:spacing w:line="440" w:lineRule="exact"/>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（16）《森林植物检疫技术规程》</w:t>
      </w:r>
      <w:r>
        <w:rPr>
          <w:rFonts w:hint="eastAsia" w:ascii="宋体" w:hAnsi="宋体" w:cs="宋体"/>
          <w:color w:val="auto"/>
          <w:sz w:val="24"/>
          <w:highlight w:val="none"/>
          <w:lang w:val="en-US" w:eastAsia="zh-CN"/>
        </w:rPr>
        <w:t>；</w:t>
      </w:r>
    </w:p>
    <w:p w14:paraId="4ECB57E8">
      <w:pPr>
        <w:spacing w:line="440" w:lineRule="exact"/>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（17）《广州市主要乡土和适生植物名录》</w:t>
      </w:r>
      <w:r>
        <w:rPr>
          <w:rFonts w:hint="eastAsia" w:ascii="宋体" w:hAnsi="宋体" w:cs="宋体"/>
          <w:color w:val="auto"/>
          <w:sz w:val="24"/>
          <w:highlight w:val="none"/>
          <w:lang w:val="en-US" w:eastAsia="zh-CN"/>
        </w:rPr>
        <w:t>；</w:t>
      </w:r>
    </w:p>
    <w:p w14:paraId="51133176">
      <w:pPr>
        <w:spacing w:line="440" w:lineRule="exact"/>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（18）《城市道路绿化规划与设计规范》</w:t>
      </w:r>
      <w:r>
        <w:rPr>
          <w:rFonts w:hint="eastAsia" w:ascii="宋体" w:hAnsi="宋体" w:cs="宋体"/>
          <w:color w:val="auto"/>
          <w:sz w:val="24"/>
          <w:highlight w:val="none"/>
          <w:lang w:val="en-US" w:eastAsia="zh-CN"/>
        </w:rPr>
        <w:t>；</w:t>
      </w:r>
    </w:p>
    <w:p w14:paraId="51CBEAD0">
      <w:pPr>
        <w:spacing w:line="440" w:lineRule="exact"/>
        <w:ind w:firstLine="480" w:firstLineChars="200"/>
        <w:rPr>
          <w:rFonts w:ascii="宋体" w:hAnsi="宋体" w:cs="宋体"/>
          <w:b/>
          <w:bCs/>
          <w:color w:val="auto"/>
          <w:sz w:val="24"/>
          <w:highlight w:val="none"/>
        </w:rPr>
      </w:pPr>
      <w:r>
        <w:rPr>
          <w:rFonts w:hint="eastAsia" w:ascii="宋体" w:hAnsi="宋体" w:cs="宋体"/>
          <w:b/>
          <w:bCs/>
          <w:color w:val="auto"/>
          <w:sz w:val="24"/>
          <w:highlight w:val="none"/>
        </w:rPr>
        <w:t>三、绿化种植、养护要求</w:t>
      </w:r>
    </w:p>
    <w:p w14:paraId="50ECED65">
      <w:pPr>
        <w:numPr>
          <w:ilvl w:val="0"/>
          <w:numId w:val="14"/>
        </w:numPr>
        <w:spacing w:line="440" w:lineRule="exact"/>
        <w:ind w:firstLine="547" w:firstLineChars="228"/>
        <w:rPr>
          <w:rFonts w:ascii="宋体" w:hAnsi="宋体" w:cs="宋体"/>
          <w:b/>
          <w:bCs/>
          <w:color w:val="auto"/>
          <w:sz w:val="24"/>
          <w:highlight w:val="none"/>
        </w:rPr>
      </w:pPr>
      <w:r>
        <w:rPr>
          <w:rFonts w:hint="eastAsia" w:ascii="宋体" w:hAnsi="宋体" w:cs="宋体"/>
          <w:b/>
          <w:bCs/>
          <w:color w:val="auto"/>
          <w:sz w:val="24"/>
          <w:highlight w:val="none"/>
        </w:rPr>
        <w:t xml:space="preserve">绿化苗木选用和种植过程要求 </w:t>
      </w:r>
    </w:p>
    <w:p w14:paraId="0EB8163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严格按照本项目《苗木供应清单》要求选用苗木，执行《黄埔区绿化苗木选用及种植技术指引（1.0版）》，加强对绿化种植全过程的监管监控，严格把控好绿化苗木品质，精细化深翻整理绿地，因地制宜塑造地形，保证土质营养成分及酸碱度，高标准高质量开挖种植穴，严格控制种植穴的尺寸，确保做到深挖浅埋的要求，规范绿化苗木选苗、起苗、包扎、修剪，做足做全绿化苗木运输保护措施，标准化进行绿化种植、淋水、支撑、挂牌等工作，提高绿化种植成活率，促进绿化苗木健康茁壮成长，并在规定时间内整理好苗木种植资料。项目中使用的苗木，应来自珠三角地区正规苗圃场生产培育苗木，不应使用古树名木或从森林中移栽的大树。因改造而需迁移的树木应通过有效截枝、控根等技术措施进行迁地抚育，达到种植标准后，方可作为大规格苗木重新应用于园林绿化中。</w:t>
      </w:r>
    </w:p>
    <w:p w14:paraId="58322A5D">
      <w:pPr>
        <w:spacing w:line="440" w:lineRule="exact"/>
        <w:ind w:firstLine="480" w:firstLineChars="200"/>
        <w:rPr>
          <w:rFonts w:ascii="宋体" w:hAnsi="宋体" w:cs="宋体"/>
          <w:b/>
          <w:bCs/>
          <w:color w:val="auto"/>
          <w:sz w:val="24"/>
          <w:highlight w:val="none"/>
        </w:rPr>
      </w:pPr>
      <w:r>
        <w:rPr>
          <w:rFonts w:hint="eastAsia" w:ascii="宋体" w:hAnsi="宋体" w:cs="宋体"/>
          <w:b/>
          <w:bCs/>
          <w:color w:val="auto"/>
          <w:sz w:val="24"/>
          <w:highlight w:val="none"/>
        </w:rPr>
        <w:t>2、绿化养护技术及时间要求</w:t>
      </w:r>
    </w:p>
    <w:p w14:paraId="46563EC4">
      <w:pPr>
        <w:pStyle w:val="41"/>
        <w:spacing w:line="440" w:lineRule="exact"/>
        <w:ind w:left="0" w:leftChars="0" w:firstLine="560" w:firstLineChars="0"/>
        <w:rPr>
          <w:rFonts w:hint="default" w:ascii="宋体" w:hAnsi="宋体" w:cs="宋体"/>
          <w:color w:val="auto"/>
          <w:sz w:val="24"/>
          <w:highlight w:val="none"/>
        </w:rPr>
      </w:pPr>
      <w:r>
        <w:rPr>
          <w:rFonts w:ascii="宋体" w:hAnsi="宋体" w:cs="宋体"/>
          <w:color w:val="auto"/>
          <w:sz w:val="24"/>
          <w:highlight w:val="none"/>
        </w:rPr>
        <w:t>承包人应认真学习并执行《黄埔区园林绿化养护技术指引（1.0版）》的具体要求，规范项目中绿化灌溉、施肥、修剪、病虫害综合防治、日常养护管理工作。</w:t>
      </w:r>
    </w:p>
    <w:p w14:paraId="6994CD85">
      <w:pPr>
        <w:snapToGrid w:val="0"/>
        <w:spacing w:line="440" w:lineRule="exact"/>
        <w:ind w:firstLine="579" w:firstLineChars="241"/>
        <w:rPr>
          <w:rFonts w:ascii="宋体" w:hAnsi="宋体" w:cs="宋体"/>
          <w:color w:val="auto"/>
          <w:sz w:val="24"/>
          <w:highlight w:val="none"/>
        </w:rPr>
      </w:pPr>
      <w:r>
        <w:rPr>
          <w:rFonts w:hint="eastAsia" w:ascii="宋体" w:hAnsi="宋体" w:cs="宋体"/>
          <w:b/>
          <w:bCs/>
          <w:color w:val="auto"/>
          <w:sz w:val="24"/>
          <w:highlight w:val="none"/>
        </w:rPr>
        <w:t>养护期：</w:t>
      </w:r>
      <w:r>
        <w:rPr>
          <w:rFonts w:hint="eastAsia" w:ascii="宋体" w:hAnsi="宋体"/>
          <w:color w:val="auto"/>
          <w:sz w:val="24"/>
          <w:highlight w:val="none"/>
        </w:rPr>
        <w:t>胸径</w:t>
      </w:r>
      <w:r>
        <w:rPr>
          <w:rFonts w:ascii="宋体" w:hAnsi="宋体"/>
          <w:color w:val="auto"/>
          <w:sz w:val="24"/>
          <w:highlight w:val="none"/>
        </w:rPr>
        <w:t>15cm</w:t>
      </w:r>
      <w:r>
        <w:rPr>
          <w:rFonts w:hint="eastAsia" w:ascii="宋体" w:hAnsi="宋体"/>
          <w:color w:val="auto"/>
          <w:sz w:val="24"/>
          <w:highlight w:val="none"/>
        </w:rPr>
        <w:t>以内（含</w:t>
      </w:r>
      <w:r>
        <w:rPr>
          <w:rFonts w:ascii="宋体" w:hAnsi="宋体"/>
          <w:color w:val="auto"/>
          <w:sz w:val="24"/>
          <w:highlight w:val="none"/>
        </w:rPr>
        <w:t>15cm</w:t>
      </w:r>
      <w:r>
        <w:rPr>
          <w:rFonts w:hint="eastAsia" w:ascii="宋体" w:hAnsi="宋体"/>
          <w:color w:val="auto"/>
          <w:sz w:val="24"/>
          <w:highlight w:val="none"/>
        </w:rPr>
        <w:t>）的苗木养护期为</w:t>
      </w:r>
      <w:r>
        <w:rPr>
          <w:rFonts w:hint="eastAsia" w:ascii="宋体" w:hAnsi="宋体" w:cs="宋体"/>
          <w:color w:val="auto"/>
          <w:sz w:val="24"/>
          <w:highlight w:val="none"/>
        </w:rPr>
        <w:t>自本项目绿化工程通过竣工验收之日起</w:t>
      </w:r>
      <w:r>
        <w:rPr>
          <w:rFonts w:ascii="宋体" w:hAnsi="宋体"/>
          <w:color w:val="auto"/>
          <w:sz w:val="24"/>
          <w:highlight w:val="none"/>
          <w:u w:val="single"/>
        </w:rPr>
        <w:t xml:space="preserve"> 3</w:t>
      </w:r>
      <w:r>
        <w:rPr>
          <w:rFonts w:hint="eastAsia" w:ascii="宋体" w:hAnsi="宋体"/>
          <w:color w:val="auto"/>
          <w:sz w:val="24"/>
          <w:highlight w:val="none"/>
          <w:u w:val="single"/>
        </w:rPr>
        <w:t xml:space="preserve"> </w:t>
      </w:r>
      <w:r>
        <w:rPr>
          <w:rFonts w:hint="eastAsia" w:ascii="宋体" w:hAnsi="宋体"/>
          <w:color w:val="auto"/>
          <w:sz w:val="24"/>
          <w:highlight w:val="none"/>
        </w:rPr>
        <w:t>个月，胸径</w:t>
      </w:r>
      <w:r>
        <w:rPr>
          <w:rFonts w:ascii="宋体" w:hAnsi="宋体"/>
          <w:color w:val="auto"/>
          <w:sz w:val="24"/>
          <w:highlight w:val="none"/>
        </w:rPr>
        <w:t>15cm</w:t>
      </w:r>
      <w:r>
        <w:rPr>
          <w:rFonts w:hint="eastAsia" w:ascii="宋体" w:hAnsi="宋体"/>
          <w:color w:val="auto"/>
          <w:sz w:val="24"/>
          <w:highlight w:val="none"/>
        </w:rPr>
        <w:t>以上的苗木养护期为</w:t>
      </w:r>
      <w:r>
        <w:rPr>
          <w:rFonts w:hint="eastAsia" w:ascii="宋体" w:hAnsi="宋体" w:cs="宋体"/>
          <w:color w:val="auto"/>
          <w:sz w:val="24"/>
          <w:highlight w:val="none"/>
        </w:rPr>
        <w:t>自本项目绿化工程通过竣工验收之日起</w:t>
      </w:r>
      <w:r>
        <w:rPr>
          <w:rFonts w:ascii="宋体" w:hAnsi="宋体"/>
          <w:color w:val="auto"/>
          <w:sz w:val="24"/>
          <w:highlight w:val="none"/>
          <w:u w:val="single"/>
        </w:rPr>
        <w:t xml:space="preserve"> 1</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77810BD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养护期内，承包人需负责项目中绿化灌溉、施肥、修剪、病虫害综合防治、日常养护管理工作，及时更换不符合清单要求的苗木，提高绿化种植成活率，确保绿化移交时符合《黄埔区绿化苗木选用及种植技术指引（1.0版）》《黄埔区园林绿化养护技术指引（1.0版）》及发包人要求。</w:t>
      </w:r>
    </w:p>
    <w:p w14:paraId="5E46ACD4">
      <w:pPr>
        <w:spacing w:line="440" w:lineRule="exact"/>
        <w:ind w:firstLine="480" w:firstLineChars="200"/>
        <w:rPr>
          <w:rFonts w:ascii="宋体" w:hAnsi="宋体" w:cs="宋体"/>
          <w:b/>
          <w:bCs/>
          <w:color w:val="auto"/>
          <w:sz w:val="24"/>
          <w:highlight w:val="none"/>
        </w:rPr>
      </w:pPr>
      <w:r>
        <w:rPr>
          <w:rFonts w:hint="eastAsia" w:ascii="宋体" w:hAnsi="宋体" w:cs="宋体"/>
          <w:b/>
          <w:bCs/>
          <w:color w:val="auto"/>
          <w:sz w:val="24"/>
          <w:highlight w:val="none"/>
        </w:rPr>
        <w:t>四、责任与义务</w:t>
      </w:r>
    </w:p>
    <w:p w14:paraId="2837ED23">
      <w:pPr>
        <w:spacing w:line="440" w:lineRule="exact"/>
        <w:jc w:val="left"/>
        <w:rPr>
          <w:rFonts w:ascii="宋体" w:hAnsi="宋体" w:cs="宋体"/>
          <w:color w:val="auto"/>
          <w:sz w:val="24"/>
          <w:highlight w:val="none"/>
        </w:rPr>
      </w:pPr>
      <w:r>
        <w:rPr>
          <w:rFonts w:hint="eastAsia" w:ascii="宋体" w:hAnsi="宋体" w:cs="宋体"/>
          <w:color w:val="auto"/>
          <w:sz w:val="24"/>
          <w:highlight w:val="none"/>
        </w:rPr>
        <w:t>1、承包人应严格按照本项目《苗木供应清单》执行苗木选用、种植和养护工作。如经发包人</w:t>
      </w:r>
      <w:r>
        <w:rPr>
          <w:rFonts w:hint="eastAsia" w:ascii="宋体" w:hAnsi="宋体" w:cs="宋体"/>
          <w:color w:val="auto"/>
          <w:kern w:val="0"/>
          <w:sz w:val="24"/>
          <w:highlight w:val="none"/>
        </w:rPr>
        <w:t>或本项目监理单位</w:t>
      </w:r>
      <w:r>
        <w:rPr>
          <w:rFonts w:hint="eastAsia" w:ascii="宋体" w:hAnsi="宋体" w:cs="宋体"/>
          <w:color w:val="auto"/>
          <w:sz w:val="24"/>
          <w:highlight w:val="none"/>
        </w:rPr>
        <w:t>巡查发现苗木不符合清单要求的，应按照发包人或者监理单位的要求及时更换；每逾期一天，由发包人扣减绿化工程造价的万分之一作为违约金。同时，发包人有权另行委托其他服务单位实施整改，以保证按时按质按量完成整改，所需费用从承包人工程款中全额扣除。</w:t>
      </w:r>
    </w:p>
    <w:p w14:paraId="629D261A">
      <w:pPr>
        <w:spacing w:line="440" w:lineRule="exact"/>
        <w:jc w:val="left"/>
        <w:rPr>
          <w:rFonts w:ascii="宋体" w:hAnsi="宋体" w:cs="宋体"/>
          <w:color w:val="auto"/>
          <w:sz w:val="24"/>
          <w:highlight w:val="none"/>
        </w:rPr>
      </w:pPr>
      <w:r>
        <w:rPr>
          <w:rFonts w:hint="eastAsia" w:ascii="宋体" w:hAnsi="宋体" w:cs="宋体"/>
          <w:color w:val="auto"/>
          <w:sz w:val="24"/>
          <w:highlight w:val="none"/>
        </w:rPr>
        <w:t>2、承包人应规范苗木种植过程及绿化灌溉、施肥、修剪、病虫害综合防治、日常养护管理等工作，发包人应不定期对承包人绿化种植成效进行抽查、加强对绿化种植全过程的监管监控，如承包人绿化种植效果达不到项目要求，发包人有权要求其限期整改。每逾期一天，由发包人扣减绿化工程造价的万分之一作为违约金。同时，发包人有权另行委托其他服务单位实施整改，以保证按时按质按量完成整改，所需费用从承包人工程款中全额扣除。</w:t>
      </w:r>
    </w:p>
    <w:p w14:paraId="63C63676">
      <w:pPr>
        <w:pStyle w:val="48"/>
        <w:spacing w:line="440" w:lineRule="exact"/>
        <w:ind w:firstLine="241"/>
        <w:rPr>
          <w:rFonts w:ascii="宋体" w:hAnsi="宋体" w:cs="宋体"/>
          <w:b/>
          <w:bCs/>
          <w:color w:val="auto"/>
          <w:sz w:val="24"/>
          <w:highlight w:val="none"/>
        </w:rPr>
      </w:pPr>
      <w:r>
        <w:rPr>
          <w:rFonts w:hint="eastAsia" w:ascii="宋体" w:hAnsi="宋体" w:cs="宋体"/>
          <w:b/>
          <w:bCs/>
          <w:color w:val="auto"/>
          <w:sz w:val="24"/>
          <w:highlight w:val="none"/>
        </w:rPr>
        <w:t>五、其它</w:t>
      </w:r>
    </w:p>
    <w:p w14:paraId="3E8A539D">
      <w:pPr>
        <w:pStyle w:val="48"/>
        <w:spacing w:line="440" w:lineRule="exact"/>
        <w:ind w:firstLine="240"/>
        <w:rPr>
          <w:rFonts w:ascii="宋体" w:hAnsi="宋体" w:cs="宋体"/>
          <w:color w:val="auto"/>
          <w:sz w:val="24"/>
          <w:highlight w:val="none"/>
        </w:rPr>
      </w:pPr>
      <w:r>
        <w:rPr>
          <w:rFonts w:hint="eastAsia" w:ascii="宋体" w:hAnsi="宋体" w:cs="宋体"/>
          <w:color w:val="auto"/>
          <w:sz w:val="24"/>
          <w:highlight w:val="none"/>
        </w:rPr>
        <w:t>本专篇是为规范本项目绿化工程种植、养护工作制定，未提及的内容均按施工合同专用条款的约定执行。</w:t>
      </w:r>
    </w:p>
    <w:p w14:paraId="3213091A">
      <w:pPr>
        <w:rPr>
          <w:color w:val="auto"/>
          <w:sz w:val="24"/>
          <w:highlight w:val="none"/>
        </w:rPr>
      </w:pPr>
    </w:p>
    <w:p w14:paraId="6CA3FA36">
      <w:pPr>
        <w:rPr>
          <w:color w:val="auto"/>
          <w:sz w:val="24"/>
          <w:highlight w:val="none"/>
        </w:rPr>
      </w:pPr>
    </w:p>
    <w:p w14:paraId="777FB09D">
      <w:pPr>
        <w:rPr>
          <w:color w:val="auto"/>
          <w:sz w:val="24"/>
          <w:highlight w:val="none"/>
        </w:rPr>
      </w:pPr>
    </w:p>
    <w:p w14:paraId="2E1030E2">
      <w:pPr>
        <w:rPr>
          <w:color w:val="auto"/>
          <w:sz w:val="24"/>
          <w:highlight w:val="none"/>
        </w:rPr>
      </w:pPr>
    </w:p>
    <w:p w14:paraId="54911BC6">
      <w:pPr>
        <w:pStyle w:val="313"/>
        <w:spacing w:line="40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附件4.</w:t>
      </w:r>
      <w:r>
        <w:rPr>
          <w:rFonts w:hint="eastAsia" w:ascii="宋体" w:hAnsi="宋体"/>
          <w:color w:val="auto"/>
          <w:sz w:val="24"/>
          <w:highlight w:val="none"/>
        </w:rPr>
        <w:t>标函承诺书（按投标文件格式）</w:t>
      </w:r>
    </w:p>
    <w:p w14:paraId="399A524B">
      <w:pPr>
        <w:pStyle w:val="313"/>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附件5.</w:t>
      </w:r>
      <w:r>
        <w:rPr>
          <w:rFonts w:hint="eastAsia" w:ascii="宋体" w:hAnsi="宋体"/>
          <w:color w:val="auto"/>
          <w:sz w:val="24"/>
          <w:highlight w:val="none"/>
        </w:rPr>
        <w:t>项目负责人驻场承诺书</w:t>
      </w:r>
      <w:r>
        <w:rPr>
          <w:rFonts w:hint="eastAsia" w:ascii="宋体" w:hAnsi="宋体"/>
          <w:color w:val="auto"/>
          <w:sz w:val="24"/>
          <w:highlight w:val="none"/>
          <w:lang w:val="en-US" w:eastAsia="zh-CN"/>
        </w:rPr>
        <w:t xml:space="preserve"> </w:t>
      </w:r>
    </w:p>
    <w:p w14:paraId="3AD6877D">
      <w:pPr>
        <w:pStyle w:val="313"/>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附件6.</w:t>
      </w:r>
      <w:r>
        <w:rPr>
          <w:rFonts w:hint="eastAsia" w:ascii="宋体" w:hAnsi="宋体"/>
          <w:color w:val="auto"/>
          <w:sz w:val="24"/>
          <w:highlight w:val="none"/>
        </w:rPr>
        <w:t>危险性较大的分部分项工程安全管理措施</w:t>
      </w:r>
      <w:r>
        <w:rPr>
          <w:rFonts w:hint="eastAsia" w:ascii="宋体" w:hAnsi="宋体" w:eastAsia="宋体" w:cs="宋体"/>
          <w:b/>
          <w:bCs/>
          <w:color w:val="auto"/>
          <w:sz w:val="24"/>
          <w:szCs w:val="24"/>
          <w:highlight w:val="none"/>
        </w:rPr>
        <w:t>（按投标文件格式）</w:t>
      </w:r>
    </w:p>
    <w:p w14:paraId="51A4DDC0">
      <w:pPr>
        <w:pStyle w:val="313"/>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附件7.</w:t>
      </w:r>
      <w:r>
        <w:rPr>
          <w:rFonts w:hint="eastAsia" w:ascii="宋体" w:hAnsi="宋体"/>
          <w:color w:val="auto"/>
          <w:sz w:val="24"/>
          <w:highlight w:val="none"/>
        </w:rPr>
        <w:t>拟投入本工程的主要技术、经济和管理人员一览表</w:t>
      </w:r>
    </w:p>
    <w:p w14:paraId="60091DC3">
      <w:pPr>
        <w:pStyle w:val="313"/>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附件8.</w:t>
      </w:r>
      <w:r>
        <w:rPr>
          <w:rFonts w:hint="eastAsia" w:ascii="宋体" w:hAnsi="宋体"/>
          <w:color w:val="auto"/>
          <w:sz w:val="24"/>
          <w:highlight w:val="none"/>
        </w:rPr>
        <w:t>拟投入本工程施工的主要机械设备配备表</w:t>
      </w:r>
    </w:p>
    <w:p w14:paraId="61C8834A">
      <w:pPr>
        <w:pStyle w:val="313"/>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附件9.</w:t>
      </w:r>
      <w:r>
        <w:rPr>
          <w:rFonts w:hint="eastAsia" w:ascii="宋体" w:hAnsi="宋体"/>
          <w:color w:val="auto"/>
          <w:sz w:val="24"/>
          <w:highlight w:val="none"/>
        </w:rPr>
        <w:t>中小企业声明函（如有)</w:t>
      </w:r>
      <w:r>
        <w:rPr>
          <w:rFonts w:hint="eastAsia" w:ascii="宋体" w:hAnsi="宋体" w:eastAsia="宋体" w:cs="宋体"/>
          <w:b/>
          <w:bCs/>
          <w:color w:val="auto"/>
          <w:sz w:val="24"/>
          <w:szCs w:val="24"/>
          <w:highlight w:val="none"/>
        </w:rPr>
        <w:t>（按投标文件格式）</w:t>
      </w:r>
    </w:p>
    <w:p w14:paraId="510B84CC">
      <w:pPr>
        <w:pStyle w:val="313"/>
        <w:spacing w:line="400" w:lineRule="exact"/>
        <w:ind w:firstLine="480" w:firstLineChars="200"/>
        <w:rPr>
          <w:rFonts w:hAnsi="宋体" w:eastAsia="仿宋_GB2312"/>
          <w:color w:val="auto"/>
          <w:sz w:val="28"/>
          <w:szCs w:val="28"/>
          <w:highlight w:val="none"/>
        </w:rPr>
      </w:pPr>
      <w:r>
        <w:rPr>
          <w:rFonts w:hint="eastAsia" w:ascii="宋体" w:hAnsi="宋体"/>
          <w:color w:val="auto"/>
          <w:sz w:val="24"/>
          <w:highlight w:val="none"/>
          <w:lang w:val="en-US" w:eastAsia="zh-CN"/>
        </w:rPr>
        <w:t>附件10.</w:t>
      </w:r>
      <w:r>
        <w:rPr>
          <w:rFonts w:hint="eastAsia" w:ascii="宋体" w:hAnsi="宋体"/>
          <w:color w:val="auto"/>
          <w:sz w:val="24"/>
          <w:highlight w:val="none"/>
        </w:rPr>
        <w:t>分包意向协议书(如有)</w:t>
      </w:r>
      <w:r>
        <w:rPr>
          <w:rFonts w:hint="eastAsia" w:ascii="宋体" w:hAnsi="宋体" w:eastAsia="宋体" w:cs="宋体"/>
          <w:b/>
          <w:bCs/>
          <w:color w:val="auto"/>
          <w:sz w:val="24"/>
          <w:szCs w:val="24"/>
          <w:highlight w:val="none"/>
        </w:rPr>
        <w:t>（按投标文件格式）</w:t>
      </w:r>
    </w:p>
    <w:p w14:paraId="17935C79">
      <w:pPr>
        <w:spacing w:line="440" w:lineRule="exact"/>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lang w:val="en-US" w:eastAsia="zh-CN"/>
        </w:rPr>
        <w:t>附件11.</w:t>
      </w:r>
      <w:r>
        <w:rPr>
          <w:rFonts w:hint="eastAsia" w:ascii="宋体" w:hAnsi="宋体"/>
          <w:color w:val="auto"/>
          <w:sz w:val="24"/>
          <w:szCs w:val="24"/>
          <w:highlight w:val="none"/>
          <w:u w:val="single"/>
          <w:lang w:eastAsia="zh-CN"/>
        </w:rPr>
        <w:t>共管工程预付款使用监管办法（实施</w:t>
      </w:r>
      <w:r>
        <w:rPr>
          <w:rFonts w:hint="eastAsia" w:ascii="宋体" w:hAnsi="宋体"/>
          <w:color w:val="auto"/>
          <w:sz w:val="24"/>
          <w:szCs w:val="24"/>
          <w:highlight w:val="none"/>
          <w:u w:val="single"/>
          <w:lang w:val="en-US" w:eastAsia="zh-CN"/>
        </w:rPr>
        <w:t>预付款</w:t>
      </w:r>
      <w:r>
        <w:rPr>
          <w:rFonts w:hint="eastAsia" w:ascii="宋体" w:hAnsi="宋体"/>
          <w:color w:val="auto"/>
          <w:sz w:val="24"/>
          <w:szCs w:val="24"/>
          <w:highlight w:val="none"/>
          <w:u w:val="single"/>
          <w:lang w:eastAsia="zh-CN"/>
        </w:rPr>
        <w:t>共管时）</w:t>
      </w:r>
    </w:p>
    <w:p w14:paraId="50A382A3">
      <w:pPr>
        <w:snapToGrid/>
        <w:spacing w:line="460" w:lineRule="exact"/>
        <w:ind w:firstLine="480" w:firstLineChars="200"/>
        <w:jc w:val="both"/>
        <w:rPr>
          <w:rFonts w:hint="eastAsia" w:ascii="宋体" w:hAnsi="宋体"/>
          <w:color w:val="auto"/>
          <w:sz w:val="24"/>
          <w:szCs w:val="24"/>
          <w:highlight w:val="none"/>
          <w:u w:val="single"/>
          <w:lang w:eastAsia="zh-CN"/>
        </w:rPr>
      </w:pPr>
      <w:r>
        <w:rPr>
          <w:rFonts w:hint="eastAsia" w:ascii="宋体" w:hAnsi="宋体"/>
          <w:color w:val="auto"/>
          <w:sz w:val="24"/>
          <w:szCs w:val="24"/>
          <w:highlight w:val="none"/>
          <w:u w:val="single"/>
          <w:lang w:val="en-US" w:eastAsia="zh-CN"/>
        </w:rPr>
        <w:t>附件12.</w:t>
      </w:r>
      <w:r>
        <w:rPr>
          <w:rFonts w:hint="eastAsia" w:ascii="宋体" w:hAnsi="宋体"/>
          <w:color w:val="auto"/>
          <w:sz w:val="24"/>
          <w:szCs w:val="24"/>
          <w:highlight w:val="none"/>
          <w:u w:val="single"/>
        </w:rPr>
        <w:t>工程资金共管协议格式</w:t>
      </w:r>
      <w:r>
        <w:rPr>
          <w:rFonts w:hint="eastAsia" w:ascii="宋体" w:hAnsi="宋体"/>
          <w:color w:val="auto"/>
          <w:sz w:val="24"/>
          <w:szCs w:val="24"/>
          <w:highlight w:val="none"/>
          <w:u w:val="single"/>
          <w:lang w:eastAsia="zh-CN"/>
        </w:rPr>
        <w:t>（实施共管时）</w:t>
      </w:r>
    </w:p>
    <w:p w14:paraId="4491405A">
      <w:pPr>
        <w:autoSpaceDN w:val="0"/>
        <w:spacing w:line="360" w:lineRule="auto"/>
        <w:rPr>
          <w:rFonts w:hint="eastAsia" w:ascii="宋体" w:hAnsi="宋体" w:cs="仿宋_GB2312"/>
          <w:bCs/>
          <w:color w:val="auto"/>
          <w:sz w:val="24"/>
          <w:highlight w:val="none"/>
        </w:rPr>
      </w:pPr>
    </w:p>
    <w:p w14:paraId="6954E357">
      <w:pPr>
        <w:autoSpaceDN w:val="0"/>
        <w:spacing w:line="360" w:lineRule="auto"/>
        <w:rPr>
          <w:rFonts w:hint="eastAsia" w:ascii="宋体" w:hAnsi="宋体" w:cs="仿宋_GB2312"/>
          <w:bCs/>
          <w:color w:val="auto"/>
          <w:sz w:val="24"/>
          <w:highlight w:val="none"/>
        </w:rPr>
      </w:pPr>
    </w:p>
    <w:p w14:paraId="15F7CB21">
      <w:pPr>
        <w:autoSpaceDN w:val="0"/>
        <w:spacing w:line="360" w:lineRule="auto"/>
        <w:rPr>
          <w:rFonts w:hint="eastAsia" w:ascii="宋体" w:hAnsi="宋体" w:cs="仿宋_GB2312"/>
          <w:bCs/>
          <w:color w:val="auto"/>
          <w:sz w:val="24"/>
          <w:highlight w:val="none"/>
        </w:rPr>
        <w:sectPr>
          <w:pgSz w:w="11907" w:h="16840"/>
          <w:pgMar w:top="1134" w:right="1418" w:bottom="1134" w:left="1418" w:header="851" w:footer="992" w:gutter="0"/>
          <w:cols w:space="720" w:num="1"/>
          <w:docGrid w:linePitch="312" w:charSpace="0"/>
        </w:sectPr>
      </w:pPr>
    </w:p>
    <w:p w14:paraId="2663DF9E">
      <w:pPr>
        <w:autoSpaceDN w:val="0"/>
        <w:spacing w:line="360" w:lineRule="auto"/>
        <w:rPr>
          <w:rFonts w:hint="eastAsia" w:ascii="宋体" w:hAnsi="宋体" w:cs="仿宋_GB2312"/>
          <w:bCs/>
          <w:color w:val="auto"/>
          <w:sz w:val="24"/>
          <w:highlight w:val="none"/>
        </w:rPr>
      </w:pPr>
      <w:r>
        <w:rPr>
          <w:rFonts w:hint="eastAsia" w:ascii="宋体" w:hAnsi="宋体" w:cs="仿宋_GB2312"/>
          <w:bCs/>
          <w:color w:val="auto"/>
          <w:sz w:val="24"/>
          <w:highlight w:val="none"/>
        </w:rPr>
        <w:t>附件</w:t>
      </w:r>
      <w:r>
        <w:rPr>
          <w:rFonts w:hint="eastAsia" w:ascii="宋体" w:hAnsi="宋体" w:cs="仿宋_GB2312"/>
          <w:bCs/>
          <w:color w:val="auto"/>
          <w:sz w:val="24"/>
          <w:highlight w:val="none"/>
          <w:lang w:val="en-US" w:eastAsia="zh-CN"/>
        </w:rPr>
        <w:t>11</w:t>
      </w:r>
      <w:r>
        <w:rPr>
          <w:rFonts w:hint="eastAsia" w:ascii="宋体" w:hAnsi="宋体" w:cs="仿宋_GB2312"/>
          <w:bCs/>
          <w:color w:val="auto"/>
          <w:sz w:val="24"/>
          <w:highlight w:val="none"/>
        </w:rPr>
        <w:t>：</w:t>
      </w:r>
    </w:p>
    <w:p w14:paraId="2A2E2907">
      <w:pPr>
        <w:autoSpaceDN w:val="0"/>
        <w:spacing w:line="360" w:lineRule="auto"/>
        <w:jc w:val="center"/>
        <w:rPr>
          <w:rFonts w:ascii="宋体" w:hAnsi="宋体" w:eastAsia="宋体" w:cs="仿宋_GB2312"/>
          <w:b/>
          <w:bCs/>
          <w:color w:val="auto"/>
          <w:sz w:val="30"/>
          <w:szCs w:val="30"/>
          <w:highlight w:val="none"/>
        </w:rPr>
      </w:pPr>
      <w:r>
        <w:rPr>
          <w:rFonts w:hint="eastAsia" w:ascii="宋体" w:hAnsi="宋体" w:cs="仿宋_GB2312"/>
          <w:b/>
          <w:bCs/>
          <w:color w:val="auto"/>
          <w:szCs w:val="30"/>
          <w:highlight w:val="none"/>
        </w:rPr>
        <w:t xml:space="preserve">          </w:t>
      </w:r>
      <w:r>
        <w:rPr>
          <w:rFonts w:hint="eastAsia" w:ascii="宋体" w:hAnsi="宋体" w:eastAsia="宋体" w:cs="仿宋_GB2312"/>
          <w:b/>
          <w:bCs/>
          <w:color w:val="auto"/>
          <w:sz w:val="30"/>
          <w:szCs w:val="30"/>
          <w:highlight w:val="none"/>
        </w:rPr>
        <w:t>共管工程预付款使用监管办法（适用于无代建项目）</w:t>
      </w:r>
    </w:p>
    <w:p w14:paraId="0F0B6974">
      <w:pPr>
        <w:autoSpaceDN w:val="0"/>
        <w:spacing w:line="360" w:lineRule="auto"/>
        <w:ind w:firstLine="555"/>
        <w:rPr>
          <w:rFonts w:ascii="宋体" w:hAnsi="宋体" w:eastAsia="宋体" w:cs="仿宋_GB2312"/>
          <w:color w:val="auto"/>
          <w:sz w:val="32"/>
          <w:szCs w:val="32"/>
          <w:highlight w:val="none"/>
        </w:rPr>
      </w:pPr>
    </w:p>
    <w:p w14:paraId="6B174DB2">
      <w:pPr>
        <w:autoSpaceDN w:val="0"/>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鉴于       （下称“本工程”）建设业主（即发包人）支付给承包人的建安工程预付款（扣除工人工资款项）（以下简称“工程预付款”）采用在经由建设业主、承包人双方协商一致后选择的银行（以下简称“共管银行”）设立共管账户，以建设业主、承包人共管方式支出。为保证工程预付款的专款专用和合理使用，现就共管账户内资金支出监管事宜制订本办法。</w:t>
      </w:r>
    </w:p>
    <w:p w14:paraId="4AA1E45F">
      <w:pPr>
        <w:autoSpaceDN w:val="0"/>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一、共管原则</w:t>
      </w:r>
    </w:p>
    <w:p w14:paraId="123DCFA8">
      <w:pPr>
        <w:autoSpaceDN w:val="0"/>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本工程建设业主、施工承包人及共管银行签订三方资金共管账户合同，在共管银行设立户名为施工承包人的资金结算共管账户。建设业主按</w:t>
      </w:r>
      <w:r>
        <w:rPr>
          <w:rFonts w:hint="eastAsia" w:ascii="宋体" w:hAnsi="宋体" w:eastAsia="宋体" w:cs="仿宋_GB2312"/>
          <w:color w:val="auto"/>
          <w:szCs w:val="21"/>
          <w:highlight w:val="none"/>
        </w:rPr>
        <w:t>《    施工总承包合同 》（合同编号：    ）□及《补充协议》（合同编号：    ）（以下统一简称“《施工合同》”</w:t>
      </w:r>
      <w:r>
        <w:rPr>
          <w:rFonts w:hint="eastAsia" w:ascii="宋体" w:hAnsi="宋体" w:eastAsia="宋体"/>
          <w:color w:val="auto"/>
          <w:sz w:val="24"/>
          <w:szCs w:val="24"/>
          <w:highlight w:val="none"/>
        </w:rPr>
        <w:t>约定支付的工程预付款直接支付至上述共管账户（款项支付至共管账户，即视为发包人已按合同约定履行付款义务）。承包人就本工程需从上述账户中对外支付款项的，应按本办法规定报建设业主审核。建设业主审批同意承包人用款申请后，向银行出具书面同意支付通知，银行根据前述书面支付通知及承包人的申请，将相应资金从共管账户划转至指定收款方。</w:t>
      </w:r>
    </w:p>
    <w:p w14:paraId="1B5A3D13">
      <w:pPr>
        <w:autoSpaceDN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二、工程预付款对外支付审批流程</w:t>
      </w:r>
    </w:p>
    <w:p w14:paraId="0896C237">
      <w:pPr>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建设业主按施工合同约定支付工程预付款至共管账户后，承包人即可申请支出，每次支出金额不得超过帐户中工程预付款，且累计支出金额不得超过按本工程可开工部分工程量占本工程总工程量比例计算的预付款金额，直至预付款支出完毕。</w:t>
      </w:r>
    </w:p>
    <w:p w14:paraId="3DD4ED38">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（注：具体预付款支付次数及条件由工程部门结合项目实际确定。）</w:t>
      </w:r>
    </w:p>
    <w:p w14:paraId="6ABCF764">
      <w:pPr>
        <w:autoSpaceDN w:val="0"/>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支付前置条件：签订施工合同，工程本次交地范围完成临时设施、安全文明措施，具备开工条件。</w:t>
      </w:r>
    </w:p>
    <w:p w14:paraId="7BC0E143">
      <w:pPr>
        <w:autoSpaceDN w:val="0"/>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申请支付审批流程为：承包人提交申请材料→监理审核→建设业主审核并出具同意支付通知。</w:t>
      </w:r>
    </w:p>
    <w:p w14:paraId="2426794B">
      <w:pPr>
        <w:autoSpaceDN w:val="0"/>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承包人申请款项支出应提供材料包括但不限于：</w:t>
      </w:r>
    </w:p>
    <w:p w14:paraId="4714D6C6">
      <w:pPr>
        <w:autoSpaceDN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1、填写建设业主统一提供的付款申请书；</w:t>
      </w:r>
    </w:p>
    <w:p w14:paraId="62A6BFD6">
      <w:pPr>
        <w:autoSpaceDN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2、用款计划（内容包括款项用途、金额等）。</w:t>
      </w:r>
    </w:p>
    <w:p w14:paraId="06BE3CBB">
      <w:pPr>
        <w:autoSpaceDN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三、监理单位、建设业主在审核承包人支付申请时，如发现支付申请不满足工程节点要求、支出金额不符合工程实际或有弄虚作假情况的，应拒绝承包人的支出申请。</w:t>
      </w:r>
    </w:p>
    <w:p w14:paraId="3AF2095D">
      <w:pPr>
        <w:autoSpaceDN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承包人的支出申请因上述情况被拒绝的，监理单位、建设业主不承担任何责任，承包人不得因此延误工程进度、或向相关方索赔。</w:t>
      </w:r>
    </w:p>
    <w:p w14:paraId="09D4CF24">
      <w:pPr>
        <w:autoSpaceDN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四、建设业主可不定期采取到银行对账等方式对共管账户资金使用情况（包括支付金额、支付单位等）进行检查，并有权要求承包人定期或不定期编制共管账户资金支出汇总表交建设业主审核及对账，前述汇总表应列明每笔用款的具体日期、金额、用途等要素。</w:t>
      </w:r>
    </w:p>
    <w:p w14:paraId="44D41E81">
      <w:pPr>
        <w:autoSpaceDN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建设业主如发现账户资金支付有不符合工程实际、弄虚作假情况的，或发现本工程建设资金存在外借、挪用、转移、权益转让、抵押、质押、担保等情况的，有权停止后续工程款项的支付、并要求承包人限期返还违规支出的资金。上述权利不因建设业主审核同意承包人具体支出申请或暂定、停止审核支出申请而排除。</w:t>
      </w:r>
    </w:p>
    <w:p w14:paraId="717C373D">
      <w:pPr>
        <w:autoSpaceDN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五、监理单位、建设业主审核同意承包人的支出申请，不表示其对承包人提供资料的真实性、合法性承担责任，不表示其与承包人的供应商建立了合同关系，也不表示其同意承担承包人与供应商的任何权利义务。承包人与其供应商之间的任何纠纷与监理单位、建设业主无关。</w:t>
      </w:r>
    </w:p>
    <w:p w14:paraId="2B5D38A9">
      <w:pPr>
        <w:autoSpaceDN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六、本办法是本工程施工合同的组成部分，建设业主及承包人均应按本办法执行。</w:t>
      </w:r>
    </w:p>
    <w:p w14:paraId="293C1CE6">
      <w:pPr>
        <w:widowControl/>
        <w:spacing w:line="480" w:lineRule="auto"/>
        <w:ind w:firstLine="537" w:firstLineChars="224"/>
        <w:jc w:val="center"/>
        <w:rPr>
          <w:rFonts w:ascii="宋体" w:hAnsi="宋体" w:eastAsia="宋体"/>
          <w:color w:val="auto"/>
          <w:sz w:val="24"/>
          <w:szCs w:val="24"/>
          <w:highlight w:val="none"/>
        </w:rPr>
      </w:pPr>
    </w:p>
    <w:p w14:paraId="2EFB2783">
      <w:pPr>
        <w:autoSpaceDN w:val="0"/>
        <w:spacing w:line="360" w:lineRule="auto"/>
        <w:rPr>
          <w:rFonts w:ascii="宋体" w:hAnsi="宋体" w:eastAsia="宋体" w:cs="仿宋_GB2312"/>
          <w:b/>
          <w:bCs/>
          <w:color w:val="auto"/>
          <w:sz w:val="30"/>
          <w:szCs w:val="30"/>
          <w:highlight w:val="none"/>
        </w:rPr>
      </w:pPr>
    </w:p>
    <w:p w14:paraId="167A3CC8">
      <w:pPr>
        <w:autoSpaceDN w:val="0"/>
        <w:spacing w:line="360" w:lineRule="auto"/>
        <w:jc w:val="center"/>
        <w:rPr>
          <w:rFonts w:ascii="宋体" w:hAnsi="宋体" w:eastAsia="宋体" w:cs="仿宋_GB2312"/>
          <w:b/>
          <w:bCs/>
          <w:color w:val="auto"/>
          <w:sz w:val="30"/>
          <w:szCs w:val="30"/>
          <w:highlight w:val="none"/>
        </w:rPr>
      </w:pPr>
    </w:p>
    <w:p w14:paraId="50A69A96">
      <w:pPr>
        <w:autoSpaceDN w:val="0"/>
        <w:spacing w:line="360" w:lineRule="auto"/>
        <w:jc w:val="center"/>
        <w:rPr>
          <w:rFonts w:ascii="宋体" w:hAnsi="宋体" w:eastAsia="宋体" w:cs="仿宋_GB2312"/>
          <w:b/>
          <w:bCs/>
          <w:color w:val="auto"/>
          <w:sz w:val="30"/>
          <w:szCs w:val="30"/>
          <w:highlight w:val="none"/>
        </w:rPr>
      </w:pPr>
    </w:p>
    <w:p w14:paraId="05DB872D">
      <w:pPr>
        <w:pStyle w:val="41"/>
        <w:rPr>
          <w:rFonts w:ascii="宋体" w:hAnsi="宋体" w:eastAsia="宋体" w:cs="仿宋_GB2312"/>
          <w:b/>
          <w:bCs/>
          <w:color w:val="auto"/>
          <w:sz w:val="30"/>
          <w:szCs w:val="30"/>
          <w:highlight w:val="none"/>
        </w:rPr>
      </w:pPr>
    </w:p>
    <w:p w14:paraId="3CCA12B7">
      <w:pPr>
        <w:rPr>
          <w:rFonts w:ascii="宋体" w:hAnsi="宋体" w:eastAsia="宋体" w:cs="仿宋_GB2312"/>
          <w:b/>
          <w:bCs/>
          <w:color w:val="auto"/>
          <w:sz w:val="30"/>
          <w:szCs w:val="30"/>
          <w:highlight w:val="none"/>
        </w:rPr>
      </w:pPr>
    </w:p>
    <w:p w14:paraId="3F1CF94F">
      <w:pPr>
        <w:pStyle w:val="41"/>
        <w:rPr>
          <w:color w:val="auto"/>
          <w:highlight w:val="none"/>
        </w:rPr>
      </w:pPr>
    </w:p>
    <w:p w14:paraId="1A0D268D">
      <w:pPr>
        <w:autoSpaceDN w:val="0"/>
        <w:spacing w:line="360" w:lineRule="auto"/>
        <w:jc w:val="center"/>
        <w:rPr>
          <w:rFonts w:ascii="宋体" w:hAnsi="宋体" w:eastAsia="宋体" w:cs="仿宋_GB2312"/>
          <w:b/>
          <w:bCs/>
          <w:color w:val="auto"/>
          <w:sz w:val="30"/>
          <w:szCs w:val="30"/>
          <w:highlight w:val="none"/>
        </w:rPr>
      </w:pPr>
    </w:p>
    <w:p w14:paraId="618D5DD6">
      <w:pPr>
        <w:autoSpaceDN w:val="0"/>
        <w:spacing w:line="360" w:lineRule="auto"/>
        <w:jc w:val="center"/>
        <w:rPr>
          <w:rFonts w:hint="eastAsia" w:ascii="宋体" w:hAnsi="宋体" w:eastAsia="宋体" w:cs="仿宋_GB2312"/>
          <w:b/>
          <w:bCs/>
          <w:color w:val="auto"/>
          <w:sz w:val="30"/>
          <w:szCs w:val="30"/>
          <w:highlight w:val="none"/>
        </w:rPr>
        <w:sectPr>
          <w:pgSz w:w="11907" w:h="16840"/>
          <w:pgMar w:top="1134" w:right="1418" w:bottom="1134" w:left="1418" w:header="851" w:footer="992" w:gutter="0"/>
          <w:cols w:space="720" w:num="1"/>
          <w:docGrid w:linePitch="312" w:charSpace="0"/>
        </w:sectPr>
      </w:pPr>
    </w:p>
    <w:p w14:paraId="2EFCF2DF">
      <w:pPr>
        <w:autoSpaceDN w:val="0"/>
        <w:spacing w:line="360" w:lineRule="auto"/>
        <w:jc w:val="center"/>
        <w:rPr>
          <w:rFonts w:ascii="宋体" w:hAnsi="宋体" w:eastAsia="宋体" w:cs="仿宋_GB2312"/>
          <w:b/>
          <w:bCs/>
          <w:color w:val="auto"/>
          <w:sz w:val="30"/>
          <w:szCs w:val="30"/>
          <w:highlight w:val="none"/>
        </w:rPr>
      </w:pPr>
      <w:r>
        <w:rPr>
          <w:rFonts w:hint="eastAsia" w:ascii="宋体" w:hAnsi="宋体" w:eastAsia="宋体" w:cs="仿宋_GB2312"/>
          <w:b/>
          <w:bCs/>
          <w:color w:val="auto"/>
          <w:sz w:val="30"/>
          <w:szCs w:val="30"/>
          <w:highlight w:val="none"/>
        </w:rPr>
        <w:t>共管工程预付款使用监管办法（适用于代建项目）</w:t>
      </w:r>
    </w:p>
    <w:p w14:paraId="7E441EE2">
      <w:pPr>
        <w:autoSpaceDN w:val="0"/>
        <w:spacing w:line="360" w:lineRule="auto"/>
        <w:ind w:firstLine="555"/>
        <w:rPr>
          <w:rFonts w:ascii="宋体" w:hAnsi="宋体" w:eastAsia="宋体" w:cs="仿宋_GB2312"/>
          <w:color w:val="auto"/>
          <w:sz w:val="32"/>
          <w:szCs w:val="32"/>
          <w:highlight w:val="none"/>
        </w:rPr>
      </w:pPr>
    </w:p>
    <w:p w14:paraId="0E7B5769">
      <w:pPr>
        <w:autoSpaceDN w:val="0"/>
        <w:spacing w:line="360" w:lineRule="auto"/>
        <w:ind w:firstLine="720" w:firstLineChars="3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鉴于       （下称“本工程”）建设业主支付给承包人的建安工程预付款（扣除工人工资款项）（以下简称“工程预付款”）采用在经由建设业主、承包人双方协商一致后选择的银行（以下简称“共管银行”）设立共管账户，以建设业主、承包人共管方式支出。为保证工程预付款的专款专用和合理使用，现就共管账户内资金支出监管事宜制订本办法。</w:t>
      </w:r>
    </w:p>
    <w:p w14:paraId="2CEE6CA3">
      <w:pPr>
        <w:autoSpaceDN w:val="0"/>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一、共管原则</w:t>
      </w:r>
    </w:p>
    <w:p w14:paraId="5F1FB409">
      <w:pPr>
        <w:autoSpaceDN w:val="0"/>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本工程建设业主、施工承包人及共管银行签订三方资金共管账户合同，在共管银行设立户名为施工承包人的资金结算共管账户。建设业主按</w:t>
      </w:r>
      <w:r>
        <w:rPr>
          <w:rFonts w:hint="eastAsia" w:ascii="宋体" w:hAnsi="宋体" w:eastAsia="宋体" w:cs="仿宋_GB2312"/>
          <w:color w:val="auto"/>
          <w:szCs w:val="21"/>
          <w:highlight w:val="none"/>
        </w:rPr>
        <w:t>《    施工总承包合同 》（合同编号：    ）□及《补充协议》（合同编号：    ）（以下统一简称“《施工合同》”</w:t>
      </w:r>
      <w:r>
        <w:rPr>
          <w:rFonts w:hint="eastAsia" w:ascii="宋体" w:hAnsi="宋体" w:eastAsia="宋体"/>
          <w:color w:val="auto"/>
          <w:sz w:val="24"/>
          <w:szCs w:val="24"/>
          <w:highlight w:val="none"/>
        </w:rPr>
        <w:t>约定支付的工程预付款直接支付至上述共管账户（款项支付至共管账户，即视为建设业主已按合同约定履行付款义务）。施工承包人就本工程需从上述账户中对外支付款项的，应按本办法规定报建设业主审核。建设业主审批同意施工承包人用款申请后，向银行出具书面同意支付通知，银行根据前述书面支付通知及施工承包人的申请，将相应资金从共管账户划转至指定收款方。</w:t>
      </w:r>
    </w:p>
    <w:p w14:paraId="492CF338">
      <w:pPr>
        <w:autoSpaceDN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二、工程预付款对外支付审批流程</w:t>
      </w:r>
    </w:p>
    <w:p w14:paraId="7502ECC2">
      <w:pPr>
        <w:autoSpaceDN w:val="0"/>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建设业主按施工合同约定支付工程预付款至共管账户后，承包人即可申请支出，每次支出金额不得超过帐户中工程预付款，且累计支出金额不得超过按本工程可开工部分工程量占本工程总工程量比例计算的预付款金额，直至工程预付款支出完毕。</w:t>
      </w:r>
    </w:p>
    <w:p w14:paraId="0D50848E">
      <w:pPr>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 （注：具体预付款支付次数及条件由工程部门结合项目实际确定。）</w:t>
      </w:r>
    </w:p>
    <w:p w14:paraId="4391FBE3">
      <w:pPr>
        <w:autoSpaceDN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u w:val="single"/>
        </w:rPr>
        <w:t>支付前置条件：签订施工合同，工程本次交地范围完成临时设施、安全文明措施，具备开工条件</w:t>
      </w:r>
      <w:r>
        <w:rPr>
          <w:rFonts w:hint="eastAsia" w:ascii="宋体" w:hAnsi="宋体" w:eastAsia="宋体"/>
          <w:color w:val="auto"/>
          <w:sz w:val="24"/>
          <w:szCs w:val="24"/>
          <w:highlight w:val="none"/>
        </w:rPr>
        <w:t>。</w:t>
      </w:r>
    </w:p>
    <w:p w14:paraId="1836317E">
      <w:pPr>
        <w:autoSpaceDN w:val="0"/>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申请支付审批流程为：承包人提交申请材料→监理审核→代建单位审核→建设业主审核并出具同意支付通知。</w:t>
      </w:r>
    </w:p>
    <w:p w14:paraId="385FBE18">
      <w:pPr>
        <w:autoSpaceDN w:val="0"/>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承包人申请款项支出应提供材料包括但不限于：</w:t>
      </w:r>
    </w:p>
    <w:p w14:paraId="1B75DAE6">
      <w:pPr>
        <w:autoSpaceDN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1、填写建设业主统一提供的付款申请书；</w:t>
      </w:r>
    </w:p>
    <w:p w14:paraId="75DB75A5">
      <w:pPr>
        <w:autoSpaceDN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2、用款计划（内容包括款项用途、金额等）。</w:t>
      </w:r>
    </w:p>
    <w:p w14:paraId="0778508B">
      <w:pPr>
        <w:autoSpaceDN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三、监理单位、代建单位、建设业主在审核承包人支付申请时，如发现支付申请不满足工程节点要求、支出金额不符合工程实际或有弄虚作假情况的，应拒绝承包人的支出申请。</w:t>
      </w:r>
    </w:p>
    <w:p w14:paraId="75445971">
      <w:pPr>
        <w:autoSpaceDN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承包人的支出申请因上述情况被拒绝的，监理单位、代建单位、建设业主不承担任何责任，承包人不得因此延误工程进度、或向相关方索赔。</w:t>
      </w:r>
    </w:p>
    <w:p w14:paraId="40BEB4E0">
      <w:pPr>
        <w:autoSpaceDN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四、建设业主可不定期采取到银行对账等方式对共管账户资金使用情况（包括支付金额、支付单位等）进行检查，并有权要求承包人定期或不定期编制共管账户资金支出汇总表交建设业主审核及对账，前述汇总表应列明每笔用款的具体日期、金额、用途等要素。</w:t>
      </w:r>
    </w:p>
    <w:p w14:paraId="40E43072">
      <w:pPr>
        <w:autoSpaceDN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建设业主如发现账户资金支付有不符合工程实际、弄虚作假情况的，或发现本工程建设资金存在外借、挪用、转移、权益转让、抵押、质押、担保等情况的，有权停止后续工程款项的支付、并要求承包人限期返还违规支出的资金。上述权利不因建设业主审核同意承包人具体支出申请或暂定、停止审核支出申请而排除。</w:t>
      </w:r>
    </w:p>
    <w:p w14:paraId="5C6C89DE">
      <w:pPr>
        <w:autoSpaceDN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五、监理单位、代建单位、建设业主审核同意承包人的支出申请，不表示其对承包人提供资料的真实性、合法性承担责任，不表示其与承包人的供应商建立了合同关系，也不表示其同意承担承包人与供应商的任何权利义务。承包人与其供应商之间的任何纠纷与监理单位、代建单位、建设业主无关。</w:t>
      </w:r>
    </w:p>
    <w:p w14:paraId="6A5A8392">
      <w:pPr>
        <w:autoSpaceDN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六、本办法是本工程施工合同的组成部分，建设业主、代建单位及承包人均应按本办法执行。</w:t>
      </w:r>
    </w:p>
    <w:p w14:paraId="24D0049B">
      <w:pPr>
        <w:widowControl/>
        <w:spacing w:line="480" w:lineRule="auto"/>
        <w:ind w:firstLine="537" w:firstLineChars="224"/>
        <w:jc w:val="center"/>
        <w:rPr>
          <w:rFonts w:ascii="宋体" w:hAnsi="宋体" w:eastAsia="宋体"/>
          <w:color w:val="auto"/>
          <w:sz w:val="24"/>
          <w:szCs w:val="24"/>
          <w:highlight w:val="none"/>
        </w:rPr>
      </w:pPr>
    </w:p>
    <w:p w14:paraId="7DAFFC86">
      <w:pPr>
        <w:rPr>
          <w:rFonts w:eastAsia="宋体"/>
          <w:color w:val="auto"/>
          <w:sz w:val="30"/>
          <w:szCs w:val="24"/>
          <w:highlight w:val="none"/>
        </w:rPr>
      </w:pPr>
    </w:p>
    <w:p w14:paraId="587E05D5">
      <w:pPr>
        <w:rPr>
          <w:rFonts w:eastAsia="宋体"/>
          <w:color w:val="auto"/>
          <w:sz w:val="30"/>
          <w:szCs w:val="24"/>
          <w:highlight w:val="none"/>
        </w:rPr>
      </w:pPr>
    </w:p>
    <w:p w14:paraId="0CD8FD34">
      <w:pPr>
        <w:rPr>
          <w:rFonts w:eastAsia="宋体"/>
          <w:color w:val="auto"/>
          <w:sz w:val="30"/>
          <w:szCs w:val="24"/>
          <w:highlight w:val="none"/>
        </w:rPr>
      </w:pPr>
    </w:p>
    <w:p w14:paraId="62DAEB1A">
      <w:pPr>
        <w:rPr>
          <w:rFonts w:eastAsia="宋体"/>
          <w:color w:val="auto"/>
          <w:sz w:val="30"/>
          <w:szCs w:val="24"/>
          <w:highlight w:val="none"/>
        </w:rPr>
      </w:pPr>
    </w:p>
    <w:p w14:paraId="5CEB9128">
      <w:pPr>
        <w:autoSpaceDN w:val="0"/>
        <w:spacing w:line="360" w:lineRule="auto"/>
        <w:rPr>
          <w:rFonts w:hint="eastAsia"/>
          <w:color w:val="auto"/>
          <w:highlight w:val="none"/>
        </w:rPr>
      </w:pPr>
    </w:p>
    <w:p w14:paraId="1B28B9D5">
      <w:pPr>
        <w:autoSpaceDN w:val="0"/>
        <w:spacing w:line="360" w:lineRule="auto"/>
        <w:rPr>
          <w:rFonts w:hint="eastAsia"/>
          <w:color w:val="auto"/>
          <w:highlight w:val="none"/>
        </w:rPr>
      </w:pPr>
    </w:p>
    <w:p w14:paraId="6E960ABF">
      <w:pPr>
        <w:autoSpaceDN w:val="0"/>
        <w:spacing w:line="360" w:lineRule="auto"/>
        <w:rPr>
          <w:rFonts w:hint="eastAsia"/>
          <w:color w:val="auto"/>
          <w:highlight w:val="none"/>
        </w:rPr>
      </w:pPr>
    </w:p>
    <w:p w14:paraId="6ADBCBFF">
      <w:pPr>
        <w:autoSpaceDN w:val="0"/>
        <w:spacing w:line="360" w:lineRule="auto"/>
        <w:rPr>
          <w:rFonts w:hint="eastAsia"/>
          <w:color w:val="auto"/>
          <w:highlight w:val="none"/>
        </w:rPr>
      </w:pPr>
    </w:p>
    <w:p w14:paraId="54B25FB3">
      <w:pPr>
        <w:autoSpaceDN w:val="0"/>
        <w:spacing w:line="360" w:lineRule="auto"/>
        <w:rPr>
          <w:rFonts w:hint="eastAsia"/>
          <w:color w:val="auto"/>
          <w:highlight w:val="none"/>
        </w:rPr>
      </w:pPr>
    </w:p>
    <w:p w14:paraId="5D3EDE73">
      <w:pPr>
        <w:autoSpaceDN w:val="0"/>
        <w:spacing w:line="360" w:lineRule="auto"/>
        <w:rPr>
          <w:rFonts w:hint="eastAsia"/>
          <w:color w:val="auto"/>
          <w:highlight w:val="none"/>
        </w:rPr>
      </w:pPr>
    </w:p>
    <w:p w14:paraId="45B17EDB">
      <w:pPr>
        <w:autoSpaceDN w:val="0"/>
        <w:spacing w:line="360" w:lineRule="auto"/>
        <w:rPr>
          <w:rFonts w:hint="eastAsia"/>
          <w:color w:val="auto"/>
          <w:highlight w:val="none"/>
        </w:rPr>
      </w:pPr>
    </w:p>
    <w:p w14:paraId="37712AA3">
      <w:pPr>
        <w:autoSpaceDN w:val="0"/>
        <w:spacing w:line="360" w:lineRule="auto"/>
        <w:rPr>
          <w:rFonts w:hint="eastAsia"/>
          <w:color w:val="auto"/>
          <w:highlight w:val="none"/>
        </w:rPr>
        <w:sectPr>
          <w:pgSz w:w="11907" w:h="16840"/>
          <w:pgMar w:top="1134" w:right="1418" w:bottom="1134" w:left="1418" w:header="851" w:footer="992" w:gutter="0"/>
          <w:cols w:space="720" w:num="1"/>
          <w:docGrid w:linePitch="312" w:charSpace="0"/>
        </w:sectPr>
      </w:pPr>
    </w:p>
    <w:p w14:paraId="016A6DC4">
      <w:pPr>
        <w:autoSpaceDN w:val="0"/>
        <w:spacing w:line="360" w:lineRule="auto"/>
        <w:rPr>
          <w:rFonts w:hint="eastAsia"/>
          <w:color w:val="auto"/>
          <w:highlight w:val="none"/>
        </w:rPr>
      </w:pPr>
      <w:r>
        <w:rPr>
          <w:rFonts w:hint="eastAsia"/>
          <w:color w:val="auto"/>
          <w:highlight w:val="none"/>
        </w:rPr>
        <w:t>附件</w:t>
      </w:r>
      <w:r>
        <w:rPr>
          <w:rFonts w:hint="eastAsia"/>
          <w:color w:val="auto"/>
          <w:highlight w:val="none"/>
          <w:lang w:val="en-US" w:eastAsia="zh-CN"/>
        </w:rPr>
        <w:t>12</w:t>
      </w:r>
      <w:r>
        <w:rPr>
          <w:rFonts w:hint="eastAsia"/>
          <w:color w:val="auto"/>
          <w:highlight w:val="none"/>
        </w:rPr>
        <w:t>：</w:t>
      </w:r>
    </w:p>
    <w:p w14:paraId="415DB0FA">
      <w:pPr>
        <w:autoSpaceDN w:val="0"/>
        <w:spacing w:line="360" w:lineRule="auto"/>
        <w:jc w:val="both"/>
        <w:rPr>
          <w:rFonts w:ascii="宋体" w:hAnsi="宋体" w:cs="宋体"/>
          <w:color w:val="auto"/>
          <w:w w:val="88"/>
          <w:sz w:val="32"/>
          <w:szCs w:val="32"/>
          <w:highlight w:val="none"/>
        </w:rPr>
      </w:pPr>
      <w:r>
        <w:rPr>
          <w:rFonts w:hint="eastAsia" w:ascii="宋体" w:hAnsi="宋体" w:cs="仿宋_GB2312"/>
          <w:b/>
          <w:bCs/>
          <w:color w:val="auto"/>
          <w:sz w:val="32"/>
          <w:szCs w:val="32"/>
          <w:highlight w:val="none"/>
        </w:rPr>
        <w:t>工程资金共管协议格式</w:t>
      </w:r>
    </w:p>
    <w:p w14:paraId="7F621504">
      <w:pPr>
        <w:jc w:val="center"/>
        <w:rPr>
          <w:rFonts w:ascii="宋体" w:hAnsi="宋体" w:eastAsia="宋体"/>
          <w:b/>
          <w:color w:val="auto"/>
          <w:szCs w:val="21"/>
          <w:highlight w:val="none"/>
        </w:rPr>
      </w:pPr>
      <w:r>
        <w:rPr>
          <w:rFonts w:hint="eastAsia" w:ascii="宋体" w:hAnsi="宋体" w:eastAsia="宋体" w:cs="仿宋_GB2312"/>
          <w:b/>
          <w:bCs/>
          <w:color w:val="auto"/>
          <w:szCs w:val="21"/>
          <w:highlight w:val="none"/>
        </w:rPr>
        <w:t>工程</w:t>
      </w:r>
      <w:r>
        <w:rPr>
          <w:rFonts w:hint="eastAsia" w:ascii="宋体" w:hAnsi="宋体" w:eastAsia="宋体" w:cs="仿宋_GB2312"/>
          <w:b/>
          <w:bCs/>
          <w:color w:val="auto"/>
          <w:szCs w:val="21"/>
          <w:highlight w:val="none"/>
          <w:lang w:eastAsia="zh-CN"/>
        </w:rPr>
        <w:t>预付款</w:t>
      </w:r>
      <w:r>
        <w:rPr>
          <w:rFonts w:hint="eastAsia" w:ascii="宋体" w:hAnsi="宋体" w:eastAsia="宋体" w:cs="仿宋_GB2312"/>
          <w:b/>
          <w:bCs/>
          <w:color w:val="auto"/>
          <w:szCs w:val="21"/>
          <w:highlight w:val="none"/>
        </w:rPr>
        <w:t>资金共管协议</w:t>
      </w:r>
    </w:p>
    <w:p w14:paraId="3E5CA92A">
      <w:pPr>
        <w:jc w:val="center"/>
        <w:rPr>
          <w:rFonts w:ascii="宋体" w:hAnsi="宋体" w:eastAsia="宋体" w:cs="宋体"/>
          <w:b/>
          <w:color w:val="auto"/>
          <w:szCs w:val="21"/>
          <w:highlight w:val="none"/>
        </w:rPr>
      </w:pPr>
    </w:p>
    <w:p w14:paraId="70665ED1">
      <w:pPr>
        <w:jc w:val="center"/>
        <w:rPr>
          <w:rFonts w:ascii="宋体" w:hAnsi="宋体" w:eastAsia="宋体" w:cs="仿宋_GB2312"/>
          <w:b/>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仿宋_GB2312"/>
          <w:b/>
          <w:color w:val="auto"/>
          <w:szCs w:val="21"/>
          <w:highlight w:val="none"/>
        </w:rPr>
        <w:t>协议编号：</w:t>
      </w:r>
      <w:r>
        <w:rPr>
          <w:rFonts w:hint="eastAsia" w:ascii="宋体" w:hAnsi="宋体" w:eastAsia="宋体" w:cs="仿宋_GB2312"/>
          <w:b/>
          <w:color w:val="auto"/>
          <w:szCs w:val="21"/>
          <w:highlight w:val="none"/>
          <w:lang w:eastAsia="zh-CN"/>
        </w:rPr>
        <w:t>建管</w:t>
      </w:r>
      <w:r>
        <w:rPr>
          <w:rFonts w:hint="eastAsia" w:ascii="宋体" w:hAnsi="宋体" w:eastAsia="宋体" w:cs="仿宋_GB2312"/>
          <w:b/>
          <w:color w:val="auto"/>
          <w:szCs w:val="21"/>
          <w:highlight w:val="none"/>
        </w:rPr>
        <w:t>共管协议[  ]号</w:t>
      </w:r>
    </w:p>
    <w:p w14:paraId="27080F26">
      <w:pPr>
        <w:snapToGrid w:val="0"/>
        <w:spacing w:line="520" w:lineRule="exact"/>
        <w:rPr>
          <w:rFonts w:ascii="宋体" w:hAnsi="宋体" w:eastAsia="宋体"/>
          <w:color w:val="auto"/>
          <w:szCs w:val="21"/>
          <w:highlight w:val="none"/>
        </w:rPr>
      </w:pPr>
      <w:r>
        <w:rPr>
          <w:rFonts w:hint="eastAsia" w:ascii="宋体" w:hAnsi="宋体" w:eastAsia="宋体" w:cs="仿宋_GB2312"/>
          <w:b/>
          <w:color w:val="auto"/>
          <w:szCs w:val="21"/>
          <w:highlight w:val="none"/>
        </w:rPr>
        <w:t>甲      方：</w:t>
      </w:r>
      <w:r>
        <w:rPr>
          <w:rFonts w:hint="eastAsia" w:ascii="宋体" w:hAnsi="宋体" w:eastAsia="宋体"/>
          <w:color w:val="auto"/>
          <w:szCs w:val="21"/>
          <w:highlight w:val="none"/>
        </w:rPr>
        <w:t xml:space="preserve"> </w:t>
      </w:r>
    </w:p>
    <w:p w14:paraId="0622F8B8">
      <w:pPr>
        <w:rPr>
          <w:rFonts w:ascii="宋体" w:hAnsi="宋体" w:eastAsia="宋体" w:cs="仿宋_GB2312"/>
          <w:b/>
          <w:color w:val="auto"/>
          <w:szCs w:val="21"/>
          <w:highlight w:val="none"/>
        </w:rPr>
      </w:pPr>
    </w:p>
    <w:p w14:paraId="6A1E0A84">
      <w:pPr>
        <w:rPr>
          <w:rFonts w:ascii="宋体" w:hAnsi="宋体" w:eastAsia="宋体" w:cs="仿宋_GB2312"/>
          <w:color w:val="auto"/>
          <w:szCs w:val="21"/>
          <w:highlight w:val="none"/>
        </w:rPr>
      </w:pPr>
      <w:r>
        <w:rPr>
          <w:rFonts w:hint="eastAsia" w:ascii="宋体" w:hAnsi="宋体" w:eastAsia="宋体" w:cs="仿宋_GB2312"/>
          <w:color w:val="auto"/>
          <w:szCs w:val="21"/>
          <w:highlight w:val="none"/>
        </w:rPr>
        <w:t xml:space="preserve">地      址： </w:t>
      </w:r>
    </w:p>
    <w:p w14:paraId="3AA2323C">
      <w:pPr>
        <w:rPr>
          <w:rFonts w:ascii="宋体" w:hAnsi="宋体" w:eastAsia="宋体" w:cs="仿宋_GB2312"/>
          <w:color w:val="auto"/>
          <w:szCs w:val="21"/>
          <w:highlight w:val="none"/>
        </w:rPr>
      </w:pPr>
    </w:p>
    <w:p w14:paraId="7FC49DD3">
      <w:pPr>
        <w:rPr>
          <w:rFonts w:ascii="宋体" w:hAnsi="宋体" w:eastAsia="宋体" w:cs="仿宋_GB2312"/>
          <w:color w:val="auto"/>
          <w:szCs w:val="21"/>
          <w:highlight w:val="none"/>
        </w:rPr>
      </w:pPr>
      <w:r>
        <w:rPr>
          <w:rFonts w:hint="eastAsia" w:ascii="宋体" w:hAnsi="宋体" w:eastAsia="宋体" w:cs="仿宋_GB2312"/>
          <w:color w:val="auto"/>
          <w:szCs w:val="21"/>
          <w:highlight w:val="none"/>
        </w:rPr>
        <w:t xml:space="preserve">电      话： </w:t>
      </w:r>
    </w:p>
    <w:p w14:paraId="7CAB4BDA">
      <w:pPr>
        <w:rPr>
          <w:rFonts w:ascii="宋体" w:hAnsi="宋体" w:eastAsia="宋体" w:cs="仿宋_GB2312"/>
          <w:color w:val="auto"/>
          <w:szCs w:val="21"/>
          <w:highlight w:val="none"/>
        </w:rPr>
      </w:pPr>
      <w:r>
        <w:rPr>
          <w:rFonts w:ascii="宋体" w:hAnsi="宋体" w:eastAsia="宋体" w:cs="仿宋_GB2312"/>
          <w:color w:val="auto"/>
          <w:szCs w:val="21"/>
          <w:highlight w:val="none"/>
        </w:rPr>
        <w:t xml:space="preserve"> </w:t>
      </w:r>
    </w:p>
    <w:p w14:paraId="25DB92F6">
      <w:pPr>
        <w:rPr>
          <w:rFonts w:ascii="宋体" w:hAnsi="宋体" w:eastAsia="宋体" w:cs="仿宋_GB2312"/>
          <w:color w:val="auto"/>
          <w:szCs w:val="21"/>
          <w:highlight w:val="none"/>
        </w:rPr>
      </w:pPr>
      <w:r>
        <w:rPr>
          <w:rFonts w:hint="eastAsia" w:ascii="宋体" w:hAnsi="宋体" w:eastAsia="宋体" w:cs="仿宋_GB2312"/>
          <w:color w:val="auto"/>
          <w:szCs w:val="21"/>
          <w:highlight w:val="none"/>
        </w:rPr>
        <w:t>乙      方：</w:t>
      </w:r>
    </w:p>
    <w:p w14:paraId="5FB06EA9">
      <w:pPr>
        <w:snapToGrid w:val="0"/>
        <w:spacing w:line="520" w:lineRule="exact"/>
        <w:rPr>
          <w:rFonts w:ascii="宋体" w:hAnsi="宋体" w:eastAsia="宋体"/>
          <w:color w:val="auto"/>
          <w:szCs w:val="21"/>
          <w:highlight w:val="none"/>
        </w:rPr>
      </w:pPr>
      <w:r>
        <w:rPr>
          <w:rFonts w:hint="eastAsia" w:ascii="宋体" w:hAnsi="宋体" w:eastAsia="宋体" w:cs="仿宋_GB2312"/>
          <w:color w:val="auto"/>
          <w:szCs w:val="21"/>
          <w:highlight w:val="none"/>
        </w:rPr>
        <w:t>地      址：</w:t>
      </w:r>
    </w:p>
    <w:p w14:paraId="5A9841B3">
      <w:pPr>
        <w:rPr>
          <w:rFonts w:ascii="宋体" w:hAnsi="宋体" w:eastAsia="宋体" w:cs="仿宋_GB2312"/>
          <w:color w:val="auto"/>
          <w:szCs w:val="21"/>
          <w:highlight w:val="none"/>
        </w:rPr>
      </w:pPr>
    </w:p>
    <w:p w14:paraId="3B17B76B">
      <w:pPr>
        <w:rPr>
          <w:rFonts w:ascii="宋体" w:hAnsi="宋体" w:eastAsia="宋体" w:cs="仿宋_GB2312"/>
          <w:color w:val="auto"/>
          <w:szCs w:val="21"/>
          <w:highlight w:val="none"/>
        </w:rPr>
      </w:pPr>
      <w:r>
        <w:rPr>
          <w:rFonts w:hint="eastAsia" w:ascii="宋体" w:hAnsi="宋体" w:eastAsia="宋体" w:cs="仿宋_GB2312"/>
          <w:color w:val="auto"/>
          <w:szCs w:val="21"/>
          <w:highlight w:val="none"/>
        </w:rPr>
        <w:t xml:space="preserve">电      话： </w:t>
      </w:r>
    </w:p>
    <w:p w14:paraId="3BFE27EB">
      <w:pPr>
        <w:ind w:left="2415" w:hanging="2415" w:hangingChars="1150"/>
        <w:rPr>
          <w:rFonts w:ascii="宋体" w:hAnsi="宋体" w:eastAsia="宋体" w:cs="仿宋_GB2312"/>
          <w:color w:val="auto"/>
          <w:szCs w:val="21"/>
          <w:highlight w:val="none"/>
        </w:rPr>
      </w:pPr>
    </w:p>
    <w:p w14:paraId="1C78088A">
      <w:pPr>
        <w:ind w:left="2415" w:hanging="2415" w:hangingChars="1150"/>
        <w:rPr>
          <w:rFonts w:ascii="宋体" w:hAnsi="宋体" w:eastAsia="宋体" w:cs="仿宋_GB2312"/>
          <w:color w:val="auto"/>
          <w:szCs w:val="21"/>
          <w:highlight w:val="none"/>
        </w:rPr>
      </w:pPr>
      <w:r>
        <w:rPr>
          <w:rFonts w:hint="eastAsia" w:ascii="宋体" w:hAnsi="宋体" w:eastAsia="宋体" w:cs="仿宋_GB2312"/>
          <w:color w:val="auto"/>
          <w:szCs w:val="21"/>
          <w:highlight w:val="none"/>
        </w:rPr>
        <w:t xml:space="preserve">丙    方（共管银行）：  </w:t>
      </w:r>
    </w:p>
    <w:p w14:paraId="7685AC02">
      <w:pPr>
        <w:rPr>
          <w:rFonts w:ascii="宋体" w:hAnsi="宋体" w:eastAsia="宋体" w:cs="仿宋_GB2312"/>
          <w:color w:val="auto"/>
          <w:szCs w:val="21"/>
          <w:highlight w:val="none"/>
        </w:rPr>
      </w:pPr>
    </w:p>
    <w:p w14:paraId="015AB201">
      <w:pPr>
        <w:rPr>
          <w:rFonts w:ascii="宋体" w:hAnsi="宋体" w:eastAsia="宋体" w:cs="仿宋_GB2312"/>
          <w:color w:val="auto"/>
          <w:szCs w:val="21"/>
          <w:highlight w:val="none"/>
        </w:rPr>
      </w:pPr>
      <w:r>
        <w:rPr>
          <w:rFonts w:hint="eastAsia" w:ascii="宋体" w:hAnsi="宋体" w:eastAsia="宋体" w:cs="仿宋_GB2312"/>
          <w:color w:val="auto"/>
          <w:szCs w:val="21"/>
          <w:highlight w:val="none"/>
        </w:rPr>
        <w:t xml:space="preserve">地      址：  </w:t>
      </w:r>
    </w:p>
    <w:p w14:paraId="0E85AEDC">
      <w:pPr>
        <w:rPr>
          <w:rFonts w:ascii="宋体" w:hAnsi="宋体" w:eastAsia="宋体" w:cs="仿宋_GB2312"/>
          <w:color w:val="auto"/>
          <w:szCs w:val="21"/>
          <w:highlight w:val="none"/>
        </w:rPr>
      </w:pPr>
    </w:p>
    <w:p w14:paraId="32565897">
      <w:pPr>
        <w:rPr>
          <w:rFonts w:ascii="宋体" w:hAnsi="宋体" w:eastAsia="宋体" w:cs="仿宋_GB2312"/>
          <w:color w:val="auto"/>
          <w:szCs w:val="21"/>
          <w:highlight w:val="none"/>
        </w:rPr>
      </w:pPr>
      <w:r>
        <w:rPr>
          <w:rFonts w:hint="eastAsia" w:ascii="宋体" w:hAnsi="宋体" w:eastAsia="宋体" w:cs="仿宋_GB2312"/>
          <w:color w:val="auto"/>
          <w:szCs w:val="21"/>
          <w:highlight w:val="none"/>
        </w:rPr>
        <w:t xml:space="preserve">电      话： </w:t>
      </w:r>
    </w:p>
    <w:p w14:paraId="54A1E5E3">
      <w:pPr>
        <w:snapToGrid w:val="0"/>
        <w:spacing w:line="500" w:lineRule="atLeast"/>
        <w:ind w:left="210" w:leftChars="100" w:firstLine="210" w:firstLineChars="100"/>
        <w:rPr>
          <w:rFonts w:ascii="宋体" w:hAnsi="宋体" w:eastAsia="宋体"/>
          <w:bCs/>
          <w:color w:val="auto"/>
          <w:szCs w:val="21"/>
          <w:highlight w:val="none"/>
          <w:u w:val="single"/>
        </w:rPr>
      </w:pPr>
      <w:r>
        <w:rPr>
          <w:rFonts w:hint="eastAsia" w:ascii="宋体" w:hAnsi="宋体" w:eastAsia="宋体" w:cs="仿宋_GB2312"/>
          <w:color w:val="auto"/>
          <w:szCs w:val="21"/>
          <w:highlight w:val="none"/>
        </w:rPr>
        <w:t>根据甲乙双方签署的</w:t>
      </w:r>
      <w:r>
        <w:rPr>
          <w:rFonts w:hint="eastAsia" w:ascii="宋体" w:hAnsi="宋体" w:eastAsia="宋体" w:cs="仿宋_GB2312"/>
          <w:color w:val="auto"/>
          <w:szCs w:val="21"/>
          <w:highlight w:val="none"/>
          <w:u w:val="single"/>
          <w:lang w:val="en-US" w:eastAsia="zh-CN"/>
        </w:rPr>
        <w:t xml:space="preserve">       工程</w:t>
      </w:r>
      <w:r>
        <w:rPr>
          <w:rFonts w:hint="eastAsia" w:ascii="宋体" w:hAnsi="宋体" w:eastAsia="宋体" w:cs="仿宋_GB2312"/>
          <w:color w:val="auto"/>
          <w:szCs w:val="21"/>
          <w:highlight w:val="none"/>
        </w:rPr>
        <w:t>《施工总承包合同》（合同编号：    （以下简称“《施工合同》”）。为加强和规范该施工合同下工程建设资金使用的控制管理，防范和化解资金风险，确保建设资金安全和专款专用，确保合同的顺利履行，以满足工程建设资金需要，进一步提高工程投资效益，根据《中华人民共和国民法典》、《中华人民共和国建筑法》、《人民币银行结算账户管理办法》、《</w:t>
      </w:r>
      <w:r>
        <w:rPr>
          <w:rFonts w:hint="eastAsia" w:ascii="宋体" w:hAnsi="宋体" w:cs="仿宋_GB2312"/>
          <w:color w:val="auto"/>
          <w:szCs w:val="21"/>
          <w:highlight w:val="none"/>
          <w:lang w:eastAsia="zh-CN"/>
        </w:rPr>
        <w:t>共管工程预付款使用监管办法</w:t>
      </w:r>
      <w:r>
        <w:rPr>
          <w:rFonts w:hint="eastAsia" w:ascii="宋体" w:hAnsi="宋体" w:eastAsia="宋体" w:cs="仿宋_GB2312"/>
          <w:color w:val="auto"/>
          <w:szCs w:val="21"/>
          <w:highlight w:val="none"/>
        </w:rPr>
        <w:t>》等有关规定，经甲、乙、丙三方在平等、自愿基础上协商一致，特订立本协议。</w:t>
      </w:r>
    </w:p>
    <w:p w14:paraId="3CB6F948">
      <w:pPr>
        <w:rPr>
          <w:rFonts w:ascii="宋体" w:hAnsi="宋体" w:eastAsia="宋体" w:cs="仿宋_GB2312"/>
          <w:color w:val="auto"/>
          <w:szCs w:val="21"/>
          <w:highlight w:val="none"/>
        </w:rPr>
      </w:pPr>
      <w:r>
        <w:rPr>
          <w:rFonts w:ascii="宋体" w:hAnsi="宋体" w:eastAsia="宋体" w:cs="仿宋_GB2312"/>
          <w:color w:val="auto"/>
          <w:szCs w:val="21"/>
          <w:highlight w:val="none"/>
        </w:rPr>
        <w:t xml:space="preserve">    </w:t>
      </w:r>
    </w:p>
    <w:p w14:paraId="6D6FB4B0">
      <w:pPr>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第一条 共管资金及共管账户</w:t>
      </w:r>
    </w:p>
    <w:p w14:paraId="51005568">
      <w:pPr>
        <w:ind w:left="1" w:firstLine="298" w:firstLineChars="142"/>
        <w:rPr>
          <w:rFonts w:ascii="宋体" w:hAnsi="宋体" w:eastAsia="宋体" w:cs="仿宋_GB2312"/>
          <w:color w:val="auto"/>
          <w:szCs w:val="21"/>
          <w:highlight w:val="none"/>
        </w:rPr>
      </w:pPr>
      <w:r>
        <w:rPr>
          <w:rFonts w:ascii="宋体" w:hAnsi="宋体" w:eastAsia="宋体" w:cs="仿宋_GB2312"/>
          <w:color w:val="auto"/>
          <w:szCs w:val="21"/>
          <w:highlight w:val="none"/>
        </w:rPr>
        <w:t xml:space="preserve"> 1. </w:t>
      </w:r>
      <w:r>
        <w:rPr>
          <w:rFonts w:hint="eastAsia" w:ascii="宋体" w:hAnsi="宋体" w:eastAsia="宋体" w:cs="仿宋_GB2312"/>
          <w:color w:val="auto"/>
          <w:szCs w:val="21"/>
          <w:highlight w:val="none"/>
        </w:rPr>
        <w:t>共管资金：指依据《施工合同》及《</w:t>
      </w:r>
      <w:r>
        <w:rPr>
          <w:rFonts w:hint="eastAsia" w:ascii="宋体" w:hAnsi="宋体" w:cs="仿宋_GB2312"/>
          <w:color w:val="auto"/>
          <w:szCs w:val="21"/>
          <w:highlight w:val="none"/>
          <w:lang w:eastAsia="zh-CN"/>
        </w:rPr>
        <w:t>共管工程预付款使用监管办法</w:t>
      </w:r>
      <w:r>
        <w:rPr>
          <w:rFonts w:hint="eastAsia" w:ascii="宋体" w:hAnsi="宋体" w:eastAsia="宋体" w:cs="仿宋_GB2312"/>
          <w:color w:val="auto"/>
          <w:szCs w:val="21"/>
          <w:highlight w:val="none"/>
        </w:rPr>
        <w:t>》相关约定，甲、乙、丙三方约定共同管理在本协议有效期内转入共管账户的专项资金，且委托丙方对共管资金进行保管，并遵循专款专用原则，在符合约定划款程序的情况下按甲、乙双方的指令要求进行资金的使用划转。</w:t>
      </w:r>
    </w:p>
    <w:p w14:paraId="0680AD13">
      <w:pPr>
        <w:numPr>
          <w:ilvl w:val="0"/>
          <w:numId w:val="15"/>
        </w:numPr>
        <w:ind w:left="1" w:firstLine="298" w:firstLineChars="142"/>
        <w:rPr>
          <w:rFonts w:ascii="宋体" w:hAnsi="宋体" w:eastAsia="宋体" w:cs="仿宋_GB2312"/>
          <w:color w:val="auto"/>
          <w:szCs w:val="21"/>
          <w:highlight w:val="none"/>
        </w:rPr>
      </w:pPr>
      <w:r>
        <w:rPr>
          <w:rFonts w:hint="eastAsia" w:ascii="宋体" w:hAnsi="宋体" w:eastAsia="宋体" w:cs="仿宋_GB2312"/>
          <w:color w:val="auto"/>
          <w:szCs w:val="21"/>
          <w:highlight w:val="none"/>
        </w:rPr>
        <w:t>共管账户：乙方应在本协议签订之日起五个工作日内，持本协议及其他开户资料在</w:t>
      </w:r>
      <w:r>
        <w:rPr>
          <w:rFonts w:hint="eastAsia" w:ascii="宋体" w:hAnsi="宋体" w:eastAsia="宋体" w:cs="仿宋_GB2312"/>
          <w:color w:val="auto"/>
          <w:szCs w:val="21"/>
          <w:highlight w:val="none"/>
          <w:u w:val="single"/>
        </w:rPr>
        <w:t>丙方辖区内分支机构开立资金共管账户，</w:t>
      </w:r>
      <w:r>
        <w:rPr>
          <w:rFonts w:hint="eastAsia" w:ascii="宋体" w:hAnsi="宋体" w:eastAsia="宋体" w:cs="仿宋_GB2312"/>
          <w:color w:val="auto"/>
          <w:szCs w:val="21"/>
          <w:highlight w:val="none"/>
        </w:rPr>
        <w:t>用于共管资金的转入及划转。</w:t>
      </w:r>
    </w:p>
    <w:p w14:paraId="174C0119">
      <w:pPr>
        <w:numPr>
          <w:ilvl w:val="0"/>
          <w:numId w:val="15"/>
        </w:numPr>
        <w:ind w:left="1" w:firstLine="298" w:firstLineChars="142"/>
        <w:rPr>
          <w:rFonts w:ascii="宋体" w:hAnsi="宋体" w:eastAsia="宋体" w:cs="仿宋_GB2312"/>
          <w:color w:val="auto"/>
          <w:szCs w:val="21"/>
          <w:highlight w:val="none"/>
        </w:rPr>
      </w:pPr>
      <w:r>
        <w:rPr>
          <w:rFonts w:hint="eastAsia" w:ascii="宋体" w:hAnsi="宋体" w:eastAsia="宋体" w:cs="仿宋_GB2312"/>
          <w:color w:val="auto"/>
          <w:szCs w:val="21"/>
          <w:highlight w:val="none"/>
        </w:rPr>
        <w:t>该账户仅限于本协议约定之专项资金的共管和清算使用，不得用于除此之外的其它任何活动。共管账户由丙方管理，账户资金不得提现、通兑及透支，仅可开通查询版网银。</w:t>
      </w:r>
    </w:p>
    <w:p w14:paraId="15397743">
      <w:pPr>
        <w:ind w:firstLine="420" w:firstLineChars="200"/>
        <w:rPr>
          <w:rFonts w:ascii="宋体" w:hAnsi="宋体" w:eastAsia="宋体" w:cs="仿宋_GB2312"/>
          <w:color w:val="auto"/>
          <w:szCs w:val="21"/>
          <w:highlight w:val="none"/>
        </w:rPr>
      </w:pPr>
    </w:p>
    <w:p w14:paraId="4118BC49">
      <w:pPr>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第二条 合同各方的权利与义务</w:t>
      </w:r>
    </w:p>
    <w:p w14:paraId="014F5D2F">
      <w:pPr>
        <w:ind w:left="1" w:firstLine="298" w:firstLineChars="142"/>
        <w:rPr>
          <w:rFonts w:ascii="宋体" w:hAnsi="宋体" w:eastAsia="宋体" w:cs="仿宋_GB2312"/>
          <w:color w:val="auto"/>
          <w:szCs w:val="21"/>
          <w:highlight w:val="none"/>
        </w:rPr>
      </w:pPr>
      <w:r>
        <w:rPr>
          <w:rFonts w:ascii="宋体" w:hAnsi="宋体" w:eastAsia="宋体" w:cs="仿宋_GB2312"/>
          <w:color w:val="auto"/>
          <w:szCs w:val="21"/>
          <w:highlight w:val="none"/>
        </w:rPr>
        <w:t xml:space="preserve">1. </w:t>
      </w:r>
      <w:r>
        <w:rPr>
          <w:rFonts w:hint="eastAsia" w:ascii="宋体" w:hAnsi="宋体" w:eastAsia="宋体" w:cs="仿宋_GB2312"/>
          <w:color w:val="auto"/>
          <w:szCs w:val="21"/>
          <w:highlight w:val="none"/>
        </w:rPr>
        <w:t>甲方的权利与义务</w:t>
      </w:r>
    </w:p>
    <w:p w14:paraId="2B1B08C2">
      <w:pPr>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1）本协议约定之共管资金，甲方划拨至本协议约定的共管账户。甲方有权审核乙方提出的共管账户资金的《用款申请书》（格式见附件一）、《管理人员工资发放明细表》（含经乙方盖章核实的上期实际支付及本期支付计划）（格式见附件二）及《</w:t>
      </w:r>
      <w:r>
        <w:rPr>
          <w:rFonts w:hint="eastAsia" w:ascii="宋体" w:hAnsi="宋体" w:cs="仿宋_GB2312"/>
          <w:color w:val="auto"/>
          <w:szCs w:val="21"/>
          <w:highlight w:val="none"/>
          <w:lang w:eastAsia="zh-CN"/>
        </w:rPr>
        <w:t>共管工程预付款使用监管办法</w:t>
      </w:r>
      <w:r>
        <w:rPr>
          <w:rFonts w:hint="eastAsia" w:ascii="宋体" w:hAnsi="宋体" w:eastAsia="宋体" w:cs="仿宋_GB2312"/>
          <w:color w:val="auto"/>
          <w:szCs w:val="21"/>
          <w:highlight w:val="none"/>
        </w:rPr>
        <w:t>》规定的其他所需材料，并出具《共管账户划款通知书》（格式见附件三）；</w:t>
      </w:r>
    </w:p>
    <w:p w14:paraId="0865F4B6">
      <w:pPr>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（2）甲方向丙方提交预留关于《共管账户划款通知》中的印鉴样式。</w:t>
      </w:r>
    </w:p>
    <w:p w14:paraId="5214C649">
      <w:pPr>
        <w:ind w:firstLine="420" w:firstLineChars="200"/>
        <w:rPr>
          <w:rFonts w:ascii="宋体" w:hAnsi="宋体" w:eastAsia="宋体" w:cs="仿宋_GB2312"/>
          <w:color w:val="auto"/>
          <w:szCs w:val="21"/>
          <w:highlight w:val="none"/>
        </w:rPr>
      </w:pPr>
      <w:r>
        <w:rPr>
          <w:rFonts w:ascii="宋体" w:hAnsi="宋体" w:eastAsia="宋体" w:cs="仿宋_GB2312"/>
          <w:color w:val="auto"/>
          <w:szCs w:val="21"/>
          <w:highlight w:val="none"/>
        </w:rPr>
        <w:t>（3）</w:t>
      </w:r>
      <w:r>
        <w:rPr>
          <w:rFonts w:hint="eastAsia" w:ascii="宋体" w:hAnsi="宋体" w:eastAsia="宋体" w:cs="仿宋_GB2312"/>
          <w:color w:val="auto"/>
          <w:szCs w:val="21"/>
          <w:highlight w:val="none"/>
        </w:rPr>
        <w:t>甲方有权按本协议约定查阅该共管账户的收支情况；甲方有权依本协议要求乙方提供资金流向支付凭证（包括但不仅限于合同、发票、采购清单等）和银行存款日记账等，要求丙方提供该账户余额、流水等信息。</w:t>
      </w:r>
    </w:p>
    <w:p w14:paraId="25F1BAE7">
      <w:pPr>
        <w:ind w:left="1" w:firstLine="298" w:firstLineChars="142"/>
        <w:rPr>
          <w:rFonts w:ascii="宋体" w:hAnsi="宋体" w:eastAsia="宋体" w:cs="仿宋_GB2312"/>
          <w:color w:val="auto"/>
          <w:szCs w:val="21"/>
          <w:highlight w:val="none"/>
        </w:rPr>
      </w:pPr>
      <w:r>
        <w:rPr>
          <w:rFonts w:ascii="宋体" w:hAnsi="宋体" w:eastAsia="宋体" w:cs="仿宋_GB2312"/>
          <w:color w:val="auto"/>
          <w:szCs w:val="21"/>
          <w:highlight w:val="none"/>
        </w:rPr>
        <w:t xml:space="preserve">2. </w:t>
      </w:r>
      <w:r>
        <w:rPr>
          <w:rFonts w:hint="eastAsia" w:ascii="宋体" w:hAnsi="宋体" w:eastAsia="宋体" w:cs="仿宋_GB2312"/>
          <w:color w:val="auto"/>
          <w:szCs w:val="21"/>
          <w:highlight w:val="none"/>
        </w:rPr>
        <w:t>乙方的权利与义务</w:t>
      </w:r>
    </w:p>
    <w:p w14:paraId="77FE3155">
      <w:pPr>
        <w:ind w:left="1" w:firstLine="298" w:firstLineChars="142"/>
        <w:rPr>
          <w:rFonts w:ascii="宋体" w:hAnsi="宋体" w:eastAsia="宋体" w:cs="仿宋_GB2312"/>
          <w:color w:val="auto"/>
          <w:szCs w:val="21"/>
          <w:highlight w:val="none"/>
        </w:rPr>
      </w:pPr>
      <w:r>
        <w:rPr>
          <w:rFonts w:hint="eastAsia" w:ascii="宋体" w:hAnsi="宋体" w:eastAsia="宋体" w:cs="仿宋_GB2312"/>
          <w:color w:val="auto"/>
          <w:szCs w:val="21"/>
          <w:highlight w:val="none"/>
        </w:rPr>
        <w:t>（</w:t>
      </w:r>
      <w:r>
        <w:rPr>
          <w:rFonts w:ascii="宋体" w:hAnsi="宋体" w:eastAsia="宋体" w:cs="仿宋_GB2312"/>
          <w:color w:val="auto"/>
          <w:szCs w:val="21"/>
          <w:highlight w:val="none"/>
        </w:rPr>
        <w:t>1</w:t>
      </w:r>
      <w:r>
        <w:rPr>
          <w:rFonts w:hint="eastAsia" w:ascii="宋体" w:hAnsi="宋体" w:eastAsia="宋体" w:cs="仿宋_GB2312"/>
          <w:color w:val="auto"/>
          <w:szCs w:val="21"/>
          <w:highlight w:val="none"/>
        </w:rPr>
        <w:t>）乙方依据本协议约定向甲方提交《用款申请书》（格式见附件一）、《管理人员工资发放明细表》（含经乙方盖章核实的上期实际支付及本期支付计划）（格式见附件二）及相关文件凭证，相关材料必须真实、准确、合法；</w:t>
      </w:r>
    </w:p>
    <w:p w14:paraId="042B27F1">
      <w:pPr>
        <w:ind w:left="1" w:firstLine="298" w:firstLineChars="142"/>
        <w:rPr>
          <w:rFonts w:ascii="宋体" w:hAnsi="宋体" w:eastAsia="宋体" w:cs="仿宋_GB2312"/>
          <w:color w:val="auto"/>
          <w:szCs w:val="21"/>
          <w:highlight w:val="none"/>
        </w:rPr>
      </w:pPr>
      <w:r>
        <w:rPr>
          <w:rFonts w:hint="eastAsia" w:ascii="宋体" w:hAnsi="宋体" w:eastAsia="宋体" w:cs="仿宋_GB2312"/>
          <w:color w:val="auto"/>
          <w:szCs w:val="21"/>
          <w:highlight w:val="none"/>
        </w:rPr>
        <w:t>（</w:t>
      </w:r>
      <w:r>
        <w:rPr>
          <w:rFonts w:ascii="宋体" w:hAnsi="宋体" w:eastAsia="宋体" w:cs="仿宋_GB2312"/>
          <w:color w:val="auto"/>
          <w:szCs w:val="21"/>
          <w:highlight w:val="none"/>
        </w:rPr>
        <w:t>2</w:t>
      </w:r>
      <w:r>
        <w:rPr>
          <w:rFonts w:hint="eastAsia" w:ascii="宋体" w:hAnsi="宋体" w:eastAsia="宋体" w:cs="仿宋_GB2312"/>
          <w:color w:val="auto"/>
          <w:szCs w:val="21"/>
          <w:highlight w:val="none"/>
        </w:rPr>
        <w:t>）按照专款专用的原则使用共管资金，不得将资金挪作他用，未经甲方同意不得转入乙方其他银行账户。乙方接受甲方对共管资金使用情况的检查和监督，接受丙方对共管资金支出的监督；</w:t>
      </w:r>
    </w:p>
    <w:p w14:paraId="15FC8F78">
      <w:pPr>
        <w:ind w:left="1" w:firstLine="298" w:firstLineChars="142"/>
        <w:rPr>
          <w:rFonts w:ascii="宋体" w:hAnsi="宋体" w:eastAsia="宋体" w:cs="仿宋_GB2312"/>
          <w:color w:val="auto"/>
          <w:szCs w:val="21"/>
          <w:highlight w:val="none"/>
        </w:rPr>
      </w:pPr>
      <w:r>
        <w:rPr>
          <w:rFonts w:hint="eastAsia" w:ascii="宋体" w:hAnsi="宋体" w:eastAsia="宋体" w:cs="仿宋_GB2312"/>
          <w:color w:val="auto"/>
          <w:szCs w:val="21"/>
          <w:highlight w:val="none"/>
        </w:rPr>
        <w:t>（3）向丙方支付共管资金划转所产生的业务手续费。</w:t>
      </w:r>
    </w:p>
    <w:p w14:paraId="66FDD0EA">
      <w:pPr>
        <w:ind w:left="1" w:firstLine="298" w:firstLineChars="142"/>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（4）乙方应向丙方留存其预留印鉴样式。</w:t>
      </w:r>
    </w:p>
    <w:p w14:paraId="577F6CCA">
      <w:pPr>
        <w:ind w:firstLine="422" w:firstLineChars="200"/>
        <w:rPr>
          <w:rFonts w:hint="eastAsia" w:ascii="宋体" w:hAnsi="宋体" w:eastAsia="宋体" w:cs="仿宋_GB2312"/>
          <w:b/>
          <w:bCs/>
          <w:color w:val="auto"/>
          <w:szCs w:val="21"/>
          <w:highlight w:val="none"/>
          <w:lang w:val="en-US" w:eastAsia="zh-CN"/>
        </w:rPr>
      </w:pPr>
      <w:r>
        <w:rPr>
          <w:rFonts w:hint="eastAsia" w:ascii="宋体" w:hAnsi="宋体" w:eastAsia="宋体" w:cs="仿宋_GB2312"/>
          <w:b/>
          <w:bCs/>
          <w:color w:val="auto"/>
          <w:szCs w:val="21"/>
          <w:highlight w:val="none"/>
          <w:lang w:val="en-US" w:eastAsia="zh-CN"/>
        </w:rPr>
        <w:t>（5）</w:t>
      </w:r>
      <w:r>
        <w:rPr>
          <w:rFonts w:hint="eastAsia" w:ascii="宋体" w:hAnsi="宋体" w:eastAsia="宋体" w:cs="仿宋_GB2312"/>
          <w:b/>
          <w:bCs/>
          <w:color w:val="auto"/>
          <w:sz w:val="21"/>
          <w:szCs w:val="21"/>
          <w:highlight w:val="none"/>
          <w:lang w:val="en-US" w:eastAsia="zh-CN"/>
        </w:rPr>
        <w:t>区相关职能部门要求乙方退回预付款的，乙方同意按甲方通知的时间全额退回预付款项给甲方，乙方逾期退款的，对因此造成的损失甲方有权向乙方索赔。</w:t>
      </w:r>
    </w:p>
    <w:p w14:paraId="488519F1">
      <w:pPr>
        <w:ind w:left="1" w:firstLine="298" w:firstLineChars="142"/>
        <w:rPr>
          <w:rFonts w:hint="default" w:ascii="宋体" w:hAnsi="宋体" w:eastAsia="宋体" w:cs="仿宋_GB2312"/>
          <w:color w:val="auto"/>
          <w:szCs w:val="21"/>
          <w:highlight w:val="none"/>
          <w:lang w:val="en-US" w:eastAsia="zh-CN"/>
        </w:rPr>
      </w:pPr>
    </w:p>
    <w:p w14:paraId="7FDD0D85">
      <w:pPr>
        <w:ind w:left="1" w:firstLine="403" w:firstLineChars="192"/>
        <w:rPr>
          <w:rFonts w:ascii="宋体" w:hAnsi="宋体" w:eastAsia="宋体" w:cs="仿宋_GB2312"/>
          <w:color w:val="auto"/>
          <w:szCs w:val="21"/>
          <w:highlight w:val="none"/>
        </w:rPr>
      </w:pPr>
      <w:r>
        <w:rPr>
          <w:rFonts w:hint="eastAsia" w:ascii="宋体" w:hAnsi="宋体" w:eastAsia="宋体" w:cs="仿宋_GB2312"/>
          <w:color w:val="auto"/>
          <w:szCs w:val="21"/>
          <w:highlight w:val="none"/>
        </w:rPr>
        <w:t>3.丙方权利与义务</w:t>
      </w:r>
    </w:p>
    <w:p w14:paraId="40FCBAE3">
      <w:pPr>
        <w:ind w:left="1" w:firstLine="298" w:firstLineChars="142"/>
        <w:rPr>
          <w:rFonts w:ascii="宋体" w:hAnsi="宋体" w:eastAsia="宋体" w:cs="仿宋_GB2312"/>
          <w:color w:val="auto"/>
          <w:szCs w:val="21"/>
          <w:highlight w:val="none"/>
        </w:rPr>
      </w:pPr>
      <w:r>
        <w:rPr>
          <w:rFonts w:hint="eastAsia" w:ascii="宋体" w:hAnsi="宋体" w:eastAsia="宋体" w:cs="仿宋_GB2312"/>
          <w:color w:val="auto"/>
          <w:szCs w:val="21"/>
          <w:highlight w:val="none"/>
        </w:rPr>
        <w:t>（1）依法为乙方开立工程款共管账户，</w:t>
      </w:r>
      <w:r>
        <w:rPr>
          <w:rFonts w:ascii="宋体" w:hAnsi="宋体" w:eastAsia="宋体" w:cs="仿宋_GB2312"/>
          <w:color w:val="auto"/>
          <w:szCs w:val="21"/>
          <w:highlight w:val="none"/>
        </w:rPr>
        <w:t>提供便捷有效的银行业务服务，</w:t>
      </w:r>
      <w:r>
        <w:rPr>
          <w:rFonts w:hint="eastAsia" w:ascii="宋体" w:hAnsi="宋体" w:eastAsia="宋体" w:cs="仿宋_GB2312"/>
          <w:color w:val="auto"/>
          <w:szCs w:val="21"/>
          <w:highlight w:val="none"/>
        </w:rPr>
        <w:t xml:space="preserve">保管共管资金，确保资金安全。在没有征得甲乙双方同意情况下 ，丙方不得擅自以任何方式向乙方上级管理单位归集资金，如丙方擅自向乙方上级管理单位归集资金，视同丙方违规处理，对因此造成的损失甲乙双方有权向丙方索赔。 </w:t>
      </w:r>
    </w:p>
    <w:p w14:paraId="0615806A">
      <w:pPr>
        <w:ind w:firstLine="315" w:firstLineChars="150"/>
        <w:rPr>
          <w:rFonts w:ascii="宋体" w:hAnsi="宋体" w:eastAsia="宋体" w:cs="仿宋_GB2312"/>
          <w:color w:val="auto"/>
          <w:szCs w:val="21"/>
          <w:highlight w:val="none"/>
        </w:rPr>
      </w:pPr>
      <w:r>
        <w:rPr>
          <w:rFonts w:hint="eastAsia" w:ascii="宋体" w:hAnsi="宋体" w:eastAsia="宋体" w:cs="仿宋_GB2312"/>
          <w:color w:val="auto"/>
          <w:szCs w:val="21"/>
          <w:highlight w:val="none"/>
        </w:rPr>
        <w:t>（2）协助甲方审核用款申请文件，并出具意见。</w:t>
      </w:r>
    </w:p>
    <w:p w14:paraId="4106288A">
      <w:pPr>
        <w:ind w:firstLine="315" w:firstLineChars="150"/>
        <w:rPr>
          <w:rFonts w:ascii="宋体" w:hAnsi="宋体" w:eastAsia="宋体" w:cs="仿宋_GB2312"/>
          <w:color w:val="auto"/>
          <w:szCs w:val="21"/>
          <w:highlight w:val="none"/>
        </w:rPr>
      </w:pPr>
      <w:r>
        <w:rPr>
          <w:rFonts w:hint="eastAsia" w:ascii="宋体" w:hAnsi="宋体" w:eastAsia="宋体" w:cs="仿宋_GB2312"/>
          <w:color w:val="auto"/>
          <w:szCs w:val="21"/>
          <w:highlight w:val="none"/>
        </w:rPr>
        <w:t>（3）对《用款申请书》、《共管资金划款通知书》等文件和预留印鉴进行一致性形式性的审查，并按约定将共管资金划入收款方。</w:t>
      </w:r>
    </w:p>
    <w:p w14:paraId="3F77CF54">
      <w:pPr>
        <w:ind w:firstLine="315" w:firstLineChars="150"/>
        <w:rPr>
          <w:rFonts w:ascii="宋体" w:hAnsi="宋体" w:eastAsia="宋体" w:cs="仿宋_GB2312"/>
          <w:color w:val="auto"/>
          <w:szCs w:val="21"/>
          <w:highlight w:val="none"/>
        </w:rPr>
      </w:pPr>
      <w:r>
        <w:rPr>
          <w:rFonts w:hint="eastAsia" w:ascii="宋体" w:hAnsi="宋体" w:eastAsia="宋体" w:cs="仿宋_GB2312"/>
          <w:color w:val="auto"/>
          <w:szCs w:val="21"/>
          <w:highlight w:val="none"/>
        </w:rPr>
        <w:t>第三条</w:t>
      </w:r>
      <w:r>
        <w:rPr>
          <w:rFonts w:ascii="宋体" w:hAnsi="宋体" w:eastAsia="宋体" w:cs="仿宋_GB2312"/>
          <w:color w:val="auto"/>
          <w:szCs w:val="21"/>
          <w:highlight w:val="none"/>
        </w:rPr>
        <w:t xml:space="preserve"> </w:t>
      </w:r>
      <w:r>
        <w:rPr>
          <w:rFonts w:hint="eastAsia" w:ascii="宋体" w:hAnsi="宋体" w:eastAsia="宋体" w:cs="仿宋_GB2312"/>
          <w:color w:val="auto"/>
          <w:szCs w:val="21"/>
          <w:highlight w:val="none"/>
        </w:rPr>
        <w:t>共管资金的使用</w:t>
      </w:r>
    </w:p>
    <w:p w14:paraId="525C97F2">
      <w:pPr>
        <w:ind w:firstLine="420" w:firstLineChars="200"/>
        <w:rPr>
          <w:rFonts w:ascii="宋体" w:hAnsi="宋体" w:eastAsia="宋体" w:cs="仿宋_GB2312"/>
          <w:color w:val="auto"/>
          <w:szCs w:val="21"/>
          <w:highlight w:val="none"/>
        </w:rPr>
      </w:pPr>
      <w:r>
        <w:rPr>
          <w:rFonts w:ascii="宋体" w:hAnsi="宋体" w:eastAsia="宋体" w:cs="仿宋_GB2312"/>
          <w:color w:val="auto"/>
          <w:szCs w:val="21"/>
          <w:highlight w:val="none"/>
        </w:rPr>
        <w:t xml:space="preserve">1. </w:t>
      </w:r>
      <w:r>
        <w:rPr>
          <w:rFonts w:hint="eastAsia" w:ascii="宋体" w:hAnsi="宋体" w:eastAsia="宋体" w:cs="仿宋_GB2312"/>
          <w:color w:val="auto"/>
          <w:szCs w:val="21"/>
          <w:highlight w:val="none"/>
        </w:rPr>
        <w:t>共管资金指定用途为</w:t>
      </w:r>
      <w:r>
        <w:rPr>
          <w:rFonts w:hint="eastAsia" w:ascii="宋体" w:hAnsi="宋体" w:eastAsia="宋体"/>
          <w:bCs/>
          <w:color w:val="auto"/>
          <w:szCs w:val="21"/>
          <w:highlight w:val="none"/>
        </w:rPr>
        <w:t>《施工合同》</w:t>
      </w:r>
      <w:r>
        <w:rPr>
          <w:rFonts w:hint="eastAsia" w:ascii="宋体" w:hAnsi="宋体" w:eastAsia="宋体" w:cs="仿宋_GB2312"/>
          <w:color w:val="auto"/>
          <w:szCs w:val="21"/>
          <w:highlight w:val="none"/>
        </w:rPr>
        <w:t>工程实施支出；</w:t>
      </w:r>
    </w:p>
    <w:p w14:paraId="46C4934E">
      <w:pPr>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2.乙方申请支付共管资金，应在用款前按《</w:t>
      </w:r>
      <w:r>
        <w:rPr>
          <w:rFonts w:hint="eastAsia" w:ascii="宋体" w:hAnsi="宋体" w:cs="仿宋_GB2312"/>
          <w:color w:val="auto"/>
          <w:szCs w:val="21"/>
          <w:highlight w:val="none"/>
          <w:lang w:eastAsia="zh-CN"/>
        </w:rPr>
        <w:t>共管工程预付款使用监管办法</w:t>
      </w:r>
      <w:r>
        <w:rPr>
          <w:rFonts w:hint="eastAsia" w:ascii="宋体" w:hAnsi="宋体" w:eastAsia="宋体" w:cs="仿宋_GB2312"/>
          <w:color w:val="auto"/>
          <w:szCs w:val="21"/>
          <w:highlight w:val="none"/>
        </w:rPr>
        <w:t>》规定，向甲、丙方提交《用款申请书》（格式见附件一）和《管理人员工资发放明细表》（含经乙方盖章核实的上期实际支付及本期支付计划）（格式见附件二）及《</w:t>
      </w:r>
      <w:r>
        <w:rPr>
          <w:rFonts w:hint="eastAsia" w:ascii="宋体" w:hAnsi="宋体" w:cs="仿宋_GB2312"/>
          <w:color w:val="auto"/>
          <w:szCs w:val="21"/>
          <w:highlight w:val="none"/>
          <w:lang w:eastAsia="zh-CN"/>
        </w:rPr>
        <w:t>共管工程预付款使用监管办法</w:t>
      </w:r>
      <w:r>
        <w:rPr>
          <w:rFonts w:hint="eastAsia" w:ascii="宋体" w:hAnsi="宋体" w:eastAsia="宋体" w:cs="仿宋_GB2312"/>
          <w:color w:val="auto"/>
          <w:szCs w:val="21"/>
          <w:highlight w:val="none"/>
        </w:rPr>
        <w:t>》规定的其他资料。甲方应在预付款审批完成且双方确认金额和达成一致意见后5个工作日内出具《共管资金划款通知书》给乙方，由乙方送丙方柜台办理付款手续。《用款申请书》应正确清楚地列明收取托管资金的收款账户，乙方应自行承担因提供账户错误信息导致资金划转延误或发生损失的后果；</w:t>
      </w:r>
    </w:p>
    <w:p w14:paraId="7390D765">
      <w:pPr>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3. 甲、丙方根据乙方提出的用款申请进行审核，如因乙方指令不合规或者提供的其它支付证明材料未符合甲、丙方要求，甲方有权拒绝支付；</w:t>
      </w:r>
    </w:p>
    <w:p w14:paraId="2F33A62F">
      <w:pPr>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4. 丙方对乙方提供的经甲方审核同意的《用款申请书》、《共管账户划款通知书》以及约定的其它相关支付证明文件进行一致性形式性的审查。审查通过后，将共管账户中的资金划转至乙方申请并经甲方审核同意的指定账户；</w:t>
      </w:r>
    </w:p>
    <w:p w14:paraId="4828D189">
      <w:pPr>
        <w:ind w:firstLine="315" w:firstLineChars="150"/>
        <w:rPr>
          <w:rFonts w:ascii="宋体" w:hAnsi="宋体" w:eastAsia="宋体" w:cs="仿宋_GB2312"/>
          <w:color w:val="auto"/>
          <w:szCs w:val="21"/>
          <w:highlight w:val="none"/>
        </w:rPr>
      </w:pPr>
      <w:r>
        <w:rPr>
          <w:rFonts w:hint="eastAsia" w:ascii="宋体" w:hAnsi="宋体" w:eastAsia="宋体" w:cs="仿宋_GB2312"/>
          <w:color w:val="auto"/>
          <w:szCs w:val="21"/>
          <w:highlight w:val="none"/>
        </w:rPr>
        <w:t>5. 乙方办理共管资金支付每一笔款项，仅可通过丙方柜台转账方式，不能通过他行进行提出票处理，如未能遵守该约定造成损失及不良影响，则乙方自行承担。</w:t>
      </w:r>
    </w:p>
    <w:p w14:paraId="5D500463">
      <w:pPr>
        <w:ind w:firstLine="315" w:firstLineChars="150"/>
        <w:rPr>
          <w:rFonts w:ascii="宋体" w:hAnsi="宋体" w:eastAsia="宋体" w:cs="仿宋_GB2312"/>
          <w:color w:val="auto"/>
          <w:szCs w:val="21"/>
          <w:highlight w:val="none"/>
        </w:rPr>
      </w:pPr>
    </w:p>
    <w:p w14:paraId="77CBFFD5">
      <w:pPr>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第四条</w:t>
      </w:r>
      <w:r>
        <w:rPr>
          <w:rFonts w:ascii="宋体" w:hAnsi="宋体" w:eastAsia="宋体" w:cs="仿宋_GB2312"/>
          <w:color w:val="auto"/>
          <w:szCs w:val="21"/>
          <w:highlight w:val="none"/>
        </w:rPr>
        <w:t xml:space="preserve">   </w:t>
      </w:r>
      <w:r>
        <w:rPr>
          <w:rFonts w:hint="eastAsia" w:ascii="宋体" w:hAnsi="宋体" w:eastAsia="宋体" w:cs="仿宋_GB2312"/>
          <w:color w:val="auto"/>
          <w:szCs w:val="21"/>
          <w:highlight w:val="none"/>
        </w:rPr>
        <w:t>共管资金的拒付</w:t>
      </w:r>
    </w:p>
    <w:p w14:paraId="265F5877">
      <w:pPr>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具备下列情形之一的，丙方有权拒绝乙方从共管账户划款的请求，由此造成的后果由乙方承担：</w:t>
      </w:r>
    </w:p>
    <w:p w14:paraId="11FA3CBC">
      <w:pPr>
        <w:ind w:firstLine="420" w:firstLineChars="200"/>
        <w:rPr>
          <w:rFonts w:ascii="宋体" w:hAnsi="宋体" w:eastAsia="宋体" w:cs="仿宋_GB2312"/>
          <w:color w:val="auto"/>
          <w:szCs w:val="21"/>
          <w:highlight w:val="none"/>
        </w:rPr>
      </w:pPr>
      <w:r>
        <w:rPr>
          <w:rFonts w:ascii="宋体" w:hAnsi="宋体" w:eastAsia="宋体" w:cs="仿宋_GB2312"/>
          <w:color w:val="auto"/>
          <w:szCs w:val="21"/>
          <w:highlight w:val="none"/>
        </w:rPr>
        <w:t>1.</w:t>
      </w:r>
      <w:r>
        <w:rPr>
          <w:rFonts w:hint="eastAsia" w:ascii="宋体" w:hAnsi="宋体" w:eastAsia="宋体" w:cs="仿宋_GB2312"/>
          <w:color w:val="auto"/>
          <w:szCs w:val="21"/>
          <w:highlight w:val="none"/>
        </w:rPr>
        <w:t>《用款申请书》付款金额超出共管资金余额；</w:t>
      </w:r>
    </w:p>
    <w:p w14:paraId="1B489814">
      <w:pPr>
        <w:ind w:firstLine="420" w:firstLineChars="200"/>
        <w:rPr>
          <w:rFonts w:ascii="宋体" w:hAnsi="宋体" w:eastAsia="宋体" w:cs="仿宋_GB2312"/>
          <w:color w:val="auto"/>
          <w:szCs w:val="21"/>
          <w:highlight w:val="none"/>
        </w:rPr>
      </w:pPr>
      <w:r>
        <w:rPr>
          <w:rFonts w:ascii="宋体" w:hAnsi="宋体" w:eastAsia="宋体" w:cs="仿宋_GB2312"/>
          <w:color w:val="auto"/>
          <w:szCs w:val="21"/>
          <w:highlight w:val="none"/>
        </w:rPr>
        <w:t>2.</w:t>
      </w:r>
      <w:r>
        <w:rPr>
          <w:rFonts w:hint="eastAsia" w:ascii="宋体" w:hAnsi="宋体" w:eastAsia="宋体" w:cs="仿宋_GB2312"/>
          <w:color w:val="auto"/>
          <w:szCs w:val="21"/>
          <w:highlight w:val="none"/>
        </w:rPr>
        <w:t>乙方提交的资料或证明文件不符合法律法规规定和本协议约定；</w:t>
      </w:r>
    </w:p>
    <w:p w14:paraId="04CB8BFC">
      <w:pPr>
        <w:ind w:firstLine="420" w:firstLineChars="200"/>
        <w:rPr>
          <w:rFonts w:ascii="宋体" w:hAnsi="宋体" w:eastAsia="宋体" w:cs="仿宋_GB2312"/>
          <w:color w:val="auto"/>
          <w:szCs w:val="21"/>
          <w:highlight w:val="none"/>
        </w:rPr>
      </w:pPr>
      <w:r>
        <w:rPr>
          <w:rFonts w:ascii="宋体" w:hAnsi="宋体" w:eastAsia="宋体" w:cs="仿宋_GB2312"/>
          <w:color w:val="auto"/>
          <w:szCs w:val="21"/>
          <w:highlight w:val="none"/>
        </w:rPr>
        <w:t>3.</w:t>
      </w:r>
      <w:r>
        <w:rPr>
          <w:rFonts w:hint="eastAsia" w:ascii="宋体" w:hAnsi="宋体" w:eastAsia="宋体" w:cs="仿宋_GB2312"/>
          <w:color w:val="auto"/>
          <w:szCs w:val="21"/>
          <w:highlight w:val="none"/>
        </w:rPr>
        <w:t>乙方应经甲、丙方等相关方同意而未经相关方出具同意意见或资金用途不符合相关约定或共管要求；</w:t>
      </w:r>
    </w:p>
    <w:p w14:paraId="0865254B">
      <w:pPr>
        <w:ind w:firstLine="420" w:firstLineChars="200"/>
        <w:rPr>
          <w:rFonts w:ascii="宋体" w:hAnsi="宋体" w:eastAsia="宋体" w:cs="仿宋_GB2312"/>
          <w:color w:val="auto"/>
          <w:szCs w:val="21"/>
          <w:highlight w:val="none"/>
        </w:rPr>
      </w:pPr>
      <w:r>
        <w:rPr>
          <w:rFonts w:ascii="宋体" w:hAnsi="宋体" w:eastAsia="宋体" w:cs="仿宋_GB2312"/>
          <w:color w:val="auto"/>
          <w:szCs w:val="21"/>
          <w:highlight w:val="none"/>
        </w:rPr>
        <w:t xml:space="preserve"> 4.收款方与本工程项目没有直接的联系，与实际的施工方和材料的供应商不一致。</w:t>
      </w:r>
    </w:p>
    <w:p w14:paraId="090F527A">
      <w:pPr>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5.乙方提供的《用款申请书》与甲方出具的《共管账户划款通知书》所载内容不一致。</w:t>
      </w:r>
    </w:p>
    <w:p w14:paraId="5BF2A95A">
      <w:pPr>
        <w:ind w:firstLine="420" w:firstLineChars="200"/>
        <w:rPr>
          <w:rFonts w:ascii="宋体" w:hAnsi="宋体" w:eastAsia="宋体" w:cs="仿宋_GB2312"/>
          <w:color w:val="auto"/>
          <w:szCs w:val="21"/>
          <w:highlight w:val="none"/>
        </w:rPr>
      </w:pPr>
      <w:r>
        <w:rPr>
          <w:rFonts w:ascii="宋体" w:hAnsi="宋体" w:eastAsia="宋体" w:cs="仿宋_GB2312"/>
          <w:color w:val="auto"/>
          <w:szCs w:val="21"/>
          <w:highlight w:val="none"/>
        </w:rPr>
        <w:t>第</w:t>
      </w:r>
      <w:r>
        <w:rPr>
          <w:rFonts w:hint="eastAsia" w:ascii="宋体" w:hAnsi="宋体" w:eastAsia="宋体" w:cs="仿宋_GB2312"/>
          <w:color w:val="auto"/>
          <w:szCs w:val="21"/>
          <w:highlight w:val="none"/>
        </w:rPr>
        <w:t>五</w:t>
      </w:r>
      <w:r>
        <w:rPr>
          <w:rFonts w:ascii="宋体" w:hAnsi="宋体" w:eastAsia="宋体" w:cs="仿宋_GB2312"/>
          <w:color w:val="auto"/>
          <w:szCs w:val="21"/>
          <w:highlight w:val="none"/>
        </w:rPr>
        <w:t>条</w:t>
      </w:r>
      <w:r>
        <w:rPr>
          <w:rFonts w:hint="eastAsia" w:ascii="宋体" w:hAnsi="宋体" w:eastAsia="宋体" w:cs="仿宋_GB2312"/>
          <w:color w:val="auto"/>
          <w:szCs w:val="21"/>
          <w:highlight w:val="none"/>
        </w:rPr>
        <w:t xml:space="preserve">  共管资金的冻结和止付</w:t>
      </w:r>
    </w:p>
    <w:p w14:paraId="711D2BD5">
      <w:pPr>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1.本协议生效之日起，甲方</w:t>
      </w:r>
      <w:r>
        <w:rPr>
          <w:rFonts w:ascii="宋体" w:hAnsi="宋体" w:eastAsia="宋体" w:cs="仿宋_GB2312"/>
          <w:color w:val="auto"/>
          <w:szCs w:val="21"/>
          <w:highlight w:val="none"/>
        </w:rPr>
        <w:t>发现乙方将本项目资金挪用、转移或资金流向异常时，</w:t>
      </w:r>
      <w:r>
        <w:rPr>
          <w:rFonts w:hint="eastAsia" w:ascii="宋体" w:hAnsi="宋体" w:eastAsia="宋体" w:cs="仿宋_GB2312"/>
          <w:color w:val="auto"/>
          <w:szCs w:val="21"/>
          <w:highlight w:val="none"/>
        </w:rPr>
        <w:t>有权授权丙方在共管期间中止支付共管账户资金，直至乙方改正为止。</w:t>
      </w:r>
    </w:p>
    <w:p w14:paraId="2A5B36F9">
      <w:pPr>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2.共管账户资金只用于向乙方支付本协议中涉及的款项或退款，不得用于其他用途。</w:t>
      </w:r>
    </w:p>
    <w:p w14:paraId="15BA54B9">
      <w:pPr>
        <w:ind w:left="567"/>
        <w:rPr>
          <w:rFonts w:ascii="宋体" w:hAnsi="宋体" w:eastAsia="宋体" w:cs="仿宋_GB2312"/>
          <w:color w:val="auto"/>
          <w:szCs w:val="21"/>
          <w:highlight w:val="none"/>
        </w:rPr>
      </w:pPr>
      <w:r>
        <w:rPr>
          <w:rFonts w:hint="eastAsia" w:ascii="宋体" w:hAnsi="宋体" w:eastAsia="宋体" w:cs="仿宋_GB2312"/>
          <w:color w:val="auto"/>
          <w:szCs w:val="21"/>
          <w:highlight w:val="none"/>
        </w:rPr>
        <w:t>第六条</w:t>
      </w:r>
      <w:r>
        <w:rPr>
          <w:rFonts w:ascii="宋体" w:hAnsi="宋体" w:eastAsia="宋体" w:cs="仿宋_GB2312"/>
          <w:color w:val="auto"/>
          <w:szCs w:val="21"/>
          <w:highlight w:val="none"/>
        </w:rPr>
        <w:t xml:space="preserve"> </w:t>
      </w:r>
      <w:r>
        <w:rPr>
          <w:rFonts w:hint="eastAsia" w:ascii="宋体" w:hAnsi="宋体" w:eastAsia="宋体" w:cs="仿宋_GB2312"/>
          <w:color w:val="auto"/>
          <w:szCs w:val="21"/>
          <w:highlight w:val="none"/>
        </w:rPr>
        <w:t>共管期间及协议终止</w:t>
      </w:r>
    </w:p>
    <w:p w14:paraId="757F6B2E">
      <w:pPr>
        <w:ind w:firstLine="420" w:firstLineChars="200"/>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共管期间为共管资金转入共管账户至转入本金支付完毕止。如甲、乙、丙三方经协商后缩短或延展共管期间或提前终止共管的，须达成书面补充协议。</w:t>
      </w:r>
    </w:p>
    <w:p w14:paraId="7514F034">
      <w:pPr>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第七条  违约责任</w:t>
      </w:r>
    </w:p>
    <w:p w14:paraId="755CE1C7">
      <w:pPr>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甲、乙、丙三方均应遵守并履行本协议约定的义务与责任，不得设置任何妨碍其他各方履行本协议的事实上或法律上的障碍，任何一方违反本协议的约定，应承担由此造成相应的经济损失的赔偿责任。</w:t>
      </w:r>
    </w:p>
    <w:p w14:paraId="42ED7C50">
      <w:pPr>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第八条</w:t>
      </w:r>
      <w:r>
        <w:rPr>
          <w:rFonts w:ascii="宋体" w:hAnsi="宋体" w:eastAsia="宋体" w:cs="仿宋_GB2312"/>
          <w:color w:val="auto"/>
          <w:szCs w:val="21"/>
          <w:highlight w:val="none"/>
        </w:rPr>
        <w:t xml:space="preserve">  </w:t>
      </w:r>
      <w:r>
        <w:rPr>
          <w:rFonts w:hint="eastAsia" w:ascii="宋体" w:hAnsi="宋体" w:eastAsia="宋体" w:cs="仿宋_GB2312"/>
          <w:color w:val="auto"/>
          <w:szCs w:val="21"/>
          <w:highlight w:val="none"/>
        </w:rPr>
        <w:t>特别声明</w:t>
      </w:r>
    </w:p>
    <w:p w14:paraId="1EA394A9">
      <w:pPr>
        <w:ind w:firstLine="420" w:firstLineChars="200"/>
        <w:rPr>
          <w:rFonts w:ascii="宋体" w:hAnsi="宋体" w:eastAsia="宋体" w:cs="仿宋_GB2312"/>
          <w:color w:val="auto"/>
          <w:szCs w:val="21"/>
          <w:highlight w:val="none"/>
        </w:rPr>
      </w:pPr>
      <w:r>
        <w:rPr>
          <w:rFonts w:ascii="宋体" w:hAnsi="宋体" w:eastAsia="宋体" w:cs="仿宋_GB2312"/>
          <w:color w:val="auto"/>
          <w:szCs w:val="21"/>
          <w:highlight w:val="none"/>
        </w:rPr>
        <w:t>1.</w:t>
      </w:r>
      <w:r>
        <w:rPr>
          <w:rFonts w:hint="eastAsia" w:ascii="宋体" w:hAnsi="宋体" w:eastAsia="宋体" w:cs="仿宋_GB2312"/>
          <w:color w:val="auto"/>
          <w:szCs w:val="21"/>
          <w:highlight w:val="none"/>
        </w:rPr>
        <w:t>乙方与其交易对象在签订和履行交易合同过程中出现任何问题和纠纷，均应自行协商或通过法律途径解决；</w:t>
      </w:r>
    </w:p>
    <w:p w14:paraId="5BD7E832">
      <w:pPr>
        <w:ind w:firstLine="420" w:firstLineChars="200"/>
        <w:rPr>
          <w:rFonts w:ascii="宋体" w:hAnsi="宋体" w:eastAsia="宋体" w:cs="仿宋_GB2312"/>
          <w:color w:val="auto"/>
          <w:szCs w:val="21"/>
          <w:highlight w:val="none"/>
        </w:rPr>
      </w:pPr>
      <w:r>
        <w:rPr>
          <w:rFonts w:ascii="宋体" w:hAnsi="宋体" w:eastAsia="宋体" w:cs="仿宋_GB2312"/>
          <w:color w:val="auto"/>
          <w:szCs w:val="21"/>
          <w:highlight w:val="none"/>
        </w:rPr>
        <w:t>2.</w:t>
      </w:r>
      <w:r>
        <w:rPr>
          <w:rFonts w:hint="eastAsia" w:ascii="宋体" w:hAnsi="宋体" w:eastAsia="宋体" w:cs="仿宋_GB2312"/>
          <w:color w:val="auto"/>
          <w:szCs w:val="21"/>
          <w:highlight w:val="none"/>
        </w:rPr>
        <w:t xml:space="preserve"> 因国家政策或相关法律法规限制，或者共管资金在由丙方保管期间被有权机关托管、查封、止付、冻结、扣划，或存在其他情况，致使资金无法按协议约定划转的，甲方及（或）丙方不承担任何法律责任；</w:t>
      </w:r>
    </w:p>
    <w:p w14:paraId="6FB88825">
      <w:pPr>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3. 乙方承诺并保证共管资金的用途合法，乙方与其交易对象所从事的任何与本协议相关的活动均应符合法律法规，因违反法律法规并给甲方及（或）丙方造成任何损失的，应对甲方及（或）丙方的损失承担赔偿责任；</w:t>
      </w:r>
    </w:p>
    <w:p w14:paraId="2E7B0961">
      <w:pPr>
        <w:ind w:firstLine="420" w:firstLineChars="200"/>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4</w:t>
      </w:r>
      <w:r>
        <w:rPr>
          <w:rFonts w:ascii="宋体" w:hAnsi="宋体" w:eastAsia="宋体" w:cs="仿宋_GB2312"/>
          <w:color w:val="auto"/>
          <w:szCs w:val="21"/>
          <w:highlight w:val="none"/>
        </w:rPr>
        <w:t>.</w:t>
      </w:r>
      <w:r>
        <w:rPr>
          <w:rFonts w:hint="eastAsia" w:ascii="宋体" w:hAnsi="宋体" w:eastAsia="宋体" w:cs="仿宋_GB2312"/>
          <w:color w:val="auto"/>
          <w:szCs w:val="21"/>
          <w:highlight w:val="none"/>
        </w:rPr>
        <w:t xml:space="preserve"> 除法律、法规规定，以及因本项目专项资金共管业务的需要和三方特别约定外，未经三方一致同意，任何一方不得向外提供涉及三方商业秘密的资料。</w:t>
      </w:r>
    </w:p>
    <w:p w14:paraId="236D6EB9">
      <w:pPr>
        <w:adjustRightInd w:val="0"/>
        <w:snapToGrid w:val="0"/>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第九条</w:t>
      </w:r>
      <w:r>
        <w:rPr>
          <w:rFonts w:ascii="宋体" w:hAnsi="宋体" w:eastAsia="宋体" w:cs="仿宋_GB2312"/>
          <w:color w:val="auto"/>
          <w:szCs w:val="21"/>
          <w:highlight w:val="none"/>
        </w:rPr>
        <w:t xml:space="preserve">  </w:t>
      </w:r>
      <w:r>
        <w:rPr>
          <w:rFonts w:hint="eastAsia" w:ascii="宋体" w:hAnsi="宋体" w:eastAsia="宋体" w:cs="仿宋_GB2312"/>
          <w:color w:val="auto"/>
          <w:szCs w:val="21"/>
          <w:highlight w:val="none"/>
        </w:rPr>
        <w:t>争议解决</w:t>
      </w:r>
    </w:p>
    <w:p w14:paraId="75527F0C">
      <w:pPr>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本协议在履行过程中需对协议进行修订、或需解除本协议时，均须三方协商一致，并达成书面协议。书面协议达成之前，不影响本协议条款效力。</w:t>
      </w:r>
    </w:p>
    <w:p w14:paraId="3F3054BC">
      <w:pPr>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本协议未尽事宜，由三方协商解决，未能友好协商解决的，任何一方均有权向甲方所在地人民法院提起诉讼。</w:t>
      </w:r>
    </w:p>
    <w:p w14:paraId="27560C9C">
      <w:pPr>
        <w:adjustRightInd w:val="0"/>
        <w:snapToGrid w:val="0"/>
        <w:ind w:firstLine="310" w:firstLineChars="148"/>
        <w:rPr>
          <w:rFonts w:ascii="宋体" w:hAnsi="宋体" w:eastAsia="宋体" w:cs="仿宋_GB2312"/>
          <w:color w:val="auto"/>
          <w:szCs w:val="21"/>
          <w:highlight w:val="none"/>
        </w:rPr>
      </w:pPr>
      <w:r>
        <w:rPr>
          <w:rFonts w:hint="eastAsia" w:ascii="宋体" w:hAnsi="宋体" w:eastAsia="宋体" w:cs="仿宋_GB2312"/>
          <w:color w:val="auto"/>
          <w:szCs w:val="21"/>
          <w:highlight w:val="none"/>
        </w:rPr>
        <w:t>第十条 本协议的生效</w:t>
      </w:r>
    </w:p>
    <w:p w14:paraId="2B73C478">
      <w:pPr>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本协议自甲、乙、丙三方法定代表人（或负责人）或其授权代理人签字并加盖公章之日起生效。</w:t>
      </w:r>
    </w:p>
    <w:p w14:paraId="7813A24A">
      <w:pPr>
        <w:ind w:left="602"/>
        <w:rPr>
          <w:rFonts w:ascii="宋体" w:hAnsi="宋体" w:eastAsia="宋体" w:cs="仿宋_GB2312"/>
          <w:color w:val="auto"/>
          <w:szCs w:val="21"/>
          <w:highlight w:val="none"/>
        </w:rPr>
      </w:pPr>
      <w:r>
        <w:rPr>
          <w:rFonts w:hint="eastAsia" w:ascii="宋体" w:hAnsi="宋体" w:eastAsia="宋体" w:cs="仿宋_GB2312"/>
          <w:color w:val="auto"/>
          <w:szCs w:val="21"/>
          <w:highlight w:val="none"/>
        </w:rPr>
        <w:t>第十一条 附则</w:t>
      </w:r>
    </w:p>
    <w:p w14:paraId="78F47563">
      <w:pPr>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本协议一式捌份，甲方执肆份，乙方、丙方各执贰份，具有同等法律效力。</w:t>
      </w:r>
    </w:p>
    <w:p w14:paraId="36F5D423">
      <w:pPr>
        <w:ind w:firstLine="420" w:firstLineChars="200"/>
        <w:rPr>
          <w:rFonts w:ascii="宋体" w:hAnsi="宋体" w:eastAsia="宋体" w:cs="仿宋_GB2312"/>
          <w:color w:val="auto"/>
          <w:szCs w:val="21"/>
          <w:highlight w:val="none"/>
        </w:rPr>
      </w:pPr>
    </w:p>
    <w:p w14:paraId="2C70957F">
      <w:pPr>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附件:</w:t>
      </w:r>
    </w:p>
    <w:p w14:paraId="1A9F0856">
      <w:pPr>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一、《用款申请书》;</w:t>
      </w:r>
    </w:p>
    <w:p w14:paraId="007CCF45">
      <w:pPr>
        <w:ind w:firstLine="420" w:firstLineChars="200"/>
        <w:rPr>
          <w:rFonts w:ascii="宋体" w:hAnsi="宋体" w:eastAsia="宋体" w:cs="仿宋_GB2312"/>
          <w:b/>
          <w:bCs/>
          <w:color w:val="auto"/>
          <w:szCs w:val="21"/>
          <w:highlight w:val="none"/>
        </w:rPr>
      </w:pPr>
      <w:r>
        <w:rPr>
          <w:rFonts w:hint="eastAsia" w:ascii="宋体" w:hAnsi="宋体" w:eastAsia="宋体" w:cs="仿宋_GB2312"/>
          <w:color w:val="auto"/>
          <w:szCs w:val="21"/>
          <w:highlight w:val="none"/>
        </w:rPr>
        <w:t>二、《上期实际发放管理人员工资明细表》、《本期计划发放管理人员工资明细表</w:t>
      </w:r>
      <w:r>
        <w:rPr>
          <w:rFonts w:hint="eastAsia" w:ascii="宋体" w:hAnsi="宋体" w:eastAsia="宋体" w:cs="仿宋_GB2312"/>
          <w:b/>
          <w:bCs/>
          <w:color w:val="auto"/>
          <w:szCs w:val="21"/>
          <w:highlight w:val="none"/>
        </w:rPr>
        <w:t>》;</w:t>
      </w:r>
    </w:p>
    <w:p w14:paraId="14E97B83">
      <w:pPr>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三、《共管账户划款通知书》;</w:t>
      </w:r>
    </w:p>
    <w:p w14:paraId="05394374">
      <w:pPr>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四、项目资金支付审批流程概览;</w:t>
      </w:r>
    </w:p>
    <w:p w14:paraId="31B4C432">
      <w:pPr>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五、《共管工程</w:t>
      </w:r>
      <w:r>
        <w:rPr>
          <w:rFonts w:hint="eastAsia" w:ascii="宋体" w:hAnsi="宋体" w:eastAsia="宋体" w:cs="仿宋_GB2312"/>
          <w:color w:val="auto"/>
          <w:szCs w:val="21"/>
          <w:highlight w:val="none"/>
          <w:lang w:eastAsia="zh-CN"/>
        </w:rPr>
        <w:t>预付</w:t>
      </w:r>
      <w:r>
        <w:rPr>
          <w:rFonts w:hint="eastAsia" w:ascii="宋体" w:hAnsi="宋体" w:eastAsia="宋体" w:cs="仿宋_GB2312"/>
          <w:color w:val="auto"/>
          <w:szCs w:val="21"/>
          <w:highlight w:val="none"/>
        </w:rPr>
        <w:t>款使用监管办法》</w:t>
      </w:r>
    </w:p>
    <w:p w14:paraId="17AFB55B">
      <w:pPr>
        <w:ind w:firstLine="420" w:firstLineChars="200"/>
        <w:rPr>
          <w:rFonts w:ascii="宋体" w:hAnsi="宋体" w:eastAsia="宋体" w:cs="仿宋_GB2312"/>
          <w:color w:val="auto"/>
          <w:szCs w:val="21"/>
          <w:highlight w:val="none"/>
        </w:rPr>
      </w:pPr>
    </w:p>
    <w:p w14:paraId="54BD2995">
      <w:pPr>
        <w:ind w:firstLine="420" w:firstLineChars="200"/>
        <w:rPr>
          <w:rFonts w:ascii="宋体" w:hAnsi="宋体" w:eastAsia="宋体" w:cs="仿宋_GB2312"/>
          <w:color w:val="auto"/>
          <w:szCs w:val="21"/>
          <w:highlight w:val="none"/>
        </w:rPr>
      </w:pPr>
    </w:p>
    <w:p w14:paraId="63B885FD">
      <w:pPr>
        <w:ind w:firstLine="420" w:firstLineChars="200"/>
        <w:rPr>
          <w:rFonts w:ascii="宋体" w:hAnsi="宋体" w:eastAsia="宋体" w:cs="仿宋_GB2312"/>
          <w:color w:val="auto"/>
          <w:szCs w:val="21"/>
          <w:highlight w:val="none"/>
        </w:rPr>
      </w:pPr>
      <w:r>
        <w:rPr>
          <w:rFonts w:ascii="宋体" w:hAnsi="宋体" w:eastAsia="宋体" w:cs="仿宋_GB2312"/>
          <w:color w:val="auto"/>
          <w:szCs w:val="21"/>
          <w:highlight w:val="none"/>
        </w:rPr>
        <w:t>以下无正文</w:t>
      </w:r>
    </w:p>
    <w:p w14:paraId="64B1E2B3">
      <w:pPr>
        <w:rPr>
          <w:rFonts w:ascii="宋体" w:hAnsi="宋体" w:eastAsia="宋体" w:cs="仿宋_GB2312"/>
          <w:color w:val="auto"/>
          <w:szCs w:val="21"/>
          <w:highlight w:val="none"/>
        </w:rPr>
      </w:pPr>
    </w:p>
    <w:p w14:paraId="45AEA9C2">
      <w:pPr>
        <w:rPr>
          <w:rFonts w:ascii="宋体" w:hAnsi="宋体" w:eastAsia="宋体" w:cs="仿宋_GB2312"/>
          <w:color w:val="auto"/>
          <w:szCs w:val="21"/>
          <w:highlight w:val="none"/>
        </w:rPr>
      </w:pPr>
    </w:p>
    <w:p w14:paraId="23DBC82B">
      <w:pPr>
        <w:rPr>
          <w:rFonts w:ascii="宋体" w:hAnsi="宋体" w:eastAsia="宋体" w:cs="仿宋_GB2312"/>
          <w:color w:val="auto"/>
          <w:szCs w:val="21"/>
          <w:highlight w:val="none"/>
        </w:rPr>
      </w:pPr>
      <w:r>
        <w:rPr>
          <w:rFonts w:hint="eastAsia" w:ascii="宋体" w:hAnsi="宋体" w:eastAsia="宋体" w:cs="仿宋_GB2312"/>
          <w:color w:val="auto"/>
          <w:szCs w:val="21"/>
          <w:highlight w:val="none"/>
        </w:rPr>
        <w:t>甲方（盖公章）：</w:t>
      </w:r>
      <w:r>
        <w:rPr>
          <w:rFonts w:ascii="宋体" w:hAnsi="宋体" w:eastAsia="宋体" w:cs="仿宋_GB2312"/>
          <w:color w:val="auto"/>
          <w:szCs w:val="21"/>
          <w:highlight w:val="none"/>
        </w:rPr>
        <w:t xml:space="preserve"> </w:t>
      </w:r>
    </w:p>
    <w:p w14:paraId="5367574B">
      <w:pPr>
        <w:rPr>
          <w:rFonts w:ascii="宋体" w:hAnsi="宋体" w:eastAsia="宋体" w:cs="仿宋_GB2312"/>
          <w:color w:val="auto"/>
          <w:szCs w:val="21"/>
          <w:highlight w:val="none"/>
        </w:rPr>
      </w:pPr>
    </w:p>
    <w:p w14:paraId="1AA0F910">
      <w:pPr>
        <w:rPr>
          <w:rFonts w:ascii="宋体" w:hAnsi="宋体" w:eastAsia="宋体" w:cs="仿宋_GB2312"/>
          <w:color w:val="auto"/>
          <w:szCs w:val="21"/>
          <w:highlight w:val="none"/>
        </w:rPr>
      </w:pPr>
      <w:r>
        <w:rPr>
          <w:rFonts w:hint="eastAsia" w:ascii="宋体" w:hAnsi="宋体" w:eastAsia="宋体" w:cs="仿宋_GB2312"/>
          <w:color w:val="auto"/>
          <w:szCs w:val="21"/>
          <w:highlight w:val="none"/>
        </w:rPr>
        <w:t>法定代表人（授权代理人）：</w:t>
      </w:r>
    </w:p>
    <w:p w14:paraId="1844395B">
      <w:pPr>
        <w:rPr>
          <w:rFonts w:ascii="宋体" w:hAnsi="宋体" w:eastAsia="宋体" w:cs="仿宋_GB2312"/>
          <w:color w:val="auto"/>
          <w:szCs w:val="21"/>
          <w:highlight w:val="none"/>
        </w:rPr>
      </w:pPr>
    </w:p>
    <w:p w14:paraId="3568D7A7">
      <w:pPr>
        <w:rPr>
          <w:rFonts w:ascii="宋体" w:hAnsi="宋体" w:eastAsia="宋体" w:cs="仿宋_GB2312"/>
          <w:color w:val="auto"/>
          <w:szCs w:val="21"/>
          <w:highlight w:val="none"/>
        </w:rPr>
      </w:pPr>
      <w:r>
        <w:rPr>
          <w:rFonts w:hint="eastAsia" w:ascii="宋体" w:hAnsi="宋体" w:eastAsia="宋体" w:cs="仿宋_GB2312"/>
          <w:color w:val="auto"/>
          <w:szCs w:val="21"/>
          <w:highlight w:val="none"/>
        </w:rPr>
        <w:t>签订日期：</w:t>
      </w:r>
      <w:r>
        <w:rPr>
          <w:rFonts w:ascii="宋体" w:hAnsi="宋体" w:eastAsia="宋体" w:cs="仿宋_GB2312"/>
          <w:color w:val="auto"/>
          <w:szCs w:val="21"/>
          <w:highlight w:val="none"/>
        </w:rPr>
        <w:t xml:space="preserve">             </w:t>
      </w:r>
      <w:r>
        <w:rPr>
          <w:rFonts w:hint="eastAsia" w:ascii="宋体" w:hAnsi="宋体" w:eastAsia="宋体" w:cs="仿宋_GB2312"/>
          <w:color w:val="auto"/>
          <w:szCs w:val="21"/>
          <w:highlight w:val="none"/>
        </w:rPr>
        <w:t>年</w:t>
      </w:r>
      <w:r>
        <w:rPr>
          <w:rFonts w:ascii="宋体" w:hAnsi="宋体" w:eastAsia="宋体" w:cs="仿宋_GB2312"/>
          <w:color w:val="auto"/>
          <w:szCs w:val="21"/>
          <w:highlight w:val="none"/>
        </w:rPr>
        <w:t xml:space="preserve">     </w:t>
      </w:r>
      <w:r>
        <w:rPr>
          <w:rFonts w:hint="eastAsia" w:ascii="宋体" w:hAnsi="宋体" w:eastAsia="宋体" w:cs="仿宋_GB2312"/>
          <w:color w:val="auto"/>
          <w:szCs w:val="21"/>
          <w:highlight w:val="none"/>
        </w:rPr>
        <w:t>月</w:t>
      </w:r>
      <w:r>
        <w:rPr>
          <w:rFonts w:ascii="宋体" w:hAnsi="宋体" w:eastAsia="宋体" w:cs="仿宋_GB2312"/>
          <w:color w:val="auto"/>
          <w:szCs w:val="21"/>
          <w:highlight w:val="none"/>
        </w:rPr>
        <w:t xml:space="preserve">     </w:t>
      </w:r>
      <w:r>
        <w:rPr>
          <w:rFonts w:hint="eastAsia" w:ascii="宋体" w:hAnsi="宋体" w:eastAsia="宋体" w:cs="仿宋_GB2312"/>
          <w:color w:val="auto"/>
          <w:szCs w:val="21"/>
          <w:highlight w:val="none"/>
        </w:rPr>
        <w:t>日</w:t>
      </w:r>
    </w:p>
    <w:p w14:paraId="531870FC">
      <w:pPr>
        <w:rPr>
          <w:rFonts w:ascii="宋体" w:hAnsi="宋体" w:eastAsia="宋体" w:cs="仿宋_GB2312"/>
          <w:color w:val="auto"/>
          <w:szCs w:val="21"/>
          <w:highlight w:val="none"/>
        </w:rPr>
      </w:pPr>
    </w:p>
    <w:p w14:paraId="6A412B9E">
      <w:pPr>
        <w:ind w:right="-867" w:rightChars="-413"/>
        <w:rPr>
          <w:rFonts w:ascii="宋体" w:hAnsi="宋体" w:eastAsia="宋体" w:cs="仿宋_GB2312"/>
          <w:color w:val="auto"/>
          <w:szCs w:val="21"/>
          <w:highlight w:val="none"/>
        </w:rPr>
      </w:pPr>
    </w:p>
    <w:p w14:paraId="4758C2CE">
      <w:pPr>
        <w:ind w:right="-867" w:rightChars="-413"/>
        <w:rPr>
          <w:rFonts w:ascii="宋体" w:hAnsi="宋体" w:eastAsia="宋体" w:cs="仿宋_GB2312"/>
          <w:color w:val="auto"/>
          <w:szCs w:val="21"/>
          <w:highlight w:val="none"/>
        </w:rPr>
      </w:pPr>
      <w:r>
        <w:rPr>
          <w:rFonts w:hint="eastAsia" w:ascii="宋体" w:hAnsi="宋体" w:eastAsia="宋体" w:cs="仿宋_GB2312"/>
          <w:color w:val="auto"/>
          <w:szCs w:val="21"/>
          <w:highlight w:val="none"/>
        </w:rPr>
        <w:t>乙方（盖公章）：</w:t>
      </w:r>
      <w:r>
        <w:rPr>
          <w:rFonts w:ascii="宋体" w:hAnsi="宋体" w:eastAsia="宋体" w:cs="仿宋_GB2312"/>
          <w:color w:val="auto"/>
          <w:szCs w:val="21"/>
          <w:highlight w:val="none"/>
        </w:rPr>
        <w:t xml:space="preserve">                   </w:t>
      </w:r>
    </w:p>
    <w:p w14:paraId="55C24EB6">
      <w:pPr>
        <w:rPr>
          <w:rFonts w:ascii="宋体" w:hAnsi="宋体" w:eastAsia="宋体" w:cs="仿宋_GB2312"/>
          <w:color w:val="auto"/>
          <w:szCs w:val="21"/>
          <w:highlight w:val="none"/>
        </w:rPr>
      </w:pPr>
    </w:p>
    <w:p w14:paraId="3565145F">
      <w:pPr>
        <w:rPr>
          <w:rFonts w:ascii="宋体" w:hAnsi="宋体" w:eastAsia="宋体" w:cs="仿宋_GB2312"/>
          <w:color w:val="auto"/>
          <w:szCs w:val="21"/>
          <w:highlight w:val="none"/>
        </w:rPr>
      </w:pPr>
      <w:r>
        <w:rPr>
          <w:rFonts w:hint="eastAsia" w:ascii="宋体" w:hAnsi="宋体" w:eastAsia="宋体" w:cs="仿宋_GB2312"/>
          <w:color w:val="auto"/>
          <w:szCs w:val="21"/>
          <w:highlight w:val="none"/>
        </w:rPr>
        <w:t>法定代表人（授权代理人）：</w:t>
      </w:r>
    </w:p>
    <w:p w14:paraId="19A74A72">
      <w:pPr>
        <w:rPr>
          <w:rFonts w:ascii="宋体" w:hAnsi="宋体" w:eastAsia="宋体" w:cs="仿宋_GB2312"/>
          <w:color w:val="auto"/>
          <w:szCs w:val="21"/>
          <w:highlight w:val="none"/>
        </w:rPr>
      </w:pPr>
    </w:p>
    <w:p w14:paraId="31846519">
      <w:pPr>
        <w:rPr>
          <w:rFonts w:ascii="宋体" w:hAnsi="宋体" w:eastAsia="宋体" w:cs="仿宋_GB2312"/>
          <w:color w:val="auto"/>
          <w:szCs w:val="21"/>
          <w:highlight w:val="none"/>
        </w:rPr>
      </w:pPr>
      <w:r>
        <w:rPr>
          <w:rFonts w:hint="eastAsia" w:ascii="宋体" w:hAnsi="宋体" w:eastAsia="宋体" w:cs="仿宋_GB2312"/>
          <w:color w:val="auto"/>
          <w:szCs w:val="21"/>
          <w:highlight w:val="none"/>
        </w:rPr>
        <w:t>签订日期：</w:t>
      </w:r>
      <w:r>
        <w:rPr>
          <w:rFonts w:ascii="宋体" w:hAnsi="宋体" w:eastAsia="宋体" w:cs="仿宋_GB2312"/>
          <w:color w:val="auto"/>
          <w:szCs w:val="21"/>
          <w:highlight w:val="none"/>
        </w:rPr>
        <w:t xml:space="preserve">             </w:t>
      </w:r>
      <w:r>
        <w:rPr>
          <w:rFonts w:hint="eastAsia" w:ascii="宋体" w:hAnsi="宋体" w:eastAsia="宋体" w:cs="仿宋_GB2312"/>
          <w:color w:val="auto"/>
          <w:szCs w:val="21"/>
          <w:highlight w:val="none"/>
        </w:rPr>
        <w:t>年</w:t>
      </w:r>
      <w:r>
        <w:rPr>
          <w:rFonts w:ascii="宋体" w:hAnsi="宋体" w:eastAsia="宋体" w:cs="仿宋_GB2312"/>
          <w:color w:val="auto"/>
          <w:szCs w:val="21"/>
          <w:highlight w:val="none"/>
        </w:rPr>
        <w:t xml:space="preserve">     </w:t>
      </w:r>
      <w:r>
        <w:rPr>
          <w:rFonts w:hint="eastAsia" w:ascii="宋体" w:hAnsi="宋体" w:eastAsia="宋体" w:cs="仿宋_GB2312"/>
          <w:color w:val="auto"/>
          <w:szCs w:val="21"/>
          <w:highlight w:val="none"/>
        </w:rPr>
        <w:t>月</w:t>
      </w:r>
      <w:r>
        <w:rPr>
          <w:rFonts w:ascii="宋体" w:hAnsi="宋体" w:eastAsia="宋体" w:cs="仿宋_GB2312"/>
          <w:color w:val="auto"/>
          <w:szCs w:val="21"/>
          <w:highlight w:val="none"/>
        </w:rPr>
        <w:t xml:space="preserve">     </w:t>
      </w:r>
      <w:r>
        <w:rPr>
          <w:rFonts w:hint="eastAsia" w:ascii="宋体" w:hAnsi="宋体" w:eastAsia="宋体" w:cs="仿宋_GB2312"/>
          <w:color w:val="auto"/>
          <w:szCs w:val="21"/>
          <w:highlight w:val="none"/>
        </w:rPr>
        <w:t>日</w:t>
      </w:r>
    </w:p>
    <w:p w14:paraId="37B2305D">
      <w:pPr>
        <w:rPr>
          <w:rFonts w:ascii="宋体" w:hAnsi="宋体" w:eastAsia="宋体" w:cs="仿宋_GB2312"/>
          <w:color w:val="auto"/>
          <w:szCs w:val="21"/>
          <w:highlight w:val="none"/>
        </w:rPr>
      </w:pPr>
    </w:p>
    <w:p w14:paraId="6EDAC6EA">
      <w:pPr>
        <w:ind w:right="-867" w:rightChars="-413"/>
        <w:rPr>
          <w:rFonts w:ascii="宋体" w:hAnsi="宋体" w:eastAsia="宋体" w:cs="仿宋_GB2312"/>
          <w:color w:val="auto"/>
          <w:szCs w:val="21"/>
          <w:highlight w:val="none"/>
        </w:rPr>
      </w:pPr>
    </w:p>
    <w:p w14:paraId="7709D633">
      <w:pPr>
        <w:ind w:right="-867" w:rightChars="-413"/>
        <w:rPr>
          <w:rFonts w:ascii="宋体" w:hAnsi="宋体" w:eastAsia="宋体" w:cs="仿宋_GB2312"/>
          <w:color w:val="auto"/>
          <w:szCs w:val="21"/>
          <w:highlight w:val="none"/>
        </w:rPr>
      </w:pPr>
      <w:r>
        <w:rPr>
          <w:rFonts w:hint="eastAsia" w:ascii="宋体" w:hAnsi="宋体" w:eastAsia="宋体" w:cs="仿宋_GB2312"/>
          <w:color w:val="auto"/>
          <w:szCs w:val="21"/>
          <w:highlight w:val="none"/>
        </w:rPr>
        <w:t>丙方（盖公章）：</w:t>
      </w:r>
      <w:r>
        <w:rPr>
          <w:rFonts w:ascii="宋体" w:hAnsi="宋体" w:eastAsia="宋体" w:cs="仿宋_GB2312"/>
          <w:color w:val="auto"/>
          <w:szCs w:val="21"/>
          <w:highlight w:val="none"/>
        </w:rPr>
        <w:t xml:space="preserve">                   </w:t>
      </w:r>
    </w:p>
    <w:p w14:paraId="5322AD80">
      <w:pPr>
        <w:rPr>
          <w:rFonts w:ascii="宋体" w:hAnsi="宋体" w:eastAsia="宋体" w:cs="仿宋_GB2312"/>
          <w:color w:val="auto"/>
          <w:szCs w:val="21"/>
          <w:highlight w:val="none"/>
        </w:rPr>
      </w:pPr>
    </w:p>
    <w:p w14:paraId="46D40880">
      <w:pPr>
        <w:rPr>
          <w:rFonts w:ascii="宋体" w:hAnsi="宋体" w:eastAsia="宋体" w:cs="仿宋_GB2312"/>
          <w:color w:val="auto"/>
          <w:szCs w:val="21"/>
          <w:highlight w:val="none"/>
        </w:rPr>
      </w:pPr>
      <w:r>
        <w:rPr>
          <w:rFonts w:hint="eastAsia" w:ascii="宋体" w:hAnsi="宋体" w:eastAsia="宋体" w:cs="仿宋_GB2312"/>
          <w:color w:val="auto"/>
          <w:szCs w:val="21"/>
          <w:highlight w:val="none"/>
        </w:rPr>
        <w:t>法定代表人（授权代理人）：</w:t>
      </w:r>
    </w:p>
    <w:p w14:paraId="102EE5EF">
      <w:pPr>
        <w:rPr>
          <w:rFonts w:ascii="宋体" w:hAnsi="宋体" w:eastAsia="宋体" w:cs="仿宋_GB2312"/>
          <w:color w:val="auto"/>
          <w:szCs w:val="21"/>
          <w:highlight w:val="none"/>
        </w:rPr>
      </w:pPr>
    </w:p>
    <w:p w14:paraId="15B1E4AE">
      <w:pPr>
        <w:rPr>
          <w:rFonts w:ascii="宋体" w:hAnsi="宋体" w:eastAsia="宋体" w:cs="仿宋_GB2312"/>
          <w:color w:val="auto"/>
          <w:szCs w:val="21"/>
          <w:highlight w:val="none"/>
        </w:rPr>
        <w:sectPr>
          <w:pgSz w:w="11907" w:h="16840"/>
          <w:pgMar w:top="1134" w:right="1418" w:bottom="1134" w:left="1418" w:header="851" w:footer="992" w:gutter="0"/>
          <w:cols w:space="720" w:num="1"/>
          <w:docGrid w:linePitch="312" w:charSpace="0"/>
        </w:sectPr>
      </w:pPr>
      <w:r>
        <w:rPr>
          <w:rFonts w:hint="eastAsia" w:ascii="宋体" w:hAnsi="宋体" w:eastAsia="宋体" w:cs="仿宋_GB2312"/>
          <w:color w:val="auto"/>
          <w:szCs w:val="21"/>
          <w:highlight w:val="none"/>
        </w:rPr>
        <w:t>签订日期：</w:t>
      </w:r>
      <w:r>
        <w:rPr>
          <w:rFonts w:ascii="宋体" w:hAnsi="宋体" w:eastAsia="宋体" w:cs="仿宋_GB2312"/>
          <w:color w:val="auto"/>
          <w:szCs w:val="21"/>
          <w:highlight w:val="none"/>
        </w:rPr>
        <w:t xml:space="preserve">             </w:t>
      </w:r>
      <w:r>
        <w:rPr>
          <w:rFonts w:hint="eastAsia" w:ascii="宋体" w:hAnsi="宋体" w:eastAsia="宋体" w:cs="仿宋_GB2312"/>
          <w:color w:val="auto"/>
          <w:szCs w:val="21"/>
          <w:highlight w:val="none"/>
        </w:rPr>
        <w:t>年</w:t>
      </w:r>
      <w:r>
        <w:rPr>
          <w:rFonts w:ascii="宋体" w:hAnsi="宋体" w:eastAsia="宋体" w:cs="仿宋_GB2312"/>
          <w:color w:val="auto"/>
          <w:szCs w:val="21"/>
          <w:highlight w:val="none"/>
        </w:rPr>
        <w:t xml:space="preserve">     </w:t>
      </w:r>
      <w:r>
        <w:rPr>
          <w:rFonts w:hint="eastAsia" w:ascii="宋体" w:hAnsi="宋体" w:eastAsia="宋体" w:cs="仿宋_GB2312"/>
          <w:color w:val="auto"/>
          <w:szCs w:val="21"/>
          <w:highlight w:val="none"/>
        </w:rPr>
        <w:t>月</w:t>
      </w:r>
      <w:r>
        <w:rPr>
          <w:rFonts w:ascii="宋体" w:hAnsi="宋体" w:eastAsia="宋体" w:cs="仿宋_GB2312"/>
          <w:color w:val="auto"/>
          <w:szCs w:val="21"/>
          <w:highlight w:val="none"/>
        </w:rPr>
        <w:t xml:space="preserve">     </w:t>
      </w:r>
      <w:r>
        <w:rPr>
          <w:rFonts w:hint="eastAsia" w:ascii="宋体" w:hAnsi="宋体" w:eastAsia="宋体" w:cs="仿宋_GB2312"/>
          <w:color w:val="auto"/>
          <w:szCs w:val="21"/>
          <w:highlight w:val="none"/>
        </w:rPr>
        <w:t>日</w:t>
      </w:r>
    </w:p>
    <w:p w14:paraId="5BBD2BA8">
      <w:pPr>
        <w:rPr>
          <w:color w:val="auto"/>
          <w:highlight w:val="none"/>
        </w:rPr>
      </w:pPr>
    </w:p>
    <w:tbl>
      <w:tblPr>
        <w:tblStyle w:val="50"/>
        <w:tblW w:w="15507" w:type="dxa"/>
        <w:tblInd w:w="-679" w:type="dxa"/>
        <w:tblLayout w:type="autofit"/>
        <w:tblCellMar>
          <w:top w:w="0" w:type="dxa"/>
          <w:left w:w="108" w:type="dxa"/>
          <w:bottom w:w="0" w:type="dxa"/>
          <w:right w:w="108" w:type="dxa"/>
        </w:tblCellMar>
      </w:tblPr>
      <w:tblGrid>
        <w:gridCol w:w="440"/>
        <w:gridCol w:w="1260"/>
        <w:gridCol w:w="887"/>
        <w:gridCol w:w="1035"/>
        <w:gridCol w:w="465"/>
        <w:gridCol w:w="480"/>
        <w:gridCol w:w="280"/>
        <w:gridCol w:w="480"/>
        <w:gridCol w:w="220"/>
        <w:gridCol w:w="1760"/>
        <w:gridCol w:w="284"/>
        <w:gridCol w:w="1116"/>
        <w:gridCol w:w="480"/>
        <w:gridCol w:w="920"/>
        <w:gridCol w:w="480"/>
        <w:gridCol w:w="1115"/>
        <w:gridCol w:w="65"/>
        <w:gridCol w:w="480"/>
        <w:gridCol w:w="460"/>
        <w:gridCol w:w="940"/>
        <w:gridCol w:w="460"/>
        <w:gridCol w:w="1400"/>
      </w:tblGrid>
      <w:tr w14:paraId="344F682A">
        <w:tblPrEx>
          <w:tblCellMar>
            <w:top w:w="0" w:type="dxa"/>
            <w:left w:w="108" w:type="dxa"/>
            <w:bottom w:w="0" w:type="dxa"/>
            <w:right w:w="108" w:type="dxa"/>
          </w:tblCellMar>
        </w:tblPrEx>
        <w:trPr>
          <w:trHeight w:val="315" w:hRule="atLeast"/>
        </w:trPr>
        <w:tc>
          <w:tcPr>
            <w:tcW w:w="2587" w:type="dxa"/>
            <w:gridSpan w:val="3"/>
            <w:tcBorders>
              <w:top w:val="nil"/>
              <w:left w:val="nil"/>
              <w:bottom w:val="nil"/>
              <w:right w:val="nil"/>
            </w:tcBorders>
            <w:noWrap w:val="0"/>
            <w:vAlign w:val="center"/>
          </w:tcPr>
          <w:p w14:paraId="7EF2105E">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附件一：</w:t>
            </w:r>
          </w:p>
        </w:tc>
        <w:tc>
          <w:tcPr>
            <w:tcW w:w="1500" w:type="dxa"/>
            <w:gridSpan w:val="2"/>
            <w:tcBorders>
              <w:top w:val="nil"/>
              <w:left w:val="nil"/>
              <w:bottom w:val="nil"/>
              <w:right w:val="nil"/>
            </w:tcBorders>
            <w:noWrap w:val="0"/>
            <w:vAlign w:val="center"/>
          </w:tcPr>
          <w:p w14:paraId="44FB7D58">
            <w:pPr>
              <w:widowControl/>
              <w:jc w:val="center"/>
              <w:rPr>
                <w:color w:val="auto"/>
                <w:kern w:val="0"/>
                <w:sz w:val="24"/>
                <w:szCs w:val="24"/>
                <w:highlight w:val="none"/>
              </w:rPr>
            </w:pPr>
          </w:p>
        </w:tc>
        <w:tc>
          <w:tcPr>
            <w:tcW w:w="760" w:type="dxa"/>
            <w:gridSpan w:val="2"/>
            <w:tcBorders>
              <w:top w:val="nil"/>
              <w:left w:val="nil"/>
              <w:bottom w:val="nil"/>
              <w:right w:val="nil"/>
            </w:tcBorders>
            <w:noWrap w:val="0"/>
            <w:vAlign w:val="center"/>
          </w:tcPr>
          <w:p w14:paraId="219F5A89">
            <w:pPr>
              <w:widowControl/>
              <w:jc w:val="center"/>
              <w:rPr>
                <w:color w:val="auto"/>
                <w:kern w:val="0"/>
                <w:sz w:val="24"/>
                <w:szCs w:val="24"/>
                <w:highlight w:val="none"/>
              </w:rPr>
            </w:pPr>
          </w:p>
        </w:tc>
        <w:tc>
          <w:tcPr>
            <w:tcW w:w="700" w:type="dxa"/>
            <w:gridSpan w:val="2"/>
            <w:tcBorders>
              <w:top w:val="nil"/>
              <w:left w:val="nil"/>
              <w:bottom w:val="nil"/>
              <w:right w:val="nil"/>
            </w:tcBorders>
            <w:noWrap w:val="0"/>
            <w:vAlign w:val="center"/>
          </w:tcPr>
          <w:p w14:paraId="1CB70D8A">
            <w:pPr>
              <w:widowControl/>
              <w:jc w:val="center"/>
              <w:rPr>
                <w:color w:val="auto"/>
                <w:kern w:val="0"/>
                <w:sz w:val="24"/>
                <w:szCs w:val="24"/>
                <w:highlight w:val="none"/>
              </w:rPr>
            </w:pPr>
          </w:p>
        </w:tc>
        <w:tc>
          <w:tcPr>
            <w:tcW w:w="1760" w:type="dxa"/>
            <w:tcBorders>
              <w:top w:val="nil"/>
              <w:left w:val="nil"/>
              <w:bottom w:val="nil"/>
              <w:right w:val="nil"/>
            </w:tcBorders>
            <w:noWrap w:val="0"/>
            <w:vAlign w:val="center"/>
          </w:tcPr>
          <w:p w14:paraId="0EAF29FB">
            <w:pPr>
              <w:widowControl/>
              <w:jc w:val="center"/>
              <w:rPr>
                <w:color w:val="auto"/>
                <w:kern w:val="0"/>
                <w:sz w:val="24"/>
                <w:szCs w:val="24"/>
                <w:highlight w:val="none"/>
              </w:rPr>
            </w:pPr>
          </w:p>
        </w:tc>
        <w:tc>
          <w:tcPr>
            <w:tcW w:w="1400" w:type="dxa"/>
            <w:gridSpan w:val="2"/>
            <w:tcBorders>
              <w:top w:val="nil"/>
              <w:left w:val="nil"/>
              <w:bottom w:val="nil"/>
              <w:right w:val="nil"/>
            </w:tcBorders>
            <w:noWrap w:val="0"/>
            <w:vAlign w:val="center"/>
          </w:tcPr>
          <w:p w14:paraId="7FFF0B81">
            <w:pPr>
              <w:widowControl/>
              <w:jc w:val="center"/>
              <w:rPr>
                <w:color w:val="auto"/>
                <w:kern w:val="0"/>
                <w:sz w:val="24"/>
                <w:szCs w:val="24"/>
                <w:highlight w:val="none"/>
              </w:rPr>
            </w:pPr>
          </w:p>
        </w:tc>
        <w:tc>
          <w:tcPr>
            <w:tcW w:w="1400" w:type="dxa"/>
            <w:gridSpan w:val="2"/>
            <w:tcBorders>
              <w:top w:val="nil"/>
              <w:left w:val="nil"/>
              <w:bottom w:val="nil"/>
              <w:right w:val="nil"/>
            </w:tcBorders>
            <w:noWrap w:val="0"/>
            <w:vAlign w:val="center"/>
          </w:tcPr>
          <w:p w14:paraId="092BDF5D">
            <w:pPr>
              <w:widowControl/>
              <w:jc w:val="center"/>
              <w:rPr>
                <w:color w:val="auto"/>
                <w:kern w:val="0"/>
                <w:sz w:val="24"/>
                <w:szCs w:val="24"/>
                <w:highlight w:val="none"/>
              </w:rPr>
            </w:pPr>
          </w:p>
        </w:tc>
        <w:tc>
          <w:tcPr>
            <w:tcW w:w="1660" w:type="dxa"/>
            <w:gridSpan w:val="3"/>
            <w:tcBorders>
              <w:top w:val="nil"/>
              <w:left w:val="nil"/>
              <w:bottom w:val="nil"/>
              <w:right w:val="nil"/>
            </w:tcBorders>
            <w:noWrap w:val="0"/>
            <w:vAlign w:val="center"/>
          </w:tcPr>
          <w:p w14:paraId="40ED04C6">
            <w:pPr>
              <w:widowControl/>
              <w:jc w:val="center"/>
              <w:rPr>
                <w:color w:val="auto"/>
                <w:kern w:val="0"/>
                <w:sz w:val="24"/>
                <w:szCs w:val="24"/>
                <w:highlight w:val="none"/>
              </w:rPr>
            </w:pPr>
          </w:p>
        </w:tc>
        <w:tc>
          <w:tcPr>
            <w:tcW w:w="480" w:type="dxa"/>
            <w:tcBorders>
              <w:top w:val="nil"/>
              <w:left w:val="nil"/>
              <w:bottom w:val="nil"/>
              <w:right w:val="nil"/>
            </w:tcBorders>
            <w:noWrap w:val="0"/>
            <w:vAlign w:val="center"/>
          </w:tcPr>
          <w:p w14:paraId="425629AA">
            <w:pPr>
              <w:widowControl/>
              <w:jc w:val="center"/>
              <w:rPr>
                <w:color w:val="auto"/>
                <w:kern w:val="0"/>
                <w:sz w:val="24"/>
                <w:szCs w:val="24"/>
                <w:highlight w:val="none"/>
              </w:rPr>
            </w:pPr>
          </w:p>
        </w:tc>
        <w:tc>
          <w:tcPr>
            <w:tcW w:w="1400" w:type="dxa"/>
            <w:gridSpan w:val="2"/>
            <w:tcBorders>
              <w:top w:val="nil"/>
              <w:left w:val="nil"/>
              <w:bottom w:val="nil"/>
              <w:right w:val="nil"/>
            </w:tcBorders>
            <w:noWrap w:val="0"/>
            <w:vAlign w:val="center"/>
          </w:tcPr>
          <w:p w14:paraId="1820BCDD">
            <w:pPr>
              <w:widowControl/>
              <w:jc w:val="center"/>
              <w:rPr>
                <w:color w:val="auto"/>
                <w:kern w:val="0"/>
                <w:sz w:val="24"/>
                <w:szCs w:val="24"/>
                <w:highlight w:val="none"/>
              </w:rPr>
            </w:pPr>
          </w:p>
        </w:tc>
        <w:tc>
          <w:tcPr>
            <w:tcW w:w="1860" w:type="dxa"/>
            <w:gridSpan w:val="2"/>
            <w:tcBorders>
              <w:top w:val="nil"/>
              <w:left w:val="nil"/>
              <w:bottom w:val="nil"/>
              <w:right w:val="nil"/>
            </w:tcBorders>
            <w:noWrap w:val="0"/>
            <w:vAlign w:val="center"/>
          </w:tcPr>
          <w:p w14:paraId="58BB1932">
            <w:pPr>
              <w:widowControl/>
              <w:jc w:val="center"/>
              <w:rPr>
                <w:color w:val="auto"/>
                <w:kern w:val="0"/>
                <w:sz w:val="24"/>
                <w:szCs w:val="24"/>
                <w:highlight w:val="none"/>
              </w:rPr>
            </w:pPr>
          </w:p>
        </w:tc>
      </w:tr>
      <w:tr w14:paraId="57CC17A0">
        <w:tblPrEx>
          <w:tblCellMar>
            <w:top w:w="0" w:type="dxa"/>
            <w:left w:w="108" w:type="dxa"/>
            <w:bottom w:w="0" w:type="dxa"/>
            <w:right w:w="108" w:type="dxa"/>
          </w:tblCellMar>
        </w:tblPrEx>
        <w:trPr>
          <w:trHeight w:val="510" w:hRule="atLeast"/>
        </w:trPr>
        <w:tc>
          <w:tcPr>
            <w:tcW w:w="15507" w:type="dxa"/>
            <w:gridSpan w:val="22"/>
            <w:tcBorders>
              <w:top w:val="nil"/>
              <w:left w:val="nil"/>
              <w:bottom w:val="nil"/>
              <w:right w:val="nil"/>
            </w:tcBorders>
            <w:noWrap w:val="0"/>
            <w:vAlign w:val="center"/>
          </w:tcPr>
          <w:p w14:paraId="3A22B97F">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工程</w:t>
            </w:r>
          </w:p>
        </w:tc>
      </w:tr>
      <w:tr w14:paraId="014A10D9">
        <w:tblPrEx>
          <w:tblCellMar>
            <w:top w:w="0" w:type="dxa"/>
            <w:left w:w="108" w:type="dxa"/>
            <w:bottom w:w="0" w:type="dxa"/>
            <w:right w:w="108" w:type="dxa"/>
          </w:tblCellMar>
        </w:tblPrEx>
        <w:trPr>
          <w:trHeight w:val="510" w:hRule="atLeast"/>
        </w:trPr>
        <w:tc>
          <w:tcPr>
            <w:tcW w:w="15507" w:type="dxa"/>
            <w:gridSpan w:val="22"/>
            <w:tcBorders>
              <w:top w:val="nil"/>
              <w:left w:val="nil"/>
              <w:bottom w:val="single" w:color="auto" w:sz="4" w:space="0"/>
              <w:right w:val="nil"/>
            </w:tcBorders>
            <w:noWrap w:val="0"/>
            <w:vAlign w:val="center"/>
          </w:tcPr>
          <w:p w14:paraId="153F015F">
            <w:pPr>
              <w:widowControl/>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申请编号：</w:t>
            </w:r>
            <w:r>
              <w:rPr>
                <w:b/>
                <w:bCs/>
                <w:color w:val="auto"/>
                <w:kern w:val="0"/>
                <w:sz w:val="22"/>
                <w:szCs w:val="22"/>
                <w:highlight w:val="none"/>
              </w:rPr>
              <w:t xml:space="preserve">20  </w:t>
            </w:r>
            <w:r>
              <w:rPr>
                <w:rFonts w:hint="eastAsia" w:ascii="宋体" w:hAnsi="宋体" w:cs="宋体"/>
                <w:b/>
                <w:bCs/>
                <w:color w:val="auto"/>
                <w:kern w:val="0"/>
                <w:sz w:val="22"/>
                <w:szCs w:val="22"/>
                <w:highlight w:val="none"/>
              </w:rPr>
              <w:t>年第</w:t>
            </w:r>
            <w:r>
              <w:rPr>
                <w:b/>
                <w:bCs/>
                <w:color w:val="auto"/>
                <w:kern w:val="0"/>
                <w:sz w:val="22"/>
                <w:szCs w:val="22"/>
                <w:highlight w:val="none"/>
              </w:rPr>
              <w:t xml:space="preserve">  </w:t>
            </w:r>
            <w:r>
              <w:rPr>
                <w:rFonts w:hint="eastAsia" w:ascii="宋体" w:hAnsi="宋体" w:cs="宋体"/>
                <w:b/>
                <w:bCs/>
                <w:color w:val="auto"/>
                <w:kern w:val="0"/>
                <w:sz w:val="22"/>
                <w:szCs w:val="22"/>
                <w:highlight w:val="none"/>
              </w:rPr>
              <w:t>次申请</w:t>
            </w:r>
            <w:r>
              <w:rPr>
                <w:b/>
                <w:bCs/>
                <w:color w:val="auto"/>
                <w:kern w:val="0"/>
                <w:sz w:val="40"/>
                <w:szCs w:val="40"/>
                <w:highlight w:val="none"/>
              </w:rPr>
              <w:t xml:space="preserve">              </w:t>
            </w:r>
            <w:r>
              <w:rPr>
                <w:rFonts w:hint="eastAsia"/>
                <w:b/>
                <w:bCs/>
                <w:color w:val="auto"/>
                <w:kern w:val="0"/>
                <w:sz w:val="40"/>
                <w:szCs w:val="40"/>
                <w:highlight w:val="none"/>
              </w:rPr>
              <w:t xml:space="preserve">    </w:t>
            </w:r>
            <w:r>
              <w:rPr>
                <w:rFonts w:hint="eastAsia" w:ascii="宋体" w:hAnsi="宋体" w:cs="宋体"/>
                <w:b/>
                <w:bCs/>
                <w:color w:val="auto"/>
                <w:kern w:val="0"/>
                <w:sz w:val="40"/>
                <w:szCs w:val="40"/>
                <w:highlight w:val="none"/>
              </w:rPr>
              <w:t>用款申请书</w:t>
            </w:r>
            <w:r>
              <w:rPr>
                <w:b/>
                <w:bCs/>
                <w:color w:val="auto"/>
                <w:kern w:val="0"/>
                <w:sz w:val="40"/>
                <w:szCs w:val="40"/>
                <w:highlight w:val="none"/>
              </w:rPr>
              <w:t xml:space="preserve">                  </w:t>
            </w:r>
            <w:r>
              <w:rPr>
                <w:rFonts w:hint="eastAsia" w:ascii="宋体" w:hAnsi="宋体" w:cs="宋体"/>
                <w:b/>
                <w:bCs/>
                <w:color w:val="auto"/>
                <w:kern w:val="0"/>
                <w:sz w:val="22"/>
                <w:szCs w:val="22"/>
                <w:highlight w:val="none"/>
              </w:rPr>
              <w:t>申请日期：</w:t>
            </w:r>
            <w:r>
              <w:rPr>
                <w:b/>
                <w:bCs/>
                <w:color w:val="auto"/>
                <w:kern w:val="0"/>
                <w:sz w:val="22"/>
                <w:szCs w:val="22"/>
                <w:highlight w:val="none"/>
              </w:rPr>
              <w:t xml:space="preserve">    </w:t>
            </w:r>
            <w:r>
              <w:rPr>
                <w:rFonts w:hint="eastAsia" w:ascii="宋体" w:hAnsi="宋体" w:cs="宋体"/>
                <w:b/>
                <w:bCs/>
                <w:color w:val="auto"/>
                <w:kern w:val="0"/>
                <w:sz w:val="22"/>
                <w:szCs w:val="22"/>
                <w:highlight w:val="none"/>
              </w:rPr>
              <w:t>年</w:t>
            </w:r>
            <w:r>
              <w:rPr>
                <w:b/>
                <w:bCs/>
                <w:color w:val="auto"/>
                <w:kern w:val="0"/>
                <w:sz w:val="22"/>
                <w:szCs w:val="22"/>
                <w:highlight w:val="none"/>
              </w:rPr>
              <w:t xml:space="preserve">   </w:t>
            </w:r>
            <w:r>
              <w:rPr>
                <w:rFonts w:hint="eastAsia" w:ascii="宋体" w:hAnsi="宋体" w:cs="宋体"/>
                <w:b/>
                <w:bCs/>
                <w:color w:val="auto"/>
                <w:kern w:val="0"/>
                <w:sz w:val="22"/>
                <w:szCs w:val="22"/>
                <w:highlight w:val="none"/>
              </w:rPr>
              <w:t>月</w:t>
            </w:r>
            <w:r>
              <w:rPr>
                <w:b/>
                <w:bCs/>
                <w:color w:val="auto"/>
                <w:kern w:val="0"/>
                <w:sz w:val="22"/>
                <w:szCs w:val="22"/>
                <w:highlight w:val="none"/>
              </w:rPr>
              <w:t xml:space="preserve">   </w:t>
            </w:r>
            <w:r>
              <w:rPr>
                <w:rFonts w:hint="eastAsia" w:ascii="宋体" w:hAnsi="宋体" w:cs="宋体"/>
                <w:b/>
                <w:bCs/>
                <w:color w:val="auto"/>
                <w:kern w:val="0"/>
                <w:sz w:val="22"/>
                <w:szCs w:val="22"/>
                <w:highlight w:val="none"/>
              </w:rPr>
              <w:t>日</w:t>
            </w:r>
          </w:p>
        </w:tc>
      </w:tr>
      <w:tr w14:paraId="44FEEB05">
        <w:tblPrEx>
          <w:tblCellMar>
            <w:top w:w="0" w:type="dxa"/>
            <w:left w:w="108" w:type="dxa"/>
            <w:bottom w:w="0" w:type="dxa"/>
            <w:right w:w="108" w:type="dxa"/>
          </w:tblCellMar>
        </w:tblPrEx>
        <w:trPr>
          <w:trHeight w:val="485" w:hRule="atLeast"/>
        </w:trPr>
        <w:tc>
          <w:tcPr>
            <w:tcW w:w="1700" w:type="dxa"/>
            <w:gridSpan w:val="2"/>
            <w:tcBorders>
              <w:top w:val="single" w:color="auto" w:sz="4" w:space="0"/>
              <w:left w:val="single" w:color="auto" w:sz="4" w:space="0"/>
              <w:bottom w:val="single" w:color="auto" w:sz="4" w:space="0"/>
              <w:right w:val="single" w:color="auto" w:sz="4" w:space="0"/>
            </w:tcBorders>
            <w:noWrap w:val="0"/>
            <w:vAlign w:val="center"/>
          </w:tcPr>
          <w:p w14:paraId="484182DC">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申请单位全称</w:t>
            </w:r>
          </w:p>
        </w:tc>
        <w:tc>
          <w:tcPr>
            <w:tcW w:w="3627" w:type="dxa"/>
            <w:gridSpan w:val="6"/>
            <w:tcBorders>
              <w:top w:val="single" w:color="auto" w:sz="4" w:space="0"/>
              <w:left w:val="nil"/>
              <w:bottom w:val="single" w:color="auto" w:sz="4" w:space="0"/>
              <w:right w:val="single" w:color="000000" w:sz="4" w:space="0"/>
            </w:tcBorders>
            <w:noWrap w:val="0"/>
            <w:vAlign w:val="center"/>
          </w:tcPr>
          <w:p w14:paraId="2B209E1C">
            <w:pPr>
              <w:widowControl/>
              <w:jc w:val="center"/>
              <w:rPr>
                <w:b/>
                <w:bCs/>
                <w:color w:val="auto"/>
                <w:kern w:val="0"/>
                <w:sz w:val="22"/>
                <w:szCs w:val="22"/>
                <w:highlight w:val="none"/>
              </w:rPr>
            </w:pPr>
            <w:r>
              <w:rPr>
                <w:b/>
                <w:bCs/>
                <w:color w:val="auto"/>
                <w:kern w:val="0"/>
                <w:sz w:val="22"/>
                <w:szCs w:val="22"/>
                <w:highlight w:val="none"/>
              </w:rPr>
              <w:t>　</w:t>
            </w:r>
          </w:p>
        </w:tc>
        <w:tc>
          <w:tcPr>
            <w:tcW w:w="2264" w:type="dxa"/>
            <w:gridSpan w:val="3"/>
            <w:tcBorders>
              <w:top w:val="single" w:color="auto" w:sz="4" w:space="0"/>
              <w:left w:val="nil"/>
              <w:bottom w:val="single" w:color="auto" w:sz="4" w:space="0"/>
              <w:right w:val="single" w:color="000000" w:sz="4" w:space="0"/>
            </w:tcBorders>
            <w:noWrap w:val="0"/>
            <w:vAlign w:val="center"/>
          </w:tcPr>
          <w:p w14:paraId="56A074D1">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共管账户开户银行</w:t>
            </w:r>
          </w:p>
        </w:tc>
        <w:tc>
          <w:tcPr>
            <w:tcW w:w="2996" w:type="dxa"/>
            <w:gridSpan w:val="4"/>
            <w:tcBorders>
              <w:top w:val="single" w:color="auto" w:sz="4" w:space="0"/>
              <w:left w:val="nil"/>
              <w:bottom w:val="single" w:color="auto" w:sz="4" w:space="0"/>
              <w:right w:val="single" w:color="000000" w:sz="4" w:space="0"/>
            </w:tcBorders>
            <w:noWrap w:val="0"/>
            <w:vAlign w:val="center"/>
          </w:tcPr>
          <w:p w14:paraId="2155C9B9">
            <w:pPr>
              <w:widowControl/>
              <w:jc w:val="center"/>
              <w:rPr>
                <w:color w:val="auto"/>
                <w:kern w:val="0"/>
                <w:sz w:val="22"/>
                <w:szCs w:val="22"/>
                <w:highlight w:val="none"/>
              </w:rPr>
            </w:pPr>
            <w:r>
              <w:rPr>
                <w:color w:val="auto"/>
                <w:kern w:val="0"/>
                <w:sz w:val="22"/>
                <w:szCs w:val="22"/>
                <w:highlight w:val="none"/>
              </w:rPr>
              <w:t>　</w:t>
            </w:r>
          </w:p>
        </w:tc>
        <w:tc>
          <w:tcPr>
            <w:tcW w:w="2120" w:type="dxa"/>
            <w:gridSpan w:val="4"/>
            <w:tcBorders>
              <w:top w:val="single" w:color="auto" w:sz="4" w:space="0"/>
              <w:left w:val="nil"/>
              <w:bottom w:val="single" w:color="auto" w:sz="4" w:space="0"/>
              <w:right w:val="single" w:color="000000" w:sz="4" w:space="0"/>
            </w:tcBorders>
            <w:noWrap w:val="0"/>
            <w:vAlign w:val="center"/>
          </w:tcPr>
          <w:p w14:paraId="713AFD09">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共管账户银行账号</w:t>
            </w:r>
          </w:p>
        </w:tc>
        <w:tc>
          <w:tcPr>
            <w:tcW w:w="2800" w:type="dxa"/>
            <w:gridSpan w:val="3"/>
            <w:tcBorders>
              <w:top w:val="single" w:color="auto" w:sz="4" w:space="0"/>
              <w:left w:val="nil"/>
              <w:bottom w:val="single" w:color="auto" w:sz="4" w:space="0"/>
              <w:right w:val="single" w:color="000000" w:sz="4" w:space="0"/>
            </w:tcBorders>
            <w:noWrap w:val="0"/>
            <w:vAlign w:val="center"/>
          </w:tcPr>
          <w:p w14:paraId="3F064D1E">
            <w:pPr>
              <w:widowControl/>
              <w:jc w:val="center"/>
              <w:rPr>
                <w:b/>
                <w:bCs/>
                <w:color w:val="auto"/>
                <w:kern w:val="0"/>
                <w:sz w:val="22"/>
                <w:szCs w:val="22"/>
                <w:highlight w:val="none"/>
              </w:rPr>
            </w:pPr>
            <w:r>
              <w:rPr>
                <w:b/>
                <w:bCs/>
                <w:color w:val="auto"/>
                <w:kern w:val="0"/>
                <w:sz w:val="22"/>
                <w:szCs w:val="22"/>
                <w:highlight w:val="none"/>
              </w:rPr>
              <w:t>　</w:t>
            </w:r>
          </w:p>
        </w:tc>
      </w:tr>
      <w:tr w14:paraId="742F6642">
        <w:tblPrEx>
          <w:tblCellMar>
            <w:top w:w="0" w:type="dxa"/>
            <w:left w:w="108" w:type="dxa"/>
            <w:bottom w:w="0" w:type="dxa"/>
            <w:right w:w="108" w:type="dxa"/>
          </w:tblCellMar>
        </w:tblPrEx>
        <w:trPr>
          <w:trHeight w:val="461" w:hRule="atLeast"/>
        </w:trPr>
        <w:tc>
          <w:tcPr>
            <w:tcW w:w="2587" w:type="dxa"/>
            <w:gridSpan w:val="3"/>
            <w:tcBorders>
              <w:top w:val="single" w:color="auto" w:sz="4" w:space="0"/>
              <w:left w:val="single" w:color="auto" w:sz="4" w:space="0"/>
              <w:bottom w:val="single" w:color="auto" w:sz="4" w:space="0"/>
              <w:right w:val="single" w:color="000000" w:sz="4" w:space="0"/>
            </w:tcBorders>
            <w:noWrap w:val="0"/>
            <w:vAlign w:val="center"/>
          </w:tcPr>
          <w:p w14:paraId="3D10E052">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本期审定应付金额（元）</w:t>
            </w:r>
          </w:p>
        </w:tc>
        <w:tc>
          <w:tcPr>
            <w:tcW w:w="2740" w:type="dxa"/>
            <w:gridSpan w:val="5"/>
            <w:tcBorders>
              <w:top w:val="single" w:color="auto" w:sz="4" w:space="0"/>
              <w:left w:val="nil"/>
              <w:bottom w:val="single" w:color="auto" w:sz="4" w:space="0"/>
              <w:right w:val="single" w:color="000000" w:sz="4" w:space="0"/>
            </w:tcBorders>
            <w:noWrap w:val="0"/>
            <w:vAlign w:val="center"/>
          </w:tcPr>
          <w:p w14:paraId="63B8F03A">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　</w:t>
            </w:r>
          </w:p>
        </w:tc>
        <w:tc>
          <w:tcPr>
            <w:tcW w:w="2264" w:type="dxa"/>
            <w:gridSpan w:val="3"/>
            <w:tcBorders>
              <w:top w:val="single" w:color="auto" w:sz="4" w:space="0"/>
              <w:left w:val="nil"/>
              <w:bottom w:val="single" w:color="auto" w:sz="4" w:space="0"/>
              <w:right w:val="single" w:color="000000" w:sz="4" w:space="0"/>
            </w:tcBorders>
            <w:noWrap w:val="0"/>
            <w:vAlign w:val="center"/>
          </w:tcPr>
          <w:p w14:paraId="3302E575">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共管帐户余额（元）</w:t>
            </w:r>
          </w:p>
        </w:tc>
        <w:tc>
          <w:tcPr>
            <w:tcW w:w="2996" w:type="dxa"/>
            <w:gridSpan w:val="4"/>
            <w:tcBorders>
              <w:top w:val="single" w:color="auto" w:sz="4" w:space="0"/>
              <w:left w:val="nil"/>
              <w:bottom w:val="single" w:color="auto" w:sz="4" w:space="0"/>
              <w:right w:val="single" w:color="000000" w:sz="4" w:space="0"/>
            </w:tcBorders>
            <w:noWrap w:val="0"/>
            <w:vAlign w:val="center"/>
          </w:tcPr>
          <w:p w14:paraId="4226D116">
            <w:pPr>
              <w:widowControl/>
              <w:jc w:val="center"/>
              <w:rPr>
                <w:color w:val="auto"/>
                <w:kern w:val="0"/>
                <w:sz w:val="22"/>
                <w:szCs w:val="22"/>
                <w:highlight w:val="none"/>
              </w:rPr>
            </w:pPr>
            <w:r>
              <w:rPr>
                <w:color w:val="auto"/>
                <w:kern w:val="0"/>
                <w:sz w:val="22"/>
                <w:szCs w:val="22"/>
                <w:highlight w:val="none"/>
              </w:rPr>
              <w:t>　</w:t>
            </w:r>
          </w:p>
        </w:tc>
        <w:tc>
          <w:tcPr>
            <w:tcW w:w="3520" w:type="dxa"/>
            <w:gridSpan w:val="6"/>
            <w:tcBorders>
              <w:top w:val="single" w:color="auto" w:sz="4" w:space="0"/>
              <w:left w:val="nil"/>
              <w:bottom w:val="single" w:color="auto" w:sz="4" w:space="0"/>
              <w:right w:val="single" w:color="000000" w:sz="4" w:space="0"/>
            </w:tcBorders>
            <w:noWrap w:val="0"/>
            <w:vAlign w:val="center"/>
          </w:tcPr>
          <w:p w14:paraId="7DDB5042">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本次支付后共管账户余额（元）</w:t>
            </w:r>
          </w:p>
        </w:tc>
        <w:tc>
          <w:tcPr>
            <w:tcW w:w="1400" w:type="dxa"/>
            <w:tcBorders>
              <w:top w:val="nil"/>
              <w:left w:val="nil"/>
              <w:bottom w:val="single" w:color="auto" w:sz="4" w:space="0"/>
              <w:right w:val="single" w:color="auto" w:sz="4" w:space="0"/>
            </w:tcBorders>
            <w:noWrap w:val="0"/>
            <w:vAlign w:val="center"/>
          </w:tcPr>
          <w:p w14:paraId="68E3269C">
            <w:pPr>
              <w:widowControl/>
              <w:jc w:val="center"/>
              <w:rPr>
                <w:color w:val="auto"/>
                <w:kern w:val="0"/>
                <w:sz w:val="22"/>
                <w:szCs w:val="22"/>
                <w:highlight w:val="none"/>
              </w:rPr>
            </w:pPr>
            <w:r>
              <w:rPr>
                <w:color w:val="auto"/>
                <w:kern w:val="0"/>
                <w:sz w:val="22"/>
                <w:szCs w:val="22"/>
                <w:highlight w:val="none"/>
              </w:rPr>
              <w:t>　</w:t>
            </w:r>
          </w:p>
        </w:tc>
      </w:tr>
      <w:tr w14:paraId="03CFA317">
        <w:tblPrEx>
          <w:tblCellMar>
            <w:top w:w="0" w:type="dxa"/>
            <w:left w:w="108" w:type="dxa"/>
            <w:bottom w:w="0" w:type="dxa"/>
            <w:right w:w="108" w:type="dxa"/>
          </w:tblCellMar>
        </w:tblPrEx>
        <w:trPr>
          <w:trHeight w:val="810" w:hRule="atLeast"/>
        </w:trPr>
        <w:tc>
          <w:tcPr>
            <w:tcW w:w="440" w:type="dxa"/>
            <w:tcBorders>
              <w:top w:val="nil"/>
              <w:left w:val="single" w:color="auto" w:sz="4" w:space="0"/>
              <w:bottom w:val="single" w:color="auto" w:sz="4" w:space="0"/>
              <w:right w:val="single" w:color="auto" w:sz="4" w:space="0"/>
            </w:tcBorders>
            <w:noWrap w:val="0"/>
            <w:vAlign w:val="center"/>
          </w:tcPr>
          <w:p w14:paraId="165F16DF">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2147" w:type="dxa"/>
            <w:gridSpan w:val="2"/>
            <w:tcBorders>
              <w:top w:val="single" w:color="auto" w:sz="4" w:space="0"/>
              <w:left w:val="nil"/>
              <w:bottom w:val="single" w:color="auto" w:sz="4" w:space="0"/>
              <w:right w:val="single" w:color="auto" w:sz="4" w:space="0"/>
            </w:tcBorders>
            <w:noWrap w:val="0"/>
            <w:vAlign w:val="center"/>
          </w:tcPr>
          <w:p w14:paraId="4B567181">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用款单位</w:t>
            </w:r>
          </w:p>
        </w:tc>
        <w:tc>
          <w:tcPr>
            <w:tcW w:w="1980" w:type="dxa"/>
            <w:gridSpan w:val="3"/>
            <w:tcBorders>
              <w:top w:val="nil"/>
              <w:left w:val="nil"/>
              <w:bottom w:val="single" w:color="auto" w:sz="4" w:space="0"/>
              <w:right w:val="single" w:color="auto" w:sz="4" w:space="0"/>
            </w:tcBorders>
            <w:noWrap w:val="0"/>
            <w:vAlign w:val="center"/>
          </w:tcPr>
          <w:p w14:paraId="37566F40">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用款单位开户银行和账号</w:t>
            </w:r>
          </w:p>
        </w:tc>
        <w:tc>
          <w:tcPr>
            <w:tcW w:w="760" w:type="dxa"/>
            <w:gridSpan w:val="2"/>
            <w:tcBorders>
              <w:top w:val="nil"/>
              <w:left w:val="nil"/>
              <w:bottom w:val="single" w:color="auto" w:sz="4" w:space="0"/>
              <w:right w:val="single" w:color="auto" w:sz="4" w:space="0"/>
            </w:tcBorders>
            <w:noWrap w:val="0"/>
            <w:vAlign w:val="center"/>
          </w:tcPr>
          <w:p w14:paraId="5A4257FD">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合同            编号</w:t>
            </w:r>
          </w:p>
        </w:tc>
        <w:tc>
          <w:tcPr>
            <w:tcW w:w="2264" w:type="dxa"/>
            <w:gridSpan w:val="3"/>
            <w:tcBorders>
              <w:top w:val="single" w:color="auto" w:sz="4" w:space="0"/>
              <w:left w:val="nil"/>
              <w:bottom w:val="single" w:color="auto" w:sz="4" w:space="0"/>
              <w:right w:val="single" w:color="000000" w:sz="4" w:space="0"/>
            </w:tcBorders>
            <w:noWrap w:val="0"/>
            <w:vAlign w:val="center"/>
          </w:tcPr>
          <w:p w14:paraId="1D2E538C">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合同名称</w:t>
            </w:r>
          </w:p>
        </w:tc>
        <w:tc>
          <w:tcPr>
            <w:tcW w:w="1596" w:type="dxa"/>
            <w:gridSpan w:val="2"/>
            <w:tcBorders>
              <w:top w:val="nil"/>
              <w:left w:val="nil"/>
              <w:bottom w:val="single" w:color="auto" w:sz="4" w:space="0"/>
              <w:right w:val="single" w:color="auto" w:sz="4" w:space="0"/>
            </w:tcBorders>
            <w:noWrap w:val="0"/>
            <w:vAlign w:val="center"/>
          </w:tcPr>
          <w:p w14:paraId="3AC9B24E">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合同或结算金额（元）</w:t>
            </w:r>
          </w:p>
        </w:tc>
        <w:tc>
          <w:tcPr>
            <w:tcW w:w="1400" w:type="dxa"/>
            <w:gridSpan w:val="2"/>
            <w:tcBorders>
              <w:top w:val="nil"/>
              <w:left w:val="nil"/>
              <w:bottom w:val="single" w:color="auto" w:sz="4" w:space="0"/>
              <w:right w:val="single" w:color="auto" w:sz="4" w:space="0"/>
            </w:tcBorders>
            <w:noWrap w:val="0"/>
            <w:vAlign w:val="center"/>
          </w:tcPr>
          <w:p w14:paraId="10DFE12A">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本次申请划款金额（元）</w:t>
            </w:r>
          </w:p>
        </w:tc>
        <w:tc>
          <w:tcPr>
            <w:tcW w:w="2120" w:type="dxa"/>
            <w:gridSpan w:val="4"/>
            <w:tcBorders>
              <w:top w:val="single" w:color="auto" w:sz="4" w:space="0"/>
              <w:left w:val="nil"/>
              <w:bottom w:val="single" w:color="auto" w:sz="4" w:space="0"/>
              <w:right w:val="single" w:color="000000" w:sz="4" w:space="0"/>
            </w:tcBorders>
            <w:noWrap w:val="0"/>
            <w:vAlign w:val="center"/>
          </w:tcPr>
          <w:p w14:paraId="32BDF384">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划款用途</w:t>
            </w:r>
          </w:p>
        </w:tc>
        <w:tc>
          <w:tcPr>
            <w:tcW w:w="1400" w:type="dxa"/>
            <w:gridSpan w:val="2"/>
            <w:tcBorders>
              <w:top w:val="nil"/>
              <w:left w:val="nil"/>
              <w:bottom w:val="single" w:color="auto" w:sz="4" w:space="0"/>
              <w:right w:val="single" w:color="auto" w:sz="4" w:space="0"/>
            </w:tcBorders>
            <w:noWrap w:val="0"/>
            <w:vAlign w:val="center"/>
          </w:tcPr>
          <w:p w14:paraId="20D99496">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至本次止累计划款（元）</w:t>
            </w:r>
          </w:p>
        </w:tc>
        <w:tc>
          <w:tcPr>
            <w:tcW w:w="1400" w:type="dxa"/>
            <w:tcBorders>
              <w:top w:val="nil"/>
              <w:left w:val="nil"/>
              <w:bottom w:val="single" w:color="auto" w:sz="4" w:space="0"/>
              <w:right w:val="single" w:color="auto" w:sz="4" w:space="0"/>
            </w:tcBorders>
            <w:noWrap w:val="0"/>
            <w:vAlign w:val="center"/>
          </w:tcPr>
          <w:p w14:paraId="41D863F2">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7C505BAE">
        <w:tblPrEx>
          <w:tblCellMar>
            <w:top w:w="0" w:type="dxa"/>
            <w:left w:w="108" w:type="dxa"/>
            <w:bottom w:w="0" w:type="dxa"/>
            <w:right w:w="108" w:type="dxa"/>
          </w:tblCellMar>
        </w:tblPrEx>
        <w:trPr>
          <w:trHeight w:val="463" w:hRule="atLeast"/>
        </w:trPr>
        <w:tc>
          <w:tcPr>
            <w:tcW w:w="440" w:type="dxa"/>
            <w:tcBorders>
              <w:top w:val="nil"/>
              <w:left w:val="single" w:color="auto" w:sz="4" w:space="0"/>
              <w:bottom w:val="single" w:color="auto" w:sz="4" w:space="0"/>
              <w:right w:val="single" w:color="auto" w:sz="4" w:space="0"/>
            </w:tcBorders>
            <w:noWrap w:val="0"/>
            <w:vAlign w:val="center"/>
          </w:tcPr>
          <w:p w14:paraId="30BA3042">
            <w:pPr>
              <w:widowControl/>
              <w:jc w:val="center"/>
              <w:rPr>
                <w:b/>
                <w:bCs/>
                <w:color w:val="auto"/>
                <w:kern w:val="0"/>
                <w:sz w:val="22"/>
                <w:szCs w:val="22"/>
                <w:highlight w:val="none"/>
              </w:rPr>
            </w:pPr>
            <w:r>
              <w:rPr>
                <w:b/>
                <w:bCs/>
                <w:color w:val="auto"/>
                <w:kern w:val="0"/>
                <w:sz w:val="22"/>
                <w:szCs w:val="22"/>
                <w:highlight w:val="none"/>
              </w:rPr>
              <w:t>　</w:t>
            </w:r>
          </w:p>
        </w:tc>
        <w:tc>
          <w:tcPr>
            <w:tcW w:w="15067" w:type="dxa"/>
            <w:gridSpan w:val="21"/>
            <w:tcBorders>
              <w:top w:val="single" w:color="auto" w:sz="4" w:space="0"/>
              <w:left w:val="nil"/>
              <w:bottom w:val="single" w:color="auto" w:sz="4" w:space="0"/>
              <w:right w:val="single" w:color="000000" w:sz="4" w:space="0"/>
            </w:tcBorders>
            <w:noWrap w:val="0"/>
            <w:vAlign w:val="center"/>
          </w:tcPr>
          <w:p w14:paraId="332A1CC9">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工程建设费用</w:t>
            </w:r>
          </w:p>
        </w:tc>
      </w:tr>
      <w:tr w14:paraId="02540E27">
        <w:tblPrEx>
          <w:tblCellMar>
            <w:top w:w="0" w:type="dxa"/>
            <w:left w:w="108" w:type="dxa"/>
            <w:bottom w:w="0" w:type="dxa"/>
            <w:right w:w="108" w:type="dxa"/>
          </w:tblCellMar>
        </w:tblPrEx>
        <w:trPr>
          <w:trHeight w:val="452" w:hRule="atLeast"/>
        </w:trPr>
        <w:tc>
          <w:tcPr>
            <w:tcW w:w="440" w:type="dxa"/>
            <w:tcBorders>
              <w:top w:val="nil"/>
              <w:left w:val="single" w:color="auto" w:sz="4" w:space="0"/>
              <w:bottom w:val="single" w:color="auto" w:sz="4" w:space="0"/>
              <w:right w:val="single" w:color="auto" w:sz="4" w:space="0"/>
            </w:tcBorders>
            <w:noWrap w:val="0"/>
            <w:vAlign w:val="center"/>
          </w:tcPr>
          <w:p w14:paraId="5353FA4F">
            <w:pPr>
              <w:widowControl/>
              <w:jc w:val="left"/>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一</w:t>
            </w:r>
          </w:p>
        </w:tc>
        <w:tc>
          <w:tcPr>
            <w:tcW w:w="15067" w:type="dxa"/>
            <w:gridSpan w:val="21"/>
            <w:tcBorders>
              <w:top w:val="single" w:color="auto" w:sz="4" w:space="0"/>
              <w:left w:val="nil"/>
              <w:bottom w:val="single" w:color="auto" w:sz="4" w:space="0"/>
              <w:right w:val="single" w:color="000000" w:sz="4" w:space="0"/>
            </w:tcBorders>
            <w:noWrap w:val="0"/>
            <w:vAlign w:val="center"/>
          </w:tcPr>
          <w:p w14:paraId="41059FCB">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专业分包工程款</w:t>
            </w:r>
          </w:p>
        </w:tc>
      </w:tr>
      <w:tr w14:paraId="4046673C">
        <w:tblPrEx>
          <w:tblCellMar>
            <w:top w:w="0" w:type="dxa"/>
            <w:left w:w="108" w:type="dxa"/>
            <w:bottom w:w="0" w:type="dxa"/>
            <w:right w:w="108" w:type="dxa"/>
          </w:tblCellMar>
        </w:tblPrEx>
        <w:trPr>
          <w:trHeight w:val="300" w:hRule="atLeast"/>
        </w:trPr>
        <w:tc>
          <w:tcPr>
            <w:tcW w:w="440" w:type="dxa"/>
            <w:tcBorders>
              <w:top w:val="nil"/>
              <w:left w:val="single" w:color="auto" w:sz="4" w:space="0"/>
              <w:bottom w:val="single" w:color="auto" w:sz="4" w:space="0"/>
              <w:right w:val="single" w:color="auto" w:sz="4" w:space="0"/>
            </w:tcBorders>
            <w:noWrap w:val="0"/>
            <w:vAlign w:val="center"/>
          </w:tcPr>
          <w:p w14:paraId="46FB0F39">
            <w:pPr>
              <w:widowControl/>
              <w:jc w:val="center"/>
              <w:rPr>
                <w:color w:val="auto"/>
                <w:kern w:val="0"/>
                <w:sz w:val="22"/>
                <w:szCs w:val="22"/>
                <w:highlight w:val="none"/>
              </w:rPr>
            </w:pPr>
            <w:r>
              <w:rPr>
                <w:color w:val="auto"/>
                <w:kern w:val="0"/>
                <w:sz w:val="22"/>
                <w:szCs w:val="22"/>
                <w:highlight w:val="none"/>
              </w:rPr>
              <w:t>1</w:t>
            </w:r>
          </w:p>
        </w:tc>
        <w:tc>
          <w:tcPr>
            <w:tcW w:w="2147" w:type="dxa"/>
            <w:gridSpan w:val="2"/>
            <w:tcBorders>
              <w:top w:val="single" w:color="auto" w:sz="4" w:space="0"/>
              <w:left w:val="nil"/>
              <w:bottom w:val="single" w:color="auto" w:sz="4" w:space="0"/>
              <w:right w:val="single" w:color="auto" w:sz="4" w:space="0"/>
            </w:tcBorders>
            <w:noWrap w:val="0"/>
            <w:vAlign w:val="center"/>
          </w:tcPr>
          <w:p w14:paraId="053185E5">
            <w:pPr>
              <w:widowControl/>
              <w:jc w:val="center"/>
              <w:rPr>
                <w:color w:val="auto"/>
                <w:kern w:val="0"/>
                <w:sz w:val="22"/>
                <w:szCs w:val="22"/>
                <w:highlight w:val="none"/>
              </w:rPr>
            </w:pPr>
            <w:r>
              <w:rPr>
                <w:color w:val="auto"/>
                <w:kern w:val="0"/>
                <w:sz w:val="22"/>
                <w:szCs w:val="22"/>
                <w:highlight w:val="none"/>
              </w:rPr>
              <w:t>　</w:t>
            </w:r>
          </w:p>
        </w:tc>
        <w:tc>
          <w:tcPr>
            <w:tcW w:w="1980" w:type="dxa"/>
            <w:gridSpan w:val="3"/>
            <w:tcBorders>
              <w:top w:val="nil"/>
              <w:left w:val="nil"/>
              <w:bottom w:val="single" w:color="auto" w:sz="4" w:space="0"/>
              <w:right w:val="single" w:color="auto" w:sz="4" w:space="0"/>
            </w:tcBorders>
            <w:noWrap w:val="0"/>
            <w:vAlign w:val="center"/>
          </w:tcPr>
          <w:p w14:paraId="673625B8">
            <w:pPr>
              <w:widowControl/>
              <w:jc w:val="center"/>
              <w:rPr>
                <w:color w:val="auto"/>
                <w:kern w:val="0"/>
                <w:sz w:val="22"/>
                <w:szCs w:val="22"/>
                <w:highlight w:val="none"/>
              </w:rPr>
            </w:pPr>
            <w:r>
              <w:rPr>
                <w:color w:val="auto"/>
                <w:kern w:val="0"/>
                <w:sz w:val="22"/>
                <w:szCs w:val="22"/>
                <w:highlight w:val="none"/>
              </w:rPr>
              <w:t>　</w:t>
            </w:r>
          </w:p>
        </w:tc>
        <w:tc>
          <w:tcPr>
            <w:tcW w:w="760" w:type="dxa"/>
            <w:gridSpan w:val="2"/>
            <w:tcBorders>
              <w:top w:val="nil"/>
              <w:left w:val="nil"/>
              <w:bottom w:val="single" w:color="auto" w:sz="4" w:space="0"/>
              <w:right w:val="single" w:color="auto" w:sz="4" w:space="0"/>
            </w:tcBorders>
            <w:noWrap w:val="0"/>
            <w:vAlign w:val="center"/>
          </w:tcPr>
          <w:p w14:paraId="1155C2F1">
            <w:pPr>
              <w:widowControl/>
              <w:jc w:val="center"/>
              <w:rPr>
                <w:color w:val="auto"/>
                <w:kern w:val="0"/>
                <w:sz w:val="22"/>
                <w:szCs w:val="22"/>
                <w:highlight w:val="none"/>
              </w:rPr>
            </w:pPr>
            <w:r>
              <w:rPr>
                <w:color w:val="auto"/>
                <w:kern w:val="0"/>
                <w:sz w:val="22"/>
                <w:szCs w:val="22"/>
                <w:highlight w:val="none"/>
              </w:rPr>
              <w:t>　</w:t>
            </w:r>
          </w:p>
        </w:tc>
        <w:tc>
          <w:tcPr>
            <w:tcW w:w="2264" w:type="dxa"/>
            <w:gridSpan w:val="3"/>
            <w:tcBorders>
              <w:top w:val="single" w:color="auto" w:sz="4" w:space="0"/>
              <w:left w:val="nil"/>
              <w:bottom w:val="single" w:color="auto" w:sz="4" w:space="0"/>
              <w:right w:val="single" w:color="000000" w:sz="4" w:space="0"/>
            </w:tcBorders>
            <w:noWrap w:val="0"/>
            <w:vAlign w:val="center"/>
          </w:tcPr>
          <w:p w14:paraId="5A8A6318">
            <w:pPr>
              <w:widowControl/>
              <w:jc w:val="center"/>
              <w:rPr>
                <w:color w:val="auto"/>
                <w:kern w:val="0"/>
                <w:sz w:val="22"/>
                <w:szCs w:val="22"/>
                <w:highlight w:val="none"/>
              </w:rPr>
            </w:pPr>
            <w:r>
              <w:rPr>
                <w:color w:val="auto"/>
                <w:kern w:val="0"/>
                <w:sz w:val="22"/>
                <w:szCs w:val="22"/>
                <w:highlight w:val="none"/>
              </w:rPr>
              <w:t>　</w:t>
            </w:r>
          </w:p>
        </w:tc>
        <w:tc>
          <w:tcPr>
            <w:tcW w:w="1596" w:type="dxa"/>
            <w:gridSpan w:val="2"/>
            <w:tcBorders>
              <w:top w:val="nil"/>
              <w:left w:val="nil"/>
              <w:bottom w:val="single" w:color="auto" w:sz="4" w:space="0"/>
              <w:right w:val="single" w:color="auto" w:sz="4" w:space="0"/>
            </w:tcBorders>
            <w:noWrap w:val="0"/>
            <w:vAlign w:val="center"/>
          </w:tcPr>
          <w:p w14:paraId="23934333">
            <w:pPr>
              <w:widowControl/>
              <w:jc w:val="center"/>
              <w:rPr>
                <w:color w:val="auto"/>
                <w:kern w:val="0"/>
                <w:sz w:val="22"/>
                <w:szCs w:val="22"/>
                <w:highlight w:val="none"/>
              </w:rPr>
            </w:pPr>
            <w:r>
              <w:rPr>
                <w:color w:val="auto"/>
                <w:kern w:val="0"/>
                <w:sz w:val="22"/>
                <w:szCs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416C00B4">
            <w:pPr>
              <w:widowControl/>
              <w:jc w:val="center"/>
              <w:rPr>
                <w:color w:val="auto"/>
                <w:kern w:val="0"/>
                <w:sz w:val="22"/>
                <w:szCs w:val="22"/>
                <w:highlight w:val="none"/>
              </w:rPr>
            </w:pPr>
            <w:r>
              <w:rPr>
                <w:color w:val="auto"/>
                <w:kern w:val="0"/>
                <w:sz w:val="22"/>
                <w:szCs w:val="22"/>
                <w:highlight w:val="none"/>
              </w:rPr>
              <w:t>　</w:t>
            </w:r>
          </w:p>
        </w:tc>
        <w:tc>
          <w:tcPr>
            <w:tcW w:w="2120" w:type="dxa"/>
            <w:gridSpan w:val="4"/>
            <w:tcBorders>
              <w:top w:val="single" w:color="auto" w:sz="4" w:space="0"/>
              <w:left w:val="nil"/>
              <w:bottom w:val="single" w:color="auto" w:sz="4" w:space="0"/>
              <w:right w:val="single" w:color="000000" w:sz="4" w:space="0"/>
            </w:tcBorders>
            <w:noWrap w:val="0"/>
            <w:vAlign w:val="center"/>
          </w:tcPr>
          <w:p w14:paraId="59D9672C">
            <w:pPr>
              <w:widowControl/>
              <w:jc w:val="center"/>
              <w:rPr>
                <w:color w:val="auto"/>
                <w:kern w:val="0"/>
                <w:sz w:val="22"/>
                <w:szCs w:val="22"/>
                <w:highlight w:val="none"/>
              </w:rPr>
            </w:pPr>
            <w:r>
              <w:rPr>
                <w:color w:val="auto"/>
                <w:kern w:val="0"/>
                <w:sz w:val="22"/>
                <w:szCs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6A476A62">
            <w:pPr>
              <w:widowControl/>
              <w:jc w:val="center"/>
              <w:rPr>
                <w:color w:val="auto"/>
                <w:kern w:val="0"/>
                <w:sz w:val="22"/>
                <w:szCs w:val="22"/>
                <w:highlight w:val="none"/>
              </w:rPr>
            </w:pPr>
            <w:r>
              <w:rPr>
                <w:color w:val="auto"/>
                <w:kern w:val="0"/>
                <w:sz w:val="22"/>
                <w:szCs w:val="22"/>
                <w:highlight w:val="none"/>
              </w:rPr>
              <w:t>　</w:t>
            </w:r>
          </w:p>
        </w:tc>
        <w:tc>
          <w:tcPr>
            <w:tcW w:w="1400" w:type="dxa"/>
            <w:tcBorders>
              <w:top w:val="nil"/>
              <w:left w:val="nil"/>
              <w:bottom w:val="single" w:color="auto" w:sz="4" w:space="0"/>
              <w:right w:val="single" w:color="auto" w:sz="4" w:space="0"/>
            </w:tcBorders>
            <w:noWrap w:val="0"/>
            <w:vAlign w:val="center"/>
          </w:tcPr>
          <w:p w14:paraId="3752EECF">
            <w:pPr>
              <w:widowControl/>
              <w:jc w:val="center"/>
              <w:rPr>
                <w:color w:val="auto"/>
                <w:kern w:val="0"/>
                <w:sz w:val="22"/>
                <w:szCs w:val="22"/>
                <w:highlight w:val="none"/>
              </w:rPr>
            </w:pPr>
            <w:r>
              <w:rPr>
                <w:color w:val="auto"/>
                <w:kern w:val="0"/>
                <w:sz w:val="22"/>
                <w:szCs w:val="22"/>
                <w:highlight w:val="none"/>
              </w:rPr>
              <w:t>　</w:t>
            </w:r>
          </w:p>
        </w:tc>
      </w:tr>
      <w:tr w14:paraId="5772D49F">
        <w:tblPrEx>
          <w:tblCellMar>
            <w:top w:w="0" w:type="dxa"/>
            <w:left w:w="108" w:type="dxa"/>
            <w:bottom w:w="0" w:type="dxa"/>
            <w:right w:w="108" w:type="dxa"/>
          </w:tblCellMar>
        </w:tblPrEx>
        <w:trPr>
          <w:trHeight w:val="300" w:hRule="atLeast"/>
        </w:trPr>
        <w:tc>
          <w:tcPr>
            <w:tcW w:w="440" w:type="dxa"/>
            <w:tcBorders>
              <w:top w:val="nil"/>
              <w:left w:val="single" w:color="auto" w:sz="4" w:space="0"/>
              <w:bottom w:val="single" w:color="auto" w:sz="4" w:space="0"/>
              <w:right w:val="single" w:color="auto" w:sz="4" w:space="0"/>
            </w:tcBorders>
            <w:noWrap w:val="0"/>
            <w:vAlign w:val="center"/>
          </w:tcPr>
          <w:p w14:paraId="67537C3B">
            <w:pPr>
              <w:widowControl/>
              <w:jc w:val="center"/>
              <w:rPr>
                <w:color w:val="auto"/>
                <w:kern w:val="0"/>
                <w:sz w:val="22"/>
                <w:szCs w:val="22"/>
                <w:highlight w:val="none"/>
              </w:rPr>
            </w:pPr>
            <w:r>
              <w:rPr>
                <w:color w:val="auto"/>
                <w:kern w:val="0"/>
                <w:sz w:val="22"/>
                <w:szCs w:val="22"/>
                <w:highlight w:val="none"/>
              </w:rPr>
              <w:t>2</w:t>
            </w:r>
          </w:p>
        </w:tc>
        <w:tc>
          <w:tcPr>
            <w:tcW w:w="2147" w:type="dxa"/>
            <w:gridSpan w:val="2"/>
            <w:tcBorders>
              <w:top w:val="single" w:color="auto" w:sz="4" w:space="0"/>
              <w:left w:val="nil"/>
              <w:bottom w:val="single" w:color="auto" w:sz="4" w:space="0"/>
              <w:right w:val="single" w:color="auto" w:sz="4" w:space="0"/>
            </w:tcBorders>
            <w:noWrap w:val="0"/>
            <w:vAlign w:val="center"/>
          </w:tcPr>
          <w:p w14:paraId="76DBAF9F">
            <w:pPr>
              <w:widowControl/>
              <w:jc w:val="center"/>
              <w:rPr>
                <w:color w:val="auto"/>
                <w:kern w:val="0"/>
                <w:sz w:val="22"/>
                <w:szCs w:val="22"/>
                <w:highlight w:val="none"/>
              </w:rPr>
            </w:pPr>
            <w:r>
              <w:rPr>
                <w:color w:val="auto"/>
                <w:kern w:val="0"/>
                <w:sz w:val="22"/>
                <w:szCs w:val="22"/>
                <w:highlight w:val="none"/>
              </w:rPr>
              <w:t>　</w:t>
            </w:r>
          </w:p>
        </w:tc>
        <w:tc>
          <w:tcPr>
            <w:tcW w:w="1980" w:type="dxa"/>
            <w:gridSpan w:val="3"/>
            <w:tcBorders>
              <w:top w:val="nil"/>
              <w:left w:val="nil"/>
              <w:bottom w:val="single" w:color="auto" w:sz="4" w:space="0"/>
              <w:right w:val="single" w:color="auto" w:sz="4" w:space="0"/>
            </w:tcBorders>
            <w:noWrap w:val="0"/>
            <w:vAlign w:val="center"/>
          </w:tcPr>
          <w:p w14:paraId="2D5E214B">
            <w:pPr>
              <w:widowControl/>
              <w:jc w:val="center"/>
              <w:rPr>
                <w:color w:val="auto"/>
                <w:kern w:val="0"/>
                <w:sz w:val="22"/>
                <w:szCs w:val="22"/>
                <w:highlight w:val="none"/>
              </w:rPr>
            </w:pPr>
            <w:r>
              <w:rPr>
                <w:color w:val="auto"/>
                <w:kern w:val="0"/>
                <w:sz w:val="22"/>
                <w:szCs w:val="22"/>
                <w:highlight w:val="none"/>
              </w:rPr>
              <w:t>　</w:t>
            </w:r>
          </w:p>
        </w:tc>
        <w:tc>
          <w:tcPr>
            <w:tcW w:w="760" w:type="dxa"/>
            <w:gridSpan w:val="2"/>
            <w:tcBorders>
              <w:top w:val="nil"/>
              <w:left w:val="nil"/>
              <w:bottom w:val="single" w:color="auto" w:sz="4" w:space="0"/>
              <w:right w:val="single" w:color="auto" w:sz="4" w:space="0"/>
            </w:tcBorders>
            <w:noWrap w:val="0"/>
            <w:vAlign w:val="center"/>
          </w:tcPr>
          <w:p w14:paraId="6AA467C9">
            <w:pPr>
              <w:widowControl/>
              <w:jc w:val="center"/>
              <w:rPr>
                <w:color w:val="auto"/>
                <w:kern w:val="0"/>
                <w:sz w:val="22"/>
                <w:szCs w:val="22"/>
                <w:highlight w:val="none"/>
              </w:rPr>
            </w:pPr>
            <w:r>
              <w:rPr>
                <w:color w:val="auto"/>
                <w:kern w:val="0"/>
                <w:sz w:val="22"/>
                <w:szCs w:val="22"/>
                <w:highlight w:val="none"/>
              </w:rPr>
              <w:t>　</w:t>
            </w:r>
          </w:p>
        </w:tc>
        <w:tc>
          <w:tcPr>
            <w:tcW w:w="2264" w:type="dxa"/>
            <w:gridSpan w:val="3"/>
            <w:tcBorders>
              <w:top w:val="single" w:color="auto" w:sz="4" w:space="0"/>
              <w:left w:val="nil"/>
              <w:bottom w:val="single" w:color="auto" w:sz="4" w:space="0"/>
              <w:right w:val="single" w:color="000000" w:sz="4" w:space="0"/>
            </w:tcBorders>
            <w:noWrap w:val="0"/>
            <w:vAlign w:val="center"/>
          </w:tcPr>
          <w:p w14:paraId="75BFAE3D">
            <w:pPr>
              <w:widowControl/>
              <w:jc w:val="center"/>
              <w:rPr>
                <w:color w:val="auto"/>
                <w:kern w:val="0"/>
                <w:sz w:val="22"/>
                <w:szCs w:val="22"/>
                <w:highlight w:val="none"/>
              </w:rPr>
            </w:pPr>
            <w:r>
              <w:rPr>
                <w:color w:val="auto"/>
                <w:kern w:val="0"/>
                <w:sz w:val="22"/>
                <w:szCs w:val="22"/>
                <w:highlight w:val="none"/>
              </w:rPr>
              <w:t>　</w:t>
            </w:r>
          </w:p>
        </w:tc>
        <w:tc>
          <w:tcPr>
            <w:tcW w:w="1596" w:type="dxa"/>
            <w:gridSpan w:val="2"/>
            <w:tcBorders>
              <w:top w:val="nil"/>
              <w:left w:val="nil"/>
              <w:bottom w:val="single" w:color="auto" w:sz="4" w:space="0"/>
              <w:right w:val="single" w:color="auto" w:sz="4" w:space="0"/>
            </w:tcBorders>
            <w:noWrap w:val="0"/>
            <w:vAlign w:val="center"/>
          </w:tcPr>
          <w:p w14:paraId="62AE5A6F">
            <w:pPr>
              <w:widowControl/>
              <w:jc w:val="center"/>
              <w:rPr>
                <w:color w:val="auto"/>
                <w:kern w:val="0"/>
                <w:sz w:val="22"/>
                <w:szCs w:val="22"/>
                <w:highlight w:val="none"/>
              </w:rPr>
            </w:pPr>
            <w:r>
              <w:rPr>
                <w:color w:val="auto"/>
                <w:kern w:val="0"/>
                <w:sz w:val="22"/>
                <w:szCs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51316645">
            <w:pPr>
              <w:widowControl/>
              <w:jc w:val="center"/>
              <w:rPr>
                <w:color w:val="auto"/>
                <w:kern w:val="0"/>
                <w:sz w:val="22"/>
                <w:szCs w:val="22"/>
                <w:highlight w:val="none"/>
              </w:rPr>
            </w:pPr>
            <w:r>
              <w:rPr>
                <w:color w:val="auto"/>
                <w:kern w:val="0"/>
                <w:sz w:val="22"/>
                <w:szCs w:val="22"/>
                <w:highlight w:val="none"/>
              </w:rPr>
              <w:t>　</w:t>
            </w:r>
          </w:p>
        </w:tc>
        <w:tc>
          <w:tcPr>
            <w:tcW w:w="2120" w:type="dxa"/>
            <w:gridSpan w:val="4"/>
            <w:tcBorders>
              <w:top w:val="single" w:color="auto" w:sz="4" w:space="0"/>
              <w:left w:val="nil"/>
              <w:bottom w:val="single" w:color="auto" w:sz="4" w:space="0"/>
              <w:right w:val="single" w:color="000000" w:sz="4" w:space="0"/>
            </w:tcBorders>
            <w:noWrap w:val="0"/>
            <w:vAlign w:val="center"/>
          </w:tcPr>
          <w:p w14:paraId="390D4047">
            <w:pPr>
              <w:widowControl/>
              <w:jc w:val="center"/>
              <w:rPr>
                <w:color w:val="auto"/>
                <w:kern w:val="0"/>
                <w:sz w:val="22"/>
                <w:szCs w:val="22"/>
                <w:highlight w:val="none"/>
              </w:rPr>
            </w:pPr>
            <w:r>
              <w:rPr>
                <w:color w:val="auto"/>
                <w:kern w:val="0"/>
                <w:sz w:val="22"/>
                <w:szCs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4677FB85">
            <w:pPr>
              <w:widowControl/>
              <w:jc w:val="center"/>
              <w:rPr>
                <w:color w:val="auto"/>
                <w:kern w:val="0"/>
                <w:sz w:val="22"/>
                <w:szCs w:val="22"/>
                <w:highlight w:val="none"/>
              </w:rPr>
            </w:pPr>
            <w:r>
              <w:rPr>
                <w:color w:val="auto"/>
                <w:kern w:val="0"/>
                <w:sz w:val="22"/>
                <w:szCs w:val="22"/>
                <w:highlight w:val="none"/>
              </w:rPr>
              <w:t>　</w:t>
            </w:r>
          </w:p>
        </w:tc>
        <w:tc>
          <w:tcPr>
            <w:tcW w:w="1400" w:type="dxa"/>
            <w:tcBorders>
              <w:top w:val="nil"/>
              <w:left w:val="nil"/>
              <w:bottom w:val="single" w:color="auto" w:sz="4" w:space="0"/>
              <w:right w:val="single" w:color="auto" w:sz="4" w:space="0"/>
            </w:tcBorders>
            <w:noWrap w:val="0"/>
            <w:vAlign w:val="center"/>
          </w:tcPr>
          <w:p w14:paraId="1223C7A9">
            <w:pPr>
              <w:widowControl/>
              <w:jc w:val="center"/>
              <w:rPr>
                <w:color w:val="auto"/>
                <w:kern w:val="0"/>
                <w:sz w:val="22"/>
                <w:szCs w:val="22"/>
                <w:highlight w:val="none"/>
              </w:rPr>
            </w:pPr>
            <w:r>
              <w:rPr>
                <w:color w:val="auto"/>
                <w:kern w:val="0"/>
                <w:sz w:val="22"/>
                <w:szCs w:val="22"/>
                <w:highlight w:val="none"/>
              </w:rPr>
              <w:t>　</w:t>
            </w:r>
          </w:p>
        </w:tc>
      </w:tr>
      <w:tr w14:paraId="4636BA73">
        <w:tblPrEx>
          <w:tblCellMar>
            <w:top w:w="0" w:type="dxa"/>
            <w:left w:w="108" w:type="dxa"/>
            <w:bottom w:w="0" w:type="dxa"/>
            <w:right w:w="108" w:type="dxa"/>
          </w:tblCellMar>
        </w:tblPrEx>
        <w:trPr>
          <w:trHeight w:val="300" w:hRule="atLeast"/>
        </w:trPr>
        <w:tc>
          <w:tcPr>
            <w:tcW w:w="440" w:type="dxa"/>
            <w:tcBorders>
              <w:top w:val="nil"/>
              <w:left w:val="single" w:color="auto" w:sz="4" w:space="0"/>
              <w:bottom w:val="single" w:color="auto" w:sz="4" w:space="0"/>
              <w:right w:val="single" w:color="auto" w:sz="4" w:space="0"/>
            </w:tcBorders>
            <w:noWrap w:val="0"/>
            <w:vAlign w:val="center"/>
          </w:tcPr>
          <w:p w14:paraId="5E3A1C56">
            <w:pPr>
              <w:widowControl/>
              <w:jc w:val="center"/>
              <w:rPr>
                <w:color w:val="auto"/>
                <w:kern w:val="0"/>
                <w:sz w:val="22"/>
                <w:szCs w:val="22"/>
                <w:highlight w:val="none"/>
              </w:rPr>
            </w:pPr>
            <w:r>
              <w:rPr>
                <w:color w:val="auto"/>
                <w:kern w:val="0"/>
                <w:sz w:val="22"/>
                <w:szCs w:val="22"/>
                <w:highlight w:val="none"/>
              </w:rPr>
              <w:t>…</w:t>
            </w:r>
          </w:p>
        </w:tc>
        <w:tc>
          <w:tcPr>
            <w:tcW w:w="2147" w:type="dxa"/>
            <w:gridSpan w:val="2"/>
            <w:tcBorders>
              <w:top w:val="single" w:color="auto" w:sz="4" w:space="0"/>
              <w:left w:val="nil"/>
              <w:bottom w:val="single" w:color="auto" w:sz="4" w:space="0"/>
              <w:right w:val="single" w:color="auto" w:sz="4" w:space="0"/>
            </w:tcBorders>
            <w:noWrap w:val="0"/>
            <w:vAlign w:val="center"/>
          </w:tcPr>
          <w:p w14:paraId="152663D5">
            <w:pPr>
              <w:widowControl/>
              <w:jc w:val="center"/>
              <w:rPr>
                <w:color w:val="auto"/>
                <w:kern w:val="0"/>
                <w:sz w:val="22"/>
                <w:szCs w:val="22"/>
                <w:highlight w:val="none"/>
              </w:rPr>
            </w:pPr>
            <w:r>
              <w:rPr>
                <w:color w:val="auto"/>
                <w:kern w:val="0"/>
                <w:sz w:val="22"/>
                <w:szCs w:val="22"/>
                <w:highlight w:val="none"/>
              </w:rPr>
              <w:t>　</w:t>
            </w:r>
          </w:p>
        </w:tc>
        <w:tc>
          <w:tcPr>
            <w:tcW w:w="1980" w:type="dxa"/>
            <w:gridSpan w:val="3"/>
            <w:tcBorders>
              <w:top w:val="nil"/>
              <w:left w:val="nil"/>
              <w:bottom w:val="single" w:color="auto" w:sz="4" w:space="0"/>
              <w:right w:val="single" w:color="auto" w:sz="4" w:space="0"/>
            </w:tcBorders>
            <w:noWrap w:val="0"/>
            <w:vAlign w:val="center"/>
          </w:tcPr>
          <w:p w14:paraId="5D648D3C">
            <w:pPr>
              <w:widowControl/>
              <w:jc w:val="center"/>
              <w:rPr>
                <w:color w:val="auto"/>
                <w:kern w:val="0"/>
                <w:sz w:val="22"/>
                <w:szCs w:val="22"/>
                <w:highlight w:val="none"/>
              </w:rPr>
            </w:pPr>
            <w:r>
              <w:rPr>
                <w:color w:val="auto"/>
                <w:kern w:val="0"/>
                <w:sz w:val="22"/>
                <w:szCs w:val="22"/>
                <w:highlight w:val="none"/>
              </w:rPr>
              <w:t>　</w:t>
            </w:r>
          </w:p>
        </w:tc>
        <w:tc>
          <w:tcPr>
            <w:tcW w:w="760" w:type="dxa"/>
            <w:gridSpan w:val="2"/>
            <w:tcBorders>
              <w:top w:val="nil"/>
              <w:left w:val="nil"/>
              <w:bottom w:val="single" w:color="auto" w:sz="4" w:space="0"/>
              <w:right w:val="single" w:color="auto" w:sz="4" w:space="0"/>
            </w:tcBorders>
            <w:noWrap w:val="0"/>
            <w:vAlign w:val="center"/>
          </w:tcPr>
          <w:p w14:paraId="0C291EAC">
            <w:pPr>
              <w:widowControl/>
              <w:jc w:val="center"/>
              <w:rPr>
                <w:color w:val="auto"/>
                <w:kern w:val="0"/>
                <w:sz w:val="22"/>
                <w:szCs w:val="22"/>
                <w:highlight w:val="none"/>
              </w:rPr>
            </w:pPr>
            <w:r>
              <w:rPr>
                <w:color w:val="auto"/>
                <w:kern w:val="0"/>
                <w:sz w:val="22"/>
                <w:szCs w:val="22"/>
                <w:highlight w:val="none"/>
              </w:rPr>
              <w:t>　</w:t>
            </w:r>
          </w:p>
        </w:tc>
        <w:tc>
          <w:tcPr>
            <w:tcW w:w="2264" w:type="dxa"/>
            <w:gridSpan w:val="3"/>
            <w:tcBorders>
              <w:top w:val="single" w:color="auto" w:sz="4" w:space="0"/>
              <w:left w:val="nil"/>
              <w:bottom w:val="single" w:color="auto" w:sz="4" w:space="0"/>
              <w:right w:val="single" w:color="000000" w:sz="4" w:space="0"/>
            </w:tcBorders>
            <w:noWrap w:val="0"/>
            <w:vAlign w:val="center"/>
          </w:tcPr>
          <w:p w14:paraId="13081406">
            <w:pPr>
              <w:widowControl/>
              <w:jc w:val="center"/>
              <w:rPr>
                <w:color w:val="auto"/>
                <w:kern w:val="0"/>
                <w:sz w:val="22"/>
                <w:szCs w:val="22"/>
                <w:highlight w:val="none"/>
              </w:rPr>
            </w:pPr>
            <w:r>
              <w:rPr>
                <w:color w:val="auto"/>
                <w:kern w:val="0"/>
                <w:sz w:val="22"/>
                <w:szCs w:val="22"/>
                <w:highlight w:val="none"/>
              </w:rPr>
              <w:t>　</w:t>
            </w:r>
          </w:p>
        </w:tc>
        <w:tc>
          <w:tcPr>
            <w:tcW w:w="1596" w:type="dxa"/>
            <w:gridSpan w:val="2"/>
            <w:tcBorders>
              <w:top w:val="nil"/>
              <w:left w:val="nil"/>
              <w:bottom w:val="single" w:color="auto" w:sz="4" w:space="0"/>
              <w:right w:val="single" w:color="auto" w:sz="4" w:space="0"/>
            </w:tcBorders>
            <w:noWrap w:val="0"/>
            <w:vAlign w:val="center"/>
          </w:tcPr>
          <w:p w14:paraId="3DCDB6DB">
            <w:pPr>
              <w:widowControl/>
              <w:jc w:val="center"/>
              <w:rPr>
                <w:color w:val="auto"/>
                <w:kern w:val="0"/>
                <w:sz w:val="22"/>
                <w:szCs w:val="22"/>
                <w:highlight w:val="none"/>
              </w:rPr>
            </w:pPr>
            <w:r>
              <w:rPr>
                <w:color w:val="auto"/>
                <w:kern w:val="0"/>
                <w:sz w:val="22"/>
                <w:szCs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7C299174">
            <w:pPr>
              <w:widowControl/>
              <w:jc w:val="center"/>
              <w:rPr>
                <w:color w:val="auto"/>
                <w:kern w:val="0"/>
                <w:sz w:val="22"/>
                <w:szCs w:val="22"/>
                <w:highlight w:val="none"/>
              </w:rPr>
            </w:pPr>
            <w:r>
              <w:rPr>
                <w:color w:val="auto"/>
                <w:kern w:val="0"/>
                <w:sz w:val="22"/>
                <w:szCs w:val="22"/>
                <w:highlight w:val="none"/>
              </w:rPr>
              <w:t>　</w:t>
            </w:r>
          </w:p>
        </w:tc>
        <w:tc>
          <w:tcPr>
            <w:tcW w:w="2120" w:type="dxa"/>
            <w:gridSpan w:val="4"/>
            <w:tcBorders>
              <w:top w:val="single" w:color="auto" w:sz="4" w:space="0"/>
              <w:left w:val="nil"/>
              <w:bottom w:val="single" w:color="auto" w:sz="4" w:space="0"/>
              <w:right w:val="single" w:color="000000" w:sz="4" w:space="0"/>
            </w:tcBorders>
            <w:noWrap w:val="0"/>
            <w:vAlign w:val="center"/>
          </w:tcPr>
          <w:p w14:paraId="61559E63">
            <w:pPr>
              <w:widowControl/>
              <w:jc w:val="center"/>
              <w:rPr>
                <w:color w:val="auto"/>
                <w:kern w:val="0"/>
                <w:sz w:val="22"/>
                <w:szCs w:val="22"/>
                <w:highlight w:val="none"/>
              </w:rPr>
            </w:pPr>
            <w:r>
              <w:rPr>
                <w:color w:val="auto"/>
                <w:kern w:val="0"/>
                <w:sz w:val="22"/>
                <w:szCs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7BD3A6CD">
            <w:pPr>
              <w:widowControl/>
              <w:jc w:val="center"/>
              <w:rPr>
                <w:color w:val="auto"/>
                <w:kern w:val="0"/>
                <w:sz w:val="22"/>
                <w:szCs w:val="22"/>
                <w:highlight w:val="none"/>
              </w:rPr>
            </w:pPr>
            <w:r>
              <w:rPr>
                <w:color w:val="auto"/>
                <w:kern w:val="0"/>
                <w:sz w:val="22"/>
                <w:szCs w:val="22"/>
                <w:highlight w:val="none"/>
              </w:rPr>
              <w:t>　</w:t>
            </w:r>
          </w:p>
        </w:tc>
        <w:tc>
          <w:tcPr>
            <w:tcW w:w="1400" w:type="dxa"/>
            <w:tcBorders>
              <w:top w:val="nil"/>
              <w:left w:val="nil"/>
              <w:bottom w:val="single" w:color="auto" w:sz="4" w:space="0"/>
              <w:right w:val="single" w:color="auto" w:sz="4" w:space="0"/>
            </w:tcBorders>
            <w:noWrap w:val="0"/>
            <w:vAlign w:val="center"/>
          </w:tcPr>
          <w:p w14:paraId="6ECFFEEA">
            <w:pPr>
              <w:widowControl/>
              <w:jc w:val="center"/>
              <w:rPr>
                <w:color w:val="auto"/>
                <w:kern w:val="0"/>
                <w:sz w:val="22"/>
                <w:szCs w:val="22"/>
                <w:highlight w:val="none"/>
              </w:rPr>
            </w:pPr>
            <w:r>
              <w:rPr>
                <w:color w:val="auto"/>
                <w:kern w:val="0"/>
                <w:sz w:val="22"/>
                <w:szCs w:val="22"/>
                <w:highlight w:val="none"/>
              </w:rPr>
              <w:t>　</w:t>
            </w:r>
          </w:p>
        </w:tc>
      </w:tr>
      <w:tr w14:paraId="1311B57B">
        <w:tblPrEx>
          <w:tblCellMar>
            <w:top w:w="0" w:type="dxa"/>
            <w:left w:w="108" w:type="dxa"/>
            <w:bottom w:w="0" w:type="dxa"/>
            <w:right w:w="108" w:type="dxa"/>
          </w:tblCellMar>
        </w:tblPrEx>
        <w:trPr>
          <w:trHeight w:val="150" w:hRule="atLeast"/>
        </w:trPr>
        <w:tc>
          <w:tcPr>
            <w:tcW w:w="15507" w:type="dxa"/>
            <w:gridSpan w:val="22"/>
            <w:tcBorders>
              <w:top w:val="single" w:color="auto" w:sz="4" w:space="0"/>
              <w:left w:val="single" w:color="auto" w:sz="4" w:space="0"/>
              <w:bottom w:val="single" w:color="auto" w:sz="4" w:space="0"/>
              <w:right w:val="single" w:color="000000" w:sz="4" w:space="0"/>
            </w:tcBorders>
            <w:shd w:val="clear" w:color="auto" w:fill="FFCC99"/>
            <w:noWrap w:val="0"/>
            <w:vAlign w:val="center"/>
          </w:tcPr>
          <w:p w14:paraId="02D72E48">
            <w:pPr>
              <w:widowControl/>
              <w:jc w:val="center"/>
              <w:rPr>
                <w:color w:val="auto"/>
                <w:kern w:val="0"/>
                <w:sz w:val="22"/>
                <w:szCs w:val="22"/>
                <w:highlight w:val="none"/>
              </w:rPr>
            </w:pPr>
            <w:r>
              <w:rPr>
                <w:color w:val="auto"/>
                <w:kern w:val="0"/>
                <w:sz w:val="22"/>
                <w:szCs w:val="22"/>
                <w:highlight w:val="none"/>
              </w:rPr>
              <w:t>　</w:t>
            </w:r>
          </w:p>
        </w:tc>
      </w:tr>
      <w:tr w14:paraId="5EE5D652">
        <w:tblPrEx>
          <w:tblCellMar>
            <w:top w:w="0" w:type="dxa"/>
            <w:left w:w="108" w:type="dxa"/>
            <w:bottom w:w="0" w:type="dxa"/>
            <w:right w:w="108" w:type="dxa"/>
          </w:tblCellMar>
        </w:tblPrEx>
        <w:trPr>
          <w:trHeight w:val="389" w:hRule="atLeast"/>
        </w:trPr>
        <w:tc>
          <w:tcPr>
            <w:tcW w:w="440" w:type="dxa"/>
            <w:tcBorders>
              <w:top w:val="nil"/>
              <w:left w:val="single" w:color="auto" w:sz="4" w:space="0"/>
              <w:bottom w:val="single" w:color="auto" w:sz="4" w:space="0"/>
              <w:right w:val="single" w:color="auto" w:sz="4" w:space="0"/>
            </w:tcBorders>
            <w:noWrap w:val="0"/>
            <w:vAlign w:val="center"/>
          </w:tcPr>
          <w:p w14:paraId="7DB0CC4D">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二</w:t>
            </w:r>
          </w:p>
        </w:tc>
        <w:tc>
          <w:tcPr>
            <w:tcW w:w="15067" w:type="dxa"/>
            <w:gridSpan w:val="21"/>
            <w:tcBorders>
              <w:top w:val="single" w:color="auto" w:sz="4" w:space="0"/>
              <w:left w:val="nil"/>
              <w:bottom w:val="single" w:color="auto" w:sz="4" w:space="0"/>
              <w:right w:val="single" w:color="000000" w:sz="4" w:space="0"/>
            </w:tcBorders>
            <w:noWrap w:val="0"/>
            <w:vAlign w:val="center"/>
          </w:tcPr>
          <w:p w14:paraId="6DF76CCA">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大型设备、大宗材料款</w:t>
            </w:r>
          </w:p>
        </w:tc>
      </w:tr>
      <w:tr w14:paraId="08EF8AF1">
        <w:tblPrEx>
          <w:tblCellMar>
            <w:top w:w="0" w:type="dxa"/>
            <w:left w:w="108" w:type="dxa"/>
            <w:bottom w:w="0" w:type="dxa"/>
            <w:right w:w="108" w:type="dxa"/>
          </w:tblCellMar>
        </w:tblPrEx>
        <w:trPr>
          <w:trHeight w:val="300" w:hRule="atLeast"/>
        </w:trPr>
        <w:tc>
          <w:tcPr>
            <w:tcW w:w="440" w:type="dxa"/>
            <w:tcBorders>
              <w:top w:val="nil"/>
              <w:left w:val="single" w:color="auto" w:sz="4" w:space="0"/>
              <w:bottom w:val="single" w:color="auto" w:sz="4" w:space="0"/>
              <w:right w:val="single" w:color="auto" w:sz="4" w:space="0"/>
            </w:tcBorders>
            <w:noWrap w:val="0"/>
            <w:vAlign w:val="center"/>
          </w:tcPr>
          <w:p w14:paraId="61FCF8FE">
            <w:pPr>
              <w:widowControl/>
              <w:jc w:val="center"/>
              <w:rPr>
                <w:color w:val="auto"/>
                <w:kern w:val="0"/>
                <w:sz w:val="22"/>
                <w:szCs w:val="22"/>
                <w:highlight w:val="none"/>
              </w:rPr>
            </w:pPr>
            <w:r>
              <w:rPr>
                <w:color w:val="auto"/>
                <w:kern w:val="0"/>
                <w:sz w:val="22"/>
                <w:szCs w:val="22"/>
                <w:highlight w:val="none"/>
              </w:rPr>
              <w:t>1</w:t>
            </w:r>
          </w:p>
        </w:tc>
        <w:tc>
          <w:tcPr>
            <w:tcW w:w="2147" w:type="dxa"/>
            <w:gridSpan w:val="2"/>
            <w:tcBorders>
              <w:top w:val="single" w:color="auto" w:sz="4" w:space="0"/>
              <w:left w:val="nil"/>
              <w:bottom w:val="single" w:color="auto" w:sz="4" w:space="0"/>
              <w:right w:val="single" w:color="auto" w:sz="4" w:space="0"/>
            </w:tcBorders>
            <w:noWrap w:val="0"/>
            <w:vAlign w:val="center"/>
          </w:tcPr>
          <w:p w14:paraId="0B05BFB1">
            <w:pPr>
              <w:widowControl/>
              <w:jc w:val="center"/>
              <w:rPr>
                <w:color w:val="auto"/>
                <w:kern w:val="0"/>
                <w:sz w:val="22"/>
                <w:szCs w:val="22"/>
                <w:highlight w:val="none"/>
              </w:rPr>
            </w:pPr>
            <w:r>
              <w:rPr>
                <w:color w:val="auto"/>
                <w:kern w:val="0"/>
                <w:sz w:val="22"/>
                <w:szCs w:val="22"/>
                <w:highlight w:val="none"/>
              </w:rPr>
              <w:t>　</w:t>
            </w:r>
          </w:p>
        </w:tc>
        <w:tc>
          <w:tcPr>
            <w:tcW w:w="1980" w:type="dxa"/>
            <w:gridSpan w:val="3"/>
            <w:tcBorders>
              <w:top w:val="nil"/>
              <w:left w:val="nil"/>
              <w:bottom w:val="single" w:color="auto" w:sz="4" w:space="0"/>
              <w:right w:val="single" w:color="auto" w:sz="4" w:space="0"/>
            </w:tcBorders>
            <w:noWrap w:val="0"/>
            <w:vAlign w:val="center"/>
          </w:tcPr>
          <w:p w14:paraId="16A4A896">
            <w:pPr>
              <w:widowControl/>
              <w:jc w:val="center"/>
              <w:rPr>
                <w:color w:val="auto"/>
                <w:kern w:val="0"/>
                <w:sz w:val="22"/>
                <w:szCs w:val="22"/>
                <w:highlight w:val="none"/>
              </w:rPr>
            </w:pPr>
            <w:r>
              <w:rPr>
                <w:color w:val="auto"/>
                <w:kern w:val="0"/>
                <w:sz w:val="22"/>
                <w:szCs w:val="22"/>
                <w:highlight w:val="none"/>
              </w:rPr>
              <w:t>　</w:t>
            </w:r>
          </w:p>
        </w:tc>
        <w:tc>
          <w:tcPr>
            <w:tcW w:w="760" w:type="dxa"/>
            <w:gridSpan w:val="2"/>
            <w:tcBorders>
              <w:top w:val="nil"/>
              <w:left w:val="nil"/>
              <w:bottom w:val="single" w:color="auto" w:sz="4" w:space="0"/>
              <w:right w:val="single" w:color="auto" w:sz="4" w:space="0"/>
            </w:tcBorders>
            <w:noWrap w:val="0"/>
            <w:vAlign w:val="center"/>
          </w:tcPr>
          <w:p w14:paraId="54926A31">
            <w:pPr>
              <w:widowControl/>
              <w:jc w:val="center"/>
              <w:rPr>
                <w:color w:val="auto"/>
                <w:kern w:val="0"/>
                <w:sz w:val="22"/>
                <w:szCs w:val="22"/>
                <w:highlight w:val="none"/>
              </w:rPr>
            </w:pPr>
            <w:r>
              <w:rPr>
                <w:color w:val="auto"/>
                <w:kern w:val="0"/>
                <w:sz w:val="22"/>
                <w:szCs w:val="22"/>
                <w:highlight w:val="none"/>
              </w:rPr>
              <w:t>　</w:t>
            </w:r>
          </w:p>
        </w:tc>
        <w:tc>
          <w:tcPr>
            <w:tcW w:w="2264" w:type="dxa"/>
            <w:gridSpan w:val="3"/>
            <w:tcBorders>
              <w:top w:val="single" w:color="auto" w:sz="4" w:space="0"/>
              <w:left w:val="nil"/>
              <w:bottom w:val="single" w:color="auto" w:sz="4" w:space="0"/>
              <w:right w:val="single" w:color="000000" w:sz="4" w:space="0"/>
            </w:tcBorders>
            <w:noWrap w:val="0"/>
            <w:vAlign w:val="center"/>
          </w:tcPr>
          <w:p w14:paraId="498EF335">
            <w:pPr>
              <w:widowControl/>
              <w:jc w:val="center"/>
              <w:rPr>
                <w:color w:val="auto"/>
                <w:kern w:val="0"/>
                <w:sz w:val="22"/>
                <w:szCs w:val="22"/>
                <w:highlight w:val="none"/>
              </w:rPr>
            </w:pPr>
            <w:r>
              <w:rPr>
                <w:color w:val="auto"/>
                <w:kern w:val="0"/>
                <w:sz w:val="22"/>
                <w:szCs w:val="22"/>
                <w:highlight w:val="none"/>
              </w:rPr>
              <w:t>　</w:t>
            </w:r>
          </w:p>
        </w:tc>
        <w:tc>
          <w:tcPr>
            <w:tcW w:w="1596" w:type="dxa"/>
            <w:gridSpan w:val="2"/>
            <w:tcBorders>
              <w:top w:val="nil"/>
              <w:left w:val="nil"/>
              <w:bottom w:val="single" w:color="auto" w:sz="4" w:space="0"/>
              <w:right w:val="single" w:color="auto" w:sz="4" w:space="0"/>
            </w:tcBorders>
            <w:noWrap w:val="0"/>
            <w:vAlign w:val="center"/>
          </w:tcPr>
          <w:p w14:paraId="6485028D">
            <w:pPr>
              <w:widowControl/>
              <w:jc w:val="center"/>
              <w:rPr>
                <w:color w:val="auto"/>
                <w:kern w:val="0"/>
                <w:sz w:val="22"/>
                <w:szCs w:val="22"/>
                <w:highlight w:val="none"/>
              </w:rPr>
            </w:pPr>
            <w:r>
              <w:rPr>
                <w:color w:val="auto"/>
                <w:kern w:val="0"/>
                <w:sz w:val="22"/>
                <w:szCs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26F08A9F">
            <w:pPr>
              <w:widowControl/>
              <w:jc w:val="center"/>
              <w:rPr>
                <w:color w:val="auto"/>
                <w:kern w:val="0"/>
                <w:sz w:val="22"/>
                <w:szCs w:val="22"/>
                <w:highlight w:val="none"/>
              </w:rPr>
            </w:pPr>
            <w:r>
              <w:rPr>
                <w:color w:val="auto"/>
                <w:kern w:val="0"/>
                <w:sz w:val="22"/>
                <w:szCs w:val="22"/>
                <w:highlight w:val="none"/>
              </w:rPr>
              <w:t>　</w:t>
            </w:r>
          </w:p>
        </w:tc>
        <w:tc>
          <w:tcPr>
            <w:tcW w:w="2120" w:type="dxa"/>
            <w:gridSpan w:val="4"/>
            <w:tcBorders>
              <w:top w:val="single" w:color="auto" w:sz="4" w:space="0"/>
              <w:left w:val="nil"/>
              <w:bottom w:val="single" w:color="auto" w:sz="4" w:space="0"/>
              <w:right w:val="single" w:color="000000" w:sz="4" w:space="0"/>
            </w:tcBorders>
            <w:noWrap w:val="0"/>
            <w:vAlign w:val="center"/>
          </w:tcPr>
          <w:p w14:paraId="3F36F11F">
            <w:pPr>
              <w:widowControl/>
              <w:jc w:val="center"/>
              <w:rPr>
                <w:color w:val="auto"/>
                <w:kern w:val="0"/>
                <w:sz w:val="22"/>
                <w:szCs w:val="22"/>
                <w:highlight w:val="none"/>
              </w:rPr>
            </w:pPr>
            <w:r>
              <w:rPr>
                <w:color w:val="auto"/>
                <w:kern w:val="0"/>
                <w:sz w:val="22"/>
                <w:szCs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617ED61D">
            <w:pPr>
              <w:widowControl/>
              <w:jc w:val="center"/>
              <w:rPr>
                <w:color w:val="auto"/>
                <w:kern w:val="0"/>
                <w:sz w:val="22"/>
                <w:szCs w:val="22"/>
                <w:highlight w:val="none"/>
              </w:rPr>
            </w:pPr>
            <w:r>
              <w:rPr>
                <w:color w:val="auto"/>
                <w:kern w:val="0"/>
                <w:sz w:val="22"/>
                <w:szCs w:val="22"/>
                <w:highlight w:val="none"/>
              </w:rPr>
              <w:t>　</w:t>
            </w:r>
          </w:p>
        </w:tc>
        <w:tc>
          <w:tcPr>
            <w:tcW w:w="1400" w:type="dxa"/>
            <w:tcBorders>
              <w:top w:val="nil"/>
              <w:left w:val="nil"/>
              <w:bottom w:val="single" w:color="auto" w:sz="4" w:space="0"/>
              <w:right w:val="single" w:color="auto" w:sz="4" w:space="0"/>
            </w:tcBorders>
            <w:noWrap w:val="0"/>
            <w:vAlign w:val="center"/>
          </w:tcPr>
          <w:p w14:paraId="6389EC37">
            <w:pPr>
              <w:widowControl/>
              <w:jc w:val="center"/>
              <w:rPr>
                <w:color w:val="auto"/>
                <w:kern w:val="0"/>
                <w:sz w:val="22"/>
                <w:szCs w:val="22"/>
                <w:highlight w:val="none"/>
              </w:rPr>
            </w:pPr>
            <w:r>
              <w:rPr>
                <w:color w:val="auto"/>
                <w:kern w:val="0"/>
                <w:sz w:val="22"/>
                <w:szCs w:val="22"/>
                <w:highlight w:val="none"/>
              </w:rPr>
              <w:t>　</w:t>
            </w:r>
          </w:p>
        </w:tc>
      </w:tr>
      <w:tr w14:paraId="5FF4C3D1">
        <w:tblPrEx>
          <w:tblCellMar>
            <w:top w:w="0" w:type="dxa"/>
            <w:left w:w="108" w:type="dxa"/>
            <w:bottom w:w="0" w:type="dxa"/>
            <w:right w:w="108" w:type="dxa"/>
          </w:tblCellMar>
        </w:tblPrEx>
        <w:trPr>
          <w:trHeight w:val="300" w:hRule="atLeast"/>
        </w:trPr>
        <w:tc>
          <w:tcPr>
            <w:tcW w:w="440" w:type="dxa"/>
            <w:tcBorders>
              <w:top w:val="nil"/>
              <w:left w:val="single" w:color="auto" w:sz="4" w:space="0"/>
              <w:bottom w:val="single" w:color="auto" w:sz="4" w:space="0"/>
              <w:right w:val="single" w:color="auto" w:sz="4" w:space="0"/>
            </w:tcBorders>
            <w:noWrap w:val="0"/>
            <w:vAlign w:val="center"/>
          </w:tcPr>
          <w:p w14:paraId="1B75A547">
            <w:pPr>
              <w:widowControl/>
              <w:jc w:val="center"/>
              <w:rPr>
                <w:color w:val="auto"/>
                <w:kern w:val="0"/>
                <w:sz w:val="22"/>
                <w:szCs w:val="22"/>
                <w:highlight w:val="none"/>
              </w:rPr>
            </w:pPr>
            <w:r>
              <w:rPr>
                <w:color w:val="auto"/>
                <w:kern w:val="0"/>
                <w:sz w:val="22"/>
                <w:szCs w:val="22"/>
                <w:highlight w:val="none"/>
              </w:rPr>
              <w:t>2</w:t>
            </w:r>
          </w:p>
        </w:tc>
        <w:tc>
          <w:tcPr>
            <w:tcW w:w="2147" w:type="dxa"/>
            <w:gridSpan w:val="2"/>
            <w:tcBorders>
              <w:top w:val="single" w:color="auto" w:sz="4" w:space="0"/>
              <w:left w:val="nil"/>
              <w:bottom w:val="single" w:color="auto" w:sz="4" w:space="0"/>
              <w:right w:val="single" w:color="auto" w:sz="4" w:space="0"/>
            </w:tcBorders>
            <w:noWrap w:val="0"/>
            <w:vAlign w:val="center"/>
          </w:tcPr>
          <w:p w14:paraId="64ABF0F6">
            <w:pPr>
              <w:widowControl/>
              <w:jc w:val="center"/>
              <w:rPr>
                <w:color w:val="auto"/>
                <w:kern w:val="0"/>
                <w:sz w:val="22"/>
                <w:szCs w:val="22"/>
                <w:highlight w:val="none"/>
              </w:rPr>
            </w:pPr>
            <w:r>
              <w:rPr>
                <w:color w:val="auto"/>
                <w:kern w:val="0"/>
                <w:sz w:val="22"/>
                <w:szCs w:val="22"/>
                <w:highlight w:val="none"/>
              </w:rPr>
              <w:t>　</w:t>
            </w:r>
          </w:p>
        </w:tc>
        <w:tc>
          <w:tcPr>
            <w:tcW w:w="1980" w:type="dxa"/>
            <w:gridSpan w:val="3"/>
            <w:tcBorders>
              <w:top w:val="nil"/>
              <w:left w:val="nil"/>
              <w:bottom w:val="single" w:color="auto" w:sz="4" w:space="0"/>
              <w:right w:val="single" w:color="auto" w:sz="4" w:space="0"/>
            </w:tcBorders>
            <w:noWrap w:val="0"/>
            <w:vAlign w:val="center"/>
          </w:tcPr>
          <w:p w14:paraId="01AD0C7D">
            <w:pPr>
              <w:widowControl/>
              <w:jc w:val="center"/>
              <w:rPr>
                <w:color w:val="auto"/>
                <w:kern w:val="0"/>
                <w:sz w:val="22"/>
                <w:szCs w:val="22"/>
                <w:highlight w:val="none"/>
              </w:rPr>
            </w:pPr>
            <w:r>
              <w:rPr>
                <w:color w:val="auto"/>
                <w:kern w:val="0"/>
                <w:sz w:val="22"/>
                <w:szCs w:val="22"/>
                <w:highlight w:val="none"/>
              </w:rPr>
              <w:t>　</w:t>
            </w:r>
          </w:p>
        </w:tc>
        <w:tc>
          <w:tcPr>
            <w:tcW w:w="760" w:type="dxa"/>
            <w:gridSpan w:val="2"/>
            <w:tcBorders>
              <w:top w:val="nil"/>
              <w:left w:val="nil"/>
              <w:bottom w:val="single" w:color="auto" w:sz="4" w:space="0"/>
              <w:right w:val="single" w:color="auto" w:sz="4" w:space="0"/>
            </w:tcBorders>
            <w:noWrap w:val="0"/>
            <w:vAlign w:val="center"/>
          </w:tcPr>
          <w:p w14:paraId="0279C877">
            <w:pPr>
              <w:widowControl/>
              <w:jc w:val="center"/>
              <w:rPr>
                <w:color w:val="auto"/>
                <w:kern w:val="0"/>
                <w:sz w:val="22"/>
                <w:szCs w:val="22"/>
                <w:highlight w:val="none"/>
              </w:rPr>
            </w:pPr>
            <w:r>
              <w:rPr>
                <w:color w:val="auto"/>
                <w:kern w:val="0"/>
                <w:sz w:val="22"/>
                <w:szCs w:val="22"/>
                <w:highlight w:val="none"/>
              </w:rPr>
              <w:t>　</w:t>
            </w:r>
          </w:p>
        </w:tc>
        <w:tc>
          <w:tcPr>
            <w:tcW w:w="2264" w:type="dxa"/>
            <w:gridSpan w:val="3"/>
            <w:tcBorders>
              <w:top w:val="single" w:color="auto" w:sz="4" w:space="0"/>
              <w:left w:val="nil"/>
              <w:bottom w:val="single" w:color="auto" w:sz="4" w:space="0"/>
              <w:right w:val="single" w:color="000000" w:sz="4" w:space="0"/>
            </w:tcBorders>
            <w:noWrap w:val="0"/>
            <w:vAlign w:val="center"/>
          </w:tcPr>
          <w:p w14:paraId="16C8E8B1">
            <w:pPr>
              <w:widowControl/>
              <w:jc w:val="center"/>
              <w:rPr>
                <w:color w:val="auto"/>
                <w:kern w:val="0"/>
                <w:sz w:val="22"/>
                <w:szCs w:val="22"/>
                <w:highlight w:val="none"/>
              </w:rPr>
            </w:pPr>
            <w:r>
              <w:rPr>
                <w:color w:val="auto"/>
                <w:kern w:val="0"/>
                <w:sz w:val="22"/>
                <w:szCs w:val="22"/>
                <w:highlight w:val="none"/>
              </w:rPr>
              <w:t>　</w:t>
            </w:r>
          </w:p>
        </w:tc>
        <w:tc>
          <w:tcPr>
            <w:tcW w:w="1596" w:type="dxa"/>
            <w:gridSpan w:val="2"/>
            <w:tcBorders>
              <w:top w:val="nil"/>
              <w:left w:val="nil"/>
              <w:bottom w:val="single" w:color="auto" w:sz="4" w:space="0"/>
              <w:right w:val="single" w:color="auto" w:sz="4" w:space="0"/>
            </w:tcBorders>
            <w:noWrap w:val="0"/>
            <w:vAlign w:val="center"/>
          </w:tcPr>
          <w:p w14:paraId="67AD28CD">
            <w:pPr>
              <w:widowControl/>
              <w:jc w:val="center"/>
              <w:rPr>
                <w:color w:val="auto"/>
                <w:kern w:val="0"/>
                <w:sz w:val="22"/>
                <w:szCs w:val="22"/>
                <w:highlight w:val="none"/>
              </w:rPr>
            </w:pPr>
            <w:r>
              <w:rPr>
                <w:color w:val="auto"/>
                <w:kern w:val="0"/>
                <w:sz w:val="22"/>
                <w:szCs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643B01BD">
            <w:pPr>
              <w:widowControl/>
              <w:jc w:val="center"/>
              <w:rPr>
                <w:color w:val="auto"/>
                <w:kern w:val="0"/>
                <w:sz w:val="22"/>
                <w:szCs w:val="22"/>
                <w:highlight w:val="none"/>
              </w:rPr>
            </w:pPr>
            <w:r>
              <w:rPr>
                <w:color w:val="auto"/>
                <w:kern w:val="0"/>
                <w:sz w:val="22"/>
                <w:szCs w:val="22"/>
                <w:highlight w:val="none"/>
              </w:rPr>
              <w:t>　</w:t>
            </w:r>
          </w:p>
        </w:tc>
        <w:tc>
          <w:tcPr>
            <w:tcW w:w="2120" w:type="dxa"/>
            <w:gridSpan w:val="4"/>
            <w:tcBorders>
              <w:top w:val="single" w:color="auto" w:sz="4" w:space="0"/>
              <w:left w:val="nil"/>
              <w:bottom w:val="single" w:color="auto" w:sz="4" w:space="0"/>
              <w:right w:val="single" w:color="000000" w:sz="4" w:space="0"/>
            </w:tcBorders>
            <w:noWrap w:val="0"/>
            <w:vAlign w:val="center"/>
          </w:tcPr>
          <w:p w14:paraId="3A6E8BF9">
            <w:pPr>
              <w:widowControl/>
              <w:jc w:val="center"/>
              <w:rPr>
                <w:color w:val="auto"/>
                <w:kern w:val="0"/>
                <w:sz w:val="22"/>
                <w:szCs w:val="22"/>
                <w:highlight w:val="none"/>
              </w:rPr>
            </w:pPr>
            <w:r>
              <w:rPr>
                <w:color w:val="auto"/>
                <w:kern w:val="0"/>
                <w:sz w:val="22"/>
                <w:szCs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09C857C6">
            <w:pPr>
              <w:widowControl/>
              <w:jc w:val="center"/>
              <w:rPr>
                <w:color w:val="auto"/>
                <w:kern w:val="0"/>
                <w:sz w:val="22"/>
                <w:szCs w:val="22"/>
                <w:highlight w:val="none"/>
              </w:rPr>
            </w:pPr>
            <w:r>
              <w:rPr>
                <w:color w:val="auto"/>
                <w:kern w:val="0"/>
                <w:sz w:val="22"/>
                <w:szCs w:val="22"/>
                <w:highlight w:val="none"/>
              </w:rPr>
              <w:t>　</w:t>
            </w:r>
          </w:p>
        </w:tc>
        <w:tc>
          <w:tcPr>
            <w:tcW w:w="1400" w:type="dxa"/>
            <w:tcBorders>
              <w:top w:val="nil"/>
              <w:left w:val="nil"/>
              <w:bottom w:val="single" w:color="auto" w:sz="4" w:space="0"/>
              <w:right w:val="single" w:color="auto" w:sz="4" w:space="0"/>
            </w:tcBorders>
            <w:noWrap w:val="0"/>
            <w:vAlign w:val="center"/>
          </w:tcPr>
          <w:p w14:paraId="4A3AE3B3">
            <w:pPr>
              <w:widowControl/>
              <w:jc w:val="center"/>
              <w:rPr>
                <w:color w:val="auto"/>
                <w:kern w:val="0"/>
                <w:sz w:val="22"/>
                <w:szCs w:val="22"/>
                <w:highlight w:val="none"/>
              </w:rPr>
            </w:pPr>
            <w:r>
              <w:rPr>
                <w:color w:val="auto"/>
                <w:kern w:val="0"/>
                <w:sz w:val="22"/>
                <w:szCs w:val="22"/>
                <w:highlight w:val="none"/>
              </w:rPr>
              <w:t>　</w:t>
            </w:r>
          </w:p>
        </w:tc>
      </w:tr>
      <w:tr w14:paraId="6108B84F">
        <w:tblPrEx>
          <w:tblCellMar>
            <w:top w:w="0" w:type="dxa"/>
            <w:left w:w="108" w:type="dxa"/>
            <w:bottom w:w="0" w:type="dxa"/>
            <w:right w:w="108" w:type="dxa"/>
          </w:tblCellMar>
        </w:tblPrEx>
        <w:trPr>
          <w:trHeight w:val="300" w:hRule="atLeast"/>
        </w:trPr>
        <w:tc>
          <w:tcPr>
            <w:tcW w:w="440" w:type="dxa"/>
            <w:tcBorders>
              <w:top w:val="nil"/>
              <w:left w:val="single" w:color="auto" w:sz="4" w:space="0"/>
              <w:bottom w:val="single" w:color="auto" w:sz="4" w:space="0"/>
              <w:right w:val="single" w:color="auto" w:sz="4" w:space="0"/>
            </w:tcBorders>
            <w:noWrap w:val="0"/>
            <w:vAlign w:val="center"/>
          </w:tcPr>
          <w:p w14:paraId="173316A8">
            <w:pPr>
              <w:widowControl/>
              <w:jc w:val="center"/>
              <w:rPr>
                <w:color w:val="auto"/>
                <w:kern w:val="0"/>
                <w:sz w:val="22"/>
                <w:szCs w:val="22"/>
                <w:highlight w:val="none"/>
              </w:rPr>
            </w:pPr>
            <w:r>
              <w:rPr>
                <w:color w:val="auto"/>
                <w:kern w:val="0"/>
                <w:sz w:val="22"/>
                <w:szCs w:val="22"/>
                <w:highlight w:val="none"/>
              </w:rPr>
              <w:t>…</w:t>
            </w:r>
          </w:p>
        </w:tc>
        <w:tc>
          <w:tcPr>
            <w:tcW w:w="2147" w:type="dxa"/>
            <w:gridSpan w:val="2"/>
            <w:tcBorders>
              <w:top w:val="single" w:color="auto" w:sz="4" w:space="0"/>
              <w:left w:val="nil"/>
              <w:bottom w:val="single" w:color="auto" w:sz="4" w:space="0"/>
              <w:right w:val="single" w:color="auto" w:sz="4" w:space="0"/>
            </w:tcBorders>
            <w:noWrap w:val="0"/>
            <w:vAlign w:val="center"/>
          </w:tcPr>
          <w:p w14:paraId="75D5057D">
            <w:pPr>
              <w:widowControl/>
              <w:jc w:val="center"/>
              <w:rPr>
                <w:color w:val="auto"/>
                <w:kern w:val="0"/>
                <w:sz w:val="22"/>
                <w:szCs w:val="22"/>
                <w:highlight w:val="none"/>
              </w:rPr>
            </w:pPr>
            <w:r>
              <w:rPr>
                <w:color w:val="auto"/>
                <w:kern w:val="0"/>
                <w:sz w:val="22"/>
                <w:szCs w:val="22"/>
                <w:highlight w:val="none"/>
              </w:rPr>
              <w:t>　</w:t>
            </w:r>
          </w:p>
        </w:tc>
        <w:tc>
          <w:tcPr>
            <w:tcW w:w="1980" w:type="dxa"/>
            <w:gridSpan w:val="3"/>
            <w:tcBorders>
              <w:top w:val="nil"/>
              <w:left w:val="nil"/>
              <w:bottom w:val="single" w:color="auto" w:sz="4" w:space="0"/>
              <w:right w:val="single" w:color="auto" w:sz="4" w:space="0"/>
            </w:tcBorders>
            <w:noWrap w:val="0"/>
            <w:vAlign w:val="center"/>
          </w:tcPr>
          <w:p w14:paraId="795F8B74">
            <w:pPr>
              <w:widowControl/>
              <w:jc w:val="center"/>
              <w:rPr>
                <w:color w:val="auto"/>
                <w:kern w:val="0"/>
                <w:sz w:val="22"/>
                <w:szCs w:val="22"/>
                <w:highlight w:val="none"/>
              </w:rPr>
            </w:pPr>
            <w:r>
              <w:rPr>
                <w:color w:val="auto"/>
                <w:kern w:val="0"/>
                <w:sz w:val="22"/>
                <w:szCs w:val="22"/>
                <w:highlight w:val="none"/>
              </w:rPr>
              <w:t>　</w:t>
            </w:r>
          </w:p>
        </w:tc>
        <w:tc>
          <w:tcPr>
            <w:tcW w:w="760" w:type="dxa"/>
            <w:gridSpan w:val="2"/>
            <w:tcBorders>
              <w:top w:val="nil"/>
              <w:left w:val="nil"/>
              <w:bottom w:val="single" w:color="auto" w:sz="4" w:space="0"/>
              <w:right w:val="single" w:color="auto" w:sz="4" w:space="0"/>
            </w:tcBorders>
            <w:noWrap w:val="0"/>
            <w:vAlign w:val="center"/>
          </w:tcPr>
          <w:p w14:paraId="564E0EC4">
            <w:pPr>
              <w:widowControl/>
              <w:jc w:val="center"/>
              <w:rPr>
                <w:color w:val="auto"/>
                <w:kern w:val="0"/>
                <w:sz w:val="22"/>
                <w:szCs w:val="22"/>
                <w:highlight w:val="none"/>
              </w:rPr>
            </w:pPr>
            <w:r>
              <w:rPr>
                <w:color w:val="auto"/>
                <w:kern w:val="0"/>
                <w:sz w:val="22"/>
                <w:szCs w:val="22"/>
                <w:highlight w:val="none"/>
              </w:rPr>
              <w:t>　</w:t>
            </w:r>
          </w:p>
        </w:tc>
        <w:tc>
          <w:tcPr>
            <w:tcW w:w="2264" w:type="dxa"/>
            <w:gridSpan w:val="3"/>
            <w:tcBorders>
              <w:top w:val="single" w:color="auto" w:sz="4" w:space="0"/>
              <w:left w:val="nil"/>
              <w:bottom w:val="single" w:color="auto" w:sz="4" w:space="0"/>
              <w:right w:val="single" w:color="000000" w:sz="4" w:space="0"/>
            </w:tcBorders>
            <w:noWrap w:val="0"/>
            <w:vAlign w:val="center"/>
          </w:tcPr>
          <w:p w14:paraId="029F7FC1">
            <w:pPr>
              <w:widowControl/>
              <w:jc w:val="center"/>
              <w:rPr>
                <w:color w:val="auto"/>
                <w:kern w:val="0"/>
                <w:sz w:val="22"/>
                <w:szCs w:val="22"/>
                <w:highlight w:val="none"/>
              </w:rPr>
            </w:pPr>
            <w:r>
              <w:rPr>
                <w:color w:val="auto"/>
                <w:kern w:val="0"/>
                <w:sz w:val="22"/>
                <w:szCs w:val="22"/>
                <w:highlight w:val="none"/>
              </w:rPr>
              <w:t>　</w:t>
            </w:r>
          </w:p>
        </w:tc>
        <w:tc>
          <w:tcPr>
            <w:tcW w:w="1596" w:type="dxa"/>
            <w:gridSpan w:val="2"/>
            <w:tcBorders>
              <w:top w:val="nil"/>
              <w:left w:val="nil"/>
              <w:bottom w:val="single" w:color="auto" w:sz="4" w:space="0"/>
              <w:right w:val="single" w:color="auto" w:sz="4" w:space="0"/>
            </w:tcBorders>
            <w:noWrap w:val="0"/>
            <w:vAlign w:val="center"/>
          </w:tcPr>
          <w:p w14:paraId="411937EA">
            <w:pPr>
              <w:widowControl/>
              <w:jc w:val="center"/>
              <w:rPr>
                <w:color w:val="auto"/>
                <w:kern w:val="0"/>
                <w:sz w:val="22"/>
                <w:szCs w:val="22"/>
                <w:highlight w:val="none"/>
              </w:rPr>
            </w:pPr>
            <w:r>
              <w:rPr>
                <w:color w:val="auto"/>
                <w:kern w:val="0"/>
                <w:sz w:val="22"/>
                <w:szCs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6AF7CD64">
            <w:pPr>
              <w:widowControl/>
              <w:jc w:val="center"/>
              <w:rPr>
                <w:color w:val="auto"/>
                <w:kern w:val="0"/>
                <w:sz w:val="22"/>
                <w:szCs w:val="22"/>
                <w:highlight w:val="none"/>
              </w:rPr>
            </w:pPr>
            <w:r>
              <w:rPr>
                <w:color w:val="auto"/>
                <w:kern w:val="0"/>
                <w:sz w:val="22"/>
                <w:szCs w:val="22"/>
                <w:highlight w:val="none"/>
              </w:rPr>
              <w:t>　</w:t>
            </w:r>
          </w:p>
        </w:tc>
        <w:tc>
          <w:tcPr>
            <w:tcW w:w="2120" w:type="dxa"/>
            <w:gridSpan w:val="4"/>
            <w:tcBorders>
              <w:top w:val="single" w:color="auto" w:sz="4" w:space="0"/>
              <w:left w:val="nil"/>
              <w:bottom w:val="single" w:color="auto" w:sz="4" w:space="0"/>
              <w:right w:val="single" w:color="000000" w:sz="4" w:space="0"/>
            </w:tcBorders>
            <w:noWrap w:val="0"/>
            <w:vAlign w:val="center"/>
          </w:tcPr>
          <w:p w14:paraId="15AC08CF">
            <w:pPr>
              <w:widowControl/>
              <w:jc w:val="center"/>
              <w:rPr>
                <w:color w:val="auto"/>
                <w:kern w:val="0"/>
                <w:sz w:val="22"/>
                <w:szCs w:val="22"/>
                <w:highlight w:val="none"/>
              </w:rPr>
            </w:pPr>
            <w:r>
              <w:rPr>
                <w:color w:val="auto"/>
                <w:kern w:val="0"/>
                <w:sz w:val="22"/>
                <w:szCs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6B8647B6">
            <w:pPr>
              <w:widowControl/>
              <w:jc w:val="center"/>
              <w:rPr>
                <w:color w:val="auto"/>
                <w:kern w:val="0"/>
                <w:sz w:val="22"/>
                <w:szCs w:val="22"/>
                <w:highlight w:val="none"/>
              </w:rPr>
            </w:pPr>
            <w:r>
              <w:rPr>
                <w:color w:val="auto"/>
                <w:kern w:val="0"/>
                <w:sz w:val="22"/>
                <w:szCs w:val="22"/>
                <w:highlight w:val="none"/>
              </w:rPr>
              <w:t>　</w:t>
            </w:r>
          </w:p>
        </w:tc>
        <w:tc>
          <w:tcPr>
            <w:tcW w:w="1400" w:type="dxa"/>
            <w:tcBorders>
              <w:top w:val="nil"/>
              <w:left w:val="nil"/>
              <w:bottom w:val="single" w:color="auto" w:sz="4" w:space="0"/>
              <w:right w:val="single" w:color="auto" w:sz="4" w:space="0"/>
            </w:tcBorders>
            <w:noWrap w:val="0"/>
            <w:vAlign w:val="center"/>
          </w:tcPr>
          <w:p w14:paraId="649246D6">
            <w:pPr>
              <w:widowControl/>
              <w:jc w:val="center"/>
              <w:rPr>
                <w:color w:val="auto"/>
                <w:kern w:val="0"/>
                <w:sz w:val="22"/>
                <w:szCs w:val="22"/>
                <w:highlight w:val="none"/>
              </w:rPr>
            </w:pPr>
            <w:r>
              <w:rPr>
                <w:color w:val="auto"/>
                <w:kern w:val="0"/>
                <w:sz w:val="22"/>
                <w:szCs w:val="22"/>
                <w:highlight w:val="none"/>
              </w:rPr>
              <w:t>　</w:t>
            </w:r>
          </w:p>
        </w:tc>
      </w:tr>
      <w:tr w14:paraId="2391B9D0">
        <w:tblPrEx>
          <w:tblCellMar>
            <w:top w:w="0" w:type="dxa"/>
            <w:left w:w="108" w:type="dxa"/>
            <w:bottom w:w="0" w:type="dxa"/>
            <w:right w:w="108" w:type="dxa"/>
          </w:tblCellMar>
        </w:tblPrEx>
        <w:trPr>
          <w:trHeight w:val="150" w:hRule="atLeast"/>
        </w:trPr>
        <w:tc>
          <w:tcPr>
            <w:tcW w:w="15507" w:type="dxa"/>
            <w:gridSpan w:val="22"/>
            <w:tcBorders>
              <w:top w:val="single" w:color="auto" w:sz="4" w:space="0"/>
              <w:left w:val="single" w:color="auto" w:sz="4" w:space="0"/>
              <w:bottom w:val="single" w:color="auto" w:sz="4" w:space="0"/>
              <w:right w:val="single" w:color="000000" w:sz="4" w:space="0"/>
            </w:tcBorders>
            <w:shd w:val="clear" w:color="auto" w:fill="FFCC99"/>
            <w:noWrap w:val="0"/>
            <w:vAlign w:val="center"/>
          </w:tcPr>
          <w:p w14:paraId="1FF9FE4D">
            <w:pPr>
              <w:widowControl/>
              <w:jc w:val="center"/>
              <w:rPr>
                <w:color w:val="auto"/>
                <w:kern w:val="0"/>
                <w:sz w:val="22"/>
                <w:szCs w:val="22"/>
                <w:highlight w:val="none"/>
              </w:rPr>
            </w:pPr>
            <w:r>
              <w:rPr>
                <w:color w:val="auto"/>
                <w:kern w:val="0"/>
                <w:sz w:val="22"/>
                <w:szCs w:val="22"/>
                <w:highlight w:val="none"/>
              </w:rPr>
              <w:t>　</w:t>
            </w:r>
          </w:p>
        </w:tc>
      </w:tr>
      <w:tr w14:paraId="1BE0965B">
        <w:tblPrEx>
          <w:tblCellMar>
            <w:top w:w="0" w:type="dxa"/>
            <w:left w:w="108" w:type="dxa"/>
            <w:bottom w:w="0" w:type="dxa"/>
            <w:right w:w="108" w:type="dxa"/>
          </w:tblCellMar>
        </w:tblPrEx>
        <w:trPr>
          <w:trHeight w:val="453" w:hRule="atLeast"/>
        </w:trPr>
        <w:tc>
          <w:tcPr>
            <w:tcW w:w="440" w:type="dxa"/>
            <w:tcBorders>
              <w:top w:val="nil"/>
              <w:left w:val="single" w:color="auto" w:sz="4" w:space="0"/>
              <w:bottom w:val="single" w:color="auto" w:sz="4" w:space="0"/>
              <w:right w:val="single" w:color="auto" w:sz="4" w:space="0"/>
            </w:tcBorders>
            <w:noWrap w:val="0"/>
            <w:vAlign w:val="center"/>
          </w:tcPr>
          <w:p w14:paraId="3129B9A5">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三</w:t>
            </w:r>
          </w:p>
        </w:tc>
        <w:tc>
          <w:tcPr>
            <w:tcW w:w="15067" w:type="dxa"/>
            <w:gridSpan w:val="21"/>
            <w:tcBorders>
              <w:top w:val="single" w:color="auto" w:sz="4" w:space="0"/>
              <w:left w:val="nil"/>
              <w:bottom w:val="single" w:color="auto" w:sz="4" w:space="0"/>
              <w:right w:val="single" w:color="000000" w:sz="4" w:space="0"/>
            </w:tcBorders>
            <w:noWrap w:val="0"/>
            <w:vAlign w:val="center"/>
          </w:tcPr>
          <w:p w14:paraId="1378678F">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劳务班组费用款</w:t>
            </w:r>
          </w:p>
        </w:tc>
      </w:tr>
      <w:tr w14:paraId="4072C867">
        <w:tblPrEx>
          <w:tblCellMar>
            <w:top w:w="0" w:type="dxa"/>
            <w:left w:w="108" w:type="dxa"/>
            <w:bottom w:w="0" w:type="dxa"/>
            <w:right w:w="108" w:type="dxa"/>
          </w:tblCellMar>
        </w:tblPrEx>
        <w:trPr>
          <w:trHeight w:val="300" w:hRule="atLeast"/>
        </w:trPr>
        <w:tc>
          <w:tcPr>
            <w:tcW w:w="440" w:type="dxa"/>
            <w:tcBorders>
              <w:top w:val="nil"/>
              <w:left w:val="single" w:color="auto" w:sz="4" w:space="0"/>
              <w:bottom w:val="single" w:color="auto" w:sz="4" w:space="0"/>
              <w:right w:val="single" w:color="auto" w:sz="4" w:space="0"/>
            </w:tcBorders>
            <w:noWrap w:val="0"/>
            <w:vAlign w:val="center"/>
          </w:tcPr>
          <w:p w14:paraId="2792A13A">
            <w:pPr>
              <w:widowControl/>
              <w:jc w:val="center"/>
              <w:rPr>
                <w:color w:val="auto"/>
                <w:kern w:val="0"/>
                <w:sz w:val="22"/>
                <w:szCs w:val="22"/>
                <w:highlight w:val="none"/>
              </w:rPr>
            </w:pPr>
            <w:r>
              <w:rPr>
                <w:color w:val="auto"/>
                <w:kern w:val="0"/>
                <w:sz w:val="22"/>
                <w:szCs w:val="22"/>
                <w:highlight w:val="none"/>
              </w:rPr>
              <w:t>1</w:t>
            </w:r>
          </w:p>
        </w:tc>
        <w:tc>
          <w:tcPr>
            <w:tcW w:w="2147" w:type="dxa"/>
            <w:gridSpan w:val="2"/>
            <w:tcBorders>
              <w:top w:val="single" w:color="auto" w:sz="4" w:space="0"/>
              <w:left w:val="nil"/>
              <w:bottom w:val="single" w:color="auto" w:sz="4" w:space="0"/>
              <w:right w:val="single" w:color="auto" w:sz="4" w:space="0"/>
            </w:tcBorders>
            <w:noWrap w:val="0"/>
            <w:vAlign w:val="center"/>
          </w:tcPr>
          <w:p w14:paraId="317ED51E">
            <w:pPr>
              <w:widowControl/>
              <w:jc w:val="center"/>
              <w:rPr>
                <w:color w:val="auto"/>
                <w:kern w:val="0"/>
                <w:sz w:val="22"/>
                <w:szCs w:val="22"/>
                <w:highlight w:val="none"/>
              </w:rPr>
            </w:pPr>
            <w:r>
              <w:rPr>
                <w:color w:val="auto"/>
                <w:kern w:val="0"/>
                <w:sz w:val="22"/>
                <w:szCs w:val="22"/>
                <w:highlight w:val="none"/>
              </w:rPr>
              <w:t>　</w:t>
            </w:r>
          </w:p>
        </w:tc>
        <w:tc>
          <w:tcPr>
            <w:tcW w:w="1980" w:type="dxa"/>
            <w:gridSpan w:val="3"/>
            <w:tcBorders>
              <w:top w:val="nil"/>
              <w:left w:val="nil"/>
              <w:bottom w:val="single" w:color="auto" w:sz="4" w:space="0"/>
              <w:right w:val="single" w:color="auto" w:sz="4" w:space="0"/>
            </w:tcBorders>
            <w:noWrap w:val="0"/>
            <w:vAlign w:val="center"/>
          </w:tcPr>
          <w:p w14:paraId="2DD5506B">
            <w:pPr>
              <w:widowControl/>
              <w:jc w:val="center"/>
              <w:rPr>
                <w:color w:val="auto"/>
                <w:kern w:val="0"/>
                <w:sz w:val="22"/>
                <w:szCs w:val="22"/>
                <w:highlight w:val="none"/>
              </w:rPr>
            </w:pPr>
            <w:r>
              <w:rPr>
                <w:color w:val="auto"/>
                <w:kern w:val="0"/>
                <w:sz w:val="22"/>
                <w:szCs w:val="22"/>
                <w:highlight w:val="none"/>
              </w:rPr>
              <w:t>　</w:t>
            </w:r>
          </w:p>
        </w:tc>
        <w:tc>
          <w:tcPr>
            <w:tcW w:w="760" w:type="dxa"/>
            <w:gridSpan w:val="2"/>
            <w:tcBorders>
              <w:top w:val="nil"/>
              <w:left w:val="nil"/>
              <w:bottom w:val="single" w:color="auto" w:sz="4" w:space="0"/>
              <w:right w:val="single" w:color="auto" w:sz="4" w:space="0"/>
            </w:tcBorders>
            <w:noWrap w:val="0"/>
            <w:vAlign w:val="center"/>
          </w:tcPr>
          <w:p w14:paraId="76CBFC39">
            <w:pPr>
              <w:widowControl/>
              <w:jc w:val="center"/>
              <w:rPr>
                <w:color w:val="auto"/>
                <w:kern w:val="0"/>
                <w:sz w:val="22"/>
                <w:szCs w:val="22"/>
                <w:highlight w:val="none"/>
              </w:rPr>
            </w:pPr>
            <w:r>
              <w:rPr>
                <w:color w:val="auto"/>
                <w:kern w:val="0"/>
                <w:sz w:val="22"/>
                <w:szCs w:val="22"/>
                <w:highlight w:val="none"/>
              </w:rPr>
              <w:t>　</w:t>
            </w:r>
          </w:p>
        </w:tc>
        <w:tc>
          <w:tcPr>
            <w:tcW w:w="2264" w:type="dxa"/>
            <w:gridSpan w:val="3"/>
            <w:tcBorders>
              <w:top w:val="single" w:color="auto" w:sz="4" w:space="0"/>
              <w:left w:val="nil"/>
              <w:bottom w:val="single" w:color="auto" w:sz="4" w:space="0"/>
              <w:right w:val="single" w:color="000000" w:sz="4" w:space="0"/>
            </w:tcBorders>
            <w:noWrap w:val="0"/>
            <w:vAlign w:val="center"/>
          </w:tcPr>
          <w:p w14:paraId="6D1E4ACA">
            <w:pPr>
              <w:widowControl/>
              <w:jc w:val="center"/>
              <w:rPr>
                <w:color w:val="auto"/>
                <w:kern w:val="0"/>
                <w:sz w:val="22"/>
                <w:szCs w:val="22"/>
                <w:highlight w:val="none"/>
              </w:rPr>
            </w:pPr>
            <w:r>
              <w:rPr>
                <w:color w:val="auto"/>
                <w:kern w:val="0"/>
                <w:sz w:val="22"/>
                <w:szCs w:val="22"/>
                <w:highlight w:val="none"/>
              </w:rPr>
              <w:t>　</w:t>
            </w:r>
          </w:p>
        </w:tc>
        <w:tc>
          <w:tcPr>
            <w:tcW w:w="1596" w:type="dxa"/>
            <w:gridSpan w:val="2"/>
            <w:tcBorders>
              <w:top w:val="nil"/>
              <w:left w:val="nil"/>
              <w:bottom w:val="single" w:color="auto" w:sz="4" w:space="0"/>
              <w:right w:val="single" w:color="auto" w:sz="4" w:space="0"/>
            </w:tcBorders>
            <w:noWrap w:val="0"/>
            <w:vAlign w:val="center"/>
          </w:tcPr>
          <w:p w14:paraId="06CC8CF2">
            <w:pPr>
              <w:widowControl/>
              <w:jc w:val="center"/>
              <w:rPr>
                <w:color w:val="auto"/>
                <w:kern w:val="0"/>
                <w:sz w:val="22"/>
                <w:szCs w:val="22"/>
                <w:highlight w:val="none"/>
              </w:rPr>
            </w:pPr>
            <w:r>
              <w:rPr>
                <w:color w:val="auto"/>
                <w:kern w:val="0"/>
                <w:sz w:val="22"/>
                <w:szCs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57C6A117">
            <w:pPr>
              <w:widowControl/>
              <w:jc w:val="center"/>
              <w:rPr>
                <w:color w:val="auto"/>
                <w:kern w:val="0"/>
                <w:sz w:val="22"/>
                <w:szCs w:val="22"/>
                <w:highlight w:val="none"/>
              </w:rPr>
            </w:pPr>
            <w:r>
              <w:rPr>
                <w:color w:val="auto"/>
                <w:kern w:val="0"/>
                <w:sz w:val="22"/>
                <w:szCs w:val="22"/>
                <w:highlight w:val="none"/>
              </w:rPr>
              <w:t>　</w:t>
            </w:r>
          </w:p>
        </w:tc>
        <w:tc>
          <w:tcPr>
            <w:tcW w:w="2120" w:type="dxa"/>
            <w:gridSpan w:val="4"/>
            <w:tcBorders>
              <w:top w:val="single" w:color="auto" w:sz="4" w:space="0"/>
              <w:left w:val="nil"/>
              <w:bottom w:val="single" w:color="auto" w:sz="4" w:space="0"/>
              <w:right w:val="single" w:color="000000" w:sz="4" w:space="0"/>
            </w:tcBorders>
            <w:noWrap w:val="0"/>
            <w:vAlign w:val="center"/>
          </w:tcPr>
          <w:p w14:paraId="373D6B7E">
            <w:pPr>
              <w:widowControl/>
              <w:jc w:val="center"/>
              <w:rPr>
                <w:color w:val="auto"/>
                <w:kern w:val="0"/>
                <w:sz w:val="22"/>
                <w:szCs w:val="22"/>
                <w:highlight w:val="none"/>
              </w:rPr>
            </w:pPr>
            <w:r>
              <w:rPr>
                <w:color w:val="auto"/>
                <w:kern w:val="0"/>
                <w:sz w:val="22"/>
                <w:szCs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615CDA78">
            <w:pPr>
              <w:widowControl/>
              <w:jc w:val="center"/>
              <w:rPr>
                <w:color w:val="auto"/>
                <w:kern w:val="0"/>
                <w:sz w:val="22"/>
                <w:szCs w:val="22"/>
                <w:highlight w:val="none"/>
              </w:rPr>
            </w:pPr>
            <w:r>
              <w:rPr>
                <w:color w:val="auto"/>
                <w:kern w:val="0"/>
                <w:sz w:val="22"/>
                <w:szCs w:val="22"/>
                <w:highlight w:val="none"/>
              </w:rPr>
              <w:t>　</w:t>
            </w:r>
          </w:p>
        </w:tc>
        <w:tc>
          <w:tcPr>
            <w:tcW w:w="1400" w:type="dxa"/>
            <w:tcBorders>
              <w:top w:val="nil"/>
              <w:left w:val="nil"/>
              <w:bottom w:val="single" w:color="auto" w:sz="4" w:space="0"/>
              <w:right w:val="single" w:color="auto" w:sz="4" w:space="0"/>
            </w:tcBorders>
            <w:noWrap w:val="0"/>
            <w:vAlign w:val="center"/>
          </w:tcPr>
          <w:p w14:paraId="1B65D82F">
            <w:pPr>
              <w:widowControl/>
              <w:jc w:val="center"/>
              <w:rPr>
                <w:color w:val="auto"/>
                <w:kern w:val="0"/>
                <w:sz w:val="22"/>
                <w:szCs w:val="22"/>
                <w:highlight w:val="none"/>
              </w:rPr>
            </w:pPr>
            <w:r>
              <w:rPr>
                <w:color w:val="auto"/>
                <w:kern w:val="0"/>
                <w:sz w:val="22"/>
                <w:szCs w:val="22"/>
                <w:highlight w:val="none"/>
              </w:rPr>
              <w:t>　</w:t>
            </w:r>
          </w:p>
        </w:tc>
      </w:tr>
      <w:tr w14:paraId="01ED9C46">
        <w:tblPrEx>
          <w:tblCellMar>
            <w:top w:w="0" w:type="dxa"/>
            <w:left w:w="108" w:type="dxa"/>
            <w:bottom w:w="0" w:type="dxa"/>
            <w:right w:w="108" w:type="dxa"/>
          </w:tblCellMar>
        </w:tblPrEx>
        <w:trPr>
          <w:trHeight w:val="300" w:hRule="atLeast"/>
        </w:trPr>
        <w:tc>
          <w:tcPr>
            <w:tcW w:w="440" w:type="dxa"/>
            <w:tcBorders>
              <w:top w:val="nil"/>
              <w:left w:val="single" w:color="auto" w:sz="4" w:space="0"/>
              <w:bottom w:val="single" w:color="auto" w:sz="4" w:space="0"/>
              <w:right w:val="single" w:color="auto" w:sz="4" w:space="0"/>
            </w:tcBorders>
            <w:noWrap w:val="0"/>
            <w:vAlign w:val="center"/>
          </w:tcPr>
          <w:p w14:paraId="7D2611DE">
            <w:pPr>
              <w:widowControl/>
              <w:jc w:val="center"/>
              <w:rPr>
                <w:color w:val="auto"/>
                <w:kern w:val="0"/>
                <w:sz w:val="22"/>
                <w:szCs w:val="22"/>
                <w:highlight w:val="none"/>
              </w:rPr>
            </w:pPr>
            <w:r>
              <w:rPr>
                <w:color w:val="auto"/>
                <w:kern w:val="0"/>
                <w:sz w:val="22"/>
                <w:szCs w:val="22"/>
                <w:highlight w:val="none"/>
              </w:rPr>
              <w:t>2</w:t>
            </w:r>
          </w:p>
        </w:tc>
        <w:tc>
          <w:tcPr>
            <w:tcW w:w="2147" w:type="dxa"/>
            <w:gridSpan w:val="2"/>
            <w:tcBorders>
              <w:top w:val="single" w:color="auto" w:sz="4" w:space="0"/>
              <w:left w:val="nil"/>
              <w:bottom w:val="single" w:color="auto" w:sz="4" w:space="0"/>
              <w:right w:val="single" w:color="auto" w:sz="4" w:space="0"/>
            </w:tcBorders>
            <w:noWrap w:val="0"/>
            <w:vAlign w:val="center"/>
          </w:tcPr>
          <w:p w14:paraId="36917084">
            <w:pPr>
              <w:widowControl/>
              <w:jc w:val="center"/>
              <w:rPr>
                <w:color w:val="auto"/>
                <w:kern w:val="0"/>
                <w:sz w:val="22"/>
                <w:szCs w:val="22"/>
                <w:highlight w:val="none"/>
              </w:rPr>
            </w:pPr>
            <w:r>
              <w:rPr>
                <w:color w:val="auto"/>
                <w:kern w:val="0"/>
                <w:sz w:val="22"/>
                <w:szCs w:val="22"/>
                <w:highlight w:val="none"/>
              </w:rPr>
              <w:t>　</w:t>
            </w:r>
          </w:p>
        </w:tc>
        <w:tc>
          <w:tcPr>
            <w:tcW w:w="1980" w:type="dxa"/>
            <w:gridSpan w:val="3"/>
            <w:tcBorders>
              <w:top w:val="nil"/>
              <w:left w:val="nil"/>
              <w:bottom w:val="single" w:color="auto" w:sz="4" w:space="0"/>
              <w:right w:val="single" w:color="auto" w:sz="4" w:space="0"/>
            </w:tcBorders>
            <w:noWrap w:val="0"/>
            <w:vAlign w:val="center"/>
          </w:tcPr>
          <w:p w14:paraId="669BB3E6">
            <w:pPr>
              <w:widowControl/>
              <w:jc w:val="center"/>
              <w:rPr>
                <w:color w:val="auto"/>
                <w:kern w:val="0"/>
                <w:sz w:val="22"/>
                <w:szCs w:val="22"/>
                <w:highlight w:val="none"/>
              </w:rPr>
            </w:pPr>
            <w:r>
              <w:rPr>
                <w:color w:val="auto"/>
                <w:kern w:val="0"/>
                <w:sz w:val="22"/>
                <w:szCs w:val="22"/>
                <w:highlight w:val="none"/>
              </w:rPr>
              <w:t>　</w:t>
            </w:r>
          </w:p>
        </w:tc>
        <w:tc>
          <w:tcPr>
            <w:tcW w:w="760" w:type="dxa"/>
            <w:gridSpan w:val="2"/>
            <w:tcBorders>
              <w:top w:val="nil"/>
              <w:left w:val="nil"/>
              <w:bottom w:val="single" w:color="auto" w:sz="4" w:space="0"/>
              <w:right w:val="single" w:color="auto" w:sz="4" w:space="0"/>
            </w:tcBorders>
            <w:noWrap w:val="0"/>
            <w:vAlign w:val="center"/>
          </w:tcPr>
          <w:p w14:paraId="08BB068B">
            <w:pPr>
              <w:widowControl/>
              <w:jc w:val="center"/>
              <w:rPr>
                <w:color w:val="auto"/>
                <w:kern w:val="0"/>
                <w:sz w:val="22"/>
                <w:szCs w:val="22"/>
                <w:highlight w:val="none"/>
              </w:rPr>
            </w:pPr>
            <w:r>
              <w:rPr>
                <w:color w:val="auto"/>
                <w:kern w:val="0"/>
                <w:sz w:val="22"/>
                <w:szCs w:val="22"/>
                <w:highlight w:val="none"/>
              </w:rPr>
              <w:t>　</w:t>
            </w:r>
          </w:p>
        </w:tc>
        <w:tc>
          <w:tcPr>
            <w:tcW w:w="2264" w:type="dxa"/>
            <w:gridSpan w:val="3"/>
            <w:tcBorders>
              <w:top w:val="single" w:color="auto" w:sz="4" w:space="0"/>
              <w:left w:val="nil"/>
              <w:bottom w:val="single" w:color="auto" w:sz="4" w:space="0"/>
              <w:right w:val="single" w:color="000000" w:sz="4" w:space="0"/>
            </w:tcBorders>
            <w:noWrap w:val="0"/>
            <w:vAlign w:val="center"/>
          </w:tcPr>
          <w:p w14:paraId="2E90519A">
            <w:pPr>
              <w:widowControl/>
              <w:jc w:val="center"/>
              <w:rPr>
                <w:color w:val="auto"/>
                <w:kern w:val="0"/>
                <w:sz w:val="22"/>
                <w:szCs w:val="22"/>
                <w:highlight w:val="none"/>
              </w:rPr>
            </w:pPr>
            <w:r>
              <w:rPr>
                <w:color w:val="auto"/>
                <w:kern w:val="0"/>
                <w:sz w:val="22"/>
                <w:szCs w:val="22"/>
                <w:highlight w:val="none"/>
              </w:rPr>
              <w:t>　</w:t>
            </w:r>
          </w:p>
        </w:tc>
        <w:tc>
          <w:tcPr>
            <w:tcW w:w="1596" w:type="dxa"/>
            <w:gridSpan w:val="2"/>
            <w:tcBorders>
              <w:top w:val="nil"/>
              <w:left w:val="nil"/>
              <w:bottom w:val="single" w:color="auto" w:sz="4" w:space="0"/>
              <w:right w:val="single" w:color="auto" w:sz="4" w:space="0"/>
            </w:tcBorders>
            <w:noWrap w:val="0"/>
            <w:vAlign w:val="center"/>
          </w:tcPr>
          <w:p w14:paraId="1DC7A876">
            <w:pPr>
              <w:widowControl/>
              <w:jc w:val="center"/>
              <w:rPr>
                <w:color w:val="auto"/>
                <w:kern w:val="0"/>
                <w:sz w:val="22"/>
                <w:szCs w:val="22"/>
                <w:highlight w:val="none"/>
              </w:rPr>
            </w:pPr>
            <w:r>
              <w:rPr>
                <w:color w:val="auto"/>
                <w:kern w:val="0"/>
                <w:sz w:val="22"/>
                <w:szCs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1F605A5B">
            <w:pPr>
              <w:widowControl/>
              <w:jc w:val="center"/>
              <w:rPr>
                <w:color w:val="auto"/>
                <w:kern w:val="0"/>
                <w:sz w:val="22"/>
                <w:szCs w:val="22"/>
                <w:highlight w:val="none"/>
              </w:rPr>
            </w:pPr>
            <w:r>
              <w:rPr>
                <w:color w:val="auto"/>
                <w:kern w:val="0"/>
                <w:sz w:val="22"/>
                <w:szCs w:val="22"/>
                <w:highlight w:val="none"/>
              </w:rPr>
              <w:t>　</w:t>
            </w:r>
          </w:p>
        </w:tc>
        <w:tc>
          <w:tcPr>
            <w:tcW w:w="2120" w:type="dxa"/>
            <w:gridSpan w:val="4"/>
            <w:tcBorders>
              <w:top w:val="single" w:color="auto" w:sz="4" w:space="0"/>
              <w:left w:val="nil"/>
              <w:bottom w:val="single" w:color="auto" w:sz="4" w:space="0"/>
              <w:right w:val="single" w:color="000000" w:sz="4" w:space="0"/>
            </w:tcBorders>
            <w:noWrap w:val="0"/>
            <w:vAlign w:val="center"/>
          </w:tcPr>
          <w:p w14:paraId="750B6AF1">
            <w:pPr>
              <w:widowControl/>
              <w:jc w:val="center"/>
              <w:rPr>
                <w:color w:val="auto"/>
                <w:kern w:val="0"/>
                <w:sz w:val="22"/>
                <w:szCs w:val="22"/>
                <w:highlight w:val="none"/>
              </w:rPr>
            </w:pPr>
            <w:r>
              <w:rPr>
                <w:color w:val="auto"/>
                <w:kern w:val="0"/>
                <w:sz w:val="22"/>
                <w:szCs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27466B3C">
            <w:pPr>
              <w:widowControl/>
              <w:jc w:val="center"/>
              <w:rPr>
                <w:color w:val="auto"/>
                <w:kern w:val="0"/>
                <w:sz w:val="22"/>
                <w:szCs w:val="22"/>
                <w:highlight w:val="none"/>
              </w:rPr>
            </w:pPr>
            <w:r>
              <w:rPr>
                <w:color w:val="auto"/>
                <w:kern w:val="0"/>
                <w:sz w:val="22"/>
                <w:szCs w:val="22"/>
                <w:highlight w:val="none"/>
              </w:rPr>
              <w:t>　</w:t>
            </w:r>
          </w:p>
        </w:tc>
        <w:tc>
          <w:tcPr>
            <w:tcW w:w="1400" w:type="dxa"/>
            <w:tcBorders>
              <w:top w:val="nil"/>
              <w:left w:val="nil"/>
              <w:bottom w:val="single" w:color="auto" w:sz="4" w:space="0"/>
              <w:right w:val="single" w:color="auto" w:sz="4" w:space="0"/>
            </w:tcBorders>
            <w:noWrap w:val="0"/>
            <w:vAlign w:val="center"/>
          </w:tcPr>
          <w:p w14:paraId="17DD4EE6">
            <w:pPr>
              <w:widowControl/>
              <w:jc w:val="center"/>
              <w:rPr>
                <w:color w:val="auto"/>
                <w:kern w:val="0"/>
                <w:sz w:val="22"/>
                <w:szCs w:val="22"/>
                <w:highlight w:val="none"/>
              </w:rPr>
            </w:pPr>
            <w:r>
              <w:rPr>
                <w:color w:val="auto"/>
                <w:kern w:val="0"/>
                <w:sz w:val="22"/>
                <w:szCs w:val="22"/>
                <w:highlight w:val="none"/>
              </w:rPr>
              <w:t>　</w:t>
            </w:r>
          </w:p>
        </w:tc>
      </w:tr>
      <w:tr w14:paraId="06CB38F9">
        <w:tblPrEx>
          <w:tblCellMar>
            <w:top w:w="0" w:type="dxa"/>
            <w:left w:w="108" w:type="dxa"/>
            <w:bottom w:w="0" w:type="dxa"/>
            <w:right w:w="108" w:type="dxa"/>
          </w:tblCellMar>
        </w:tblPrEx>
        <w:trPr>
          <w:trHeight w:val="300" w:hRule="atLeast"/>
        </w:trPr>
        <w:tc>
          <w:tcPr>
            <w:tcW w:w="440" w:type="dxa"/>
            <w:tcBorders>
              <w:top w:val="nil"/>
              <w:left w:val="single" w:color="auto" w:sz="4" w:space="0"/>
              <w:bottom w:val="single" w:color="auto" w:sz="4" w:space="0"/>
              <w:right w:val="single" w:color="auto" w:sz="4" w:space="0"/>
            </w:tcBorders>
            <w:noWrap w:val="0"/>
            <w:vAlign w:val="center"/>
          </w:tcPr>
          <w:p w14:paraId="78C76A61">
            <w:pPr>
              <w:widowControl/>
              <w:jc w:val="center"/>
              <w:rPr>
                <w:color w:val="auto"/>
                <w:kern w:val="0"/>
                <w:sz w:val="22"/>
                <w:szCs w:val="22"/>
                <w:highlight w:val="none"/>
              </w:rPr>
            </w:pPr>
            <w:r>
              <w:rPr>
                <w:color w:val="auto"/>
                <w:kern w:val="0"/>
                <w:sz w:val="22"/>
                <w:szCs w:val="22"/>
                <w:highlight w:val="none"/>
              </w:rPr>
              <w:t>…</w:t>
            </w:r>
          </w:p>
        </w:tc>
        <w:tc>
          <w:tcPr>
            <w:tcW w:w="2147" w:type="dxa"/>
            <w:gridSpan w:val="2"/>
            <w:tcBorders>
              <w:top w:val="single" w:color="auto" w:sz="4" w:space="0"/>
              <w:left w:val="nil"/>
              <w:bottom w:val="single" w:color="auto" w:sz="4" w:space="0"/>
              <w:right w:val="single" w:color="auto" w:sz="4" w:space="0"/>
            </w:tcBorders>
            <w:noWrap w:val="0"/>
            <w:vAlign w:val="center"/>
          </w:tcPr>
          <w:p w14:paraId="619DC7CA">
            <w:pPr>
              <w:widowControl/>
              <w:jc w:val="center"/>
              <w:rPr>
                <w:color w:val="auto"/>
                <w:kern w:val="0"/>
                <w:sz w:val="22"/>
                <w:szCs w:val="22"/>
                <w:highlight w:val="none"/>
              </w:rPr>
            </w:pPr>
            <w:r>
              <w:rPr>
                <w:color w:val="auto"/>
                <w:kern w:val="0"/>
                <w:sz w:val="22"/>
                <w:szCs w:val="22"/>
                <w:highlight w:val="none"/>
              </w:rPr>
              <w:t>　</w:t>
            </w:r>
          </w:p>
        </w:tc>
        <w:tc>
          <w:tcPr>
            <w:tcW w:w="1980" w:type="dxa"/>
            <w:gridSpan w:val="3"/>
            <w:tcBorders>
              <w:top w:val="nil"/>
              <w:left w:val="nil"/>
              <w:bottom w:val="single" w:color="auto" w:sz="4" w:space="0"/>
              <w:right w:val="single" w:color="auto" w:sz="4" w:space="0"/>
            </w:tcBorders>
            <w:noWrap w:val="0"/>
            <w:vAlign w:val="center"/>
          </w:tcPr>
          <w:p w14:paraId="31B30176">
            <w:pPr>
              <w:widowControl/>
              <w:jc w:val="center"/>
              <w:rPr>
                <w:color w:val="auto"/>
                <w:kern w:val="0"/>
                <w:sz w:val="22"/>
                <w:szCs w:val="22"/>
                <w:highlight w:val="none"/>
              </w:rPr>
            </w:pPr>
            <w:r>
              <w:rPr>
                <w:color w:val="auto"/>
                <w:kern w:val="0"/>
                <w:sz w:val="22"/>
                <w:szCs w:val="22"/>
                <w:highlight w:val="none"/>
              </w:rPr>
              <w:t>　</w:t>
            </w:r>
          </w:p>
        </w:tc>
        <w:tc>
          <w:tcPr>
            <w:tcW w:w="760" w:type="dxa"/>
            <w:gridSpan w:val="2"/>
            <w:tcBorders>
              <w:top w:val="nil"/>
              <w:left w:val="nil"/>
              <w:bottom w:val="single" w:color="auto" w:sz="4" w:space="0"/>
              <w:right w:val="single" w:color="auto" w:sz="4" w:space="0"/>
            </w:tcBorders>
            <w:noWrap w:val="0"/>
            <w:vAlign w:val="center"/>
          </w:tcPr>
          <w:p w14:paraId="5877FEF3">
            <w:pPr>
              <w:widowControl/>
              <w:jc w:val="center"/>
              <w:rPr>
                <w:color w:val="auto"/>
                <w:kern w:val="0"/>
                <w:sz w:val="22"/>
                <w:szCs w:val="22"/>
                <w:highlight w:val="none"/>
              </w:rPr>
            </w:pPr>
            <w:r>
              <w:rPr>
                <w:color w:val="auto"/>
                <w:kern w:val="0"/>
                <w:sz w:val="22"/>
                <w:szCs w:val="22"/>
                <w:highlight w:val="none"/>
              </w:rPr>
              <w:t>　</w:t>
            </w:r>
          </w:p>
        </w:tc>
        <w:tc>
          <w:tcPr>
            <w:tcW w:w="2264" w:type="dxa"/>
            <w:gridSpan w:val="3"/>
            <w:tcBorders>
              <w:top w:val="single" w:color="auto" w:sz="4" w:space="0"/>
              <w:left w:val="nil"/>
              <w:bottom w:val="single" w:color="auto" w:sz="4" w:space="0"/>
              <w:right w:val="single" w:color="000000" w:sz="4" w:space="0"/>
            </w:tcBorders>
            <w:noWrap w:val="0"/>
            <w:vAlign w:val="center"/>
          </w:tcPr>
          <w:p w14:paraId="433B91F2">
            <w:pPr>
              <w:widowControl/>
              <w:jc w:val="center"/>
              <w:rPr>
                <w:color w:val="auto"/>
                <w:kern w:val="0"/>
                <w:sz w:val="22"/>
                <w:szCs w:val="22"/>
                <w:highlight w:val="none"/>
              </w:rPr>
            </w:pPr>
            <w:r>
              <w:rPr>
                <w:color w:val="auto"/>
                <w:kern w:val="0"/>
                <w:sz w:val="22"/>
                <w:szCs w:val="22"/>
                <w:highlight w:val="none"/>
              </w:rPr>
              <w:t>　</w:t>
            </w:r>
          </w:p>
        </w:tc>
        <w:tc>
          <w:tcPr>
            <w:tcW w:w="1596" w:type="dxa"/>
            <w:gridSpan w:val="2"/>
            <w:tcBorders>
              <w:top w:val="nil"/>
              <w:left w:val="nil"/>
              <w:bottom w:val="single" w:color="auto" w:sz="4" w:space="0"/>
              <w:right w:val="single" w:color="auto" w:sz="4" w:space="0"/>
            </w:tcBorders>
            <w:noWrap w:val="0"/>
            <w:vAlign w:val="center"/>
          </w:tcPr>
          <w:p w14:paraId="28C12F4B">
            <w:pPr>
              <w:widowControl/>
              <w:jc w:val="center"/>
              <w:rPr>
                <w:color w:val="auto"/>
                <w:kern w:val="0"/>
                <w:sz w:val="22"/>
                <w:szCs w:val="22"/>
                <w:highlight w:val="none"/>
              </w:rPr>
            </w:pPr>
            <w:r>
              <w:rPr>
                <w:color w:val="auto"/>
                <w:kern w:val="0"/>
                <w:sz w:val="22"/>
                <w:szCs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465210FD">
            <w:pPr>
              <w:widowControl/>
              <w:jc w:val="center"/>
              <w:rPr>
                <w:color w:val="auto"/>
                <w:kern w:val="0"/>
                <w:sz w:val="22"/>
                <w:szCs w:val="22"/>
                <w:highlight w:val="none"/>
              </w:rPr>
            </w:pPr>
            <w:r>
              <w:rPr>
                <w:color w:val="auto"/>
                <w:kern w:val="0"/>
                <w:sz w:val="22"/>
                <w:szCs w:val="22"/>
                <w:highlight w:val="none"/>
              </w:rPr>
              <w:t>　</w:t>
            </w:r>
          </w:p>
        </w:tc>
        <w:tc>
          <w:tcPr>
            <w:tcW w:w="2120" w:type="dxa"/>
            <w:gridSpan w:val="4"/>
            <w:tcBorders>
              <w:top w:val="single" w:color="auto" w:sz="4" w:space="0"/>
              <w:left w:val="nil"/>
              <w:bottom w:val="single" w:color="auto" w:sz="4" w:space="0"/>
              <w:right w:val="single" w:color="000000" w:sz="4" w:space="0"/>
            </w:tcBorders>
            <w:noWrap w:val="0"/>
            <w:vAlign w:val="center"/>
          </w:tcPr>
          <w:p w14:paraId="6C7D0092">
            <w:pPr>
              <w:widowControl/>
              <w:jc w:val="center"/>
              <w:rPr>
                <w:color w:val="auto"/>
                <w:kern w:val="0"/>
                <w:sz w:val="22"/>
                <w:szCs w:val="22"/>
                <w:highlight w:val="none"/>
              </w:rPr>
            </w:pPr>
            <w:r>
              <w:rPr>
                <w:color w:val="auto"/>
                <w:kern w:val="0"/>
                <w:sz w:val="22"/>
                <w:szCs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545451C4">
            <w:pPr>
              <w:widowControl/>
              <w:jc w:val="center"/>
              <w:rPr>
                <w:color w:val="auto"/>
                <w:kern w:val="0"/>
                <w:sz w:val="22"/>
                <w:szCs w:val="22"/>
                <w:highlight w:val="none"/>
              </w:rPr>
            </w:pPr>
            <w:r>
              <w:rPr>
                <w:color w:val="auto"/>
                <w:kern w:val="0"/>
                <w:sz w:val="22"/>
                <w:szCs w:val="22"/>
                <w:highlight w:val="none"/>
              </w:rPr>
              <w:t>　</w:t>
            </w:r>
          </w:p>
        </w:tc>
        <w:tc>
          <w:tcPr>
            <w:tcW w:w="1400" w:type="dxa"/>
            <w:tcBorders>
              <w:top w:val="nil"/>
              <w:left w:val="nil"/>
              <w:bottom w:val="single" w:color="auto" w:sz="4" w:space="0"/>
              <w:right w:val="single" w:color="auto" w:sz="4" w:space="0"/>
            </w:tcBorders>
            <w:noWrap w:val="0"/>
            <w:vAlign w:val="center"/>
          </w:tcPr>
          <w:p w14:paraId="74A199AA">
            <w:pPr>
              <w:widowControl/>
              <w:jc w:val="center"/>
              <w:rPr>
                <w:color w:val="auto"/>
                <w:kern w:val="0"/>
                <w:sz w:val="22"/>
                <w:szCs w:val="22"/>
                <w:highlight w:val="none"/>
              </w:rPr>
            </w:pPr>
            <w:r>
              <w:rPr>
                <w:color w:val="auto"/>
                <w:kern w:val="0"/>
                <w:sz w:val="22"/>
                <w:szCs w:val="22"/>
                <w:highlight w:val="none"/>
              </w:rPr>
              <w:t>　</w:t>
            </w:r>
          </w:p>
        </w:tc>
      </w:tr>
      <w:tr w14:paraId="2F9C2637">
        <w:tblPrEx>
          <w:tblCellMar>
            <w:top w:w="0" w:type="dxa"/>
            <w:left w:w="108" w:type="dxa"/>
            <w:bottom w:w="0" w:type="dxa"/>
            <w:right w:w="108" w:type="dxa"/>
          </w:tblCellMar>
        </w:tblPrEx>
        <w:trPr>
          <w:trHeight w:val="150" w:hRule="atLeast"/>
        </w:trPr>
        <w:tc>
          <w:tcPr>
            <w:tcW w:w="15507" w:type="dxa"/>
            <w:gridSpan w:val="22"/>
            <w:tcBorders>
              <w:top w:val="single" w:color="auto" w:sz="4" w:space="0"/>
              <w:left w:val="single" w:color="auto" w:sz="4" w:space="0"/>
              <w:bottom w:val="single" w:color="auto" w:sz="4" w:space="0"/>
              <w:right w:val="single" w:color="000000" w:sz="4" w:space="0"/>
            </w:tcBorders>
            <w:shd w:val="clear" w:color="auto" w:fill="FFCC99"/>
            <w:noWrap w:val="0"/>
            <w:vAlign w:val="center"/>
          </w:tcPr>
          <w:p w14:paraId="334FFEF6">
            <w:pPr>
              <w:widowControl/>
              <w:jc w:val="center"/>
              <w:rPr>
                <w:color w:val="auto"/>
                <w:kern w:val="0"/>
                <w:sz w:val="22"/>
                <w:szCs w:val="22"/>
                <w:highlight w:val="none"/>
              </w:rPr>
            </w:pPr>
            <w:r>
              <w:rPr>
                <w:color w:val="auto"/>
                <w:kern w:val="0"/>
                <w:sz w:val="22"/>
                <w:szCs w:val="22"/>
                <w:highlight w:val="none"/>
              </w:rPr>
              <w:t>　</w:t>
            </w:r>
          </w:p>
        </w:tc>
      </w:tr>
      <w:tr w14:paraId="673494D9">
        <w:tblPrEx>
          <w:tblCellMar>
            <w:top w:w="0" w:type="dxa"/>
            <w:left w:w="108" w:type="dxa"/>
            <w:bottom w:w="0" w:type="dxa"/>
            <w:right w:w="108" w:type="dxa"/>
          </w:tblCellMar>
        </w:tblPrEx>
        <w:trPr>
          <w:trHeight w:val="615" w:hRule="atLeast"/>
        </w:trPr>
        <w:tc>
          <w:tcPr>
            <w:tcW w:w="440" w:type="dxa"/>
            <w:tcBorders>
              <w:top w:val="nil"/>
              <w:left w:val="single" w:color="auto" w:sz="4" w:space="0"/>
              <w:bottom w:val="single" w:color="auto" w:sz="4" w:space="0"/>
              <w:right w:val="single" w:color="auto" w:sz="4" w:space="0"/>
            </w:tcBorders>
            <w:noWrap w:val="0"/>
            <w:vAlign w:val="center"/>
          </w:tcPr>
          <w:p w14:paraId="101A6211">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四</w:t>
            </w:r>
          </w:p>
        </w:tc>
        <w:tc>
          <w:tcPr>
            <w:tcW w:w="13667" w:type="dxa"/>
            <w:gridSpan w:val="20"/>
            <w:tcBorders>
              <w:top w:val="single" w:color="auto" w:sz="4" w:space="0"/>
              <w:left w:val="nil"/>
              <w:bottom w:val="single" w:color="auto" w:sz="4" w:space="0"/>
              <w:right w:val="single" w:color="auto" w:sz="4" w:space="0"/>
            </w:tcBorders>
            <w:noWrap w:val="0"/>
            <w:vAlign w:val="center"/>
          </w:tcPr>
          <w:p w14:paraId="7D85BB7A">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一般材料费用、管理费、税金及其他费用</w:t>
            </w:r>
          </w:p>
        </w:tc>
        <w:tc>
          <w:tcPr>
            <w:tcW w:w="1400" w:type="dxa"/>
            <w:tcBorders>
              <w:top w:val="nil"/>
              <w:left w:val="nil"/>
              <w:bottom w:val="single" w:color="auto" w:sz="4" w:space="0"/>
              <w:right w:val="single" w:color="auto" w:sz="4" w:space="0"/>
            </w:tcBorders>
            <w:noWrap w:val="0"/>
            <w:vAlign w:val="center"/>
          </w:tcPr>
          <w:p w14:paraId="0632B8EB">
            <w:pPr>
              <w:widowControl/>
              <w:jc w:val="left"/>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原则上不超过申请款的30%</w:t>
            </w:r>
          </w:p>
        </w:tc>
      </w:tr>
      <w:tr w14:paraId="7064E918">
        <w:tblPrEx>
          <w:tblCellMar>
            <w:top w:w="0" w:type="dxa"/>
            <w:left w:w="108" w:type="dxa"/>
            <w:bottom w:w="0" w:type="dxa"/>
            <w:right w:w="108" w:type="dxa"/>
          </w:tblCellMar>
        </w:tblPrEx>
        <w:trPr>
          <w:trHeight w:val="300" w:hRule="atLeast"/>
        </w:trPr>
        <w:tc>
          <w:tcPr>
            <w:tcW w:w="440" w:type="dxa"/>
            <w:tcBorders>
              <w:top w:val="nil"/>
              <w:left w:val="single" w:color="auto" w:sz="4" w:space="0"/>
              <w:bottom w:val="single" w:color="auto" w:sz="4" w:space="0"/>
              <w:right w:val="single" w:color="auto" w:sz="4" w:space="0"/>
            </w:tcBorders>
            <w:noWrap w:val="0"/>
            <w:vAlign w:val="center"/>
          </w:tcPr>
          <w:p w14:paraId="4BF6B727">
            <w:pPr>
              <w:widowControl/>
              <w:jc w:val="center"/>
              <w:rPr>
                <w:color w:val="auto"/>
                <w:kern w:val="0"/>
                <w:sz w:val="22"/>
                <w:szCs w:val="22"/>
                <w:highlight w:val="none"/>
              </w:rPr>
            </w:pPr>
            <w:r>
              <w:rPr>
                <w:color w:val="auto"/>
                <w:kern w:val="0"/>
                <w:sz w:val="22"/>
                <w:szCs w:val="22"/>
                <w:highlight w:val="none"/>
              </w:rPr>
              <w:t>1</w:t>
            </w:r>
          </w:p>
        </w:tc>
        <w:tc>
          <w:tcPr>
            <w:tcW w:w="2147" w:type="dxa"/>
            <w:gridSpan w:val="2"/>
            <w:tcBorders>
              <w:top w:val="single" w:color="auto" w:sz="4" w:space="0"/>
              <w:left w:val="nil"/>
              <w:bottom w:val="single" w:color="auto" w:sz="4" w:space="0"/>
              <w:right w:val="single" w:color="auto" w:sz="4" w:space="0"/>
            </w:tcBorders>
            <w:noWrap w:val="0"/>
            <w:vAlign w:val="center"/>
          </w:tcPr>
          <w:p w14:paraId="02F43917">
            <w:pPr>
              <w:widowControl/>
              <w:jc w:val="center"/>
              <w:rPr>
                <w:color w:val="auto"/>
                <w:kern w:val="0"/>
                <w:sz w:val="22"/>
                <w:szCs w:val="22"/>
                <w:highlight w:val="none"/>
              </w:rPr>
            </w:pPr>
            <w:r>
              <w:rPr>
                <w:color w:val="auto"/>
                <w:kern w:val="0"/>
                <w:sz w:val="22"/>
                <w:szCs w:val="22"/>
                <w:highlight w:val="none"/>
              </w:rPr>
              <w:t>　</w:t>
            </w:r>
          </w:p>
        </w:tc>
        <w:tc>
          <w:tcPr>
            <w:tcW w:w="1980" w:type="dxa"/>
            <w:gridSpan w:val="3"/>
            <w:tcBorders>
              <w:top w:val="nil"/>
              <w:left w:val="nil"/>
              <w:bottom w:val="single" w:color="auto" w:sz="4" w:space="0"/>
              <w:right w:val="single" w:color="auto" w:sz="4" w:space="0"/>
            </w:tcBorders>
            <w:noWrap w:val="0"/>
            <w:vAlign w:val="center"/>
          </w:tcPr>
          <w:p w14:paraId="66617BB8">
            <w:pPr>
              <w:widowControl/>
              <w:jc w:val="center"/>
              <w:rPr>
                <w:color w:val="auto"/>
                <w:kern w:val="0"/>
                <w:sz w:val="22"/>
                <w:szCs w:val="22"/>
                <w:highlight w:val="none"/>
              </w:rPr>
            </w:pPr>
            <w:r>
              <w:rPr>
                <w:color w:val="auto"/>
                <w:kern w:val="0"/>
                <w:sz w:val="22"/>
                <w:szCs w:val="22"/>
                <w:highlight w:val="none"/>
              </w:rPr>
              <w:t>　</w:t>
            </w:r>
          </w:p>
        </w:tc>
        <w:tc>
          <w:tcPr>
            <w:tcW w:w="760" w:type="dxa"/>
            <w:gridSpan w:val="2"/>
            <w:tcBorders>
              <w:top w:val="nil"/>
              <w:left w:val="nil"/>
              <w:bottom w:val="single" w:color="auto" w:sz="4" w:space="0"/>
              <w:right w:val="single" w:color="auto" w:sz="4" w:space="0"/>
            </w:tcBorders>
            <w:noWrap w:val="0"/>
            <w:vAlign w:val="center"/>
          </w:tcPr>
          <w:p w14:paraId="4FC72B46">
            <w:pPr>
              <w:widowControl/>
              <w:jc w:val="center"/>
              <w:rPr>
                <w:color w:val="auto"/>
                <w:kern w:val="0"/>
                <w:sz w:val="22"/>
                <w:szCs w:val="22"/>
                <w:highlight w:val="none"/>
              </w:rPr>
            </w:pPr>
            <w:r>
              <w:rPr>
                <w:color w:val="auto"/>
                <w:kern w:val="0"/>
                <w:sz w:val="22"/>
                <w:szCs w:val="22"/>
                <w:highlight w:val="none"/>
              </w:rPr>
              <w:t>　</w:t>
            </w:r>
          </w:p>
        </w:tc>
        <w:tc>
          <w:tcPr>
            <w:tcW w:w="2264" w:type="dxa"/>
            <w:gridSpan w:val="3"/>
            <w:tcBorders>
              <w:top w:val="single" w:color="auto" w:sz="4" w:space="0"/>
              <w:left w:val="nil"/>
              <w:bottom w:val="single" w:color="auto" w:sz="4" w:space="0"/>
              <w:right w:val="single" w:color="auto" w:sz="4" w:space="0"/>
            </w:tcBorders>
            <w:noWrap w:val="0"/>
            <w:vAlign w:val="center"/>
          </w:tcPr>
          <w:p w14:paraId="7769508D">
            <w:pPr>
              <w:widowControl/>
              <w:jc w:val="center"/>
              <w:rPr>
                <w:color w:val="auto"/>
                <w:kern w:val="0"/>
                <w:sz w:val="22"/>
                <w:szCs w:val="22"/>
                <w:highlight w:val="none"/>
              </w:rPr>
            </w:pPr>
            <w:r>
              <w:rPr>
                <w:color w:val="auto"/>
                <w:kern w:val="0"/>
                <w:sz w:val="22"/>
                <w:szCs w:val="22"/>
                <w:highlight w:val="none"/>
              </w:rPr>
              <w:t>　</w:t>
            </w:r>
          </w:p>
        </w:tc>
        <w:tc>
          <w:tcPr>
            <w:tcW w:w="1596" w:type="dxa"/>
            <w:gridSpan w:val="2"/>
            <w:tcBorders>
              <w:top w:val="nil"/>
              <w:left w:val="nil"/>
              <w:bottom w:val="single" w:color="auto" w:sz="4" w:space="0"/>
              <w:right w:val="single" w:color="auto" w:sz="4" w:space="0"/>
            </w:tcBorders>
            <w:noWrap w:val="0"/>
            <w:vAlign w:val="center"/>
          </w:tcPr>
          <w:p w14:paraId="11E1A24D">
            <w:pPr>
              <w:widowControl/>
              <w:jc w:val="center"/>
              <w:rPr>
                <w:color w:val="auto"/>
                <w:kern w:val="0"/>
                <w:sz w:val="22"/>
                <w:szCs w:val="22"/>
                <w:highlight w:val="none"/>
              </w:rPr>
            </w:pPr>
            <w:r>
              <w:rPr>
                <w:color w:val="auto"/>
                <w:kern w:val="0"/>
                <w:sz w:val="22"/>
                <w:szCs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5B348C93">
            <w:pPr>
              <w:widowControl/>
              <w:jc w:val="center"/>
              <w:rPr>
                <w:color w:val="auto"/>
                <w:kern w:val="0"/>
                <w:sz w:val="22"/>
                <w:szCs w:val="22"/>
                <w:highlight w:val="none"/>
              </w:rPr>
            </w:pPr>
            <w:r>
              <w:rPr>
                <w:color w:val="auto"/>
                <w:kern w:val="0"/>
                <w:sz w:val="22"/>
                <w:szCs w:val="22"/>
                <w:highlight w:val="none"/>
              </w:rPr>
              <w:t>　</w:t>
            </w:r>
          </w:p>
        </w:tc>
        <w:tc>
          <w:tcPr>
            <w:tcW w:w="2120" w:type="dxa"/>
            <w:gridSpan w:val="4"/>
            <w:tcBorders>
              <w:top w:val="single" w:color="auto" w:sz="4" w:space="0"/>
              <w:left w:val="nil"/>
              <w:bottom w:val="single" w:color="auto" w:sz="4" w:space="0"/>
              <w:right w:val="single" w:color="auto" w:sz="4" w:space="0"/>
            </w:tcBorders>
            <w:noWrap w:val="0"/>
            <w:vAlign w:val="center"/>
          </w:tcPr>
          <w:p w14:paraId="07D06485">
            <w:pPr>
              <w:widowControl/>
              <w:jc w:val="center"/>
              <w:rPr>
                <w:color w:val="auto"/>
                <w:kern w:val="0"/>
                <w:sz w:val="22"/>
                <w:szCs w:val="22"/>
                <w:highlight w:val="none"/>
              </w:rPr>
            </w:pPr>
            <w:r>
              <w:rPr>
                <w:color w:val="auto"/>
                <w:kern w:val="0"/>
                <w:sz w:val="22"/>
                <w:szCs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010EDE31">
            <w:pPr>
              <w:widowControl/>
              <w:jc w:val="center"/>
              <w:rPr>
                <w:color w:val="auto"/>
                <w:kern w:val="0"/>
                <w:sz w:val="22"/>
                <w:szCs w:val="22"/>
                <w:highlight w:val="none"/>
              </w:rPr>
            </w:pPr>
            <w:r>
              <w:rPr>
                <w:color w:val="auto"/>
                <w:kern w:val="0"/>
                <w:sz w:val="22"/>
                <w:szCs w:val="22"/>
                <w:highlight w:val="none"/>
              </w:rPr>
              <w:t>　</w:t>
            </w:r>
          </w:p>
        </w:tc>
        <w:tc>
          <w:tcPr>
            <w:tcW w:w="1400" w:type="dxa"/>
            <w:tcBorders>
              <w:top w:val="nil"/>
              <w:left w:val="nil"/>
              <w:bottom w:val="single" w:color="auto" w:sz="4" w:space="0"/>
              <w:right w:val="single" w:color="auto" w:sz="4" w:space="0"/>
            </w:tcBorders>
            <w:noWrap w:val="0"/>
            <w:vAlign w:val="center"/>
          </w:tcPr>
          <w:p w14:paraId="5255B335">
            <w:pPr>
              <w:widowControl/>
              <w:jc w:val="center"/>
              <w:rPr>
                <w:color w:val="auto"/>
                <w:kern w:val="0"/>
                <w:sz w:val="22"/>
                <w:szCs w:val="22"/>
                <w:highlight w:val="none"/>
              </w:rPr>
            </w:pPr>
            <w:r>
              <w:rPr>
                <w:color w:val="auto"/>
                <w:kern w:val="0"/>
                <w:sz w:val="22"/>
                <w:szCs w:val="22"/>
                <w:highlight w:val="none"/>
              </w:rPr>
              <w:t>　</w:t>
            </w:r>
          </w:p>
        </w:tc>
      </w:tr>
      <w:tr w14:paraId="27727886">
        <w:tblPrEx>
          <w:tblCellMar>
            <w:top w:w="0" w:type="dxa"/>
            <w:left w:w="108" w:type="dxa"/>
            <w:bottom w:w="0" w:type="dxa"/>
            <w:right w:w="108" w:type="dxa"/>
          </w:tblCellMar>
        </w:tblPrEx>
        <w:trPr>
          <w:trHeight w:val="300" w:hRule="atLeast"/>
        </w:trPr>
        <w:tc>
          <w:tcPr>
            <w:tcW w:w="440" w:type="dxa"/>
            <w:tcBorders>
              <w:top w:val="nil"/>
              <w:left w:val="single" w:color="auto" w:sz="4" w:space="0"/>
              <w:bottom w:val="single" w:color="auto" w:sz="4" w:space="0"/>
              <w:right w:val="single" w:color="auto" w:sz="4" w:space="0"/>
            </w:tcBorders>
            <w:noWrap w:val="0"/>
            <w:vAlign w:val="center"/>
          </w:tcPr>
          <w:p w14:paraId="5B0C2EDE">
            <w:pPr>
              <w:widowControl/>
              <w:jc w:val="center"/>
              <w:rPr>
                <w:color w:val="auto"/>
                <w:kern w:val="0"/>
                <w:sz w:val="22"/>
                <w:szCs w:val="22"/>
                <w:highlight w:val="none"/>
              </w:rPr>
            </w:pPr>
            <w:r>
              <w:rPr>
                <w:color w:val="auto"/>
                <w:kern w:val="0"/>
                <w:sz w:val="22"/>
                <w:szCs w:val="22"/>
                <w:highlight w:val="none"/>
              </w:rPr>
              <w:t>2</w:t>
            </w:r>
          </w:p>
        </w:tc>
        <w:tc>
          <w:tcPr>
            <w:tcW w:w="2147" w:type="dxa"/>
            <w:gridSpan w:val="2"/>
            <w:tcBorders>
              <w:top w:val="single" w:color="auto" w:sz="4" w:space="0"/>
              <w:left w:val="nil"/>
              <w:bottom w:val="single" w:color="auto" w:sz="4" w:space="0"/>
              <w:right w:val="single" w:color="auto" w:sz="4" w:space="0"/>
            </w:tcBorders>
            <w:noWrap w:val="0"/>
            <w:vAlign w:val="center"/>
          </w:tcPr>
          <w:p w14:paraId="5E6B7793">
            <w:pPr>
              <w:widowControl/>
              <w:jc w:val="center"/>
              <w:rPr>
                <w:color w:val="auto"/>
                <w:kern w:val="0"/>
                <w:sz w:val="22"/>
                <w:szCs w:val="22"/>
                <w:highlight w:val="none"/>
              </w:rPr>
            </w:pPr>
            <w:r>
              <w:rPr>
                <w:color w:val="auto"/>
                <w:kern w:val="0"/>
                <w:sz w:val="22"/>
                <w:szCs w:val="22"/>
                <w:highlight w:val="none"/>
              </w:rPr>
              <w:t>　</w:t>
            </w:r>
          </w:p>
        </w:tc>
        <w:tc>
          <w:tcPr>
            <w:tcW w:w="1980" w:type="dxa"/>
            <w:gridSpan w:val="3"/>
            <w:tcBorders>
              <w:top w:val="nil"/>
              <w:left w:val="nil"/>
              <w:bottom w:val="single" w:color="auto" w:sz="4" w:space="0"/>
              <w:right w:val="single" w:color="auto" w:sz="4" w:space="0"/>
            </w:tcBorders>
            <w:noWrap w:val="0"/>
            <w:vAlign w:val="center"/>
          </w:tcPr>
          <w:p w14:paraId="61FF44A9">
            <w:pPr>
              <w:widowControl/>
              <w:jc w:val="center"/>
              <w:rPr>
                <w:color w:val="auto"/>
                <w:kern w:val="0"/>
                <w:sz w:val="22"/>
                <w:szCs w:val="22"/>
                <w:highlight w:val="none"/>
              </w:rPr>
            </w:pPr>
            <w:r>
              <w:rPr>
                <w:color w:val="auto"/>
                <w:kern w:val="0"/>
                <w:sz w:val="22"/>
                <w:szCs w:val="22"/>
                <w:highlight w:val="none"/>
              </w:rPr>
              <w:t>　</w:t>
            </w:r>
          </w:p>
        </w:tc>
        <w:tc>
          <w:tcPr>
            <w:tcW w:w="760" w:type="dxa"/>
            <w:gridSpan w:val="2"/>
            <w:tcBorders>
              <w:top w:val="nil"/>
              <w:left w:val="nil"/>
              <w:bottom w:val="single" w:color="auto" w:sz="4" w:space="0"/>
              <w:right w:val="single" w:color="auto" w:sz="4" w:space="0"/>
            </w:tcBorders>
            <w:noWrap w:val="0"/>
            <w:vAlign w:val="center"/>
          </w:tcPr>
          <w:p w14:paraId="098F9C58">
            <w:pPr>
              <w:widowControl/>
              <w:jc w:val="center"/>
              <w:rPr>
                <w:color w:val="auto"/>
                <w:kern w:val="0"/>
                <w:sz w:val="22"/>
                <w:szCs w:val="22"/>
                <w:highlight w:val="none"/>
              </w:rPr>
            </w:pPr>
            <w:r>
              <w:rPr>
                <w:color w:val="auto"/>
                <w:kern w:val="0"/>
                <w:sz w:val="22"/>
                <w:szCs w:val="22"/>
                <w:highlight w:val="none"/>
              </w:rPr>
              <w:t>　</w:t>
            </w:r>
          </w:p>
        </w:tc>
        <w:tc>
          <w:tcPr>
            <w:tcW w:w="2264" w:type="dxa"/>
            <w:gridSpan w:val="3"/>
            <w:tcBorders>
              <w:top w:val="single" w:color="auto" w:sz="4" w:space="0"/>
              <w:left w:val="nil"/>
              <w:bottom w:val="single" w:color="auto" w:sz="4" w:space="0"/>
              <w:right w:val="single" w:color="auto" w:sz="4" w:space="0"/>
            </w:tcBorders>
            <w:noWrap w:val="0"/>
            <w:vAlign w:val="center"/>
          </w:tcPr>
          <w:p w14:paraId="08006C35">
            <w:pPr>
              <w:widowControl/>
              <w:jc w:val="center"/>
              <w:rPr>
                <w:color w:val="auto"/>
                <w:kern w:val="0"/>
                <w:sz w:val="22"/>
                <w:szCs w:val="22"/>
                <w:highlight w:val="none"/>
              </w:rPr>
            </w:pPr>
            <w:r>
              <w:rPr>
                <w:color w:val="auto"/>
                <w:kern w:val="0"/>
                <w:sz w:val="22"/>
                <w:szCs w:val="22"/>
                <w:highlight w:val="none"/>
              </w:rPr>
              <w:t>　</w:t>
            </w:r>
          </w:p>
        </w:tc>
        <w:tc>
          <w:tcPr>
            <w:tcW w:w="1596" w:type="dxa"/>
            <w:gridSpan w:val="2"/>
            <w:tcBorders>
              <w:top w:val="nil"/>
              <w:left w:val="nil"/>
              <w:bottom w:val="single" w:color="auto" w:sz="4" w:space="0"/>
              <w:right w:val="single" w:color="auto" w:sz="4" w:space="0"/>
            </w:tcBorders>
            <w:noWrap w:val="0"/>
            <w:vAlign w:val="center"/>
          </w:tcPr>
          <w:p w14:paraId="3851A223">
            <w:pPr>
              <w:widowControl/>
              <w:jc w:val="center"/>
              <w:rPr>
                <w:color w:val="auto"/>
                <w:kern w:val="0"/>
                <w:sz w:val="22"/>
                <w:szCs w:val="22"/>
                <w:highlight w:val="none"/>
              </w:rPr>
            </w:pPr>
            <w:r>
              <w:rPr>
                <w:color w:val="auto"/>
                <w:kern w:val="0"/>
                <w:sz w:val="22"/>
                <w:szCs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6BBF84F4">
            <w:pPr>
              <w:widowControl/>
              <w:jc w:val="center"/>
              <w:rPr>
                <w:color w:val="auto"/>
                <w:kern w:val="0"/>
                <w:sz w:val="22"/>
                <w:szCs w:val="22"/>
                <w:highlight w:val="none"/>
              </w:rPr>
            </w:pPr>
            <w:r>
              <w:rPr>
                <w:color w:val="auto"/>
                <w:kern w:val="0"/>
                <w:sz w:val="22"/>
                <w:szCs w:val="22"/>
                <w:highlight w:val="none"/>
              </w:rPr>
              <w:t>　</w:t>
            </w:r>
          </w:p>
        </w:tc>
        <w:tc>
          <w:tcPr>
            <w:tcW w:w="2120" w:type="dxa"/>
            <w:gridSpan w:val="4"/>
            <w:tcBorders>
              <w:top w:val="single" w:color="auto" w:sz="4" w:space="0"/>
              <w:left w:val="nil"/>
              <w:bottom w:val="single" w:color="auto" w:sz="4" w:space="0"/>
              <w:right w:val="single" w:color="auto" w:sz="4" w:space="0"/>
            </w:tcBorders>
            <w:noWrap w:val="0"/>
            <w:vAlign w:val="center"/>
          </w:tcPr>
          <w:p w14:paraId="4CB52D30">
            <w:pPr>
              <w:widowControl/>
              <w:jc w:val="center"/>
              <w:rPr>
                <w:color w:val="auto"/>
                <w:kern w:val="0"/>
                <w:sz w:val="22"/>
                <w:szCs w:val="22"/>
                <w:highlight w:val="none"/>
              </w:rPr>
            </w:pPr>
            <w:r>
              <w:rPr>
                <w:color w:val="auto"/>
                <w:kern w:val="0"/>
                <w:sz w:val="22"/>
                <w:szCs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1917D211">
            <w:pPr>
              <w:widowControl/>
              <w:jc w:val="center"/>
              <w:rPr>
                <w:color w:val="auto"/>
                <w:kern w:val="0"/>
                <w:sz w:val="22"/>
                <w:szCs w:val="22"/>
                <w:highlight w:val="none"/>
              </w:rPr>
            </w:pPr>
            <w:r>
              <w:rPr>
                <w:color w:val="auto"/>
                <w:kern w:val="0"/>
                <w:sz w:val="22"/>
                <w:szCs w:val="22"/>
                <w:highlight w:val="none"/>
              </w:rPr>
              <w:t>　</w:t>
            </w:r>
          </w:p>
        </w:tc>
        <w:tc>
          <w:tcPr>
            <w:tcW w:w="1400" w:type="dxa"/>
            <w:tcBorders>
              <w:top w:val="nil"/>
              <w:left w:val="nil"/>
              <w:bottom w:val="single" w:color="auto" w:sz="4" w:space="0"/>
              <w:right w:val="single" w:color="auto" w:sz="4" w:space="0"/>
            </w:tcBorders>
            <w:noWrap w:val="0"/>
            <w:vAlign w:val="center"/>
          </w:tcPr>
          <w:p w14:paraId="609FEE20">
            <w:pPr>
              <w:widowControl/>
              <w:jc w:val="center"/>
              <w:rPr>
                <w:color w:val="auto"/>
                <w:kern w:val="0"/>
                <w:sz w:val="22"/>
                <w:szCs w:val="22"/>
                <w:highlight w:val="none"/>
              </w:rPr>
            </w:pPr>
            <w:r>
              <w:rPr>
                <w:color w:val="auto"/>
                <w:kern w:val="0"/>
                <w:sz w:val="22"/>
                <w:szCs w:val="22"/>
                <w:highlight w:val="none"/>
              </w:rPr>
              <w:t>　</w:t>
            </w:r>
          </w:p>
        </w:tc>
      </w:tr>
      <w:tr w14:paraId="17DCEFCA">
        <w:tblPrEx>
          <w:tblCellMar>
            <w:top w:w="0" w:type="dxa"/>
            <w:left w:w="108" w:type="dxa"/>
            <w:bottom w:w="0" w:type="dxa"/>
            <w:right w:w="108" w:type="dxa"/>
          </w:tblCellMar>
        </w:tblPrEx>
        <w:trPr>
          <w:trHeight w:val="300" w:hRule="atLeast"/>
        </w:trPr>
        <w:tc>
          <w:tcPr>
            <w:tcW w:w="440" w:type="dxa"/>
            <w:tcBorders>
              <w:top w:val="nil"/>
              <w:left w:val="single" w:color="auto" w:sz="4" w:space="0"/>
              <w:bottom w:val="single" w:color="auto" w:sz="4" w:space="0"/>
              <w:right w:val="single" w:color="auto" w:sz="4" w:space="0"/>
            </w:tcBorders>
            <w:noWrap w:val="0"/>
            <w:vAlign w:val="center"/>
          </w:tcPr>
          <w:p w14:paraId="39A2CD44">
            <w:pPr>
              <w:widowControl/>
              <w:jc w:val="center"/>
              <w:rPr>
                <w:color w:val="auto"/>
                <w:kern w:val="0"/>
                <w:sz w:val="22"/>
                <w:szCs w:val="22"/>
                <w:highlight w:val="none"/>
              </w:rPr>
            </w:pPr>
            <w:r>
              <w:rPr>
                <w:color w:val="auto"/>
                <w:kern w:val="0"/>
                <w:sz w:val="22"/>
                <w:szCs w:val="22"/>
                <w:highlight w:val="none"/>
              </w:rPr>
              <w:t>…</w:t>
            </w:r>
          </w:p>
        </w:tc>
        <w:tc>
          <w:tcPr>
            <w:tcW w:w="2147" w:type="dxa"/>
            <w:gridSpan w:val="2"/>
            <w:tcBorders>
              <w:top w:val="single" w:color="auto" w:sz="4" w:space="0"/>
              <w:left w:val="nil"/>
              <w:bottom w:val="single" w:color="auto" w:sz="4" w:space="0"/>
              <w:right w:val="single" w:color="auto" w:sz="4" w:space="0"/>
            </w:tcBorders>
            <w:noWrap w:val="0"/>
            <w:vAlign w:val="center"/>
          </w:tcPr>
          <w:p w14:paraId="3CA032E5">
            <w:pPr>
              <w:widowControl/>
              <w:jc w:val="center"/>
              <w:rPr>
                <w:color w:val="auto"/>
                <w:kern w:val="0"/>
                <w:sz w:val="22"/>
                <w:szCs w:val="22"/>
                <w:highlight w:val="none"/>
              </w:rPr>
            </w:pPr>
            <w:r>
              <w:rPr>
                <w:color w:val="auto"/>
                <w:kern w:val="0"/>
                <w:sz w:val="22"/>
                <w:szCs w:val="22"/>
                <w:highlight w:val="none"/>
              </w:rPr>
              <w:t>　</w:t>
            </w:r>
          </w:p>
        </w:tc>
        <w:tc>
          <w:tcPr>
            <w:tcW w:w="1980" w:type="dxa"/>
            <w:gridSpan w:val="3"/>
            <w:tcBorders>
              <w:top w:val="nil"/>
              <w:left w:val="nil"/>
              <w:bottom w:val="single" w:color="auto" w:sz="4" w:space="0"/>
              <w:right w:val="single" w:color="auto" w:sz="4" w:space="0"/>
            </w:tcBorders>
            <w:noWrap w:val="0"/>
            <w:vAlign w:val="center"/>
          </w:tcPr>
          <w:p w14:paraId="3148A030">
            <w:pPr>
              <w:widowControl/>
              <w:jc w:val="center"/>
              <w:rPr>
                <w:color w:val="auto"/>
                <w:kern w:val="0"/>
                <w:sz w:val="22"/>
                <w:szCs w:val="22"/>
                <w:highlight w:val="none"/>
              </w:rPr>
            </w:pPr>
            <w:r>
              <w:rPr>
                <w:color w:val="auto"/>
                <w:kern w:val="0"/>
                <w:sz w:val="22"/>
                <w:szCs w:val="22"/>
                <w:highlight w:val="none"/>
              </w:rPr>
              <w:t>　</w:t>
            </w:r>
          </w:p>
        </w:tc>
        <w:tc>
          <w:tcPr>
            <w:tcW w:w="760" w:type="dxa"/>
            <w:gridSpan w:val="2"/>
            <w:tcBorders>
              <w:top w:val="nil"/>
              <w:left w:val="nil"/>
              <w:bottom w:val="single" w:color="auto" w:sz="4" w:space="0"/>
              <w:right w:val="single" w:color="auto" w:sz="4" w:space="0"/>
            </w:tcBorders>
            <w:noWrap w:val="0"/>
            <w:vAlign w:val="center"/>
          </w:tcPr>
          <w:p w14:paraId="5D585E4D">
            <w:pPr>
              <w:widowControl/>
              <w:jc w:val="center"/>
              <w:rPr>
                <w:color w:val="auto"/>
                <w:kern w:val="0"/>
                <w:sz w:val="22"/>
                <w:szCs w:val="22"/>
                <w:highlight w:val="none"/>
              </w:rPr>
            </w:pPr>
            <w:r>
              <w:rPr>
                <w:color w:val="auto"/>
                <w:kern w:val="0"/>
                <w:sz w:val="22"/>
                <w:szCs w:val="22"/>
                <w:highlight w:val="none"/>
              </w:rPr>
              <w:t>　</w:t>
            </w:r>
          </w:p>
        </w:tc>
        <w:tc>
          <w:tcPr>
            <w:tcW w:w="2264" w:type="dxa"/>
            <w:gridSpan w:val="3"/>
            <w:tcBorders>
              <w:top w:val="single" w:color="auto" w:sz="4" w:space="0"/>
              <w:left w:val="nil"/>
              <w:bottom w:val="single" w:color="auto" w:sz="4" w:space="0"/>
              <w:right w:val="single" w:color="auto" w:sz="4" w:space="0"/>
            </w:tcBorders>
            <w:noWrap w:val="0"/>
            <w:vAlign w:val="center"/>
          </w:tcPr>
          <w:p w14:paraId="0A6AA8EE">
            <w:pPr>
              <w:widowControl/>
              <w:jc w:val="center"/>
              <w:rPr>
                <w:color w:val="auto"/>
                <w:kern w:val="0"/>
                <w:sz w:val="22"/>
                <w:szCs w:val="22"/>
                <w:highlight w:val="none"/>
              </w:rPr>
            </w:pPr>
            <w:r>
              <w:rPr>
                <w:color w:val="auto"/>
                <w:kern w:val="0"/>
                <w:sz w:val="22"/>
                <w:szCs w:val="22"/>
                <w:highlight w:val="none"/>
              </w:rPr>
              <w:t>　</w:t>
            </w:r>
          </w:p>
        </w:tc>
        <w:tc>
          <w:tcPr>
            <w:tcW w:w="1596" w:type="dxa"/>
            <w:gridSpan w:val="2"/>
            <w:tcBorders>
              <w:top w:val="nil"/>
              <w:left w:val="nil"/>
              <w:bottom w:val="single" w:color="auto" w:sz="4" w:space="0"/>
              <w:right w:val="single" w:color="auto" w:sz="4" w:space="0"/>
            </w:tcBorders>
            <w:noWrap w:val="0"/>
            <w:vAlign w:val="center"/>
          </w:tcPr>
          <w:p w14:paraId="6765A33E">
            <w:pPr>
              <w:widowControl/>
              <w:jc w:val="center"/>
              <w:rPr>
                <w:color w:val="auto"/>
                <w:kern w:val="0"/>
                <w:sz w:val="22"/>
                <w:szCs w:val="22"/>
                <w:highlight w:val="none"/>
              </w:rPr>
            </w:pPr>
            <w:r>
              <w:rPr>
                <w:color w:val="auto"/>
                <w:kern w:val="0"/>
                <w:sz w:val="22"/>
                <w:szCs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078537BF">
            <w:pPr>
              <w:widowControl/>
              <w:jc w:val="center"/>
              <w:rPr>
                <w:color w:val="auto"/>
                <w:kern w:val="0"/>
                <w:sz w:val="22"/>
                <w:szCs w:val="22"/>
                <w:highlight w:val="none"/>
              </w:rPr>
            </w:pPr>
            <w:r>
              <w:rPr>
                <w:color w:val="auto"/>
                <w:kern w:val="0"/>
                <w:sz w:val="22"/>
                <w:szCs w:val="22"/>
                <w:highlight w:val="none"/>
              </w:rPr>
              <w:t>　</w:t>
            </w:r>
          </w:p>
        </w:tc>
        <w:tc>
          <w:tcPr>
            <w:tcW w:w="2120" w:type="dxa"/>
            <w:gridSpan w:val="4"/>
            <w:tcBorders>
              <w:top w:val="single" w:color="auto" w:sz="4" w:space="0"/>
              <w:left w:val="nil"/>
              <w:bottom w:val="single" w:color="auto" w:sz="4" w:space="0"/>
              <w:right w:val="single" w:color="auto" w:sz="4" w:space="0"/>
            </w:tcBorders>
            <w:noWrap w:val="0"/>
            <w:vAlign w:val="center"/>
          </w:tcPr>
          <w:p w14:paraId="631CDA3B">
            <w:pPr>
              <w:widowControl/>
              <w:jc w:val="center"/>
              <w:rPr>
                <w:color w:val="auto"/>
                <w:kern w:val="0"/>
                <w:sz w:val="22"/>
                <w:szCs w:val="22"/>
                <w:highlight w:val="none"/>
              </w:rPr>
            </w:pPr>
            <w:r>
              <w:rPr>
                <w:color w:val="auto"/>
                <w:kern w:val="0"/>
                <w:sz w:val="22"/>
                <w:szCs w:val="22"/>
                <w:highlight w:val="none"/>
              </w:rPr>
              <w:t>　</w:t>
            </w:r>
          </w:p>
        </w:tc>
        <w:tc>
          <w:tcPr>
            <w:tcW w:w="1400" w:type="dxa"/>
            <w:gridSpan w:val="2"/>
            <w:tcBorders>
              <w:top w:val="nil"/>
              <w:left w:val="nil"/>
              <w:bottom w:val="single" w:color="auto" w:sz="4" w:space="0"/>
              <w:right w:val="single" w:color="auto" w:sz="4" w:space="0"/>
            </w:tcBorders>
            <w:noWrap w:val="0"/>
            <w:vAlign w:val="center"/>
          </w:tcPr>
          <w:p w14:paraId="37707037">
            <w:pPr>
              <w:widowControl/>
              <w:jc w:val="center"/>
              <w:rPr>
                <w:color w:val="auto"/>
                <w:kern w:val="0"/>
                <w:sz w:val="22"/>
                <w:szCs w:val="22"/>
                <w:highlight w:val="none"/>
              </w:rPr>
            </w:pPr>
            <w:r>
              <w:rPr>
                <w:color w:val="auto"/>
                <w:kern w:val="0"/>
                <w:sz w:val="22"/>
                <w:szCs w:val="22"/>
                <w:highlight w:val="none"/>
              </w:rPr>
              <w:t>　</w:t>
            </w:r>
          </w:p>
        </w:tc>
        <w:tc>
          <w:tcPr>
            <w:tcW w:w="1400" w:type="dxa"/>
            <w:tcBorders>
              <w:top w:val="nil"/>
              <w:left w:val="nil"/>
              <w:bottom w:val="single" w:color="auto" w:sz="4" w:space="0"/>
              <w:right w:val="single" w:color="auto" w:sz="4" w:space="0"/>
            </w:tcBorders>
            <w:noWrap w:val="0"/>
            <w:vAlign w:val="center"/>
          </w:tcPr>
          <w:p w14:paraId="12763671">
            <w:pPr>
              <w:widowControl/>
              <w:jc w:val="center"/>
              <w:rPr>
                <w:color w:val="auto"/>
                <w:kern w:val="0"/>
                <w:sz w:val="22"/>
                <w:szCs w:val="22"/>
                <w:highlight w:val="none"/>
              </w:rPr>
            </w:pPr>
            <w:r>
              <w:rPr>
                <w:color w:val="auto"/>
                <w:kern w:val="0"/>
                <w:sz w:val="22"/>
                <w:szCs w:val="22"/>
                <w:highlight w:val="none"/>
              </w:rPr>
              <w:t>　</w:t>
            </w:r>
          </w:p>
        </w:tc>
      </w:tr>
      <w:tr w14:paraId="2090AB42">
        <w:tblPrEx>
          <w:tblCellMar>
            <w:top w:w="0" w:type="dxa"/>
            <w:left w:w="108" w:type="dxa"/>
            <w:bottom w:w="0" w:type="dxa"/>
            <w:right w:w="108" w:type="dxa"/>
          </w:tblCellMar>
        </w:tblPrEx>
        <w:trPr>
          <w:trHeight w:val="150" w:hRule="atLeast"/>
        </w:trPr>
        <w:tc>
          <w:tcPr>
            <w:tcW w:w="15507" w:type="dxa"/>
            <w:gridSpan w:val="22"/>
            <w:tcBorders>
              <w:top w:val="single" w:color="auto" w:sz="4" w:space="0"/>
              <w:left w:val="single" w:color="auto" w:sz="4" w:space="0"/>
              <w:bottom w:val="single" w:color="auto" w:sz="4" w:space="0"/>
              <w:right w:val="single" w:color="auto" w:sz="4" w:space="0"/>
            </w:tcBorders>
            <w:shd w:val="clear" w:color="auto" w:fill="FFCC99"/>
            <w:noWrap w:val="0"/>
            <w:vAlign w:val="center"/>
          </w:tcPr>
          <w:p w14:paraId="1146CBA0">
            <w:pPr>
              <w:widowControl/>
              <w:jc w:val="center"/>
              <w:rPr>
                <w:color w:val="auto"/>
                <w:kern w:val="0"/>
                <w:sz w:val="22"/>
                <w:szCs w:val="22"/>
                <w:highlight w:val="none"/>
              </w:rPr>
            </w:pPr>
            <w:r>
              <w:rPr>
                <w:color w:val="auto"/>
                <w:kern w:val="0"/>
                <w:sz w:val="22"/>
                <w:szCs w:val="22"/>
                <w:highlight w:val="none"/>
              </w:rPr>
              <w:t>　</w:t>
            </w:r>
          </w:p>
        </w:tc>
      </w:tr>
      <w:tr w14:paraId="50C3BA63">
        <w:tblPrEx>
          <w:tblCellMar>
            <w:top w:w="0" w:type="dxa"/>
            <w:left w:w="108" w:type="dxa"/>
            <w:bottom w:w="0" w:type="dxa"/>
            <w:right w:w="108" w:type="dxa"/>
          </w:tblCellMar>
        </w:tblPrEx>
        <w:trPr>
          <w:trHeight w:val="150" w:hRule="atLeast"/>
        </w:trPr>
        <w:tc>
          <w:tcPr>
            <w:tcW w:w="15507" w:type="dxa"/>
            <w:gridSpan w:val="22"/>
            <w:tcBorders>
              <w:top w:val="single" w:color="auto" w:sz="4" w:space="0"/>
              <w:left w:val="single" w:color="auto" w:sz="4" w:space="0"/>
              <w:bottom w:val="single" w:color="auto" w:sz="4" w:space="0"/>
              <w:right w:val="single" w:color="000000" w:sz="4" w:space="0"/>
            </w:tcBorders>
            <w:shd w:val="clear" w:color="auto" w:fill="FFCC99"/>
            <w:noWrap w:val="0"/>
            <w:vAlign w:val="center"/>
          </w:tcPr>
          <w:p w14:paraId="05629868">
            <w:pPr>
              <w:widowControl/>
              <w:jc w:val="center"/>
              <w:rPr>
                <w:color w:val="auto"/>
                <w:kern w:val="0"/>
                <w:sz w:val="22"/>
                <w:szCs w:val="22"/>
                <w:highlight w:val="none"/>
              </w:rPr>
            </w:pPr>
            <w:r>
              <w:rPr>
                <w:color w:val="auto"/>
                <w:kern w:val="0"/>
                <w:sz w:val="22"/>
                <w:szCs w:val="22"/>
                <w:highlight w:val="none"/>
              </w:rPr>
              <w:t>　</w:t>
            </w:r>
          </w:p>
        </w:tc>
      </w:tr>
      <w:tr w14:paraId="503AB659">
        <w:tblPrEx>
          <w:tblCellMar>
            <w:top w:w="0" w:type="dxa"/>
            <w:left w:w="108" w:type="dxa"/>
            <w:bottom w:w="0" w:type="dxa"/>
            <w:right w:w="108" w:type="dxa"/>
          </w:tblCellMar>
        </w:tblPrEx>
        <w:trPr>
          <w:trHeight w:val="300" w:hRule="atLeast"/>
        </w:trPr>
        <w:tc>
          <w:tcPr>
            <w:tcW w:w="9187" w:type="dxa"/>
            <w:gridSpan w:val="13"/>
            <w:tcBorders>
              <w:top w:val="single" w:color="auto" w:sz="4" w:space="0"/>
              <w:left w:val="single" w:color="auto" w:sz="4" w:space="0"/>
              <w:bottom w:val="single" w:color="auto" w:sz="4" w:space="0"/>
              <w:right w:val="single" w:color="auto" w:sz="4" w:space="0"/>
            </w:tcBorders>
            <w:shd w:val="clear" w:color="auto" w:fill="FFFF99"/>
            <w:noWrap w:val="0"/>
            <w:vAlign w:val="center"/>
          </w:tcPr>
          <w:p w14:paraId="1CBD9175">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本次申请划款合计（元）</w:t>
            </w:r>
          </w:p>
        </w:tc>
        <w:tc>
          <w:tcPr>
            <w:tcW w:w="1400" w:type="dxa"/>
            <w:gridSpan w:val="2"/>
            <w:tcBorders>
              <w:top w:val="nil"/>
              <w:left w:val="nil"/>
              <w:bottom w:val="single" w:color="auto" w:sz="4" w:space="0"/>
              <w:right w:val="single" w:color="auto" w:sz="4" w:space="0"/>
            </w:tcBorders>
            <w:shd w:val="clear" w:color="auto" w:fill="FFFF99"/>
            <w:noWrap w:val="0"/>
            <w:vAlign w:val="center"/>
          </w:tcPr>
          <w:p w14:paraId="4C0368B7">
            <w:pPr>
              <w:widowControl/>
              <w:jc w:val="center"/>
              <w:rPr>
                <w:b/>
                <w:bCs/>
                <w:color w:val="auto"/>
                <w:kern w:val="0"/>
                <w:sz w:val="22"/>
                <w:szCs w:val="22"/>
                <w:highlight w:val="none"/>
                <w:u w:val="single"/>
              </w:rPr>
            </w:pPr>
            <w:r>
              <w:rPr>
                <w:b/>
                <w:bCs/>
                <w:color w:val="auto"/>
                <w:kern w:val="0"/>
                <w:sz w:val="22"/>
                <w:szCs w:val="22"/>
                <w:highlight w:val="none"/>
                <w:u w:val="single"/>
              </w:rPr>
              <w:t>　</w:t>
            </w:r>
          </w:p>
        </w:tc>
        <w:tc>
          <w:tcPr>
            <w:tcW w:w="2120" w:type="dxa"/>
            <w:gridSpan w:val="4"/>
            <w:tcBorders>
              <w:top w:val="single" w:color="auto" w:sz="4" w:space="0"/>
              <w:left w:val="nil"/>
              <w:bottom w:val="single" w:color="auto" w:sz="4" w:space="0"/>
              <w:right w:val="single" w:color="000000" w:sz="4" w:space="0"/>
            </w:tcBorders>
            <w:noWrap w:val="0"/>
            <w:vAlign w:val="center"/>
          </w:tcPr>
          <w:p w14:paraId="7E5126A9">
            <w:pPr>
              <w:widowControl/>
              <w:jc w:val="center"/>
              <w:rPr>
                <w:color w:val="auto"/>
                <w:kern w:val="0"/>
                <w:sz w:val="22"/>
                <w:szCs w:val="22"/>
                <w:highlight w:val="none"/>
              </w:rPr>
            </w:pPr>
            <w:r>
              <w:rPr>
                <w:color w:val="auto"/>
                <w:kern w:val="0"/>
                <w:sz w:val="22"/>
                <w:szCs w:val="22"/>
                <w:highlight w:val="none"/>
              </w:rPr>
              <w:t>/</w:t>
            </w:r>
          </w:p>
        </w:tc>
        <w:tc>
          <w:tcPr>
            <w:tcW w:w="1400" w:type="dxa"/>
            <w:gridSpan w:val="2"/>
            <w:tcBorders>
              <w:top w:val="nil"/>
              <w:left w:val="nil"/>
              <w:bottom w:val="single" w:color="auto" w:sz="4" w:space="0"/>
              <w:right w:val="single" w:color="auto" w:sz="4" w:space="0"/>
            </w:tcBorders>
            <w:noWrap w:val="0"/>
            <w:vAlign w:val="center"/>
          </w:tcPr>
          <w:p w14:paraId="23C1382A">
            <w:pPr>
              <w:widowControl/>
              <w:jc w:val="center"/>
              <w:rPr>
                <w:color w:val="auto"/>
                <w:kern w:val="0"/>
                <w:sz w:val="22"/>
                <w:szCs w:val="22"/>
                <w:highlight w:val="none"/>
              </w:rPr>
            </w:pPr>
            <w:r>
              <w:rPr>
                <w:color w:val="auto"/>
                <w:kern w:val="0"/>
                <w:sz w:val="22"/>
                <w:szCs w:val="22"/>
                <w:highlight w:val="none"/>
              </w:rPr>
              <w:t>/</w:t>
            </w:r>
          </w:p>
        </w:tc>
        <w:tc>
          <w:tcPr>
            <w:tcW w:w="1400" w:type="dxa"/>
            <w:tcBorders>
              <w:top w:val="nil"/>
              <w:left w:val="nil"/>
              <w:bottom w:val="single" w:color="auto" w:sz="4" w:space="0"/>
              <w:right w:val="single" w:color="auto" w:sz="4" w:space="0"/>
            </w:tcBorders>
            <w:noWrap w:val="0"/>
            <w:vAlign w:val="center"/>
          </w:tcPr>
          <w:p w14:paraId="75DEF63D">
            <w:pPr>
              <w:widowControl/>
              <w:jc w:val="center"/>
              <w:rPr>
                <w:color w:val="auto"/>
                <w:kern w:val="0"/>
                <w:sz w:val="22"/>
                <w:szCs w:val="22"/>
                <w:highlight w:val="none"/>
              </w:rPr>
            </w:pPr>
            <w:r>
              <w:rPr>
                <w:color w:val="auto"/>
                <w:kern w:val="0"/>
                <w:sz w:val="22"/>
                <w:szCs w:val="22"/>
                <w:highlight w:val="none"/>
              </w:rPr>
              <w:t>/</w:t>
            </w:r>
          </w:p>
        </w:tc>
      </w:tr>
      <w:tr w14:paraId="762D25A8">
        <w:tblPrEx>
          <w:tblCellMar>
            <w:top w:w="0" w:type="dxa"/>
            <w:left w:w="108" w:type="dxa"/>
            <w:bottom w:w="0" w:type="dxa"/>
            <w:right w:w="108" w:type="dxa"/>
          </w:tblCellMar>
        </w:tblPrEx>
        <w:trPr>
          <w:trHeight w:val="285" w:hRule="atLeast"/>
        </w:trPr>
        <w:tc>
          <w:tcPr>
            <w:tcW w:w="3622" w:type="dxa"/>
            <w:gridSpan w:val="4"/>
            <w:tcBorders>
              <w:top w:val="single" w:color="auto" w:sz="4" w:space="0"/>
              <w:left w:val="single" w:color="auto" w:sz="4" w:space="0"/>
              <w:bottom w:val="single" w:color="auto" w:sz="4" w:space="0"/>
              <w:right w:val="single" w:color="000000" w:sz="4" w:space="0"/>
            </w:tcBorders>
            <w:noWrap w:val="0"/>
            <w:vAlign w:val="center"/>
          </w:tcPr>
          <w:p w14:paraId="49D54461">
            <w:pPr>
              <w:widowControl/>
              <w:jc w:val="left"/>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申请单位经办人及手机：</w:t>
            </w:r>
          </w:p>
        </w:tc>
        <w:tc>
          <w:tcPr>
            <w:tcW w:w="3969" w:type="dxa"/>
            <w:gridSpan w:val="7"/>
            <w:tcBorders>
              <w:top w:val="single" w:color="auto" w:sz="4" w:space="0"/>
              <w:left w:val="nil"/>
              <w:bottom w:val="single" w:color="auto" w:sz="4" w:space="0"/>
              <w:right w:val="single" w:color="000000" w:sz="4" w:space="0"/>
            </w:tcBorders>
            <w:noWrap w:val="0"/>
            <w:vAlign w:val="center"/>
          </w:tcPr>
          <w:p w14:paraId="7179FA37">
            <w:pPr>
              <w:widowControl/>
              <w:jc w:val="left"/>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监理单位审核人：</w:t>
            </w:r>
          </w:p>
        </w:tc>
        <w:tc>
          <w:tcPr>
            <w:tcW w:w="4111" w:type="dxa"/>
            <w:gridSpan w:val="5"/>
            <w:tcBorders>
              <w:top w:val="single" w:color="auto" w:sz="4" w:space="0"/>
              <w:left w:val="nil"/>
              <w:bottom w:val="single" w:color="auto" w:sz="4" w:space="0"/>
              <w:right w:val="single" w:color="000000" w:sz="4" w:space="0"/>
            </w:tcBorders>
            <w:noWrap w:val="0"/>
            <w:vAlign w:val="center"/>
          </w:tcPr>
          <w:p w14:paraId="71B7B4B2">
            <w:pPr>
              <w:widowControl/>
              <w:jc w:val="left"/>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代建单位审核人（适用于代建项目）：</w:t>
            </w:r>
          </w:p>
        </w:tc>
        <w:tc>
          <w:tcPr>
            <w:tcW w:w="3805" w:type="dxa"/>
            <w:gridSpan w:val="6"/>
            <w:tcBorders>
              <w:top w:val="single" w:color="auto" w:sz="4" w:space="0"/>
              <w:left w:val="nil"/>
              <w:bottom w:val="single" w:color="auto" w:sz="4" w:space="0"/>
              <w:right w:val="single" w:color="000000" w:sz="4" w:space="0"/>
            </w:tcBorders>
            <w:noWrap w:val="0"/>
            <w:vAlign w:val="center"/>
          </w:tcPr>
          <w:p w14:paraId="62243723">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建设业主审核人：</w:t>
            </w:r>
          </w:p>
        </w:tc>
      </w:tr>
      <w:tr w14:paraId="75B9061E">
        <w:tblPrEx>
          <w:tblCellMar>
            <w:top w:w="0" w:type="dxa"/>
            <w:left w:w="108" w:type="dxa"/>
            <w:bottom w:w="0" w:type="dxa"/>
            <w:right w:w="108" w:type="dxa"/>
          </w:tblCellMar>
        </w:tblPrEx>
        <w:trPr>
          <w:trHeight w:val="810" w:hRule="atLeast"/>
        </w:trPr>
        <w:tc>
          <w:tcPr>
            <w:tcW w:w="3622" w:type="dxa"/>
            <w:gridSpan w:val="4"/>
            <w:tcBorders>
              <w:top w:val="single" w:color="auto" w:sz="4" w:space="0"/>
              <w:left w:val="single" w:color="auto" w:sz="4" w:space="0"/>
              <w:bottom w:val="nil"/>
              <w:right w:val="single" w:color="000000" w:sz="4" w:space="0"/>
            </w:tcBorders>
            <w:noWrap w:val="0"/>
            <w:vAlign w:val="center"/>
          </w:tcPr>
          <w:p w14:paraId="14C9A179">
            <w:pPr>
              <w:widowControl/>
              <w:jc w:val="left"/>
              <w:rPr>
                <w:color w:val="auto"/>
                <w:kern w:val="0"/>
                <w:sz w:val="22"/>
                <w:szCs w:val="22"/>
                <w:highlight w:val="none"/>
              </w:rPr>
            </w:pPr>
            <w:r>
              <w:rPr>
                <w:color w:val="auto"/>
                <w:kern w:val="0"/>
                <w:sz w:val="22"/>
                <w:szCs w:val="22"/>
                <w:highlight w:val="none"/>
              </w:rPr>
              <w:t>　</w:t>
            </w:r>
          </w:p>
        </w:tc>
        <w:tc>
          <w:tcPr>
            <w:tcW w:w="3969" w:type="dxa"/>
            <w:gridSpan w:val="7"/>
            <w:tcBorders>
              <w:top w:val="single" w:color="auto" w:sz="4" w:space="0"/>
              <w:left w:val="nil"/>
              <w:bottom w:val="nil"/>
              <w:right w:val="single" w:color="000000" w:sz="4" w:space="0"/>
            </w:tcBorders>
            <w:noWrap w:val="0"/>
            <w:vAlign w:val="center"/>
          </w:tcPr>
          <w:p w14:paraId="5633F489">
            <w:pPr>
              <w:widowControl/>
              <w:jc w:val="center"/>
              <w:rPr>
                <w:color w:val="auto"/>
                <w:kern w:val="0"/>
                <w:sz w:val="22"/>
                <w:szCs w:val="22"/>
                <w:highlight w:val="none"/>
              </w:rPr>
            </w:pPr>
            <w:r>
              <w:rPr>
                <w:color w:val="auto"/>
                <w:kern w:val="0"/>
                <w:sz w:val="22"/>
                <w:szCs w:val="22"/>
                <w:highlight w:val="none"/>
              </w:rPr>
              <w:t>　</w:t>
            </w:r>
          </w:p>
        </w:tc>
        <w:tc>
          <w:tcPr>
            <w:tcW w:w="4111" w:type="dxa"/>
            <w:gridSpan w:val="5"/>
            <w:vMerge w:val="restart"/>
            <w:tcBorders>
              <w:top w:val="single" w:color="auto" w:sz="4" w:space="0"/>
              <w:left w:val="nil"/>
              <w:right w:val="single" w:color="000000" w:sz="4" w:space="0"/>
            </w:tcBorders>
            <w:noWrap w:val="0"/>
            <w:vAlign w:val="center"/>
          </w:tcPr>
          <w:p w14:paraId="018C2163">
            <w:pPr>
              <w:widowControl/>
              <w:jc w:val="center"/>
              <w:rPr>
                <w:color w:val="auto"/>
                <w:kern w:val="0"/>
                <w:sz w:val="22"/>
                <w:szCs w:val="22"/>
                <w:highlight w:val="none"/>
              </w:rPr>
            </w:pPr>
            <w:r>
              <w:rPr>
                <w:color w:val="auto"/>
                <w:kern w:val="0"/>
                <w:sz w:val="22"/>
                <w:szCs w:val="22"/>
                <w:highlight w:val="none"/>
              </w:rPr>
              <w:t>　</w:t>
            </w:r>
          </w:p>
          <w:p w14:paraId="61A7309B">
            <w:pPr>
              <w:widowControl/>
              <w:jc w:val="left"/>
              <w:rPr>
                <w:color w:val="auto"/>
                <w:kern w:val="0"/>
                <w:sz w:val="22"/>
                <w:szCs w:val="22"/>
                <w:highlight w:val="none"/>
              </w:rPr>
            </w:pPr>
          </w:p>
          <w:p w14:paraId="7DCF103F">
            <w:pPr>
              <w:widowControl/>
              <w:jc w:val="left"/>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盖章：</w:t>
            </w:r>
          </w:p>
          <w:p w14:paraId="36D1AE60">
            <w:pPr>
              <w:widowControl/>
              <w:jc w:val="left"/>
              <w:rPr>
                <w:rFonts w:ascii="宋体" w:hAnsi="宋体" w:cs="宋体"/>
                <w:b/>
                <w:bCs/>
                <w:color w:val="auto"/>
                <w:kern w:val="0"/>
                <w:sz w:val="22"/>
                <w:szCs w:val="22"/>
                <w:highlight w:val="none"/>
              </w:rPr>
            </w:pPr>
          </w:p>
          <w:p w14:paraId="37F00E99">
            <w:pPr>
              <w:widowControl/>
              <w:jc w:val="left"/>
              <w:rPr>
                <w:color w:val="auto"/>
                <w:kern w:val="0"/>
                <w:sz w:val="22"/>
                <w:szCs w:val="22"/>
                <w:highlight w:val="none"/>
              </w:rPr>
            </w:pPr>
            <w:r>
              <w:rPr>
                <w:rFonts w:hint="eastAsia" w:ascii="宋体" w:hAnsi="宋体" w:cs="宋体"/>
                <w:b/>
                <w:bCs/>
                <w:color w:val="auto"/>
                <w:kern w:val="0"/>
                <w:sz w:val="22"/>
                <w:szCs w:val="22"/>
                <w:highlight w:val="none"/>
              </w:rPr>
              <w:t>日期：  年  月  日</w:t>
            </w:r>
          </w:p>
        </w:tc>
        <w:tc>
          <w:tcPr>
            <w:tcW w:w="3805" w:type="dxa"/>
            <w:gridSpan w:val="6"/>
            <w:tcBorders>
              <w:top w:val="single" w:color="auto" w:sz="4" w:space="0"/>
              <w:left w:val="nil"/>
              <w:bottom w:val="nil"/>
              <w:right w:val="single" w:color="000000" w:sz="4" w:space="0"/>
            </w:tcBorders>
            <w:noWrap w:val="0"/>
            <w:vAlign w:val="center"/>
          </w:tcPr>
          <w:p w14:paraId="437F1391">
            <w:pPr>
              <w:widowControl/>
              <w:jc w:val="left"/>
              <w:rPr>
                <w:color w:val="auto"/>
                <w:kern w:val="0"/>
                <w:sz w:val="22"/>
                <w:szCs w:val="22"/>
                <w:highlight w:val="none"/>
              </w:rPr>
            </w:pPr>
            <w:r>
              <w:rPr>
                <w:color w:val="auto"/>
                <w:kern w:val="0"/>
                <w:sz w:val="22"/>
                <w:szCs w:val="22"/>
                <w:highlight w:val="none"/>
              </w:rPr>
              <w:t>　</w:t>
            </w:r>
          </w:p>
        </w:tc>
      </w:tr>
      <w:tr w14:paraId="25628366">
        <w:tblPrEx>
          <w:tblCellMar>
            <w:top w:w="0" w:type="dxa"/>
            <w:left w:w="108" w:type="dxa"/>
            <w:bottom w:w="0" w:type="dxa"/>
            <w:right w:w="108" w:type="dxa"/>
          </w:tblCellMar>
        </w:tblPrEx>
        <w:trPr>
          <w:trHeight w:val="87" w:hRule="atLeast"/>
        </w:trPr>
        <w:tc>
          <w:tcPr>
            <w:tcW w:w="3622" w:type="dxa"/>
            <w:gridSpan w:val="4"/>
            <w:tcBorders>
              <w:top w:val="nil"/>
              <w:left w:val="single" w:color="auto" w:sz="4" w:space="0"/>
              <w:bottom w:val="nil"/>
              <w:right w:val="single" w:color="000000" w:sz="4" w:space="0"/>
            </w:tcBorders>
            <w:noWrap w:val="0"/>
            <w:vAlign w:val="center"/>
          </w:tcPr>
          <w:p w14:paraId="144E0048">
            <w:pPr>
              <w:widowControl/>
              <w:jc w:val="left"/>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盖章：</w:t>
            </w:r>
          </w:p>
        </w:tc>
        <w:tc>
          <w:tcPr>
            <w:tcW w:w="3969" w:type="dxa"/>
            <w:gridSpan w:val="7"/>
            <w:tcBorders>
              <w:top w:val="nil"/>
              <w:left w:val="nil"/>
              <w:bottom w:val="nil"/>
              <w:right w:val="single" w:color="000000" w:sz="4" w:space="0"/>
            </w:tcBorders>
            <w:noWrap w:val="0"/>
            <w:vAlign w:val="center"/>
          </w:tcPr>
          <w:p w14:paraId="59BF76BB">
            <w:pPr>
              <w:widowControl/>
              <w:jc w:val="left"/>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盖章：</w:t>
            </w:r>
          </w:p>
        </w:tc>
        <w:tc>
          <w:tcPr>
            <w:tcW w:w="4111" w:type="dxa"/>
            <w:gridSpan w:val="5"/>
            <w:vMerge w:val="continue"/>
            <w:tcBorders>
              <w:left w:val="nil"/>
              <w:right w:val="single" w:color="000000" w:sz="4" w:space="0"/>
            </w:tcBorders>
            <w:noWrap/>
            <w:vAlign w:val="bottom"/>
          </w:tcPr>
          <w:p w14:paraId="5787C022">
            <w:pPr>
              <w:jc w:val="left"/>
              <w:rPr>
                <w:rFonts w:ascii="宋体" w:hAnsi="宋体" w:cs="宋体"/>
                <w:b/>
                <w:bCs/>
                <w:color w:val="auto"/>
                <w:kern w:val="0"/>
                <w:sz w:val="22"/>
                <w:szCs w:val="22"/>
                <w:highlight w:val="none"/>
              </w:rPr>
            </w:pPr>
          </w:p>
        </w:tc>
        <w:tc>
          <w:tcPr>
            <w:tcW w:w="3805" w:type="dxa"/>
            <w:gridSpan w:val="6"/>
            <w:tcBorders>
              <w:top w:val="nil"/>
              <w:left w:val="nil"/>
              <w:bottom w:val="nil"/>
              <w:right w:val="single" w:color="000000" w:sz="4" w:space="0"/>
            </w:tcBorders>
            <w:noWrap/>
            <w:vAlign w:val="bottom"/>
          </w:tcPr>
          <w:p w14:paraId="4B3D8B8F">
            <w:pPr>
              <w:widowControl/>
              <w:jc w:val="left"/>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盖章：</w:t>
            </w:r>
          </w:p>
        </w:tc>
      </w:tr>
      <w:tr w14:paraId="56770256">
        <w:tblPrEx>
          <w:tblCellMar>
            <w:top w:w="0" w:type="dxa"/>
            <w:left w:w="108" w:type="dxa"/>
            <w:bottom w:w="0" w:type="dxa"/>
            <w:right w:w="108" w:type="dxa"/>
          </w:tblCellMar>
        </w:tblPrEx>
        <w:trPr>
          <w:trHeight w:val="314" w:hRule="atLeast"/>
        </w:trPr>
        <w:tc>
          <w:tcPr>
            <w:tcW w:w="3622" w:type="dxa"/>
            <w:gridSpan w:val="4"/>
            <w:tcBorders>
              <w:top w:val="nil"/>
              <w:left w:val="single" w:color="auto" w:sz="4" w:space="0"/>
              <w:bottom w:val="single" w:color="auto" w:sz="4" w:space="0"/>
              <w:right w:val="single" w:color="000000" w:sz="4" w:space="0"/>
            </w:tcBorders>
            <w:noWrap w:val="0"/>
            <w:vAlign w:val="center"/>
          </w:tcPr>
          <w:p w14:paraId="745AA996">
            <w:pPr>
              <w:widowControl/>
              <w:jc w:val="left"/>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日期：  年  月  日</w:t>
            </w:r>
          </w:p>
        </w:tc>
        <w:tc>
          <w:tcPr>
            <w:tcW w:w="3969" w:type="dxa"/>
            <w:gridSpan w:val="7"/>
            <w:tcBorders>
              <w:top w:val="nil"/>
              <w:left w:val="nil"/>
              <w:bottom w:val="single" w:color="auto" w:sz="4" w:space="0"/>
              <w:right w:val="single" w:color="000000" w:sz="4" w:space="0"/>
            </w:tcBorders>
            <w:noWrap w:val="0"/>
            <w:vAlign w:val="center"/>
          </w:tcPr>
          <w:p w14:paraId="4C7FDD75">
            <w:pPr>
              <w:widowControl/>
              <w:jc w:val="left"/>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日期：  年  月  日</w:t>
            </w:r>
          </w:p>
        </w:tc>
        <w:tc>
          <w:tcPr>
            <w:tcW w:w="4111" w:type="dxa"/>
            <w:gridSpan w:val="5"/>
            <w:vMerge w:val="continue"/>
            <w:tcBorders>
              <w:left w:val="nil"/>
              <w:bottom w:val="single" w:color="auto" w:sz="4" w:space="0"/>
              <w:right w:val="single" w:color="000000" w:sz="4" w:space="0"/>
            </w:tcBorders>
            <w:noWrap w:val="0"/>
            <w:vAlign w:val="center"/>
          </w:tcPr>
          <w:p w14:paraId="51D41BCA">
            <w:pPr>
              <w:widowControl/>
              <w:jc w:val="left"/>
              <w:rPr>
                <w:rFonts w:ascii="宋体" w:hAnsi="宋体" w:cs="宋体"/>
                <w:b/>
                <w:bCs/>
                <w:color w:val="auto"/>
                <w:kern w:val="0"/>
                <w:sz w:val="22"/>
                <w:szCs w:val="22"/>
                <w:highlight w:val="none"/>
              </w:rPr>
            </w:pPr>
          </w:p>
        </w:tc>
        <w:tc>
          <w:tcPr>
            <w:tcW w:w="3805" w:type="dxa"/>
            <w:gridSpan w:val="6"/>
            <w:tcBorders>
              <w:top w:val="nil"/>
              <w:left w:val="nil"/>
              <w:bottom w:val="single" w:color="auto" w:sz="4" w:space="0"/>
              <w:right w:val="single" w:color="000000" w:sz="4" w:space="0"/>
            </w:tcBorders>
            <w:noWrap w:val="0"/>
            <w:vAlign w:val="center"/>
          </w:tcPr>
          <w:p w14:paraId="3FC540C5">
            <w:pPr>
              <w:widowControl/>
              <w:jc w:val="left"/>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日期：  年  月  日</w:t>
            </w:r>
          </w:p>
        </w:tc>
      </w:tr>
      <w:tr w14:paraId="4582E75D">
        <w:tblPrEx>
          <w:tblCellMar>
            <w:top w:w="0" w:type="dxa"/>
            <w:left w:w="108" w:type="dxa"/>
            <w:bottom w:w="0" w:type="dxa"/>
            <w:right w:w="108" w:type="dxa"/>
          </w:tblCellMar>
        </w:tblPrEx>
        <w:trPr>
          <w:trHeight w:val="1335" w:hRule="atLeast"/>
        </w:trPr>
        <w:tc>
          <w:tcPr>
            <w:tcW w:w="15507" w:type="dxa"/>
            <w:gridSpan w:val="22"/>
            <w:tcBorders>
              <w:top w:val="single" w:color="auto" w:sz="4" w:space="0"/>
              <w:left w:val="nil"/>
              <w:bottom w:val="nil"/>
              <w:right w:val="nil"/>
            </w:tcBorders>
            <w:noWrap w:val="0"/>
            <w:vAlign w:val="bottom"/>
          </w:tcPr>
          <w:p w14:paraId="1A29E013">
            <w:pPr>
              <w:widowControl/>
              <w:spacing w:after="24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备注：本表根据本期审定资金额编制用款计划，加盖单位公章、一式六份</w:t>
            </w:r>
            <w:r>
              <w:rPr>
                <w:b/>
                <w:bCs/>
                <w:color w:val="auto"/>
                <w:kern w:val="0"/>
                <w:sz w:val="24"/>
                <w:szCs w:val="24"/>
                <w:highlight w:val="none"/>
              </w:rPr>
              <w:t xml:space="preserve">         </w:t>
            </w:r>
          </w:p>
        </w:tc>
      </w:tr>
    </w:tbl>
    <w:p w14:paraId="6AE497CB">
      <w:pPr>
        <w:rPr>
          <w:rFonts w:ascii="宋体" w:eastAsia="宋体"/>
          <w:color w:val="auto"/>
          <w:szCs w:val="21"/>
          <w:highlight w:val="none"/>
        </w:rPr>
      </w:pPr>
      <w:r>
        <w:rPr>
          <w:rFonts w:ascii="宋体" w:eastAsia="宋体"/>
          <w:color w:val="auto"/>
          <w:szCs w:val="21"/>
          <w:highlight w:val="none"/>
        </w:rPr>
        <w:br w:type="page"/>
      </w:r>
    </w:p>
    <w:tbl>
      <w:tblPr>
        <w:tblStyle w:val="50"/>
        <w:tblW w:w="14420" w:type="dxa"/>
        <w:tblInd w:w="95" w:type="dxa"/>
        <w:tblLayout w:type="autofit"/>
        <w:tblCellMar>
          <w:top w:w="0" w:type="dxa"/>
          <w:left w:w="108" w:type="dxa"/>
          <w:bottom w:w="0" w:type="dxa"/>
          <w:right w:w="108" w:type="dxa"/>
        </w:tblCellMar>
      </w:tblPr>
      <w:tblGrid>
        <w:gridCol w:w="1080"/>
        <w:gridCol w:w="1080"/>
        <w:gridCol w:w="733"/>
        <w:gridCol w:w="516"/>
        <w:gridCol w:w="1112"/>
        <w:gridCol w:w="259"/>
        <w:gridCol w:w="993"/>
        <w:gridCol w:w="87"/>
        <w:gridCol w:w="813"/>
        <w:gridCol w:w="267"/>
        <w:gridCol w:w="460"/>
        <w:gridCol w:w="893"/>
        <w:gridCol w:w="187"/>
        <w:gridCol w:w="1080"/>
        <w:gridCol w:w="2069"/>
        <w:gridCol w:w="631"/>
        <w:gridCol w:w="1080"/>
        <w:gridCol w:w="1080"/>
      </w:tblGrid>
      <w:tr w14:paraId="009E5814">
        <w:trPr>
          <w:trHeight w:val="397" w:hRule="atLeast"/>
        </w:trPr>
        <w:tc>
          <w:tcPr>
            <w:tcW w:w="14420" w:type="dxa"/>
            <w:gridSpan w:val="18"/>
            <w:noWrap/>
            <w:vAlign w:val="center"/>
          </w:tcPr>
          <w:p w14:paraId="0DC5087D">
            <w:pPr>
              <w:widowControl/>
              <w:jc w:val="left"/>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附件二：</w:t>
            </w:r>
          </w:p>
          <w:p w14:paraId="49DBD01C">
            <w:pPr>
              <w:widowControl/>
              <w:jc w:val="center"/>
              <w:rPr>
                <w:rFonts w:ascii="宋体" w:hAnsi="宋体" w:cs="宋体"/>
                <w:b/>
                <w:bCs/>
                <w:snapToGrid w:val="0"/>
                <w:color w:val="auto"/>
                <w:kern w:val="0"/>
                <w:sz w:val="44"/>
                <w:szCs w:val="44"/>
                <w:highlight w:val="none"/>
              </w:rPr>
            </w:pPr>
            <w:r>
              <w:rPr>
                <w:rFonts w:hint="eastAsia" w:ascii="宋体" w:hAnsi="宋体" w:cs="宋体"/>
                <w:b/>
                <w:bCs/>
                <w:color w:val="auto"/>
                <w:kern w:val="0"/>
                <w:sz w:val="28"/>
                <w:szCs w:val="28"/>
                <w:highlight w:val="none"/>
              </w:rPr>
              <w:t>工程</w:t>
            </w:r>
          </w:p>
          <w:p w14:paraId="0CF99329">
            <w:pPr>
              <w:widowControl/>
              <w:jc w:val="center"/>
              <w:rPr>
                <w:rFonts w:ascii="宋体" w:hAnsi="宋体" w:cs="宋体"/>
                <w:b/>
                <w:bCs/>
                <w:snapToGrid w:val="0"/>
                <w:color w:val="auto"/>
                <w:kern w:val="0"/>
                <w:sz w:val="44"/>
                <w:szCs w:val="44"/>
                <w:highlight w:val="none"/>
              </w:rPr>
            </w:pPr>
            <w:r>
              <w:rPr>
                <w:rFonts w:hint="eastAsia" w:ascii="宋体" w:hAnsi="宋体" w:cs="宋体"/>
                <w:b/>
                <w:bCs/>
                <w:snapToGrid w:val="0"/>
                <w:color w:val="auto"/>
                <w:kern w:val="0"/>
                <w:sz w:val="44"/>
                <w:szCs w:val="44"/>
                <w:highlight w:val="none"/>
              </w:rPr>
              <w:t>上期实际发放管理人员工资明细表</w:t>
            </w:r>
          </w:p>
        </w:tc>
      </w:tr>
      <w:tr w14:paraId="77D79959">
        <w:tblPrEx>
          <w:tblCellMar>
            <w:top w:w="0" w:type="dxa"/>
            <w:left w:w="108" w:type="dxa"/>
            <w:bottom w:w="0" w:type="dxa"/>
            <w:right w:w="108" w:type="dxa"/>
          </w:tblCellMar>
        </w:tblPrEx>
        <w:trPr>
          <w:trHeight w:val="397" w:hRule="atLeast"/>
        </w:trPr>
        <w:tc>
          <w:tcPr>
            <w:tcW w:w="2893" w:type="dxa"/>
            <w:gridSpan w:val="3"/>
            <w:noWrap/>
            <w:vAlign w:val="center"/>
          </w:tcPr>
          <w:p w14:paraId="52C7371D">
            <w:pPr>
              <w:widowControl/>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施工单位名称（盖公章）：</w:t>
            </w:r>
          </w:p>
        </w:tc>
        <w:tc>
          <w:tcPr>
            <w:tcW w:w="516" w:type="dxa"/>
            <w:noWrap/>
            <w:vAlign w:val="center"/>
          </w:tcPr>
          <w:p w14:paraId="2E1C8600">
            <w:pPr>
              <w:widowControl/>
              <w:jc w:val="left"/>
              <w:rPr>
                <w:rFonts w:ascii="宋体" w:hAnsi="宋体" w:cs="宋体"/>
                <w:snapToGrid w:val="0"/>
                <w:color w:val="auto"/>
                <w:kern w:val="0"/>
                <w:sz w:val="24"/>
                <w:highlight w:val="none"/>
              </w:rPr>
            </w:pPr>
          </w:p>
        </w:tc>
        <w:tc>
          <w:tcPr>
            <w:tcW w:w="1112" w:type="dxa"/>
            <w:noWrap/>
            <w:vAlign w:val="center"/>
          </w:tcPr>
          <w:p w14:paraId="41502857">
            <w:pPr>
              <w:widowControl/>
              <w:jc w:val="left"/>
              <w:rPr>
                <w:rFonts w:ascii="宋体" w:hAnsi="宋体" w:cs="宋体"/>
                <w:snapToGrid w:val="0"/>
                <w:color w:val="auto"/>
                <w:kern w:val="0"/>
                <w:sz w:val="24"/>
                <w:highlight w:val="none"/>
              </w:rPr>
            </w:pPr>
          </w:p>
        </w:tc>
        <w:tc>
          <w:tcPr>
            <w:tcW w:w="1252" w:type="dxa"/>
            <w:gridSpan w:val="2"/>
            <w:noWrap/>
            <w:vAlign w:val="center"/>
          </w:tcPr>
          <w:p w14:paraId="531C6164">
            <w:pPr>
              <w:widowControl/>
              <w:jc w:val="left"/>
              <w:rPr>
                <w:rFonts w:ascii="宋体" w:hAnsi="宋体" w:cs="宋体"/>
                <w:snapToGrid w:val="0"/>
                <w:color w:val="auto"/>
                <w:kern w:val="0"/>
                <w:sz w:val="24"/>
                <w:highlight w:val="none"/>
              </w:rPr>
            </w:pPr>
          </w:p>
        </w:tc>
        <w:tc>
          <w:tcPr>
            <w:tcW w:w="2520" w:type="dxa"/>
            <w:gridSpan w:val="5"/>
            <w:noWrap/>
            <w:vAlign w:val="center"/>
          </w:tcPr>
          <w:p w14:paraId="79042AAC">
            <w:pPr>
              <w:widowControl/>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制表日期：</w:t>
            </w:r>
          </w:p>
        </w:tc>
        <w:tc>
          <w:tcPr>
            <w:tcW w:w="3336" w:type="dxa"/>
            <w:gridSpan w:val="3"/>
            <w:noWrap/>
            <w:vAlign w:val="center"/>
          </w:tcPr>
          <w:p w14:paraId="0FD25292">
            <w:pPr>
              <w:widowControl/>
              <w:jc w:val="left"/>
              <w:rPr>
                <w:rFonts w:ascii="宋体" w:hAnsi="宋体" w:cs="宋体"/>
                <w:snapToGrid w:val="0"/>
                <w:color w:val="auto"/>
                <w:kern w:val="0"/>
                <w:sz w:val="24"/>
                <w:highlight w:val="none"/>
              </w:rPr>
            </w:pPr>
          </w:p>
        </w:tc>
        <w:tc>
          <w:tcPr>
            <w:tcW w:w="2791" w:type="dxa"/>
            <w:gridSpan w:val="3"/>
            <w:noWrap/>
            <w:vAlign w:val="center"/>
          </w:tcPr>
          <w:p w14:paraId="3B01BAE5">
            <w:pPr>
              <w:widowControl/>
              <w:jc w:val="left"/>
              <w:rPr>
                <w:rFonts w:ascii="宋体" w:hAnsi="宋体" w:cs="宋体"/>
                <w:snapToGrid w:val="0"/>
                <w:color w:val="auto"/>
                <w:kern w:val="0"/>
                <w:sz w:val="24"/>
                <w:highlight w:val="none"/>
              </w:rPr>
            </w:pPr>
          </w:p>
        </w:tc>
      </w:tr>
      <w:tr w14:paraId="5C165C62">
        <w:tblPrEx>
          <w:tblCellMar>
            <w:top w:w="0" w:type="dxa"/>
            <w:left w:w="108" w:type="dxa"/>
            <w:bottom w:w="0" w:type="dxa"/>
            <w:right w:w="108" w:type="dxa"/>
          </w:tblCellMar>
        </w:tblPrEx>
        <w:trPr>
          <w:trHeight w:val="397" w:hRule="atLeast"/>
        </w:trPr>
        <w:tc>
          <w:tcPr>
            <w:tcW w:w="2893" w:type="dxa"/>
            <w:gridSpan w:val="3"/>
            <w:noWrap/>
            <w:vAlign w:val="center"/>
          </w:tcPr>
          <w:p w14:paraId="6BC89448">
            <w:pPr>
              <w:widowControl/>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所属月份：</w:t>
            </w:r>
          </w:p>
        </w:tc>
        <w:tc>
          <w:tcPr>
            <w:tcW w:w="516" w:type="dxa"/>
            <w:noWrap/>
            <w:vAlign w:val="center"/>
          </w:tcPr>
          <w:p w14:paraId="5A5D00D2">
            <w:pPr>
              <w:widowControl/>
              <w:jc w:val="left"/>
              <w:rPr>
                <w:rFonts w:ascii="宋体" w:hAnsi="宋体" w:cs="宋体"/>
                <w:snapToGrid w:val="0"/>
                <w:color w:val="auto"/>
                <w:kern w:val="0"/>
                <w:sz w:val="24"/>
                <w:highlight w:val="none"/>
              </w:rPr>
            </w:pPr>
          </w:p>
        </w:tc>
        <w:tc>
          <w:tcPr>
            <w:tcW w:w="1112" w:type="dxa"/>
            <w:noWrap/>
            <w:vAlign w:val="center"/>
          </w:tcPr>
          <w:p w14:paraId="0F4BE519">
            <w:pPr>
              <w:widowControl/>
              <w:jc w:val="left"/>
              <w:rPr>
                <w:rFonts w:ascii="宋体" w:hAnsi="宋体" w:cs="宋体"/>
                <w:snapToGrid w:val="0"/>
                <w:color w:val="auto"/>
                <w:kern w:val="0"/>
                <w:sz w:val="24"/>
                <w:highlight w:val="none"/>
              </w:rPr>
            </w:pPr>
          </w:p>
        </w:tc>
        <w:tc>
          <w:tcPr>
            <w:tcW w:w="1252" w:type="dxa"/>
            <w:gridSpan w:val="2"/>
            <w:noWrap/>
            <w:vAlign w:val="center"/>
          </w:tcPr>
          <w:p w14:paraId="4DB73327">
            <w:pPr>
              <w:widowControl/>
              <w:jc w:val="left"/>
              <w:rPr>
                <w:rFonts w:ascii="宋体" w:hAnsi="宋体" w:cs="宋体"/>
                <w:snapToGrid w:val="0"/>
                <w:color w:val="auto"/>
                <w:kern w:val="0"/>
                <w:sz w:val="24"/>
                <w:highlight w:val="none"/>
              </w:rPr>
            </w:pPr>
          </w:p>
        </w:tc>
        <w:tc>
          <w:tcPr>
            <w:tcW w:w="900" w:type="dxa"/>
            <w:gridSpan w:val="2"/>
            <w:noWrap/>
            <w:vAlign w:val="center"/>
          </w:tcPr>
          <w:p w14:paraId="2ECC6C6C">
            <w:pPr>
              <w:widowControl/>
              <w:jc w:val="left"/>
              <w:rPr>
                <w:rFonts w:ascii="宋体" w:hAnsi="宋体" w:cs="宋体"/>
                <w:snapToGrid w:val="0"/>
                <w:color w:val="auto"/>
                <w:kern w:val="0"/>
                <w:sz w:val="24"/>
                <w:highlight w:val="none"/>
              </w:rPr>
            </w:pPr>
          </w:p>
        </w:tc>
        <w:tc>
          <w:tcPr>
            <w:tcW w:w="1620" w:type="dxa"/>
            <w:gridSpan w:val="3"/>
            <w:noWrap/>
            <w:vAlign w:val="center"/>
          </w:tcPr>
          <w:p w14:paraId="7E84CF19">
            <w:pPr>
              <w:widowControl/>
              <w:jc w:val="left"/>
              <w:rPr>
                <w:rFonts w:ascii="宋体" w:hAnsi="宋体" w:cs="宋体"/>
                <w:snapToGrid w:val="0"/>
                <w:color w:val="auto"/>
                <w:kern w:val="0"/>
                <w:sz w:val="24"/>
                <w:highlight w:val="none"/>
              </w:rPr>
            </w:pPr>
          </w:p>
        </w:tc>
        <w:tc>
          <w:tcPr>
            <w:tcW w:w="3336" w:type="dxa"/>
            <w:gridSpan w:val="3"/>
            <w:noWrap/>
            <w:vAlign w:val="center"/>
          </w:tcPr>
          <w:p w14:paraId="00151C40">
            <w:pPr>
              <w:widowControl/>
              <w:jc w:val="left"/>
              <w:rPr>
                <w:rFonts w:ascii="宋体" w:hAnsi="宋体" w:cs="宋体"/>
                <w:snapToGrid w:val="0"/>
                <w:color w:val="auto"/>
                <w:kern w:val="0"/>
                <w:sz w:val="24"/>
                <w:highlight w:val="none"/>
              </w:rPr>
            </w:pPr>
          </w:p>
        </w:tc>
        <w:tc>
          <w:tcPr>
            <w:tcW w:w="2791" w:type="dxa"/>
            <w:gridSpan w:val="3"/>
            <w:noWrap/>
            <w:vAlign w:val="center"/>
          </w:tcPr>
          <w:p w14:paraId="4C920754">
            <w:pPr>
              <w:widowControl/>
              <w:jc w:val="left"/>
              <w:rPr>
                <w:rFonts w:ascii="宋体" w:hAnsi="宋体" w:cs="宋体"/>
                <w:snapToGrid w:val="0"/>
                <w:color w:val="auto"/>
                <w:kern w:val="0"/>
                <w:sz w:val="24"/>
                <w:highlight w:val="none"/>
              </w:rPr>
            </w:pPr>
          </w:p>
        </w:tc>
      </w:tr>
      <w:tr w14:paraId="5E2B3A4A">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noWrap/>
            <w:vAlign w:val="bottom"/>
          </w:tcPr>
          <w:p w14:paraId="6150CE1D">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1080" w:type="dxa"/>
            <w:tcBorders>
              <w:top w:val="single" w:color="auto" w:sz="4" w:space="0"/>
              <w:left w:val="nil"/>
              <w:bottom w:val="single" w:color="auto" w:sz="4" w:space="0"/>
              <w:right w:val="single" w:color="auto" w:sz="4" w:space="0"/>
            </w:tcBorders>
            <w:noWrap/>
            <w:vAlign w:val="bottom"/>
          </w:tcPr>
          <w:p w14:paraId="53EE561C">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姓  名</w:t>
            </w:r>
          </w:p>
        </w:tc>
        <w:tc>
          <w:tcPr>
            <w:tcW w:w="2620" w:type="dxa"/>
            <w:gridSpan w:val="4"/>
            <w:tcBorders>
              <w:top w:val="single" w:color="auto" w:sz="4" w:space="0"/>
              <w:left w:val="nil"/>
              <w:bottom w:val="single" w:color="auto" w:sz="4" w:space="0"/>
              <w:right w:val="single" w:color="auto" w:sz="4" w:space="0"/>
            </w:tcBorders>
            <w:noWrap/>
            <w:vAlign w:val="bottom"/>
          </w:tcPr>
          <w:p w14:paraId="63FA66DE">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身份证号</w:t>
            </w:r>
          </w:p>
        </w:tc>
        <w:tc>
          <w:tcPr>
            <w:tcW w:w="1080" w:type="dxa"/>
            <w:gridSpan w:val="2"/>
            <w:tcBorders>
              <w:top w:val="single" w:color="auto" w:sz="4" w:space="0"/>
              <w:left w:val="nil"/>
              <w:bottom w:val="single" w:color="auto" w:sz="4" w:space="0"/>
              <w:right w:val="single" w:color="auto" w:sz="4" w:space="0"/>
            </w:tcBorders>
            <w:noWrap w:val="0"/>
            <w:vAlign w:val="bottom"/>
          </w:tcPr>
          <w:p w14:paraId="68434E93">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金额</w:t>
            </w:r>
          </w:p>
        </w:tc>
        <w:tc>
          <w:tcPr>
            <w:tcW w:w="1080" w:type="dxa"/>
            <w:gridSpan w:val="2"/>
            <w:tcBorders>
              <w:top w:val="single" w:color="auto" w:sz="4" w:space="0"/>
              <w:left w:val="nil"/>
              <w:bottom w:val="single" w:color="auto" w:sz="4" w:space="0"/>
              <w:right w:val="single" w:color="auto" w:sz="4" w:space="0"/>
            </w:tcBorders>
            <w:noWrap/>
            <w:vAlign w:val="bottom"/>
          </w:tcPr>
          <w:p w14:paraId="758D755B">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签  名</w:t>
            </w:r>
          </w:p>
        </w:tc>
        <w:tc>
          <w:tcPr>
            <w:tcW w:w="460" w:type="dxa"/>
            <w:tcBorders>
              <w:top w:val="nil"/>
              <w:left w:val="nil"/>
              <w:bottom w:val="nil"/>
              <w:right w:val="nil"/>
            </w:tcBorders>
            <w:noWrap/>
            <w:vAlign w:val="bottom"/>
          </w:tcPr>
          <w:p w14:paraId="73F11E7B">
            <w:pPr>
              <w:widowControl/>
              <w:jc w:val="left"/>
              <w:rPr>
                <w:rFonts w:ascii="宋体" w:hAnsi="宋体" w:cs="宋体"/>
                <w:color w:val="auto"/>
                <w:kern w:val="0"/>
                <w:sz w:val="24"/>
                <w:szCs w:val="24"/>
                <w:highlight w:val="none"/>
              </w:rPr>
            </w:pPr>
          </w:p>
        </w:tc>
        <w:tc>
          <w:tcPr>
            <w:tcW w:w="1080" w:type="dxa"/>
            <w:gridSpan w:val="2"/>
            <w:tcBorders>
              <w:top w:val="single" w:color="auto" w:sz="4" w:space="0"/>
              <w:left w:val="single" w:color="auto" w:sz="4" w:space="0"/>
              <w:bottom w:val="single" w:color="auto" w:sz="4" w:space="0"/>
              <w:right w:val="single" w:color="auto" w:sz="4" w:space="0"/>
            </w:tcBorders>
            <w:noWrap/>
            <w:vAlign w:val="bottom"/>
          </w:tcPr>
          <w:p w14:paraId="0AD2DF7B">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1080" w:type="dxa"/>
            <w:tcBorders>
              <w:top w:val="single" w:color="auto" w:sz="4" w:space="0"/>
              <w:left w:val="nil"/>
              <w:bottom w:val="single" w:color="auto" w:sz="4" w:space="0"/>
              <w:right w:val="single" w:color="auto" w:sz="4" w:space="0"/>
            </w:tcBorders>
            <w:noWrap/>
            <w:vAlign w:val="bottom"/>
          </w:tcPr>
          <w:p w14:paraId="34B6ACF2">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姓  名</w:t>
            </w:r>
          </w:p>
        </w:tc>
        <w:tc>
          <w:tcPr>
            <w:tcW w:w="2700" w:type="dxa"/>
            <w:gridSpan w:val="2"/>
            <w:tcBorders>
              <w:top w:val="single" w:color="auto" w:sz="4" w:space="0"/>
              <w:left w:val="nil"/>
              <w:bottom w:val="single" w:color="auto" w:sz="4" w:space="0"/>
              <w:right w:val="single" w:color="auto" w:sz="4" w:space="0"/>
            </w:tcBorders>
            <w:noWrap/>
            <w:vAlign w:val="bottom"/>
          </w:tcPr>
          <w:p w14:paraId="4632233E">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身份证号</w:t>
            </w:r>
          </w:p>
        </w:tc>
        <w:tc>
          <w:tcPr>
            <w:tcW w:w="1080" w:type="dxa"/>
            <w:tcBorders>
              <w:top w:val="single" w:color="auto" w:sz="4" w:space="0"/>
              <w:left w:val="nil"/>
              <w:bottom w:val="single" w:color="auto" w:sz="4" w:space="0"/>
              <w:right w:val="single" w:color="auto" w:sz="4" w:space="0"/>
            </w:tcBorders>
            <w:noWrap w:val="0"/>
            <w:vAlign w:val="bottom"/>
          </w:tcPr>
          <w:p w14:paraId="41F6099A">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金额</w:t>
            </w:r>
          </w:p>
        </w:tc>
        <w:tc>
          <w:tcPr>
            <w:tcW w:w="1080" w:type="dxa"/>
            <w:tcBorders>
              <w:top w:val="single" w:color="auto" w:sz="4" w:space="0"/>
              <w:left w:val="nil"/>
              <w:bottom w:val="single" w:color="auto" w:sz="4" w:space="0"/>
              <w:right w:val="single" w:color="auto" w:sz="4" w:space="0"/>
            </w:tcBorders>
            <w:noWrap/>
            <w:vAlign w:val="bottom"/>
          </w:tcPr>
          <w:p w14:paraId="04E23DFD">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签  名</w:t>
            </w:r>
          </w:p>
        </w:tc>
      </w:tr>
      <w:tr w14:paraId="6747F657">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568F4DB0">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F40D329">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511AB971">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4F49B6AD">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770C7254">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08A226E3">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7E7F6893">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057996D">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32CD2598">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9E6EC24">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943AA60">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DD13E32">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2122C846">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F84F6D9">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39D6C9D0">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42E3DBC0">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4021DE08">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0DE7074B">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021A80FA">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04E799C">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1B104ECF">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DC70415">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252F321">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DA91508">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774BDFB9">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598E87A1">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62A5D930">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784DD77F">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58BDBAA3">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1E7DDDE2">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33DE2045">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A4CDC3E">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751DF284">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7B96B3F">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19CF3E1">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AB1E3B0">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75A077C8">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5EAE117">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12216359">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4806FBD5">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56211131">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6DB4F91F">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00E5D14E">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F0503BD">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1368A80E">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40C1E88">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56321B82">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F3AD742">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21DBB992">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7483786">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0B12AA93">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11FDD50E">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7D9F5CCE">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5ED9C812">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2845D192">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E8CB1E1">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39DB7699">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187474B">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2812232">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B6ED12E">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4CBFD331">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CE263A5">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26E36AD5">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5761A1AF">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124670C8">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4EB43D3F">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13B35546">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B50161D">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7BDB890D">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797D3CB">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DDD35FA">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479BABD">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6028020B">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6E9C544">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0FF9B6D3">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74F0415E">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651D7BB9">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423A2E81">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540B52FF">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1AC161D">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65292171">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7D1FCB3">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5A3331F">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7E0AC09">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01E5E7DB">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E5BB517">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62C1F773">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5B1136BF">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404BBDDB">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74D5FF87">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70E7E740">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1141DD1">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5057807C">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FCB1CC7">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D4A1190">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B41585C">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7D5D1F19">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70534C3">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308AAC0B">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5EF84A1F">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1FC8201E">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7D872399">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4E6B0B64">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0375DA3">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0A566505">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A519326">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24E1777">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758C895">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6FC39FD3">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F9113C1">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46E32EDB">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7AD4F309">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6190BBE2">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79A13C26">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2094A7BB">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1A99ACF">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0DAF568B">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C57437B">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EFD767C">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4CD38C2">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261B05CF">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0B647E1">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39A60594">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3C46911F">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3A3A14EE">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2B319F21">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1319270D">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AD3CEBB">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09BB0727">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4CAB2CD">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A50A94C">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52D9F94">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475F2B9E">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851D243">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0B4B31DC">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4C0FC6D2">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0138F894">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138B5AFD">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5FD5F41F">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48EAB84">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173DA9E5">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43D124B">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547715E7">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931EB92">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2B35EB1F">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EFF3A0B">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1A8698DB">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4A66FCE1">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70D5BE72">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4283412E">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1318DDF3">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9146DDA">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6035C800">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BEE6F0A">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57D4373">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930F51A">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0E69612B">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B47B158">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67956FF0">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6D748A46">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3361AABA">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1B0A2B1A">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575CDDCD">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5082BBA1">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605B0240">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B97C2DD">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1903BC7">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F44F2C5">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39E6D415">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CF9CFE8">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0367F3D3">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25EB0E3A">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gridSpan w:val="2"/>
            <w:tcBorders>
              <w:top w:val="nil"/>
              <w:left w:val="nil"/>
              <w:bottom w:val="single" w:color="auto" w:sz="4" w:space="0"/>
              <w:right w:val="single" w:color="auto" w:sz="4" w:space="0"/>
            </w:tcBorders>
            <w:noWrap/>
            <w:vAlign w:val="bottom"/>
          </w:tcPr>
          <w:p w14:paraId="56408A7C">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678F3D29">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542A0AA0">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53A3ACC">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4A1B4605">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6DD2780">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88975CC">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910C917">
        <w:tblPrEx>
          <w:tblCellMar>
            <w:top w:w="0" w:type="dxa"/>
            <w:left w:w="108" w:type="dxa"/>
            <w:bottom w:w="0" w:type="dxa"/>
            <w:right w:w="108" w:type="dxa"/>
          </w:tblCellMar>
        </w:tblPrEx>
        <w:trPr>
          <w:trHeight w:val="429" w:hRule="atLeast"/>
        </w:trPr>
        <w:tc>
          <w:tcPr>
            <w:tcW w:w="14420" w:type="dxa"/>
            <w:gridSpan w:val="18"/>
            <w:tcBorders>
              <w:top w:val="single" w:color="auto" w:sz="4" w:space="0"/>
              <w:left w:val="single" w:color="auto" w:sz="4" w:space="0"/>
              <w:bottom w:val="single" w:color="auto" w:sz="4" w:space="0"/>
              <w:right w:val="single" w:color="auto" w:sz="4" w:space="0"/>
            </w:tcBorders>
            <w:noWrap/>
            <w:vAlign w:val="bottom"/>
          </w:tcPr>
          <w:p w14:paraId="2A94D2EA">
            <w:pPr>
              <w:widowControl/>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工资发放总额合计：</w:t>
            </w:r>
          </w:p>
        </w:tc>
      </w:tr>
      <w:tr w14:paraId="39CC155F">
        <w:tblPrEx>
          <w:tblCellMar>
            <w:top w:w="0" w:type="dxa"/>
            <w:left w:w="108" w:type="dxa"/>
            <w:bottom w:w="0" w:type="dxa"/>
            <w:right w:w="108" w:type="dxa"/>
          </w:tblCellMar>
        </w:tblPrEx>
        <w:trPr>
          <w:trHeight w:val="525" w:hRule="atLeast"/>
        </w:trPr>
        <w:tc>
          <w:tcPr>
            <w:tcW w:w="14420" w:type="dxa"/>
            <w:gridSpan w:val="18"/>
            <w:tcBorders>
              <w:top w:val="single" w:color="auto" w:sz="4" w:space="0"/>
              <w:left w:val="nil"/>
              <w:bottom w:val="single" w:color="auto" w:sz="4" w:space="0"/>
              <w:right w:val="nil"/>
            </w:tcBorders>
            <w:noWrap/>
            <w:vAlign w:val="bottom"/>
          </w:tcPr>
          <w:p w14:paraId="739E2A2C">
            <w:pPr>
              <w:widowControl/>
              <w:jc w:val="left"/>
              <w:rPr>
                <w:rFonts w:ascii="宋体" w:hAnsi="宋体" w:cs="宋体"/>
                <w:b/>
                <w:bCs/>
                <w:color w:val="auto"/>
                <w:kern w:val="0"/>
                <w:highlight w:val="none"/>
              </w:rPr>
            </w:pPr>
            <w:r>
              <w:rPr>
                <w:rFonts w:hint="eastAsia" w:ascii="宋体" w:hAnsi="宋体" w:cs="宋体"/>
                <w:b/>
                <w:bCs/>
                <w:color w:val="auto"/>
                <w:kern w:val="0"/>
                <w:highlight w:val="none"/>
              </w:rPr>
              <w:t>备注：本工资发放表按实际发放完成后，把本表复印一式六份并加盖公章，并提供一份原件核对。</w:t>
            </w:r>
          </w:p>
        </w:tc>
      </w:tr>
    </w:tbl>
    <w:p w14:paraId="23533569">
      <w:pPr>
        <w:rPr>
          <w:rFonts w:ascii="宋体" w:eastAsia="宋体"/>
          <w:color w:val="auto"/>
          <w:szCs w:val="21"/>
          <w:highlight w:val="none"/>
        </w:rPr>
      </w:pPr>
      <w:r>
        <w:rPr>
          <w:rFonts w:ascii="宋体" w:eastAsia="宋体"/>
          <w:color w:val="auto"/>
          <w:szCs w:val="21"/>
          <w:highlight w:val="none"/>
        </w:rPr>
        <w:br w:type="page"/>
      </w:r>
    </w:p>
    <w:tbl>
      <w:tblPr>
        <w:tblStyle w:val="50"/>
        <w:tblW w:w="14420" w:type="dxa"/>
        <w:tblInd w:w="95" w:type="dxa"/>
        <w:tblLayout w:type="autofit"/>
        <w:tblCellMar>
          <w:top w:w="0" w:type="dxa"/>
          <w:left w:w="108" w:type="dxa"/>
          <w:bottom w:w="0" w:type="dxa"/>
          <w:right w:w="108" w:type="dxa"/>
        </w:tblCellMar>
      </w:tblPr>
      <w:tblGrid>
        <w:gridCol w:w="1080"/>
        <w:gridCol w:w="1080"/>
        <w:gridCol w:w="733"/>
        <w:gridCol w:w="516"/>
        <w:gridCol w:w="1112"/>
        <w:gridCol w:w="259"/>
        <w:gridCol w:w="993"/>
        <w:gridCol w:w="900"/>
        <w:gridCol w:w="267"/>
        <w:gridCol w:w="460"/>
        <w:gridCol w:w="893"/>
        <w:gridCol w:w="187"/>
        <w:gridCol w:w="1080"/>
        <w:gridCol w:w="2069"/>
        <w:gridCol w:w="631"/>
        <w:gridCol w:w="1080"/>
        <w:gridCol w:w="1080"/>
      </w:tblGrid>
      <w:tr w14:paraId="0A2B85DA">
        <w:tblPrEx>
          <w:tblCellMar>
            <w:top w:w="0" w:type="dxa"/>
            <w:left w:w="108" w:type="dxa"/>
            <w:bottom w:w="0" w:type="dxa"/>
            <w:right w:w="108" w:type="dxa"/>
          </w:tblCellMar>
        </w:tblPrEx>
        <w:trPr>
          <w:trHeight w:val="397" w:hRule="atLeast"/>
        </w:trPr>
        <w:tc>
          <w:tcPr>
            <w:tcW w:w="14420" w:type="dxa"/>
            <w:gridSpan w:val="17"/>
            <w:noWrap/>
            <w:vAlign w:val="center"/>
          </w:tcPr>
          <w:p w14:paraId="3D4B73CC">
            <w:pPr>
              <w:widowControl/>
              <w:jc w:val="center"/>
              <w:rPr>
                <w:rFonts w:ascii="宋体" w:hAnsi="宋体" w:cs="宋体"/>
                <w:b/>
                <w:bCs/>
                <w:snapToGrid w:val="0"/>
                <w:color w:val="auto"/>
                <w:kern w:val="0"/>
                <w:sz w:val="44"/>
                <w:szCs w:val="44"/>
                <w:highlight w:val="none"/>
              </w:rPr>
            </w:pPr>
            <w:r>
              <w:rPr>
                <w:rFonts w:hint="eastAsia" w:ascii="宋体" w:hAnsi="宋体" w:cs="宋体"/>
                <w:b/>
                <w:bCs/>
                <w:color w:val="auto"/>
                <w:kern w:val="0"/>
                <w:sz w:val="28"/>
                <w:szCs w:val="28"/>
                <w:highlight w:val="none"/>
              </w:rPr>
              <w:t>工程</w:t>
            </w:r>
          </w:p>
          <w:p w14:paraId="5C0C49FF">
            <w:pPr>
              <w:widowControl/>
              <w:jc w:val="center"/>
              <w:rPr>
                <w:rFonts w:ascii="宋体" w:hAnsi="宋体" w:cs="宋体"/>
                <w:b/>
                <w:bCs/>
                <w:snapToGrid w:val="0"/>
                <w:color w:val="auto"/>
                <w:kern w:val="0"/>
                <w:sz w:val="44"/>
                <w:szCs w:val="44"/>
                <w:highlight w:val="none"/>
              </w:rPr>
            </w:pPr>
            <w:r>
              <w:rPr>
                <w:rFonts w:hint="eastAsia" w:ascii="宋体" w:hAnsi="宋体" w:cs="宋体"/>
                <w:b/>
                <w:bCs/>
                <w:snapToGrid w:val="0"/>
                <w:color w:val="auto"/>
                <w:kern w:val="0"/>
                <w:sz w:val="44"/>
                <w:szCs w:val="44"/>
                <w:highlight w:val="none"/>
              </w:rPr>
              <w:t>本期计划发放管理人员工资明细表</w:t>
            </w:r>
          </w:p>
        </w:tc>
      </w:tr>
      <w:tr w14:paraId="72B8BC90">
        <w:tblPrEx>
          <w:tblCellMar>
            <w:top w:w="0" w:type="dxa"/>
            <w:left w:w="108" w:type="dxa"/>
            <w:bottom w:w="0" w:type="dxa"/>
            <w:right w:w="108" w:type="dxa"/>
          </w:tblCellMar>
        </w:tblPrEx>
        <w:trPr>
          <w:trHeight w:val="397" w:hRule="atLeast"/>
        </w:trPr>
        <w:tc>
          <w:tcPr>
            <w:tcW w:w="2893" w:type="dxa"/>
            <w:gridSpan w:val="3"/>
            <w:noWrap/>
            <w:vAlign w:val="center"/>
          </w:tcPr>
          <w:p w14:paraId="187D0080">
            <w:pPr>
              <w:widowControl/>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施工单位名称（盖公章）：</w:t>
            </w:r>
          </w:p>
        </w:tc>
        <w:tc>
          <w:tcPr>
            <w:tcW w:w="516" w:type="dxa"/>
            <w:noWrap/>
            <w:vAlign w:val="center"/>
          </w:tcPr>
          <w:p w14:paraId="7E9CBBE1">
            <w:pPr>
              <w:widowControl/>
              <w:jc w:val="left"/>
              <w:rPr>
                <w:rFonts w:ascii="宋体" w:hAnsi="宋体" w:cs="宋体"/>
                <w:snapToGrid w:val="0"/>
                <w:color w:val="auto"/>
                <w:kern w:val="0"/>
                <w:sz w:val="24"/>
                <w:highlight w:val="none"/>
              </w:rPr>
            </w:pPr>
          </w:p>
        </w:tc>
        <w:tc>
          <w:tcPr>
            <w:tcW w:w="1112" w:type="dxa"/>
            <w:noWrap/>
            <w:vAlign w:val="center"/>
          </w:tcPr>
          <w:p w14:paraId="2F6EF189">
            <w:pPr>
              <w:widowControl/>
              <w:jc w:val="left"/>
              <w:rPr>
                <w:rFonts w:ascii="宋体" w:hAnsi="宋体" w:cs="宋体"/>
                <w:snapToGrid w:val="0"/>
                <w:color w:val="auto"/>
                <w:kern w:val="0"/>
                <w:sz w:val="24"/>
                <w:highlight w:val="none"/>
              </w:rPr>
            </w:pPr>
          </w:p>
        </w:tc>
        <w:tc>
          <w:tcPr>
            <w:tcW w:w="1252" w:type="dxa"/>
            <w:gridSpan w:val="2"/>
            <w:noWrap/>
            <w:vAlign w:val="center"/>
          </w:tcPr>
          <w:p w14:paraId="71E4EECF">
            <w:pPr>
              <w:widowControl/>
              <w:jc w:val="left"/>
              <w:rPr>
                <w:rFonts w:ascii="宋体" w:hAnsi="宋体" w:cs="宋体"/>
                <w:snapToGrid w:val="0"/>
                <w:color w:val="auto"/>
                <w:kern w:val="0"/>
                <w:sz w:val="24"/>
                <w:highlight w:val="none"/>
              </w:rPr>
            </w:pPr>
          </w:p>
        </w:tc>
        <w:tc>
          <w:tcPr>
            <w:tcW w:w="2520" w:type="dxa"/>
            <w:gridSpan w:val="4"/>
            <w:noWrap/>
            <w:vAlign w:val="center"/>
          </w:tcPr>
          <w:p w14:paraId="17369A5A">
            <w:pPr>
              <w:widowControl/>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制表日期：</w:t>
            </w:r>
          </w:p>
        </w:tc>
        <w:tc>
          <w:tcPr>
            <w:tcW w:w="3336" w:type="dxa"/>
            <w:gridSpan w:val="3"/>
            <w:noWrap/>
            <w:vAlign w:val="center"/>
          </w:tcPr>
          <w:p w14:paraId="6B02B2F0">
            <w:pPr>
              <w:widowControl/>
              <w:jc w:val="left"/>
              <w:rPr>
                <w:rFonts w:ascii="宋体" w:hAnsi="宋体" w:cs="宋体"/>
                <w:snapToGrid w:val="0"/>
                <w:color w:val="auto"/>
                <w:kern w:val="0"/>
                <w:sz w:val="24"/>
                <w:highlight w:val="none"/>
              </w:rPr>
            </w:pPr>
          </w:p>
        </w:tc>
        <w:tc>
          <w:tcPr>
            <w:tcW w:w="2791" w:type="dxa"/>
            <w:gridSpan w:val="3"/>
            <w:noWrap/>
            <w:vAlign w:val="center"/>
          </w:tcPr>
          <w:p w14:paraId="6534D25E">
            <w:pPr>
              <w:widowControl/>
              <w:jc w:val="left"/>
              <w:rPr>
                <w:rFonts w:ascii="宋体" w:hAnsi="宋体" w:cs="宋体"/>
                <w:snapToGrid w:val="0"/>
                <w:color w:val="auto"/>
                <w:kern w:val="0"/>
                <w:sz w:val="24"/>
                <w:highlight w:val="none"/>
              </w:rPr>
            </w:pPr>
          </w:p>
        </w:tc>
      </w:tr>
      <w:tr w14:paraId="5FE9E22A">
        <w:tblPrEx>
          <w:tblCellMar>
            <w:top w:w="0" w:type="dxa"/>
            <w:left w:w="108" w:type="dxa"/>
            <w:bottom w:w="0" w:type="dxa"/>
            <w:right w:w="108" w:type="dxa"/>
          </w:tblCellMar>
        </w:tblPrEx>
        <w:trPr>
          <w:trHeight w:val="397" w:hRule="atLeast"/>
        </w:trPr>
        <w:tc>
          <w:tcPr>
            <w:tcW w:w="2893" w:type="dxa"/>
            <w:gridSpan w:val="3"/>
            <w:noWrap/>
            <w:vAlign w:val="center"/>
          </w:tcPr>
          <w:p w14:paraId="4948628E">
            <w:pPr>
              <w:widowControl/>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所属月份：</w:t>
            </w:r>
          </w:p>
        </w:tc>
        <w:tc>
          <w:tcPr>
            <w:tcW w:w="516" w:type="dxa"/>
            <w:noWrap/>
            <w:vAlign w:val="center"/>
          </w:tcPr>
          <w:p w14:paraId="6D570DE6">
            <w:pPr>
              <w:widowControl/>
              <w:jc w:val="left"/>
              <w:rPr>
                <w:rFonts w:ascii="宋体" w:hAnsi="宋体" w:cs="宋体"/>
                <w:snapToGrid w:val="0"/>
                <w:color w:val="auto"/>
                <w:kern w:val="0"/>
                <w:sz w:val="24"/>
                <w:highlight w:val="none"/>
              </w:rPr>
            </w:pPr>
          </w:p>
        </w:tc>
        <w:tc>
          <w:tcPr>
            <w:tcW w:w="1112" w:type="dxa"/>
            <w:noWrap/>
            <w:vAlign w:val="center"/>
          </w:tcPr>
          <w:p w14:paraId="70287738">
            <w:pPr>
              <w:widowControl/>
              <w:jc w:val="left"/>
              <w:rPr>
                <w:rFonts w:ascii="宋体" w:hAnsi="宋体" w:cs="宋体"/>
                <w:snapToGrid w:val="0"/>
                <w:color w:val="auto"/>
                <w:kern w:val="0"/>
                <w:sz w:val="24"/>
                <w:highlight w:val="none"/>
              </w:rPr>
            </w:pPr>
          </w:p>
        </w:tc>
        <w:tc>
          <w:tcPr>
            <w:tcW w:w="1252" w:type="dxa"/>
            <w:gridSpan w:val="2"/>
            <w:noWrap/>
            <w:vAlign w:val="center"/>
          </w:tcPr>
          <w:p w14:paraId="79C6D74F">
            <w:pPr>
              <w:widowControl/>
              <w:jc w:val="left"/>
              <w:rPr>
                <w:rFonts w:ascii="宋体" w:hAnsi="宋体" w:cs="宋体"/>
                <w:snapToGrid w:val="0"/>
                <w:color w:val="auto"/>
                <w:kern w:val="0"/>
                <w:sz w:val="24"/>
                <w:highlight w:val="none"/>
              </w:rPr>
            </w:pPr>
          </w:p>
        </w:tc>
        <w:tc>
          <w:tcPr>
            <w:tcW w:w="900" w:type="dxa"/>
            <w:noWrap/>
            <w:vAlign w:val="center"/>
          </w:tcPr>
          <w:p w14:paraId="1F22B467">
            <w:pPr>
              <w:widowControl/>
              <w:jc w:val="left"/>
              <w:rPr>
                <w:rFonts w:ascii="宋体" w:hAnsi="宋体" w:cs="宋体"/>
                <w:snapToGrid w:val="0"/>
                <w:color w:val="auto"/>
                <w:kern w:val="0"/>
                <w:sz w:val="24"/>
                <w:highlight w:val="none"/>
              </w:rPr>
            </w:pPr>
          </w:p>
        </w:tc>
        <w:tc>
          <w:tcPr>
            <w:tcW w:w="1620" w:type="dxa"/>
            <w:gridSpan w:val="3"/>
            <w:noWrap/>
            <w:vAlign w:val="center"/>
          </w:tcPr>
          <w:p w14:paraId="689ABFBD">
            <w:pPr>
              <w:widowControl/>
              <w:jc w:val="left"/>
              <w:rPr>
                <w:rFonts w:ascii="宋体" w:hAnsi="宋体" w:cs="宋体"/>
                <w:snapToGrid w:val="0"/>
                <w:color w:val="auto"/>
                <w:kern w:val="0"/>
                <w:sz w:val="24"/>
                <w:highlight w:val="none"/>
              </w:rPr>
            </w:pPr>
          </w:p>
        </w:tc>
        <w:tc>
          <w:tcPr>
            <w:tcW w:w="3336" w:type="dxa"/>
            <w:gridSpan w:val="3"/>
            <w:noWrap/>
            <w:vAlign w:val="center"/>
          </w:tcPr>
          <w:p w14:paraId="21E6480E">
            <w:pPr>
              <w:widowControl/>
              <w:jc w:val="left"/>
              <w:rPr>
                <w:rFonts w:ascii="宋体" w:hAnsi="宋体" w:cs="宋体"/>
                <w:snapToGrid w:val="0"/>
                <w:color w:val="auto"/>
                <w:kern w:val="0"/>
                <w:sz w:val="24"/>
                <w:highlight w:val="none"/>
              </w:rPr>
            </w:pPr>
          </w:p>
        </w:tc>
        <w:tc>
          <w:tcPr>
            <w:tcW w:w="2791" w:type="dxa"/>
            <w:gridSpan w:val="3"/>
            <w:noWrap/>
            <w:vAlign w:val="center"/>
          </w:tcPr>
          <w:p w14:paraId="13B32588">
            <w:pPr>
              <w:widowControl/>
              <w:jc w:val="left"/>
              <w:rPr>
                <w:rFonts w:ascii="宋体" w:hAnsi="宋体" w:cs="宋体"/>
                <w:snapToGrid w:val="0"/>
                <w:color w:val="auto"/>
                <w:kern w:val="0"/>
                <w:sz w:val="24"/>
                <w:highlight w:val="none"/>
              </w:rPr>
            </w:pPr>
          </w:p>
        </w:tc>
      </w:tr>
      <w:tr w14:paraId="2098DA23">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noWrap/>
            <w:vAlign w:val="bottom"/>
          </w:tcPr>
          <w:p w14:paraId="7A3BA3D8">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1080" w:type="dxa"/>
            <w:tcBorders>
              <w:top w:val="single" w:color="auto" w:sz="4" w:space="0"/>
              <w:left w:val="nil"/>
              <w:bottom w:val="single" w:color="auto" w:sz="4" w:space="0"/>
              <w:right w:val="single" w:color="auto" w:sz="4" w:space="0"/>
            </w:tcBorders>
            <w:noWrap/>
            <w:vAlign w:val="bottom"/>
          </w:tcPr>
          <w:p w14:paraId="50595111">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姓  名</w:t>
            </w:r>
          </w:p>
        </w:tc>
        <w:tc>
          <w:tcPr>
            <w:tcW w:w="2620" w:type="dxa"/>
            <w:gridSpan w:val="4"/>
            <w:tcBorders>
              <w:top w:val="single" w:color="auto" w:sz="4" w:space="0"/>
              <w:left w:val="nil"/>
              <w:bottom w:val="single" w:color="auto" w:sz="4" w:space="0"/>
              <w:right w:val="single" w:color="auto" w:sz="4" w:space="0"/>
            </w:tcBorders>
            <w:noWrap/>
            <w:vAlign w:val="bottom"/>
          </w:tcPr>
          <w:p w14:paraId="50DD0E9A">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身份证号</w:t>
            </w:r>
          </w:p>
        </w:tc>
        <w:tc>
          <w:tcPr>
            <w:tcW w:w="2160" w:type="dxa"/>
            <w:gridSpan w:val="3"/>
            <w:tcBorders>
              <w:top w:val="single" w:color="auto" w:sz="4" w:space="0"/>
              <w:left w:val="nil"/>
              <w:bottom w:val="single" w:color="auto" w:sz="4" w:space="0"/>
              <w:right w:val="single" w:color="auto" w:sz="4" w:space="0"/>
            </w:tcBorders>
            <w:noWrap w:val="0"/>
            <w:vAlign w:val="bottom"/>
          </w:tcPr>
          <w:p w14:paraId="6C15F67E">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金额</w:t>
            </w:r>
          </w:p>
        </w:tc>
        <w:tc>
          <w:tcPr>
            <w:tcW w:w="460" w:type="dxa"/>
            <w:tcBorders>
              <w:top w:val="nil"/>
              <w:left w:val="nil"/>
              <w:bottom w:val="nil"/>
              <w:right w:val="nil"/>
            </w:tcBorders>
            <w:noWrap/>
            <w:vAlign w:val="bottom"/>
          </w:tcPr>
          <w:p w14:paraId="49FFCF0B">
            <w:pPr>
              <w:widowControl/>
              <w:jc w:val="left"/>
              <w:rPr>
                <w:rFonts w:ascii="宋体" w:hAnsi="宋体" w:cs="宋体"/>
                <w:color w:val="auto"/>
                <w:kern w:val="0"/>
                <w:sz w:val="24"/>
                <w:szCs w:val="24"/>
                <w:highlight w:val="none"/>
              </w:rPr>
            </w:pPr>
          </w:p>
        </w:tc>
        <w:tc>
          <w:tcPr>
            <w:tcW w:w="1080" w:type="dxa"/>
            <w:gridSpan w:val="2"/>
            <w:tcBorders>
              <w:top w:val="single" w:color="auto" w:sz="4" w:space="0"/>
              <w:left w:val="single" w:color="auto" w:sz="4" w:space="0"/>
              <w:bottom w:val="single" w:color="auto" w:sz="4" w:space="0"/>
              <w:right w:val="single" w:color="auto" w:sz="4" w:space="0"/>
            </w:tcBorders>
            <w:noWrap/>
            <w:vAlign w:val="bottom"/>
          </w:tcPr>
          <w:p w14:paraId="203FAAB2">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1080" w:type="dxa"/>
            <w:tcBorders>
              <w:top w:val="single" w:color="auto" w:sz="4" w:space="0"/>
              <w:left w:val="nil"/>
              <w:bottom w:val="single" w:color="auto" w:sz="4" w:space="0"/>
              <w:right w:val="single" w:color="auto" w:sz="4" w:space="0"/>
            </w:tcBorders>
            <w:noWrap/>
            <w:vAlign w:val="bottom"/>
          </w:tcPr>
          <w:p w14:paraId="359F1AA3">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姓  名</w:t>
            </w:r>
          </w:p>
        </w:tc>
        <w:tc>
          <w:tcPr>
            <w:tcW w:w="2700" w:type="dxa"/>
            <w:gridSpan w:val="2"/>
            <w:tcBorders>
              <w:top w:val="single" w:color="auto" w:sz="4" w:space="0"/>
              <w:left w:val="nil"/>
              <w:bottom w:val="single" w:color="auto" w:sz="4" w:space="0"/>
              <w:right w:val="single" w:color="auto" w:sz="4" w:space="0"/>
            </w:tcBorders>
            <w:noWrap/>
            <w:vAlign w:val="bottom"/>
          </w:tcPr>
          <w:p w14:paraId="0D229EBF">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身份证号</w:t>
            </w:r>
          </w:p>
        </w:tc>
        <w:tc>
          <w:tcPr>
            <w:tcW w:w="2160" w:type="dxa"/>
            <w:gridSpan w:val="2"/>
            <w:tcBorders>
              <w:top w:val="single" w:color="auto" w:sz="4" w:space="0"/>
              <w:left w:val="nil"/>
              <w:bottom w:val="single" w:color="auto" w:sz="4" w:space="0"/>
              <w:right w:val="single" w:color="auto" w:sz="4" w:space="0"/>
            </w:tcBorders>
            <w:noWrap w:val="0"/>
            <w:vAlign w:val="bottom"/>
          </w:tcPr>
          <w:p w14:paraId="2DB9F124">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金额</w:t>
            </w:r>
          </w:p>
        </w:tc>
      </w:tr>
      <w:tr w14:paraId="5A6E97FD">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5929D0C9">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3B1C061">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05F52DF6">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3FFCB48D">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525DE609">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5F87B00F">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0F3EE52">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7894E5D8">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8A82E82">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100D467">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C195881">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4DFC0864">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172F101">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359CB084">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128FA888">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0792F457">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5D730949">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5947A0D5">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02580770">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35F5717">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50FF886">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6866DD1">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43B52100">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0477DF6">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081F26C1">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659C3384">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57EFEE1A">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4E0FEE24">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57568E4A">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5BBBCFDC">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55D5C06">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5A5C53E">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66A22F1">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31B8D425">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4B79B45">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4C84F8CF">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709A0F43">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6857393C">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3516460D">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4408F3C">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0BB1D917">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A81C483">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27A40EF">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8E5F684">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5882F902">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79DEF96">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32FF1C55">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52349F41">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56B09C29">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6BF60B29">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818856A">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09DE4A54">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948CCBE">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58DC69F">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9D3034B">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428E2E4A">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9107461">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163CDD92">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5DADC6B5">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1CBAB7F5">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6A79B71A">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168EC23">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6A730AD0">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287463B">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74035C0">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29FEB39">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203A157B">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ED01F16">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4785687E">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6CF3C7ED">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7E2FE2E5">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143C9956">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C8DD6AB">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376B823D">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9F53691">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A6830EC">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FD57172">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15A21079">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14E5C43">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58662130">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0DEC8D41">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5E517A44">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1E77565F">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222780A">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3A71EFED">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EF8A309">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89FCB3C">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4A902C4">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6BF92A4B">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ECFF09B">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109F0B00">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24E8E339">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64143B72">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36755871">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1B88A76">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154C5DC8">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E484097">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23EB8AC">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0872206">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336F7219">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B957423">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568030D0">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11E916E1">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0F7BDB4F">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2ECC5A02">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7FB860A">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7BCC7059">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35201DE">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EF15398">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022F450">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410667D2">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52EA05C">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678171E7">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2A8DA07D">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3858EC1B">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6506B73A">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5E6AB241">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0C1A6F33">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E9BA39C">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BB25185">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1DAE601">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7840D31E">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5A4AAC17">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2F69412F">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2D719C7F">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6426006F">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652A21E2">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0ABFBE85">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3F7E8A58">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25329A9">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DBA4910">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80D1C51">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2AF5487B">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1609C48">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11F562D0">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40F7D2DB">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2EAA8817">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191F1C48">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0F9CA19">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51B47FE2">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B805E45">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24E788AC">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CB405B8">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729CF6C0">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1AFC6B77">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2E21BD53">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0A2BF834">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56FA70EC">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1F94E18E">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D776418">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2CC8E5BE">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4C94ABED">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54B1E9C7">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D23ED7C">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bottom"/>
          </w:tcPr>
          <w:p w14:paraId="3DEDC3B8">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7803795F">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620" w:type="dxa"/>
            <w:gridSpan w:val="4"/>
            <w:tcBorders>
              <w:top w:val="nil"/>
              <w:left w:val="nil"/>
              <w:bottom w:val="single" w:color="auto" w:sz="4" w:space="0"/>
              <w:right w:val="single" w:color="auto" w:sz="4" w:space="0"/>
            </w:tcBorders>
            <w:noWrap/>
            <w:vAlign w:val="bottom"/>
          </w:tcPr>
          <w:p w14:paraId="060C4439">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160" w:type="dxa"/>
            <w:gridSpan w:val="3"/>
            <w:tcBorders>
              <w:top w:val="nil"/>
              <w:left w:val="nil"/>
              <w:bottom w:val="single" w:color="auto" w:sz="4" w:space="0"/>
              <w:right w:val="single" w:color="auto" w:sz="4" w:space="0"/>
            </w:tcBorders>
            <w:noWrap/>
            <w:vAlign w:val="bottom"/>
          </w:tcPr>
          <w:p w14:paraId="6F11C327">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60" w:type="dxa"/>
            <w:tcBorders>
              <w:top w:val="nil"/>
              <w:left w:val="nil"/>
              <w:bottom w:val="nil"/>
              <w:right w:val="nil"/>
            </w:tcBorders>
            <w:noWrap/>
            <w:vAlign w:val="bottom"/>
          </w:tcPr>
          <w:p w14:paraId="0C050BAA">
            <w:pPr>
              <w:widowControl/>
              <w:jc w:val="left"/>
              <w:rPr>
                <w:rFonts w:ascii="宋体" w:hAnsi="宋体" w:cs="宋体"/>
                <w:color w:val="auto"/>
                <w:kern w:val="0"/>
                <w:sz w:val="24"/>
                <w:szCs w:val="24"/>
                <w:highlight w:val="none"/>
              </w:rPr>
            </w:pPr>
          </w:p>
        </w:tc>
        <w:tc>
          <w:tcPr>
            <w:tcW w:w="1080" w:type="dxa"/>
            <w:gridSpan w:val="2"/>
            <w:tcBorders>
              <w:top w:val="nil"/>
              <w:left w:val="single" w:color="auto" w:sz="4" w:space="0"/>
              <w:bottom w:val="single" w:color="auto" w:sz="4" w:space="0"/>
              <w:right w:val="single" w:color="auto" w:sz="4" w:space="0"/>
            </w:tcBorders>
            <w:noWrap/>
            <w:vAlign w:val="bottom"/>
          </w:tcPr>
          <w:p w14:paraId="4FBC151D">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34D750A6">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00" w:type="dxa"/>
            <w:gridSpan w:val="2"/>
            <w:tcBorders>
              <w:top w:val="nil"/>
              <w:left w:val="nil"/>
              <w:bottom w:val="single" w:color="auto" w:sz="4" w:space="0"/>
              <w:right w:val="single" w:color="auto" w:sz="4" w:space="0"/>
            </w:tcBorders>
            <w:noWrap/>
            <w:vAlign w:val="bottom"/>
          </w:tcPr>
          <w:p w14:paraId="454D2AFB">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B617882">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80" w:type="dxa"/>
            <w:tcBorders>
              <w:top w:val="nil"/>
              <w:left w:val="nil"/>
              <w:bottom w:val="single" w:color="auto" w:sz="4" w:space="0"/>
              <w:right w:val="single" w:color="auto" w:sz="4" w:space="0"/>
            </w:tcBorders>
            <w:noWrap/>
            <w:vAlign w:val="bottom"/>
          </w:tcPr>
          <w:p w14:paraId="6A90E6E6">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06604A8">
        <w:tblPrEx>
          <w:tblCellMar>
            <w:top w:w="0" w:type="dxa"/>
            <w:left w:w="108" w:type="dxa"/>
            <w:bottom w:w="0" w:type="dxa"/>
            <w:right w:w="108" w:type="dxa"/>
          </w:tblCellMar>
        </w:tblPrEx>
        <w:trPr>
          <w:trHeight w:val="705" w:hRule="atLeast"/>
        </w:trPr>
        <w:tc>
          <w:tcPr>
            <w:tcW w:w="14420" w:type="dxa"/>
            <w:gridSpan w:val="17"/>
            <w:tcBorders>
              <w:top w:val="single" w:color="auto" w:sz="4" w:space="0"/>
              <w:left w:val="single" w:color="auto" w:sz="4" w:space="0"/>
              <w:bottom w:val="single" w:color="auto" w:sz="4" w:space="0"/>
              <w:right w:val="single" w:color="auto" w:sz="4" w:space="0"/>
            </w:tcBorders>
            <w:noWrap/>
            <w:vAlign w:val="bottom"/>
          </w:tcPr>
          <w:p w14:paraId="009A5911">
            <w:pPr>
              <w:widowControl/>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工资发放总额合计：</w:t>
            </w:r>
          </w:p>
        </w:tc>
      </w:tr>
      <w:tr w14:paraId="7AC5C090">
        <w:tblPrEx>
          <w:tblCellMar>
            <w:top w:w="0" w:type="dxa"/>
            <w:left w:w="108" w:type="dxa"/>
            <w:bottom w:w="0" w:type="dxa"/>
            <w:right w:w="108" w:type="dxa"/>
          </w:tblCellMar>
        </w:tblPrEx>
        <w:trPr>
          <w:trHeight w:val="525" w:hRule="atLeast"/>
        </w:trPr>
        <w:tc>
          <w:tcPr>
            <w:tcW w:w="14420" w:type="dxa"/>
            <w:gridSpan w:val="17"/>
            <w:tcBorders>
              <w:top w:val="single" w:color="auto" w:sz="4" w:space="0"/>
              <w:left w:val="nil"/>
              <w:bottom w:val="nil"/>
              <w:right w:val="nil"/>
            </w:tcBorders>
            <w:noWrap/>
            <w:vAlign w:val="bottom"/>
          </w:tcPr>
          <w:p w14:paraId="01869288">
            <w:pPr>
              <w:widowControl/>
              <w:jc w:val="left"/>
              <w:rPr>
                <w:rFonts w:ascii="宋体" w:hAnsi="宋体" w:cs="宋体"/>
                <w:b/>
                <w:bCs/>
                <w:color w:val="auto"/>
                <w:kern w:val="0"/>
                <w:highlight w:val="none"/>
              </w:rPr>
            </w:pPr>
            <w:r>
              <w:rPr>
                <w:rFonts w:hint="eastAsia" w:ascii="宋体" w:hAnsi="宋体" w:cs="宋体"/>
                <w:b/>
                <w:bCs/>
                <w:color w:val="auto"/>
                <w:kern w:val="0"/>
                <w:highlight w:val="none"/>
              </w:rPr>
              <w:t>注：本表一式六份并加盖公章。</w:t>
            </w:r>
          </w:p>
        </w:tc>
      </w:tr>
    </w:tbl>
    <w:p w14:paraId="6AE38CAB">
      <w:pPr>
        <w:rPr>
          <w:rFonts w:hint="eastAsia"/>
          <w:color w:val="auto"/>
          <w:highlight w:val="none"/>
          <w:lang w:val="en-US" w:eastAsia="zh-CN"/>
        </w:rPr>
      </w:pPr>
    </w:p>
    <w:p w14:paraId="2FF7B59D">
      <w:pPr>
        <w:snapToGrid/>
        <w:spacing w:line="460" w:lineRule="exact"/>
        <w:jc w:val="both"/>
        <w:rPr>
          <w:rFonts w:hint="eastAsia" w:ascii="宋体" w:hAnsi="宋体"/>
          <w:color w:val="auto"/>
          <w:sz w:val="24"/>
          <w:szCs w:val="24"/>
          <w:highlight w:val="none"/>
          <w:u w:val="single"/>
          <w:lang w:val="en-US" w:eastAsia="zh-CN"/>
        </w:rPr>
      </w:pPr>
    </w:p>
    <w:p w14:paraId="730147C8">
      <w:pPr>
        <w:pStyle w:val="48"/>
        <w:spacing w:line="440" w:lineRule="exact"/>
        <w:ind w:firstLine="240"/>
        <w:rPr>
          <w:rFonts w:hint="eastAsia" w:ascii="宋体" w:hAnsi="宋体" w:cs="宋体"/>
          <w:color w:val="auto"/>
          <w:highlight w:val="none"/>
        </w:rPr>
      </w:pPr>
      <w:r>
        <w:rPr>
          <w:rFonts w:hint="eastAsia" w:ascii="宋体" w:hAnsi="宋体" w:cs="宋体"/>
          <w:color w:val="auto"/>
          <w:highlight w:val="none"/>
        </w:rPr>
        <w:t>附件三：</w:t>
      </w:r>
    </w:p>
    <w:p w14:paraId="0A27AC57">
      <w:pPr>
        <w:jc w:val="center"/>
        <w:rPr>
          <w:rFonts w:hint="eastAsia" w:ascii="宋体" w:hAnsi="宋体" w:cs="宋体"/>
          <w:color w:val="auto"/>
          <w:sz w:val="28"/>
          <w:szCs w:val="21"/>
          <w:highlight w:val="none"/>
        </w:rPr>
      </w:pPr>
      <w:r>
        <w:rPr>
          <w:rFonts w:hint="eastAsia" w:ascii="宋体" w:hAnsi="宋体" w:cs="宋体"/>
          <w:b/>
          <w:color w:val="auto"/>
          <w:sz w:val="32"/>
          <w:szCs w:val="21"/>
          <w:highlight w:val="none"/>
        </w:rPr>
        <w:t>共管账户划款通知</w:t>
      </w:r>
    </w:p>
    <w:p w14:paraId="3598B8D2">
      <w:pPr>
        <w:jc w:val="center"/>
        <w:rPr>
          <w:rFonts w:hint="eastAsia" w:ascii="宋体" w:hAnsi="宋体" w:cs="宋体"/>
          <w:color w:val="auto"/>
          <w:sz w:val="28"/>
          <w:szCs w:val="21"/>
          <w:highlight w:val="none"/>
        </w:rPr>
      </w:pPr>
      <w:r>
        <w:rPr>
          <w:rFonts w:hint="eastAsia" w:ascii="宋体" w:hAnsi="宋体" w:cs="宋体"/>
          <w:color w:val="auto"/>
          <w:sz w:val="28"/>
          <w:szCs w:val="21"/>
          <w:highlight w:val="none"/>
        </w:rPr>
        <w:t>年   月    日</w:t>
      </w:r>
    </w:p>
    <w:tbl>
      <w:tblPr>
        <w:tblStyle w:val="50"/>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8"/>
        <w:gridCol w:w="5040"/>
      </w:tblGrid>
      <w:tr w14:paraId="7C81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888" w:type="dxa"/>
          </w:tcPr>
          <w:p w14:paraId="473E2B31">
            <w:pPr>
              <w:rPr>
                <w:rFonts w:hint="eastAsia" w:ascii="宋体" w:hAnsi="宋体" w:cs="宋体"/>
                <w:color w:val="auto"/>
                <w:sz w:val="28"/>
                <w:szCs w:val="21"/>
                <w:highlight w:val="none"/>
              </w:rPr>
            </w:pPr>
            <w:r>
              <w:rPr>
                <w:rFonts w:hint="eastAsia" w:ascii="宋体" w:hAnsi="宋体" w:cs="宋体"/>
                <w:color w:val="auto"/>
                <w:sz w:val="28"/>
                <w:szCs w:val="21"/>
                <w:highlight w:val="none"/>
              </w:rPr>
              <w:t>账户名称</w:t>
            </w:r>
          </w:p>
        </w:tc>
        <w:tc>
          <w:tcPr>
            <w:tcW w:w="5040" w:type="dxa"/>
          </w:tcPr>
          <w:p w14:paraId="4B1DED90">
            <w:pPr>
              <w:rPr>
                <w:rFonts w:hint="eastAsia" w:ascii="宋体" w:hAnsi="宋体" w:cs="宋体"/>
                <w:color w:val="auto"/>
                <w:sz w:val="28"/>
                <w:szCs w:val="21"/>
                <w:highlight w:val="none"/>
              </w:rPr>
            </w:pPr>
          </w:p>
        </w:tc>
      </w:tr>
      <w:tr w14:paraId="2E59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888" w:type="dxa"/>
          </w:tcPr>
          <w:p w14:paraId="35542A52">
            <w:pPr>
              <w:rPr>
                <w:rFonts w:hint="eastAsia" w:ascii="宋体" w:hAnsi="宋体" w:cs="宋体"/>
                <w:color w:val="auto"/>
                <w:sz w:val="28"/>
                <w:szCs w:val="21"/>
                <w:highlight w:val="none"/>
              </w:rPr>
            </w:pPr>
            <w:r>
              <w:rPr>
                <w:rFonts w:hint="eastAsia" w:ascii="宋体" w:hAnsi="宋体" w:cs="宋体"/>
                <w:color w:val="auto"/>
                <w:sz w:val="28"/>
                <w:szCs w:val="21"/>
                <w:highlight w:val="none"/>
              </w:rPr>
              <w:t>账户账号</w:t>
            </w:r>
          </w:p>
        </w:tc>
        <w:tc>
          <w:tcPr>
            <w:tcW w:w="5040" w:type="dxa"/>
          </w:tcPr>
          <w:p w14:paraId="7545484D">
            <w:pPr>
              <w:rPr>
                <w:rFonts w:hint="eastAsia" w:ascii="宋体" w:hAnsi="宋体" w:cs="宋体"/>
                <w:color w:val="auto"/>
                <w:sz w:val="28"/>
                <w:szCs w:val="21"/>
                <w:highlight w:val="none"/>
              </w:rPr>
            </w:pPr>
          </w:p>
        </w:tc>
      </w:tr>
      <w:tr w14:paraId="183F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3888" w:type="dxa"/>
          </w:tcPr>
          <w:p w14:paraId="16F58F0F">
            <w:pPr>
              <w:rPr>
                <w:rFonts w:hint="eastAsia" w:ascii="宋体" w:hAnsi="宋体" w:cs="宋体"/>
                <w:color w:val="auto"/>
                <w:sz w:val="28"/>
                <w:szCs w:val="21"/>
                <w:highlight w:val="none"/>
              </w:rPr>
            </w:pPr>
            <w:r>
              <w:rPr>
                <w:rFonts w:hint="eastAsia" w:ascii="宋体" w:hAnsi="宋体" w:cs="宋体"/>
                <w:color w:val="auto"/>
                <w:sz w:val="28"/>
                <w:szCs w:val="21"/>
                <w:highlight w:val="none"/>
              </w:rPr>
              <w:t>工程项目名称</w:t>
            </w:r>
          </w:p>
        </w:tc>
        <w:tc>
          <w:tcPr>
            <w:tcW w:w="5040" w:type="dxa"/>
          </w:tcPr>
          <w:p w14:paraId="4A413C69">
            <w:pPr>
              <w:rPr>
                <w:rFonts w:hint="eastAsia" w:ascii="宋体" w:hAnsi="宋体" w:cs="宋体"/>
                <w:color w:val="auto"/>
                <w:sz w:val="28"/>
                <w:szCs w:val="21"/>
                <w:highlight w:val="none"/>
              </w:rPr>
            </w:pPr>
          </w:p>
        </w:tc>
      </w:tr>
      <w:tr w14:paraId="774E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8" w:type="dxa"/>
          </w:tcPr>
          <w:p w14:paraId="4049FDD6">
            <w:pPr>
              <w:rPr>
                <w:rFonts w:hint="eastAsia" w:ascii="宋体" w:hAnsi="宋体" w:cs="宋体"/>
                <w:color w:val="auto"/>
                <w:sz w:val="28"/>
                <w:szCs w:val="21"/>
                <w:highlight w:val="none"/>
              </w:rPr>
            </w:pPr>
            <w:r>
              <w:rPr>
                <w:rFonts w:hint="eastAsia" w:ascii="宋体" w:hAnsi="宋体" w:cs="宋体"/>
                <w:color w:val="auto"/>
                <w:sz w:val="28"/>
                <w:szCs w:val="21"/>
                <w:highlight w:val="none"/>
              </w:rPr>
              <w:t>本次申请使用款项金额</w:t>
            </w:r>
          </w:p>
        </w:tc>
        <w:tc>
          <w:tcPr>
            <w:tcW w:w="5040" w:type="dxa"/>
          </w:tcPr>
          <w:p w14:paraId="73E0989B">
            <w:pPr>
              <w:rPr>
                <w:rFonts w:hint="eastAsia" w:ascii="宋体" w:hAnsi="宋体" w:cs="宋体"/>
                <w:color w:val="auto"/>
                <w:sz w:val="28"/>
                <w:szCs w:val="21"/>
                <w:highlight w:val="none"/>
              </w:rPr>
            </w:pPr>
          </w:p>
        </w:tc>
      </w:tr>
      <w:tr w14:paraId="2273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3888" w:type="dxa"/>
          </w:tcPr>
          <w:p w14:paraId="0697AD30">
            <w:pPr>
              <w:rPr>
                <w:rFonts w:hint="eastAsia" w:ascii="宋体" w:hAnsi="宋体" w:cs="宋体"/>
                <w:color w:val="auto"/>
                <w:sz w:val="28"/>
                <w:szCs w:val="21"/>
                <w:highlight w:val="none"/>
              </w:rPr>
            </w:pPr>
            <w:r>
              <w:rPr>
                <w:rFonts w:hint="eastAsia" w:ascii="宋体" w:hAnsi="宋体" w:cs="宋体"/>
                <w:color w:val="auto"/>
                <w:sz w:val="28"/>
                <w:szCs w:val="21"/>
                <w:highlight w:val="none"/>
              </w:rPr>
              <w:t>本次用途</w:t>
            </w:r>
          </w:p>
        </w:tc>
        <w:tc>
          <w:tcPr>
            <w:tcW w:w="5040" w:type="dxa"/>
          </w:tcPr>
          <w:p w14:paraId="2AFC29D8">
            <w:pPr>
              <w:rPr>
                <w:rFonts w:hint="eastAsia" w:ascii="宋体" w:hAnsi="宋体" w:cs="宋体"/>
                <w:color w:val="auto"/>
                <w:sz w:val="28"/>
                <w:szCs w:val="21"/>
                <w:highlight w:val="none"/>
              </w:rPr>
            </w:pPr>
          </w:p>
          <w:p w14:paraId="5FC02F4A">
            <w:pPr>
              <w:rPr>
                <w:rFonts w:hint="eastAsia" w:ascii="宋体" w:hAnsi="宋体" w:cs="宋体"/>
                <w:color w:val="auto"/>
                <w:sz w:val="28"/>
                <w:szCs w:val="21"/>
                <w:highlight w:val="none"/>
              </w:rPr>
            </w:pPr>
          </w:p>
        </w:tc>
      </w:tr>
      <w:tr w14:paraId="3197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888" w:type="dxa"/>
          </w:tcPr>
          <w:p w14:paraId="12444398">
            <w:pPr>
              <w:rPr>
                <w:rFonts w:hint="eastAsia" w:ascii="宋体" w:hAnsi="宋体" w:cs="宋体"/>
                <w:color w:val="auto"/>
                <w:sz w:val="28"/>
                <w:szCs w:val="21"/>
                <w:highlight w:val="none"/>
              </w:rPr>
            </w:pPr>
            <w:r>
              <w:rPr>
                <w:rFonts w:hint="eastAsia" w:ascii="宋体" w:hAnsi="宋体" w:cs="宋体"/>
                <w:color w:val="auto"/>
                <w:sz w:val="28"/>
                <w:szCs w:val="21"/>
                <w:highlight w:val="none"/>
              </w:rPr>
              <w:t>累计用款额（万元）</w:t>
            </w:r>
          </w:p>
        </w:tc>
        <w:tc>
          <w:tcPr>
            <w:tcW w:w="5040" w:type="dxa"/>
          </w:tcPr>
          <w:p w14:paraId="389EA7F5">
            <w:pPr>
              <w:rPr>
                <w:rFonts w:hint="eastAsia" w:ascii="宋体" w:hAnsi="宋体" w:cs="宋体"/>
                <w:color w:val="auto"/>
                <w:sz w:val="28"/>
                <w:szCs w:val="21"/>
                <w:highlight w:val="none"/>
              </w:rPr>
            </w:pPr>
          </w:p>
        </w:tc>
      </w:tr>
      <w:tr w14:paraId="0EAC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3888" w:type="dxa"/>
            <w:vMerge w:val="restart"/>
          </w:tcPr>
          <w:p w14:paraId="78A36817">
            <w:pPr>
              <w:rPr>
                <w:rFonts w:hint="eastAsia" w:ascii="宋体" w:hAnsi="宋体" w:cs="宋体"/>
                <w:color w:val="auto"/>
                <w:sz w:val="28"/>
                <w:szCs w:val="21"/>
                <w:highlight w:val="none"/>
              </w:rPr>
            </w:pPr>
          </w:p>
          <w:p w14:paraId="7F9B1D44">
            <w:pPr>
              <w:rPr>
                <w:rFonts w:hint="eastAsia" w:ascii="宋体" w:hAnsi="宋体" w:cs="宋体"/>
                <w:color w:val="auto"/>
                <w:sz w:val="28"/>
                <w:szCs w:val="21"/>
                <w:highlight w:val="none"/>
              </w:rPr>
            </w:pPr>
          </w:p>
          <w:p w14:paraId="4957C12A">
            <w:pPr>
              <w:rPr>
                <w:rFonts w:hint="eastAsia" w:ascii="宋体" w:hAnsi="宋体" w:cs="宋体"/>
                <w:color w:val="auto"/>
                <w:sz w:val="28"/>
                <w:szCs w:val="21"/>
                <w:highlight w:val="none"/>
              </w:rPr>
            </w:pPr>
          </w:p>
          <w:p w14:paraId="70F018D3">
            <w:pPr>
              <w:rPr>
                <w:rFonts w:hint="eastAsia" w:ascii="宋体" w:hAnsi="宋体" w:cs="宋体"/>
                <w:color w:val="auto"/>
                <w:sz w:val="28"/>
                <w:szCs w:val="21"/>
                <w:highlight w:val="none"/>
              </w:rPr>
            </w:pPr>
          </w:p>
          <w:p w14:paraId="35B43ED3">
            <w:pPr>
              <w:rPr>
                <w:rFonts w:hint="eastAsia" w:ascii="宋体" w:hAnsi="宋体" w:cs="宋体"/>
                <w:color w:val="auto"/>
                <w:sz w:val="28"/>
                <w:szCs w:val="21"/>
                <w:highlight w:val="none"/>
              </w:rPr>
            </w:pPr>
          </w:p>
          <w:p w14:paraId="199B2DC6">
            <w:pPr>
              <w:rPr>
                <w:rFonts w:hint="eastAsia" w:ascii="宋体" w:hAnsi="宋体" w:cs="宋体"/>
                <w:color w:val="auto"/>
                <w:sz w:val="28"/>
                <w:szCs w:val="21"/>
                <w:highlight w:val="none"/>
              </w:rPr>
            </w:pPr>
          </w:p>
          <w:p w14:paraId="038719DB">
            <w:pPr>
              <w:rPr>
                <w:rFonts w:hint="eastAsia" w:ascii="宋体" w:hAnsi="宋体" w:cs="宋体"/>
                <w:color w:val="auto"/>
                <w:sz w:val="28"/>
                <w:szCs w:val="21"/>
                <w:highlight w:val="none"/>
              </w:rPr>
            </w:pPr>
          </w:p>
          <w:p w14:paraId="549C7F67">
            <w:pPr>
              <w:rPr>
                <w:rFonts w:hint="eastAsia" w:ascii="宋体" w:hAnsi="宋体" w:cs="宋体"/>
                <w:color w:val="auto"/>
                <w:sz w:val="28"/>
                <w:szCs w:val="21"/>
                <w:highlight w:val="none"/>
              </w:rPr>
            </w:pPr>
          </w:p>
          <w:p w14:paraId="4C09E5BA">
            <w:pPr>
              <w:rPr>
                <w:rFonts w:hint="eastAsia" w:ascii="宋体" w:hAnsi="宋体" w:cs="宋体"/>
                <w:color w:val="auto"/>
                <w:sz w:val="28"/>
                <w:szCs w:val="21"/>
                <w:highlight w:val="none"/>
              </w:rPr>
            </w:pPr>
            <w:r>
              <w:rPr>
                <w:rFonts w:hint="eastAsia" w:ascii="宋体" w:hAnsi="宋体" w:cs="宋体"/>
                <w:color w:val="auto"/>
                <w:sz w:val="28"/>
                <w:szCs w:val="21"/>
                <w:highlight w:val="none"/>
              </w:rPr>
              <w:t>中新广州知识城财政投资建设项目管理中心审批意见</w:t>
            </w:r>
          </w:p>
        </w:tc>
        <w:tc>
          <w:tcPr>
            <w:tcW w:w="5040" w:type="dxa"/>
          </w:tcPr>
          <w:p w14:paraId="3D5151D8">
            <w:pPr>
              <w:rPr>
                <w:rFonts w:hint="eastAsia" w:ascii="宋体" w:hAnsi="宋体" w:cs="宋体"/>
                <w:color w:val="auto"/>
                <w:sz w:val="28"/>
                <w:szCs w:val="21"/>
                <w:highlight w:val="none"/>
              </w:rPr>
            </w:pPr>
          </w:p>
          <w:p w14:paraId="6892E358">
            <w:pPr>
              <w:rPr>
                <w:rFonts w:hint="eastAsia" w:ascii="宋体" w:hAnsi="宋体" w:cs="宋体"/>
                <w:color w:val="auto"/>
                <w:sz w:val="28"/>
                <w:szCs w:val="21"/>
                <w:highlight w:val="none"/>
              </w:rPr>
            </w:pPr>
          </w:p>
          <w:p w14:paraId="49122391">
            <w:pPr>
              <w:rPr>
                <w:rFonts w:hint="eastAsia" w:ascii="宋体" w:hAnsi="宋体" w:cs="宋体"/>
                <w:color w:val="auto"/>
                <w:sz w:val="28"/>
                <w:szCs w:val="21"/>
                <w:highlight w:val="none"/>
              </w:rPr>
            </w:pPr>
          </w:p>
          <w:p w14:paraId="62DFB8FD">
            <w:pPr>
              <w:rPr>
                <w:rFonts w:hint="eastAsia" w:ascii="宋体" w:hAnsi="宋体" w:cs="宋体"/>
                <w:color w:val="auto"/>
                <w:sz w:val="28"/>
                <w:szCs w:val="21"/>
                <w:highlight w:val="none"/>
              </w:rPr>
            </w:pPr>
          </w:p>
          <w:p w14:paraId="2A818B9D">
            <w:pPr>
              <w:rPr>
                <w:rFonts w:hint="eastAsia" w:ascii="宋体" w:hAnsi="宋体" w:cs="宋体"/>
                <w:color w:val="auto"/>
                <w:sz w:val="28"/>
                <w:szCs w:val="21"/>
                <w:highlight w:val="none"/>
              </w:rPr>
            </w:pPr>
          </w:p>
          <w:p w14:paraId="70E16AE4">
            <w:pPr>
              <w:jc w:val="center"/>
              <w:rPr>
                <w:rFonts w:hint="eastAsia" w:ascii="宋体" w:hAnsi="宋体" w:cs="宋体"/>
                <w:color w:val="auto"/>
                <w:sz w:val="28"/>
                <w:szCs w:val="21"/>
                <w:highlight w:val="none"/>
              </w:rPr>
            </w:pPr>
            <w:r>
              <w:rPr>
                <w:rFonts w:hint="eastAsia" w:ascii="宋体" w:hAnsi="宋体" w:cs="宋体"/>
                <w:color w:val="auto"/>
                <w:sz w:val="28"/>
                <w:szCs w:val="21"/>
                <w:highlight w:val="none"/>
              </w:rPr>
              <w:t>(公章)：</w:t>
            </w:r>
          </w:p>
        </w:tc>
      </w:tr>
      <w:tr w14:paraId="2436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3888" w:type="dxa"/>
            <w:vMerge w:val="continue"/>
          </w:tcPr>
          <w:p w14:paraId="77F13685">
            <w:pPr>
              <w:rPr>
                <w:rFonts w:hint="eastAsia" w:ascii="宋体" w:hAnsi="宋体" w:cs="宋体"/>
                <w:color w:val="auto"/>
                <w:sz w:val="28"/>
                <w:szCs w:val="21"/>
                <w:highlight w:val="none"/>
              </w:rPr>
            </w:pPr>
          </w:p>
        </w:tc>
        <w:tc>
          <w:tcPr>
            <w:tcW w:w="5040" w:type="dxa"/>
          </w:tcPr>
          <w:p w14:paraId="62714927">
            <w:pPr>
              <w:rPr>
                <w:rFonts w:hint="eastAsia" w:ascii="宋体" w:hAnsi="宋体" w:cs="宋体"/>
                <w:color w:val="auto"/>
                <w:sz w:val="28"/>
                <w:szCs w:val="21"/>
                <w:highlight w:val="none"/>
              </w:rPr>
            </w:pPr>
          </w:p>
          <w:p w14:paraId="3763591A">
            <w:pPr>
              <w:rPr>
                <w:rFonts w:hint="eastAsia" w:ascii="宋体" w:hAnsi="宋体" w:cs="宋体"/>
                <w:color w:val="auto"/>
                <w:sz w:val="28"/>
                <w:szCs w:val="21"/>
                <w:highlight w:val="none"/>
              </w:rPr>
            </w:pPr>
            <w:r>
              <w:rPr>
                <w:rFonts w:hint="eastAsia" w:ascii="宋体" w:hAnsi="宋体" w:cs="宋体"/>
                <w:color w:val="auto"/>
                <w:sz w:val="28"/>
                <w:szCs w:val="21"/>
                <w:highlight w:val="none"/>
              </w:rPr>
              <w:t xml:space="preserve">经办人： </w:t>
            </w:r>
          </w:p>
          <w:p w14:paraId="133AD704">
            <w:pPr>
              <w:rPr>
                <w:rFonts w:hint="eastAsia" w:ascii="宋体" w:hAnsi="宋体" w:cs="宋体"/>
                <w:color w:val="auto"/>
                <w:sz w:val="28"/>
                <w:szCs w:val="21"/>
                <w:highlight w:val="none"/>
              </w:rPr>
            </w:pPr>
          </w:p>
          <w:p w14:paraId="4F308455">
            <w:pPr>
              <w:rPr>
                <w:rFonts w:hint="eastAsia" w:ascii="宋体" w:hAnsi="宋体" w:cs="宋体"/>
                <w:color w:val="auto"/>
                <w:sz w:val="28"/>
                <w:szCs w:val="21"/>
                <w:highlight w:val="none"/>
              </w:rPr>
            </w:pPr>
            <w:r>
              <w:rPr>
                <w:rFonts w:hint="eastAsia" w:ascii="宋体" w:hAnsi="宋体" w:cs="宋体"/>
                <w:color w:val="auto"/>
                <w:sz w:val="28"/>
                <w:szCs w:val="21"/>
                <w:highlight w:val="none"/>
              </w:rPr>
              <w:t>(联系电话及手机号码：)</w:t>
            </w:r>
          </w:p>
          <w:p w14:paraId="76BA8E2A">
            <w:pPr>
              <w:rPr>
                <w:rFonts w:hint="eastAsia" w:ascii="宋体" w:hAnsi="宋体" w:cs="宋体"/>
                <w:color w:val="auto"/>
                <w:sz w:val="28"/>
                <w:szCs w:val="21"/>
                <w:highlight w:val="none"/>
              </w:rPr>
            </w:pPr>
          </w:p>
          <w:p w14:paraId="0B031BAE">
            <w:pPr>
              <w:rPr>
                <w:rFonts w:hint="eastAsia" w:ascii="宋体" w:hAnsi="宋体" w:cs="宋体"/>
                <w:color w:val="auto"/>
                <w:sz w:val="28"/>
                <w:szCs w:val="21"/>
                <w:highlight w:val="none"/>
              </w:rPr>
            </w:pPr>
          </w:p>
          <w:p w14:paraId="38112FF6">
            <w:pPr>
              <w:rPr>
                <w:rFonts w:hint="eastAsia" w:ascii="宋体" w:hAnsi="宋体" w:cs="宋体"/>
                <w:color w:val="auto"/>
                <w:sz w:val="28"/>
                <w:szCs w:val="21"/>
                <w:highlight w:val="none"/>
              </w:rPr>
            </w:pPr>
          </w:p>
          <w:p w14:paraId="11390290">
            <w:pPr>
              <w:rPr>
                <w:rFonts w:hint="eastAsia" w:ascii="宋体" w:hAnsi="宋体" w:cs="宋体"/>
                <w:color w:val="auto"/>
                <w:sz w:val="28"/>
                <w:szCs w:val="21"/>
                <w:highlight w:val="none"/>
              </w:rPr>
            </w:pPr>
            <w:r>
              <w:rPr>
                <w:rFonts w:hint="eastAsia" w:ascii="宋体" w:hAnsi="宋体" w:cs="宋体"/>
                <w:color w:val="auto"/>
                <w:sz w:val="28"/>
                <w:szCs w:val="21"/>
                <w:highlight w:val="none"/>
              </w:rPr>
              <w:t>负责人：</w:t>
            </w:r>
          </w:p>
          <w:p w14:paraId="4D7A3DD6">
            <w:pPr>
              <w:rPr>
                <w:rFonts w:hint="eastAsia" w:ascii="宋体" w:hAnsi="宋体" w:cs="宋体"/>
                <w:color w:val="auto"/>
                <w:sz w:val="28"/>
                <w:szCs w:val="21"/>
                <w:highlight w:val="none"/>
              </w:rPr>
            </w:pPr>
          </w:p>
        </w:tc>
      </w:tr>
      <w:tr w14:paraId="04F2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8" w:type="dxa"/>
          </w:tcPr>
          <w:p w14:paraId="5BC4C9AE">
            <w:pPr>
              <w:rPr>
                <w:rFonts w:hint="eastAsia" w:ascii="宋体" w:hAnsi="宋体" w:cs="宋体"/>
                <w:color w:val="auto"/>
                <w:sz w:val="28"/>
                <w:szCs w:val="21"/>
                <w:highlight w:val="none"/>
              </w:rPr>
            </w:pPr>
            <w:r>
              <w:rPr>
                <w:rFonts w:hint="eastAsia" w:ascii="宋体" w:hAnsi="宋体" w:cs="宋体"/>
                <w:color w:val="auto"/>
                <w:sz w:val="28"/>
                <w:szCs w:val="21"/>
                <w:highlight w:val="none"/>
              </w:rPr>
              <w:t>开户银行审批意见</w:t>
            </w:r>
          </w:p>
        </w:tc>
        <w:tc>
          <w:tcPr>
            <w:tcW w:w="5040" w:type="dxa"/>
          </w:tcPr>
          <w:p w14:paraId="6B487CF7">
            <w:pPr>
              <w:rPr>
                <w:rFonts w:hint="eastAsia" w:ascii="宋体" w:hAnsi="宋体" w:cs="宋体"/>
                <w:color w:val="auto"/>
                <w:sz w:val="28"/>
                <w:szCs w:val="21"/>
                <w:highlight w:val="none"/>
              </w:rPr>
            </w:pPr>
          </w:p>
          <w:p w14:paraId="6C0CE0F4">
            <w:pPr>
              <w:rPr>
                <w:rFonts w:hint="eastAsia" w:ascii="宋体" w:hAnsi="宋体" w:cs="宋体"/>
                <w:color w:val="auto"/>
                <w:sz w:val="28"/>
                <w:szCs w:val="21"/>
                <w:highlight w:val="none"/>
              </w:rPr>
            </w:pPr>
            <w:r>
              <w:rPr>
                <w:rFonts w:hint="eastAsia" w:ascii="宋体" w:hAnsi="宋体" w:cs="宋体"/>
                <w:color w:val="auto"/>
                <w:sz w:val="28"/>
                <w:szCs w:val="21"/>
                <w:highlight w:val="none"/>
              </w:rPr>
              <w:t xml:space="preserve">经办人： </w:t>
            </w:r>
          </w:p>
          <w:p w14:paraId="170DB1A4">
            <w:pPr>
              <w:rPr>
                <w:rFonts w:hint="eastAsia" w:ascii="宋体" w:hAnsi="宋体" w:cs="宋体"/>
                <w:color w:val="auto"/>
                <w:sz w:val="28"/>
                <w:szCs w:val="21"/>
                <w:highlight w:val="none"/>
              </w:rPr>
            </w:pPr>
          </w:p>
          <w:p w14:paraId="0C42DD5F">
            <w:pPr>
              <w:rPr>
                <w:rFonts w:hint="eastAsia" w:ascii="宋体" w:hAnsi="宋体" w:cs="宋体"/>
                <w:color w:val="auto"/>
                <w:sz w:val="28"/>
                <w:szCs w:val="21"/>
                <w:highlight w:val="none"/>
              </w:rPr>
            </w:pPr>
          </w:p>
          <w:p w14:paraId="3D5FF172">
            <w:pPr>
              <w:rPr>
                <w:rFonts w:hint="eastAsia" w:ascii="宋体" w:hAnsi="宋体" w:cs="宋体"/>
                <w:color w:val="auto"/>
                <w:sz w:val="28"/>
                <w:szCs w:val="21"/>
                <w:highlight w:val="none"/>
              </w:rPr>
            </w:pPr>
            <w:r>
              <w:rPr>
                <w:rFonts w:hint="eastAsia" w:ascii="宋体" w:hAnsi="宋体" w:cs="宋体"/>
                <w:color w:val="auto"/>
                <w:sz w:val="28"/>
                <w:szCs w:val="21"/>
                <w:highlight w:val="none"/>
              </w:rPr>
              <w:t>负责人：</w:t>
            </w:r>
          </w:p>
        </w:tc>
      </w:tr>
    </w:tbl>
    <w:p w14:paraId="5EECBE7F">
      <w:pPr>
        <w:rPr>
          <w:rFonts w:hint="eastAsia" w:ascii="宋体" w:hAnsi="宋体" w:cs="宋体"/>
          <w:color w:val="auto"/>
          <w:szCs w:val="21"/>
          <w:highlight w:val="none"/>
        </w:rPr>
      </w:pPr>
    </w:p>
    <w:p w14:paraId="08738F1E">
      <w:pPr>
        <w:ind w:left="1136" w:hanging="1132" w:hangingChars="539"/>
        <w:rPr>
          <w:rFonts w:hint="eastAsia" w:ascii="宋体" w:hAnsi="宋体" w:cs="宋体"/>
          <w:b/>
          <w:snapToGrid w:val="0"/>
          <w:color w:val="auto"/>
          <w:szCs w:val="21"/>
          <w:highlight w:val="none"/>
        </w:rPr>
      </w:pPr>
      <w:r>
        <w:rPr>
          <w:rFonts w:hint="eastAsia" w:ascii="宋体" w:hAnsi="宋体" w:cs="宋体"/>
          <w:b/>
          <w:snapToGrid w:val="0"/>
          <w:color w:val="auto"/>
          <w:szCs w:val="21"/>
          <w:highlight w:val="none"/>
        </w:rPr>
        <w:t>备注： 1、本表适用甲方、乙方，一式六份。</w:t>
      </w:r>
    </w:p>
    <w:p w14:paraId="45DE1BE5">
      <w:pPr>
        <w:rPr>
          <w:rFonts w:hint="eastAsia" w:ascii="宋体" w:hAnsi="宋体" w:cs="宋体"/>
          <w:color w:val="auto"/>
          <w:highlight w:val="none"/>
        </w:rPr>
      </w:pPr>
    </w:p>
    <w:p w14:paraId="60F807E4">
      <w:pPr>
        <w:rPr>
          <w:rFonts w:hint="eastAsia" w:ascii="宋体" w:hAnsi="宋体" w:cs="宋体"/>
          <w:color w:val="auto"/>
          <w:highlight w:val="none"/>
        </w:rPr>
      </w:pPr>
    </w:p>
    <w:p w14:paraId="501BE824">
      <w:pPr>
        <w:rPr>
          <w:rFonts w:hint="eastAsia" w:ascii="宋体" w:hAnsi="宋体" w:cs="宋体"/>
          <w:color w:val="auto"/>
          <w:highlight w:val="none"/>
        </w:rPr>
      </w:pPr>
      <w:r>
        <w:rPr>
          <w:rFonts w:hint="eastAsia" w:ascii="宋体" w:hAnsi="宋体" w:cs="宋体"/>
          <w:color w:val="auto"/>
          <w:szCs w:val="21"/>
          <w:highlight w:val="none"/>
        </w:rPr>
        <w:br w:type="page"/>
      </w:r>
      <w:r>
        <w:rPr>
          <w:rFonts w:hint="eastAsia" w:ascii="宋体" w:hAnsi="宋体" w:cs="宋体"/>
          <w:color w:val="auto"/>
          <w:highlight w:val="none"/>
        </w:rPr>
        <w:t>附件四：</w:t>
      </w:r>
    </w:p>
    <w:p w14:paraId="7CB251BE">
      <w:pPr>
        <w:jc w:val="center"/>
        <w:rPr>
          <w:rFonts w:hint="eastAsia" w:ascii="宋体" w:hAnsi="宋体" w:cs="宋体"/>
          <w:color w:val="auto"/>
          <w:highlight w:val="none"/>
        </w:rPr>
      </w:pPr>
      <w:r>
        <w:rPr>
          <w:rFonts w:hint="eastAsia" w:ascii="宋体" w:hAnsi="宋体" w:cs="宋体"/>
          <w:color w:val="auto"/>
          <w:highlight w:val="none"/>
        </w:rPr>
        <w:t>项目资金支付审批流程概览</w:t>
      </w:r>
    </w:p>
    <w:p w14:paraId="2AEF1FAA">
      <w:pPr>
        <w:rPr>
          <w:rFonts w:hint="eastAsia" w:ascii="宋体" w:hAnsi="宋体" w:cs="宋体"/>
          <w:color w:val="auto"/>
          <w:szCs w:val="21"/>
          <w:highlight w:val="none"/>
        </w:rPr>
      </w:pPr>
    </w:p>
    <w:p w14:paraId="45C26229">
      <w:pPr>
        <w:rPr>
          <w:rFonts w:hint="eastAsia" w:ascii="宋体" w:hAnsi="宋体" w:cs="宋体"/>
          <w:color w:val="auto"/>
          <w:szCs w:val="21"/>
          <w:highlight w:val="none"/>
        </w:rPr>
        <w:sectPr>
          <w:pgSz w:w="16840" w:h="11907" w:orient="landscape"/>
          <w:pgMar w:top="1418" w:right="1134" w:bottom="1418" w:left="1134" w:header="851" w:footer="992" w:gutter="0"/>
          <w:cols w:space="720" w:num="1"/>
          <w:docGrid w:linePitch="312" w:charSpace="0"/>
        </w:sectPr>
      </w:pPr>
      <w:r>
        <w:rPr>
          <w:rFonts w:ascii="宋体" w:hAnsi="宋体" w:cs="宋体"/>
          <w:color w:val="auto"/>
          <w:sz w:val="24"/>
          <w:szCs w:val="24"/>
          <w:highlight w:val="none"/>
        </w:rPr>
        <mc:AlternateContent>
          <mc:Choice Requires="wpc">
            <w:drawing>
              <wp:anchor distT="0" distB="0" distL="114300" distR="114300" simplePos="0" relativeHeight="251667456" behindDoc="1" locked="0" layoutInCell="1" allowOverlap="1">
                <wp:simplePos x="0" y="0"/>
                <wp:positionH relativeFrom="column">
                  <wp:posOffset>-71755</wp:posOffset>
                </wp:positionH>
                <wp:positionV relativeFrom="paragraph">
                  <wp:posOffset>40005</wp:posOffset>
                </wp:positionV>
                <wp:extent cx="5875020" cy="8035290"/>
                <wp:effectExtent l="0" t="0" r="0" b="0"/>
                <wp:wrapNone/>
                <wp:docPr id="10" name="画布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文本框 5"/>
                        <wps:cNvSpPr txBox="1">
                          <a:spLocks noChangeArrowheads="1"/>
                        </wps:cNvSpPr>
                        <wps:spPr bwMode="auto">
                          <a:xfrm>
                            <a:off x="3086100" y="495300"/>
                            <a:ext cx="1257300" cy="826770"/>
                          </a:xfrm>
                          <a:prstGeom prst="rect">
                            <a:avLst/>
                          </a:prstGeom>
                          <a:solidFill>
                            <a:srgbClr val="FFFFFF"/>
                          </a:solidFill>
                          <a:ln w="9525">
                            <a:solidFill>
                              <a:srgbClr val="000000"/>
                            </a:solidFill>
                            <a:miter lim="800000"/>
                          </a:ln>
                          <a:effectLst/>
                        </wps:spPr>
                        <wps:txbx>
                          <w:txbxContent>
                            <w:p w14:paraId="659D9DEC">
                              <w:pPr>
                                <w:rPr>
                                  <w:rFonts w:ascii="宋体" w:hAnsi="宋体"/>
                                  <w:sz w:val="24"/>
                                  <w:szCs w:val="24"/>
                                </w:rPr>
                              </w:pPr>
                              <w:r>
                                <w:rPr>
                                  <w:rFonts w:hint="eastAsia" w:ascii="宋体" w:hAnsi="宋体"/>
                                  <w:sz w:val="24"/>
                                  <w:szCs w:val="24"/>
                                </w:rPr>
                                <w:t>呈交每期资金使用计划</w:t>
                              </w:r>
                            </w:p>
                          </w:txbxContent>
                        </wps:txbx>
                        <wps:bodyPr rot="0" vert="horz" wrap="square" lIns="91440" tIns="45720" rIns="91440" bIns="45720" anchor="t" anchorCtr="0" upright="1">
                          <a:noAutofit/>
                        </wps:bodyPr>
                      </wps:wsp>
                      <wps:wsp>
                        <wps:cNvPr id="12" name="文本框 6"/>
                        <wps:cNvSpPr txBox="1">
                          <a:spLocks noChangeArrowheads="1"/>
                        </wps:cNvSpPr>
                        <wps:spPr bwMode="auto">
                          <a:xfrm>
                            <a:off x="800100" y="495300"/>
                            <a:ext cx="1028700" cy="396240"/>
                          </a:xfrm>
                          <a:prstGeom prst="rect">
                            <a:avLst/>
                          </a:prstGeom>
                          <a:solidFill>
                            <a:srgbClr val="FFFFFF"/>
                          </a:solidFill>
                          <a:ln w="9525">
                            <a:solidFill>
                              <a:srgbClr val="000000"/>
                            </a:solidFill>
                            <a:miter lim="800000"/>
                          </a:ln>
                          <a:effectLst/>
                        </wps:spPr>
                        <wps:txbx>
                          <w:txbxContent>
                            <w:p w14:paraId="1C26A217">
                              <w:pPr>
                                <w:jc w:val="center"/>
                                <w:rPr>
                                  <w:rFonts w:ascii="宋体" w:hAnsi="宋体"/>
                                  <w:sz w:val="24"/>
                                  <w:szCs w:val="24"/>
                                </w:rPr>
                              </w:pPr>
                              <w:r>
                                <w:rPr>
                                  <w:rFonts w:hint="eastAsia" w:ascii="宋体" w:hAnsi="宋体"/>
                                  <w:sz w:val="24"/>
                                  <w:szCs w:val="24"/>
                                </w:rPr>
                                <w:t>施工单位</w:t>
                              </w:r>
                            </w:p>
                          </w:txbxContent>
                        </wps:txbx>
                        <wps:bodyPr rot="0" vert="horz" wrap="square" lIns="91440" tIns="72000" rIns="91440" bIns="45720" anchor="t" anchorCtr="0" upright="1">
                          <a:noAutofit/>
                        </wps:bodyPr>
                      </wps:wsp>
                      <wps:wsp>
                        <wps:cNvPr id="13" name="直接连接符 1"/>
                        <wps:cNvCnPr/>
                        <wps:spPr bwMode="auto">
                          <a:xfrm>
                            <a:off x="1257300" y="891540"/>
                            <a:ext cx="635" cy="693420"/>
                          </a:xfrm>
                          <a:prstGeom prst="line">
                            <a:avLst/>
                          </a:prstGeom>
                          <a:noFill/>
                          <a:ln w="9525">
                            <a:solidFill>
                              <a:srgbClr val="000000"/>
                            </a:solidFill>
                            <a:round/>
                            <a:tailEnd type="triangle" w="med" len="med"/>
                          </a:ln>
                          <a:effectLst/>
                        </wps:spPr>
                        <wps:bodyPr/>
                      </wps:wsp>
                      <wps:wsp>
                        <wps:cNvPr id="14" name="文本框 8"/>
                        <wps:cNvSpPr txBox="1">
                          <a:spLocks noChangeArrowheads="1"/>
                        </wps:cNvSpPr>
                        <wps:spPr bwMode="auto">
                          <a:xfrm>
                            <a:off x="685800" y="1584960"/>
                            <a:ext cx="1028700" cy="396240"/>
                          </a:xfrm>
                          <a:prstGeom prst="rect">
                            <a:avLst/>
                          </a:prstGeom>
                          <a:solidFill>
                            <a:srgbClr val="FFFFFF"/>
                          </a:solidFill>
                          <a:ln w="9525">
                            <a:solidFill>
                              <a:srgbClr val="000000"/>
                            </a:solidFill>
                            <a:miter lim="800000"/>
                          </a:ln>
                          <a:effectLst/>
                        </wps:spPr>
                        <wps:txbx>
                          <w:txbxContent>
                            <w:p w14:paraId="58519A55">
                              <w:pPr>
                                <w:jc w:val="center"/>
                                <w:rPr>
                                  <w:rFonts w:ascii="宋体" w:hAnsi="宋体"/>
                                  <w:sz w:val="24"/>
                                  <w:szCs w:val="24"/>
                                </w:rPr>
                              </w:pPr>
                              <w:r>
                                <w:rPr>
                                  <w:rFonts w:hint="eastAsia" w:ascii="宋体" w:hAnsi="宋体"/>
                                  <w:sz w:val="24"/>
                                  <w:szCs w:val="24"/>
                                </w:rPr>
                                <w:t>监理单位</w:t>
                              </w:r>
                            </w:p>
                          </w:txbxContent>
                        </wps:txbx>
                        <wps:bodyPr rot="0" vert="horz" wrap="square" lIns="91440" tIns="72000" rIns="91440" bIns="45720" anchor="t" anchorCtr="0" upright="1">
                          <a:noAutofit/>
                        </wps:bodyPr>
                      </wps:wsp>
                      <wps:wsp>
                        <wps:cNvPr id="15" name="文本框 9"/>
                        <wps:cNvSpPr txBox="1">
                          <a:spLocks noChangeArrowheads="1"/>
                        </wps:cNvSpPr>
                        <wps:spPr bwMode="auto">
                          <a:xfrm>
                            <a:off x="461645" y="2872740"/>
                            <a:ext cx="1481455" cy="513080"/>
                          </a:xfrm>
                          <a:prstGeom prst="rect">
                            <a:avLst/>
                          </a:prstGeom>
                          <a:solidFill>
                            <a:srgbClr val="FFFFFF"/>
                          </a:solidFill>
                          <a:ln w="9525">
                            <a:solidFill>
                              <a:srgbClr val="000000"/>
                            </a:solidFill>
                            <a:miter lim="800000"/>
                          </a:ln>
                          <a:effectLst/>
                        </wps:spPr>
                        <wps:txbx>
                          <w:txbxContent>
                            <w:p w14:paraId="48885697">
                              <w:pPr>
                                <w:jc w:val="center"/>
                                <w:rPr>
                                  <w:rFonts w:ascii="宋体" w:hAnsi="宋体"/>
                                  <w:sz w:val="24"/>
                                  <w:szCs w:val="24"/>
                                </w:rPr>
                              </w:pPr>
                              <w:r>
                                <w:rPr>
                                  <w:rFonts w:hint="eastAsia" w:ascii="宋体" w:hAnsi="宋体"/>
                                  <w:sz w:val="24"/>
                                  <w:szCs w:val="24"/>
                                </w:rPr>
                                <w:t>代建单位（若有时）</w:t>
                              </w:r>
                            </w:p>
                            <w:p w14:paraId="0923453E">
                              <w:pPr>
                                <w:rPr>
                                  <w:rFonts w:ascii="宋体" w:hAnsi="宋体"/>
                                  <w:sz w:val="24"/>
                                  <w:szCs w:val="24"/>
                                </w:rPr>
                              </w:pPr>
                            </w:p>
                          </w:txbxContent>
                        </wps:txbx>
                        <wps:bodyPr rot="0" vert="horz" wrap="square" lIns="91440" tIns="72000" rIns="91440" bIns="45720" anchor="t" anchorCtr="0" upright="1">
                          <a:noAutofit/>
                        </wps:bodyPr>
                      </wps:wsp>
                      <wps:wsp>
                        <wps:cNvPr id="16" name="直接连接符 10"/>
                        <wps:cNvCnPr/>
                        <wps:spPr bwMode="auto">
                          <a:xfrm>
                            <a:off x="1257300" y="3268980"/>
                            <a:ext cx="635" cy="693420"/>
                          </a:xfrm>
                          <a:prstGeom prst="line">
                            <a:avLst/>
                          </a:prstGeom>
                          <a:noFill/>
                          <a:ln w="9525">
                            <a:solidFill>
                              <a:srgbClr val="000000"/>
                            </a:solidFill>
                            <a:round/>
                            <a:tailEnd type="triangle" w="med" len="med"/>
                          </a:ln>
                          <a:effectLst/>
                        </wps:spPr>
                        <wps:bodyPr/>
                      </wps:wsp>
                      <wps:wsp>
                        <wps:cNvPr id="17" name="直接连接符 2"/>
                        <wps:cNvCnPr/>
                        <wps:spPr bwMode="auto">
                          <a:xfrm flipH="1">
                            <a:off x="1257300" y="1981200"/>
                            <a:ext cx="635" cy="891540"/>
                          </a:xfrm>
                          <a:prstGeom prst="line">
                            <a:avLst/>
                          </a:prstGeom>
                          <a:noFill/>
                          <a:ln w="9525">
                            <a:solidFill>
                              <a:srgbClr val="000000"/>
                            </a:solidFill>
                            <a:round/>
                            <a:tailEnd type="triangle" w="med" len="med"/>
                          </a:ln>
                          <a:effectLst/>
                        </wps:spPr>
                        <wps:bodyPr/>
                      </wps:wsp>
                      <wps:wsp>
                        <wps:cNvPr id="18" name="直接连接符 3"/>
                        <wps:cNvCnPr/>
                        <wps:spPr bwMode="auto">
                          <a:xfrm>
                            <a:off x="1714500" y="1882140"/>
                            <a:ext cx="1074420" cy="635"/>
                          </a:xfrm>
                          <a:prstGeom prst="line">
                            <a:avLst/>
                          </a:prstGeom>
                          <a:noFill/>
                          <a:ln w="9525">
                            <a:solidFill>
                              <a:srgbClr val="000000"/>
                            </a:solidFill>
                            <a:round/>
                            <a:tailEnd type="triangle" w="med" len="med"/>
                          </a:ln>
                          <a:effectLst/>
                        </wps:spPr>
                        <wps:bodyPr/>
                      </wps:wsp>
                      <wps:wsp>
                        <wps:cNvPr id="19" name="直接连接符 4"/>
                        <wps:cNvCnPr/>
                        <wps:spPr bwMode="auto">
                          <a:xfrm>
                            <a:off x="1714500" y="693420"/>
                            <a:ext cx="1371600" cy="635"/>
                          </a:xfrm>
                          <a:prstGeom prst="line">
                            <a:avLst/>
                          </a:prstGeom>
                          <a:noFill/>
                          <a:ln w="9525">
                            <a:solidFill>
                              <a:srgbClr val="000000"/>
                            </a:solidFill>
                            <a:round/>
                            <a:tailEnd type="triangle" w="med" len="med"/>
                          </a:ln>
                          <a:effectLst/>
                        </wps:spPr>
                        <wps:bodyPr/>
                      </wps:wsp>
                      <wps:wsp>
                        <wps:cNvPr id="20" name="文本框 16"/>
                        <wps:cNvSpPr txBox="1">
                          <a:spLocks noChangeArrowheads="1"/>
                        </wps:cNvSpPr>
                        <wps:spPr bwMode="auto">
                          <a:xfrm>
                            <a:off x="2788920" y="1684020"/>
                            <a:ext cx="1501775" cy="828040"/>
                          </a:xfrm>
                          <a:prstGeom prst="rect">
                            <a:avLst/>
                          </a:prstGeom>
                          <a:solidFill>
                            <a:srgbClr val="FFFFFF"/>
                          </a:solidFill>
                          <a:ln w="9525">
                            <a:solidFill>
                              <a:srgbClr val="000000"/>
                            </a:solidFill>
                            <a:miter lim="800000"/>
                          </a:ln>
                          <a:effectLst/>
                        </wps:spPr>
                        <wps:txbx>
                          <w:txbxContent>
                            <w:p w14:paraId="08968EC7">
                              <w:pPr>
                                <w:rPr>
                                  <w:rFonts w:ascii="宋体" w:hAnsi="宋体"/>
                                  <w:sz w:val="24"/>
                                  <w:szCs w:val="24"/>
                                </w:rPr>
                              </w:pPr>
                              <w:r>
                                <w:rPr>
                                  <w:rFonts w:hint="eastAsia" w:ascii="宋体" w:hAnsi="宋体"/>
                                  <w:sz w:val="24"/>
                                  <w:szCs w:val="24"/>
                                </w:rPr>
                                <w:t>按照工程进度对资金使用计划初审</w:t>
                              </w:r>
                            </w:p>
                            <w:p w14:paraId="3A5F1D43">
                              <w:pPr>
                                <w:rPr>
                                  <w:rFonts w:ascii="宋体" w:hAnsi="宋体"/>
                                  <w:sz w:val="24"/>
                                  <w:szCs w:val="24"/>
                                </w:rPr>
                              </w:pPr>
                            </w:p>
                            <w:p w14:paraId="25A9F990">
                              <w:pPr>
                                <w:rPr>
                                  <w:rFonts w:ascii="宋体" w:hAnsi="宋体"/>
                                  <w:sz w:val="24"/>
                                  <w:szCs w:val="24"/>
                                </w:rPr>
                              </w:pPr>
                            </w:p>
                          </w:txbxContent>
                        </wps:txbx>
                        <wps:bodyPr rot="0" vert="horz" wrap="square" lIns="91440" tIns="45720" rIns="91440" bIns="45720" anchor="t" anchorCtr="0" upright="1">
                          <a:noAutofit/>
                        </wps:bodyPr>
                      </wps:wsp>
                      <wps:wsp>
                        <wps:cNvPr id="21" name="文本框 17"/>
                        <wps:cNvSpPr txBox="1">
                          <a:spLocks noChangeArrowheads="1"/>
                        </wps:cNvSpPr>
                        <wps:spPr bwMode="auto">
                          <a:xfrm>
                            <a:off x="571500" y="3962400"/>
                            <a:ext cx="1371600" cy="396240"/>
                          </a:xfrm>
                          <a:prstGeom prst="rect">
                            <a:avLst/>
                          </a:prstGeom>
                          <a:solidFill>
                            <a:srgbClr val="FFFFFF"/>
                          </a:solidFill>
                          <a:ln w="9525">
                            <a:solidFill>
                              <a:srgbClr val="000000"/>
                            </a:solidFill>
                            <a:miter lim="800000"/>
                          </a:ln>
                          <a:effectLst/>
                        </wps:spPr>
                        <wps:txbx>
                          <w:txbxContent>
                            <w:p w14:paraId="6B1FF8DB">
                              <w:pPr>
                                <w:jc w:val="center"/>
                                <w:rPr>
                                  <w:rFonts w:ascii="宋体" w:hAnsi="宋体"/>
                                  <w:sz w:val="24"/>
                                  <w:szCs w:val="24"/>
                                </w:rPr>
                              </w:pPr>
                              <w:r>
                                <w:rPr>
                                  <w:rFonts w:hint="eastAsia" w:ascii="宋体" w:hAnsi="宋体"/>
                                  <w:sz w:val="24"/>
                                  <w:szCs w:val="24"/>
                                </w:rPr>
                                <w:t>建管中心</w:t>
                              </w:r>
                            </w:p>
                          </w:txbxContent>
                        </wps:txbx>
                        <wps:bodyPr rot="0" vert="horz" wrap="square" lIns="91440" tIns="72000" rIns="91440" bIns="45720" anchor="t" anchorCtr="0" upright="1">
                          <a:noAutofit/>
                        </wps:bodyPr>
                      </wps:wsp>
                      <wps:wsp>
                        <wps:cNvPr id="22" name="直接连接符 18"/>
                        <wps:cNvCnPr/>
                        <wps:spPr bwMode="auto">
                          <a:xfrm>
                            <a:off x="1257300" y="4358640"/>
                            <a:ext cx="635" cy="891540"/>
                          </a:xfrm>
                          <a:prstGeom prst="line">
                            <a:avLst/>
                          </a:prstGeom>
                          <a:noFill/>
                          <a:ln w="9525">
                            <a:solidFill>
                              <a:srgbClr val="000000"/>
                            </a:solidFill>
                            <a:round/>
                            <a:tailEnd type="triangle" w="med" len="med"/>
                          </a:ln>
                          <a:effectLst/>
                        </wps:spPr>
                        <wps:bodyPr/>
                      </wps:wsp>
                      <wps:wsp>
                        <wps:cNvPr id="23" name="直接连接符 19"/>
                        <wps:cNvCnPr/>
                        <wps:spPr bwMode="auto">
                          <a:xfrm>
                            <a:off x="1943100" y="3070860"/>
                            <a:ext cx="1371600" cy="635"/>
                          </a:xfrm>
                          <a:prstGeom prst="line">
                            <a:avLst/>
                          </a:prstGeom>
                          <a:noFill/>
                          <a:ln w="9525">
                            <a:solidFill>
                              <a:srgbClr val="000000"/>
                            </a:solidFill>
                            <a:round/>
                            <a:tailEnd type="triangle" w="med" len="med"/>
                          </a:ln>
                          <a:effectLst/>
                        </wps:spPr>
                        <wps:bodyPr/>
                      </wps:wsp>
                      <wps:wsp>
                        <wps:cNvPr id="24" name="直接连接符 20"/>
                        <wps:cNvCnPr/>
                        <wps:spPr bwMode="auto">
                          <a:xfrm>
                            <a:off x="1257300" y="4754880"/>
                            <a:ext cx="1257300" cy="635"/>
                          </a:xfrm>
                          <a:prstGeom prst="line">
                            <a:avLst/>
                          </a:prstGeom>
                          <a:noFill/>
                          <a:ln w="9525">
                            <a:solidFill>
                              <a:srgbClr val="000000"/>
                            </a:solidFill>
                            <a:round/>
                            <a:tailEnd type="triangle" w="med" len="med"/>
                          </a:ln>
                          <a:effectLst/>
                        </wps:spPr>
                        <wps:bodyPr/>
                      </wps:wsp>
                      <wps:wsp>
                        <wps:cNvPr id="25" name="文本框 21"/>
                        <wps:cNvSpPr txBox="1">
                          <a:spLocks noChangeArrowheads="1"/>
                        </wps:cNvSpPr>
                        <wps:spPr bwMode="auto">
                          <a:xfrm>
                            <a:off x="3314700" y="2872740"/>
                            <a:ext cx="1211580" cy="396240"/>
                          </a:xfrm>
                          <a:prstGeom prst="rect">
                            <a:avLst/>
                          </a:prstGeom>
                          <a:solidFill>
                            <a:srgbClr val="FFFFFF"/>
                          </a:solidFill>
                          <a:ln w="9525">
                            <a:solidFill>
                              <a:srgbClr val="000000"/>
                            </a:solidFill>
                            <a:miter lim="800000"/>
                          </a:ln>
                          <a:effectLst/>
                        </wps:spPr>
                        <wps:txbx>
                          <w:txbxContent>
                            <w:p w14:paraId="020CD987">
                              <w:pPr>
                                <w:jc w:val="center"/>
                                <w:rPr>
                                  <w:rFonts w:ascii="宋体" w:hAnsi="宋体"/>
                                  <w:sz w:val="24"/>
                                  <w:szCs w:val="24"/>
                                </w:rPr>
                              </w:pPr>
                              <w:r>
                                <w:rPr>
                                  <w:rFonts w:hint="eastAsia" w:ascii="宋体" w:hAnsi="宋体"/>
                                  <w:sz w:val="24"/>
                                  <w:szCs w:val="24"/>
                                </w:rPr>
                                <w:t>资金使用审批</w:t>
                              </w:r>
                            </w:p>
                          </w:txbxContent>
                        </wps:txbx>
                        <wps:bodyPr rot="0" vert="horz" wrap="square" lIns="91440" tIns="72000" rIns="91440" bIns="45720" anchor="t" anchorCtr="0" upright="1">
                          <a:noAutofit/>
                        </wps:bodyPr>
                      </wps:wsp>
                      <wps:wsp>
                        <wps:cNvPr id="26" name="直接连接符 22"/>
                        <wps:cNvCnPr/>
                        <wps:spPr bwMode="auto">
                          <a:xfrm>
                            <a:off x="1943100" y="5448300"/>
                            <a:ext cx="1371600" cy="635"/>
                          </a:xfrm>
                          <a:prstGeom prst="line">
                            <a:avLst/>
                          </a:prstGeom>
                          <a:noFill/>
                          <a:ln w="12700">
                            <a:solidFill>
                              <a:srgbClr val="000000"/>
                            </a:solidFill>
                            <a:round/>
                            <a:tailEnd type="triangle" w="med" len="med"/>
                          </a:ln>
                          <a:effectLst/>
                        </wps:spPr>
                        <wps:bodyPr/>
                      </wps:wsp>
                      <wps:wsp>
                        <wps:cNvPr id="27" name="文本框 23"/>
                        <wps:cNvSpPr txBox="1">
                          <a:spLocks noChangeArrowheads="1"/>
                        </wps:cNvSpPr>
                        <wps:spPr bwMode="auto">
                          <a:xfrm>
                            <a:off x="3810000" y="6884670"/>
                            <a:ext cx="1211580" cy="396240"/>
                          </a:xfrm>
                          <a:prstGeom prst="rect">
                            <a:avLst/>
                          </a:prstGeom>
                          <a:solidFill>
                            <a:srgbClr val="FFFFFF"/>
                          </a:solidFill>
                          <a:ln w="9525">
                            <a:solidFill>
                              <a:srgbClr val="000000"/>
                            </a:solidFill>
                            <a:miter lim="800000"/>
                          </a:ln>
                          <a:effectLst/>
                        </wps:spPr>
                        <wps:txbx>
                          <w:txbxContent>
                            <w:p w14:paraId="7698583B">
                              <w:pPr>
                                <w:jc w:val="center"/>
                                <w:rPr>
                                  <w:rFonts w:ascii="宋体" w:hAnsi="宋体"/>
                                  <w:sz w:val="24"/>
                                  <w:szCs w:val="24"/>
                                </w:rPr>
                              </w:pPr>
                              <w:r>
                                <w:rPr>
                                  <w:rFonts w:hint="eastAsia" w:ascii="宋体" w:hAnsi="宋体"/>
                                  <w:sz w:val="24"/>
                                  <w:szCs w:val="24"/>
                                </w:rPr>
                                <w:t>资金支付</w:t>
                              </w:r>
                            </w:p>
                          </w:txbxContent>
                        </wps:txbx>
                        <wps:bodyPr rot="0" vert="horz" wrap="square" lIns="91440" tIns="72000" rIns="91440" bIns="45720" anchor="t" anchorCtr="0" upright="1">
                          <a:noAutofit/>
                        </wps:bodyPr>
                      </wps:wsp>
                      <wps:wsp>
                        <wps:cNvPr id="57" name="文本框 24"/>
                        <wps:cNvSpPr txBox="1">
                          <a:spLocks noChangeArrowheads="1"/>
                        </wps:cNvSpPr>
                        <wps:spPr bwMode="auto">
                          <a:xfrm>
                            <a:off x="3314700" y="5052060"/>
                            <a:ext cx="2286000" cy="1417320"/>
                          </a:xfrm>
                          <a:prstGeom prst="rect">
                            <a:avLst/>
                          </a:prstGeom>
                          <a:solidFill>
                            <a:srgbClr val="FFFFFF"/>
                          </a:solidFill>
                          <a:ln w="9525">
                            <a:solidFill>
                              <a:srgbClr val="000000"/>
                            </a:solidFill>
                            <a:miter lim="800000"/>
                          </a:ln>
                          <a:effectLst/>
                        </wps:spPr>
                        <wps:txbx>
                          <w:txbxContent>
                            <w:p w14:paraId="499CC95B">
                              <w:pPr>
                                <w:rPr>
                                  <w:rFonts w:ascii="宋体" w:hAnsi="宋体"/>
                                  <w:sz w:val="24"/>
                                  <w:szCs w:val="24"/>
                                </w:rPr>
                              </w:pPr>
                              <w:r>
                                <w:rPr>
                                  <w:rFonts w:hint="eastAsia" w:ascii="宋体" w:hAnsi="宋体"/>
                                  <w:sz w:val="24"/>
                                  <w:szCs w:val="24"/>
                                </w:rPr>
                                <w:t>监管银行实时监控施工单位资金流向，如出现异常，将反馈至业主单位，业主单位将要求参建单位纠正并采取补救措施</w:t>
                              </w:r>
                            </w:p>
                          </w:txbxContent>
                        </wps:txbx>
                        <wps:bodyPr rot="0" vert="horz" wrap="square" lIns="91440" tIns="118800" rIns="91440" bIns="45720" anchor="t" anchorCtr="0" upright="1">
                          <a:noAutofit/>
                        </wps:bodyPr>
                      </wps:wsp>
                      <wps:wsp>
                        <wps:cNvPr id="58" name="矩形 25"/>
                        <wps:cNvSpPr>
                          <a:spLocks noChangeArrowheads="1"/>
                        </wps:cNvSpPr>
                        <wps:spPr bwMode="auto">
                          <a:xfrm>
                            <a:off x="571500" y="5250180"/>
                            <a:ext cx="1371600" cy="396240"/>
                          </a:xfrm>
                          <a:prstGeom prst="rect">
                            <a:avLst/>
                          </a:prstGeom>
                          <a:solidFill>
                            <a:srgbClr val="FFFFFF"/>
                          </a:solidFill>
                          <a:ln w="9525">
                            <a:solidFill>
                              <a:srgbClr val="000000"/>
                            </a:solidFill>
                            <a:miter lim="800000"/>
                          </a:ln>
                          <a:effectLst/>
                        </wps:spPr>
                        <wps:txbx>
                          <w:txbxContent>
                            <w:p w14:paraId="07362D15">
                              <w:pPr>
                                <w:ind w:firstLine="600" w:firstLineChars="250"/>
                                <w:rPr>
                                  <w:rFonts w:ascii="宋体" w:hAnsi="宋体"/>
                                  <w:sz w:val="24"/>
                                  <w:szCs w:val="24"/>
                                </w:rPr>
                              </w:pPr>
                              <w:r>
                                <w:rPr>
                                  <w:rFonts w:hint="eastAsia" w:ascii="宋体" w:hAnsi="宋体"/>
                                  <w:sz w:val="24"/>
                                  <w:szCs w:val="24"/>
                                </w:rPr>
                                <w:t>开户行</w:t>
                              </w:r>
                            </w:p>
                          </w:txbxContent>
                        </wps:txbx>
                        <wps:bodyPr rot="0" vert="horz" wrap="square" lIns="91440" tIns="45720" rIns="91440" bIns="45720" anchor="t" anchorCtr="0" upright="1">
                          <a:noAutofit/>
                        </wps:bodyPr>
                      </wps:wsp>
                      <wps:wsp>
                        <wps:cNvPr id="59" name="直接连接符 26"/>
                        <wps:cNvCnPr/>
                        <wps:spPr bwMode="auto">
                          <a:xfrm>
                            <a:off x="4457700" y="6459855"/>
                            <a:ext cx="635" cy="396240"/>
                          </a:xfrm>
                          <a:prstGeom prst="line">
                            <a:avLst/>
                          </a:prstGeom>
                          <a:noFill/>
                          <a:ln w="9525">
                            <a:solidFill>
                              <a:srgbClr val="000000"/>
                            </a:solidFill>
                            <a:round/>
                            <a:tailEnd type="triangle" w="med" len="med"/>
                          </a:ln>
                          <a:effectLst/>
                        </wps:spPr>
                        <wps:bodyPr/>
                      </wps:wsp>
                      <wps:wsp>
                        <wps:cNvPr id="60" name="矩形 27"/>
                        <wps:cNvSpPr>
                          <a:spLocks noChangeArrowheads="1"/>
                        </wps:cNvSpPr>
                        <wps:spPr bwMode="auto">
                          <a:xfrm>
                            <a:off x="2514600" y="4556760"/>
                            <a:ext cx="1143000" cy="396240"/>
                          </a:xfrm>
                          <a:prstGeom prst="rect">
                            <a:avLst/>
                          </a:prstGeom>
                          <a:solidFill>
                            <a:srgbClr val="FFFFFF"/>
                          </a:solidFill>
                          <a:ln w="9525">
                            <a:solidFill>
                              <a:srgbClr val="000000"/>
                            </a:solidFill>
                            <a:miter lim="800000"/>
                          </a:ln>
                          <a:effectLst/>
                        </wps:spPr>
                        <wps:txbx>
                          <w:txbxContent>
                            <w:p w14:paraId="72CE4213">
                              <w:r>
                                <w:rPr>
                                  <w:rFonts w:hint="eastAsia"/>
                                </w:rPr>
                                <w:t>出具划款通知书</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65pt;margin-top:3.15pt;height:632.7pt;width:462.6pt;z-index:-251649024;mso-width-relative:page;mso-height-relative:page;" coordsize="5875020,8035290" editas="canvas" o:gfxdata="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">
                <o:lock v:ext="edit" aspectratio="f"/>
                <v:shape id="_x0000_s1026" o:spid="_x0000_s1026" style="position:absolute;left:0;top:0;height:8035290;width:5875020;" filled="f" stroked="f" coordsize="21600,21600" o:gfxdata="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">
                  <v:fill on="f" focussize="0,0"/>
                  <v:stroke on="f"/>
                  <v:imagedata o:title=""/>
                  <o:lock v:ext="edit" aspectratio="t"/>
                </v:shape>
                <v:shape id="文本框 5" o:spid="_x0000_s1026" o:spt="202" type="#_x0000_t202" style="position:absolute;left:3086100;top:495300;height:826770;width:1257300;" fillcolor="#FFFFFF" filled="t" stroked="t" coordsize="21600,21600" o:gfxdata="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5cN1bNkAAAAKAQAA&#10;DwAAAAAAAAABACAAAAAiAAAAZHJzL2Rvd25yZXYueG1sUEsBAhQAFAAAAAgAh07iQN8bI31RAgAA&#10;oQQAAA4AAAAAAAAAAQAgAAAAKAEAAGRycy9lMm9Eb2MueG1sUEsFBgAAAAAGAAYAWQEAAOsFAAAA&#10;AA==&#10;">
                  <v:fill on="t" focussize="0,0"/>
                  <v:stroke color="#000000" miterlimit="8" joinstyle="miter"/>
                  <v:imagedata o:title=""/>
                  <o:lock v:ext="edit" aspectratio="f"/>
                  <v:textbox>
                    <w:txbxContent>
                      <w:p w14:paraId="659D9DEC">
                        <w:pPr>
                          <w:rPr>
                            <w:rFonts w:ascii="宋体" w:hAnsi="宋体"/>
                            <w:sz w:val="24"/>
                            <w:szCs w:val="24"/>
                          </w:rPr>
                        </w:pPr>
                        <w:r>
                          <w:rPr>
                            <w:rFonts w:hint="eastAsia" w:ascii="宋体" w:hAnsi="宋体"/>
                            <w:sz w:val="24"/>
                            <w:szCs w:val="24"/>
                          </w:rPr>
                          <w:t>呈交每期资金使用计划</w:t>
                        </w:r>
                      </w:p>
                    </w:txbxContent>
                  </v:textbox>
                </v:shape>
                <v:shape id="文本框 6" o:spid="_x0000_s1026" o:spt="202" type="#_x0000_t202" style="position:absolute;left:800100;top:495300;height:396240;width:1028700;" fillcolor="#FFFFFF" filled="t" stroked="t" coordsize="21600,21600" o:gfxdata="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LP+NKtcAAAAKAQAA&#10;DwAAAAAAAAABACAAAAAiAAAAZHJzL2Rvd25yZXYueG1sUEsBAhQAFAAAAAgAh07iQG+qUJpTAgAA&#10;oAQAAA4AAAAAAAAAAQAgAAAAJgEAAGRycy9lMm9Eb2MueG1sUEsFBgAAAAAGAAYAWQEAAOsFAAAA&#10;AA==&#10;">
                  <v:fill on="t" focussize="0,0"/>
                  <v:stroke color="#000000" miterlimit="8" joinstyle="miter"/>
                  <v:imagedata o:title=""/>
                  <o:lock v:ext="edit" aspectratio="f"/>
                  <v:textbox inset="2.54mm,2mm,2.54mm,1.27mm">
                    <w:txbxContent>
                      <w:p w14:paraId="1C26A217">
                        <w:pPr>
                          <w:jc w:val="center"/>
                          <w:rPr>
                            <w:rFonts w:ascii="宋体" w:hAnsi="宋体"/>
                            <w:sz w:val="24"/>
                            <w:szCs w:val="24"/>
                          </w:rPr>
                        </w:pPr>
                        <w:r>
                          <w:rPr>
                            <w:rFonts w:hint="eastAsia" w:ascii="宋体" w:hAnsi="宋体"/>
                            <w:sz w:val="24"/>
                            <w:szCs w:val="24"/>
                          </w:rPr>
                          <w:t>施工单位</w:t>
                        </w:r>
                      </w:p>
                    </w:txbxContent>
                  </v:textbox>
                </v:shape>
                <v:line id="直接连接符 1" o:spid="_x0000_s1026" o:spt="20" style="position:absolute;left:1257300;top:891540;height:693420;width:635;" filled="f" stroked="t" coordsize="21600,21600" o:gfxdata="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PdWbG2wAAAAoBAAAPAAAAAAAAAAEAIAAAACIAAABkcnMvZG93bnJl&#10;di54bWxQSwECFAAUAAAACACHTuJAHXcUtPoBAADBAwAADgAAAAAAAAABACAAAAAqAQAAZHJzL2Uy&#10;b0RvYy54bWxQSwUGAAAAAAYABgBZAQAAlgUAAAAA&#10;">
                  <v:fill on="f" focussize="0,0"/>
                  <v:stroke color="#000000" joinstyle="round" endarrow="block"/>
                  <v:imagedata o:title=""/>
                  <o:lock v:ext="edit" aspectratio="f"/>
                </v:line>
                <v:shape id="文本框 8" o:spid="_x0000_s1026" o:spt="202" type="#_x0000_t202" style="position:absolute;left:685800;top:1584960;height:396240;width:1028700;" fillcolor="#FFFFFF" filled="t" stroked="t" coordsize="21600,21600" o:gfxdata="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Cz/jSrXAAAACgEA&#10;AA8AAAAAAAAAAQAgAAAAIgAAAGRycy9kb3ducmV2LnhtbFBLAQIUABQAAAAIAIdO4kB3Ld+AVAIA&#10;AKEEAAAOAAAAAAAAAAEAIAAAACYBAABkcnMvZTJvRG9jLnhtbFBLBQYAAAAABgAGAFkBAADsBQAA&#10;AAA=&#10;">
                  <v:fill on="t" focussize="0,0"/>
                  <v:stroke color="#000000" miterlimit="8" joinstyle="miter"/>
                  <v:imagedata o:title=""/>
                  <o:lock v:ext="edit" aspectratio="f"/>
                  <v:textbox inset="2.54mm,2mm,2.54mm,1.27mm">
                    <w:txbxContent>
                      <w:p w14:paraId="58519A55">
                        <w:pPr>
                          <w:jc w:val="center"/>
                          <w:rPr>
                            <w:rFonts w:ascii="宋体" w:hAnsi="宋体"/>
                            <w:sz w:val="24"/>
                            <w:szCs w:val="24"/>
                          </w:rPr>
                        </w:pPr>
                        <w:r>
                          <w:rPr>
                            <w:rFonts w:hint="eastAsia" w:ascii="宋体" w:hAnsi="宋体"/>
                            <w:sz w:val="24"/>
                            <w:szCs w:val="24"/>
                          </w:rPr>
                          <w:t>监理单位</w:t>
                        </w:r>
                      </w:p>
                    </w:txbxContent>
                  </v:textbox>
                </v:shape>
                <v:shape id="文本框 9" o:spid="_x0000_s1026" o:spt="202" type="#_x0000_t202" style="position:absolute;left:461645;top:2872740;height:513080;width:1481455;" fillcolor="#FFFFFF" filled="t" stroked="t" coordsize="21600,21600" o:gfxdata="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Cz/jSrXAAAACgEA&#10;AA8AAAAAAAAAAQAgAAAAIgAAAGRycy9kb3ducmV2LnhtbFBLAQIUABQAAAAIAIdO4kC6TVeiVAIA&#10;AKEEAAAOAAAAAAAAAAEAIAAAACYBAABkcnMvZTJvRG9jLnhtbFBLBQYAAAAABgAGAFkBAADsBQAA&#10;AAA=&#10;">
                  <v:fill on="t" focussize="0,0"/>
                  <v:stroke color="#000000" miterlimit="8" joinstyle="miter"/>
                  <v:imagedata o:title=""/>
                  <o:lock v:ext="edit" aspectratio="f"/>
                  <v:textbox inset="2.54mm,2mm,2.54mm,1.27mm">
                    <w:txbxContent>
                      <w:p w14:paraId="48885697">
                        <w:pPr>
                          <w:jc w:val="center"/>
                          <w:rPr>
                            <w:rFonts w:ascii="宋体" w:hAnsi="宋体"/>
                            <w:sz w:val="24"/>
                            <w:szCs w:val="24"/>
                          </w:rPr>
                        </w:pPr>
                        <w:r>
                          <w:rPr>
                            <w:rFonts w:hint="eastAsia" w:ascii="宋体" w:hAnsi="宋体"/>
                            <w:sz w:val="24"/>
                            <w:szCs w:val="24"/>
                          </w:rPr>
                          <w:t>代建单位（若有时）</w:t>
                        </w:r>
                      </w:p>
                      <w:p w14:paraId="0923453E">
                        <w:pPr>
                          <w:rPr>
                            <w:rFonts w:ascii="宋体" w:hAnsi="宋体"/>
                            <w:sz w:val="24"/>
                            <w:szCs w:val="24"/>
                          </w:rPr>
                        </w:pPr>
                      </w:p>
                    </w:txbxContent>
                  </v:textbox>
                </v:shape>
                <v:line id="直接连接符 10" o:spid="_x0000_s1026" o:spt="20" style="position:absolute;left:1257300;top:3268980;height:693420;width:635;" filled="f" stroked="t" coordsize="21600,21600" o:gfxdata="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3VmxtsAAAAKAQAADwAAAAAAAAABACAAAAAiAAAAZHJzL2Rvd25y&#10;ZXYueG1sUEsBAhQAFAAAAAgAh07iQOGO0QT7AQAAwwMAAA4AAAAAAAAAAQAgAAAAKgEAAGRycy9l&#10;Mm9Eb2MueG1sUEsFBgAAAAAGAAYAWQEAAJcFAAAAAA==&#10;">
                  <v:fill on="f" focussize="0,0"/>
                  <v:stroke color="#000000" joinstyle="round" endarrow="block"/>
                  <v:imagedata o:title=""/>
                  <o:lock v:ext="edit" aspectratio="f"/>
                </v:line>
                <v:line id="直接连接符 2" o:spid="_x0000_s1026" o:spt="20" style="position:absolute;left:1257300;top:1981200;flip:x;height:891540;width:635;" filled="f" stroked="t" coordsize="21600,21600" o:gfxdata="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V934vaAAAACgEAAA8AAAAAAAAAAQAgAAAAIgAAAGRycy9k&#10;b3ducmV2LnhtbFBLAQIUABQAAAAIAIdO4kBdwo5iAAIAAMwDAAAOAAAAAAAAAAEAIAAAACkBAABk&#10;cnMvZTJvRG9jLnhtbFBLBQYAAAAABgAGAFkBAACbBQAAAAA=&#10;">
                  <v:fill on="f" focussize="0,0"/>
                  <v:stroke color="#000000" joinstyle="round" endarrow="block"/>
                  <v:imagedata o:title=""/>
                  <o:lock v:ext="edit" aspectratio="f"/>
                </v:line>
                <v:line id="直接连接符 3" o:spid="_x0000_s1026" o:spt="20" style="position:absolute;left:1714500;top:1882140;height:635;width:1074420;" filled="f" stroked="t" coordsize="21600,21600" o:gfxdata="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PdWbG2wAAAAoBAAAPAAAAAAAAAAEAIAAAACIAAABkcnMvZG93bnJldi54&#10;bWxQSwECFAAUAAAACACHTuJAra6/sPcBAADDAwAADgAAAAAAAAABACAAAAAqAQAAZHJzL2Uyb0Rv&#10;Yy54bWxQSwUGAAAAAAYABgBZAQAAkwUAAAAA&#10;">
                  <v:fill on="f" focussize="0,0"/>
                  <v:stroke color="#000000" joinstyle="round" endarrow="block"/>
                  <v:imagedata o:title=""/>
                  <o:lock v:ext="edit" aspectratio="f"/>
                </v:line>
                <v:line id="直接连接符 4" o:spid="_x0000_s1026" o:spt="20" style="position:absolute;left:1714500;top:693420;height:635;width:1371600;" filled="f" stroked="t" coordsize="21600,21600" o:gfxdata="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3VmxtsAAAAKAQAADwAAAAAAAAABACAAAAAiAAAAZHJzL2Rvd25yZXYueG1s&#10;UEsBAhQAFAAAAAgAh07iQG0PPmr1AQAAwgMAAA4AAAAAAAAAAQAgAAAAKgEAAGRycy9lMm9Eb2Mu&#10;eG1sUEsFBgAAAAAGAAYAWQEAAJEFAAAAAA==&#10;">
                  <v:fill on="f" focussize="0,0"/>
                  <v:stroke color="#000000" joinstyle="round" endarrow="block"/>
                  <v:imagedata o:title=""/>
                  <o:lock v:ext="edit" aspectratio="f"/>
                </v:line>
                <v:shape id="文本框 16" o:spid="_x0000_s1026" o:spt="202" type="#_x0000_t202" style="position:absolute;left:2788920;top:1684020;height:828040;width:1501775;" fillcolor="#FFFFFF" filled="t" stroked="t" coordsize="21600,21600" o:gfxdata="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XDdWzZAAAACgEA&#10;AA8AAAAAAAAAAQAgAAAAIgAAAGRycy9kb3ducmV2LnhtbFBLAQIUABQAAAAIAIdO4kBgPfVwUgIA&#10;AKMEAAAOAAAAAAAAAAEAIAAAACgBAABkcnMvZTJvRG9jLnhtbFBLBQYAAAAABgAGAFkBAADsBQAA&#10;AAA=&#10;">
                  <v:fill on="t" focussize="0,0"/>
                  <v:stroke color="#000000" miterlimit="8" joinstyle="miter"/>
                  <v:imagedata o:title=""/>
                  <o:lock v:ext="edit" aspectratio="f"/>
                  <v:textbox>
                    <w:txbxContent>
                      <w:p w14:paraId="08968EC7">
                        <w:pPr>
                          <w:rPr>
                            <w:rFonts w:ascii="宋体" w:hAnsi="宋体"/>
                            <w:sz w:val="24"/>
                            <w:szCs w:val="24"/>
                          </w:rPr>
                        </w:pPr>
                        <w:r>
                          <w:rPr>
                            <w:rFonts w:hint="eastAsia" w:ascii="宋体" w:hAnsi="宋体"/>
                            <w:sz w:val="24"/>
                            <w:szCs w:val="24"/>
                          </w:rPr>
                          <w:t>按照工程进度对资金使用计划初审</w:t>
                        </w:r>
                      </w:p>
                      <w:p w14:paraId="3A5F1D43">
                        <w:pPr>
                          <w:rPr>
                            <w:rFonts w:ascii="宋体" w:hAnsi="宋体"/>
                            <w:sz w:val="24"/>
                            <w:szCs w:val="24"/>
                          </w:rPr>
                        </w:pPr>
                      </w:p>
                      <w:p w14:paraId="25A9F990">
                        <w:pPr>
                          <w:rPr>
                            <w:rFonts w:ascii="宋体" w:hAnsi="宋体"/>
                            <w:sz w:val="24"/>
                            <w:szCs w:val="24"/>
                          </w:rPr>
                        </w:pPr>
                      </w:p>
                    </w:txbxContent>
                  </v:textbox>
                </v:shape>
                <v:shape id="文本框 17" o:spid="_x0000_s1026" o:spt="202" type="#_x0000_t202" style="position:absolute;left:571500;top:3962400;height:396240;width:1371600;" fillcolor="#FFFFFF" filled="t" stroked="t" coordsize="21600,21600" o:gfxdata="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s/40q1wAAAAoBAAAP&#10;AAAAAAAAAAEAIAAAACIAAABkcnMvZG93bnJldi54bWxQSwECFAAUAAAACACHTuJAaXAR8VICAACi&#10;BAAADgAAAAAAAAABACAAAAAmAQAAZHJzL2Uyb0RvYy54bWxQSwUGAAAAAAYABgBZAQAA6gUAAAAA&#10;">
                  <v:fill on="t" focussize="0,0"/>
                  <v:stroke color="#000000" miterlimit="8" joinstyle="miter"/>
                  <v:imagedata o:title=""/>
                  <o:lock v:ext="edit" aspectratio="f"/>
                  <v:textbox inset="2.54mm,2mm,2.54mm,1.27mm">
                    <w:txbxContent>
                      <w:p w14:paraId="6B1FF8DB">
                        <w:pPr>
                          <w:jc w:val="center"/>
                          <w:rPr>
                            <w:rFonts w:ascii="宋体" w:hAnsi="宋体"/>
                            <w:sz w:val="24"/>
                            <w:szCs w:val="24"/>
                          </w:rPr>
                        </w:pPr>
                        <w:r>
                          <w:rPr>
                            <w:rFonts w:hint="eastAsia" w:ascii="宋体" w:hAnsi="宋体"/>
                            <w:sz w:val="24"/>
                            <w:szCs w:val="24"/>
                          </w:rPr>
                          <w:t>建管中心</w:t>
                        </w:r>
                      </w:p>
                    </w:txbxContent>
                  </v:textbox>
                </v:shape>
                <v:line id="直接连接符 18" o:spid="_x0000_s1026" o:spt="20" style="position:absolute;left:1257300;top:4358640;height:891540;width:635;" filled="f" stroked="t" coordsize="21600,21600" o:gfxdata="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91ZsbbAAAACgEAAA8AAAAAAAAAAQAgAAAAIgAAAGRycy9kb3du&#10;cmV2LnhtbFBLAQIUABQAAAAIAIdO4kADxuaG/AEAAMMDAAAOAAAAAAAAAAEAIAAAACoBAABkcnMv&#10;ZTJvRG9jLnhtbFBLBQYAAAAABgAGAFkBAACYBQAAAAA=&#10;">
                  <v:fill on="f" focussize="0,0"/>
                  <v:stroke color="#000000" joinstyle="round" endarrow="block"/>
                  <v:imagedata o:title=""/>
                  <o:lock v:ext="edit" aspectratio="f"/>
                </v:line>
                <v:line id="直接连接符 19" o:spid="_x0000_s1026" o:spt="20" style="position:absolute;left:1943100;top:3070860;height:635;width:1371600;" filled="f" stroked="t" coordsize="21600,21600" o:gfxdata="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PdWbG2wAAAAoBAAAPAAAAAAAAAAEAIAAAACIAAABkcnMvZG93bnJl&#10;di54bWxQSwECFAAUAAAACACHTuJAK3h7oPoBAADEAwAADgAAAAAAAAABACAAAAAqAQAAZHJzL2Uy&#10;b0RvYy54bWxQSwUGAAAAAAYABgBZAQAAlgUAAAAA&#10;">
                  <v:fill on="f" focussize="0,0"/>
                  <v:stroke color="#000000" joinstyle="round" endarrow="block"/>
                  <v:imagedata o:title=""/>
                  <o:lock v:ext="edit" aspectratio="f"/>
                </v:line>
                <v:line id="直接连接符 20" o:spid="_x0000_s1026" o:spt="20" style="position:absolute;left:1257300;top:4754880;height:635;width:1257300;" filled="f" stroked="t" coordsize="21600,21600" o:gfxdata="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PdWbG2wAAAAoBAAAPAAAAAAAAAAEAIAAAACIAAABkcnMvZG93bnJldi54bWxQ&#10;SwECFAAUAAAACACHTuJAXzqoovQBAADEAwAADgAAAAAAAAABACAAAAAqAQAAZHJzL2Uyb0RvYy54&#10;bWxQSwUGAAAAAAYABgBZAQAAkAUAAAAA&#10;">
                  <v:fill on="f" focussize="0,0"/>
                  <v:stroke color="#000000" joinstyle="round" endarrow="block"/>
                  <v:imagedata o:title=""/>
                  <o:lock v:ext="edit" aspectratio="f"/>
                </v:line>
                <v:shape id="文本框 21" o:spid="_x0000_s1026" o:spt="202" type="#_x0000_t202" style="position:absolute;left:3314700;top:2872740;height:396240;width:1211580;" fillcolor="#FFFFFF" filled="t" stroked="t" coordsize="21600,21600" o:gfxdata="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s/40q1wAAAAoB&#10;AAAPAAAAAAAAAAEAIAAAACIAAABkcnMvZG93bnJldi54bWxQSwECFAAUAAAACACHTuJAP1hKkVUC&#10;AACjBAAADgAAAAAAAAABACAAAAAmAQAAZHJzL2Uyb0RvYy54bWxQSwUGAAAAAAYABgBZAQAA7QUA&#10;AAAA&#10;">
                  <v:fill on="t" focussize="0,0"/>
                  <v:stroke color="#000000" miterlimit="8" joinstyle="miter"/>
                  <v:imagedata o:title=""/>
                  <o:lock v:ext="edit" aspectratio="f"/>
                  <v:textbox inset="2.54mm,2mm,2.54mm,1.27mm">
                    <w:txbxContent>
                      <w:p w14:paraId="020CD987">
                        <w:pPr>
                          <w:jc w:val="center"/>
                          <w:rPr>
                            <w:rFonts w:ascii="宋体" w:hAnsi="宋体"/>
                            <w:sz w:val="24"/>
                            <w:szCs w:val="24"/>
                          </w:rPr>
                        </w:pPr>
                        <w:r>
                          <w:rPr>
                            <w:rFonts w:hint="eastAsia" w:ascii="宋体" w:hAnsi="宋体"/>
                            <w:sz w:val="24"/>
                            <w:szCs w:val="24"/>
                          </w:rPr>
                          <w:t>资金使用审批</w:t>
                        </w:r>
                      </w:p>
                    </w:txbxContent>
                  </v:textbox>
                </v:shape>
                <v:line id="直接连接符 22" o:spid="_x0000_s1026" o:spt="20" style="position:absolute;left:1943100;top:5448300;height:635;width:1371600;" filled="f" stroked="t" coordsize="21600,21600" o:gfxdata="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x3yTZAAAACgEAAA8AAAAAAAAAAQAgAAAAIgAAAGRycy9kb3ducmV2Lnht&#10;bFBLAQIUABQAAAAIAIdO4kAcHDHL+AEAAMUDAAAOAAAAAAAAAAEAIAAAACgBAABkcnMvZTJvRG9j&#10;LnhtbFBLBQYAAAAABgAGAFkBAACSBQAAAAA=&#10;">
                  <v:fill on="f" focussize="0,0"/>
                  <v:stroke weight="1pt" color="#000000" joinstyle="round" endarrow="block"/>
                  <v:imagedata o:title=""/>
                  <o:lock v:ext="edit" aspectratio="f"/>
                </v:line>
                <v:shape id="文本框 23" o:spid="_x0000_s1026" o:spt="202" type="#_x0000_t202" style="position:absolute;left:3810000;top:6884670;height:396240;width:1211580;" fillcolor="#FFFFFF" filled="t" stroked="t" coordsize="21600,21600" o:gfxdata="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LP+NKtcA&#10;AAAKAQAADwAAAAAAAAABACAAAAAiAAAAZHJzL2Rvd25yZXYueG1sUEsBAhQAFAAAAAgAh07iQNyQ&#10;YxVZAgAAowQAAA4AAAAAAAAAAQAgAAAAJgEAAGRycy9lMm9Eb2MueG1sUEsFBgAAAAAGAAYAWQEA&#10;APEFAAAAAA==&#10;">
                  <v:fill on="t" focussize="0,0"/>
                  <v:stroke color="#000000" miterlimit="8" joinstyle="miter"/>
                  <v:imagedata o:title=""/>
                  <o:lock v:ext="edit" aspectratio="f"/>
                  <v:textbox inset="2.54mm,2mm,2.54mm,1.27mm">
                    <w:txbxContent>
                      <w:p w14:paraId="7698583B">
                        <w:pPr>
                          <w:jc w:val="center"/>
                          <w:rPr>
                            <w:rFonts w:ascii="宋体" w:hAnsi="宋体"/>
                            <w:sz w:val="24"/>
                            <w:szCs w:val="24"/>
                          </w:rPr>
                        </w:pPr>
                        <w:r>
                          <w:rPr>
                            <w:rFonts w:hint="eastAsia" w:ascii="宋体" w:hAnsi="宋体"/>
                            <w:sz w:val="24"/>
                            <w:szCs w:val="24"/>
                          </w:rPr>
                          <w:t>资金支付</w:t>
                        </w:r>
                      </w:p>
                    </w:txbxContent>
                  </v:textbox>
                </v:shape>
                <v:shape id="文本框 24" o:spid="_x0000_s1026" o:spt="202" type="#_x0000_t202" style="position:absolute;left:3314700;top:5052060;height:1417320;width:2286000;" fillcolor="#FFFFFF" filled="t" stroked="t" coordsize="21600,21600" o:gfxdata="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VUxOo&#10;1wAAAAoBAAAPAAAAAAAAAAEAIAAAACIAAABkcnMvZG93bnJldi54bWxQSwECFAAUAAAACACHTuJA&#10;ozY3W1sCAAClBAAADgAAAAAAAAABACAAAAAmAQAAZHJzL2Uyb0RvYy54bWxQSwUGAAAAAAYABgBZ&#10;AQAA8wUAAAAA&#10;">
                  <v:fill on="t" focussize="0,0"/>
                  <v:stroke color="#000000" miterlimit="8" joinstyle="miter"/>
                  <v:imagedata o:title=""/>
                  <o:lock v:ext="edit" aspectratio="f"/>
                  <v:textbox inset="2.54mm,3.3mm,2.54mm,1.27mm">
                    <w:txbxContent>
                      <w:p w14:paraId="499CC95B">
                        <w:pPr>
                          <w:rPr>
                            <w:rFonts w:ascii="宋体" w:hAnsi="宋体"/>
                            <w:sz w:val="24"/>
                            <w:szCs w:val="24"/>
                          </w:rPr>
                        </w:pPr>
                        <w:r>
                          <w:rPr>
                            <w:rFonts w:hint="eastAsia" w:ascii="宋体" w:hAnsi="宋体"/>
                            <w:sz w:val="24"/>
                            <w:szCs w:val="24"/>
                          </w:rPr>
                          <w:t>监管银行实时监控施工单位资金流向，如出现异常，将反馈至业主单位，业主单位将要求参建单位纠正并采取补救措施</w:t>
                        </w:r>
                      </w:p>
                    </w:txbxContent>
                  </v:textbox>
                </v:shape>
                <v:rect id="矩形 25" o:spid="_x0000_s1026" o:spt="1" style="position:absolute;left:571500;top:5250180;height:396240;width:1371600;" fillcolor="#FFFFFF" filled="t" stroked="t" coordsize="21600,21600" o:gfxdata="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GQOTK9gAAAAKAQAADwAAAAAAAAAB&#10;ACAAAAAiAAAAZHJzL2Rvd25yZXYueG1sUEsBAhQAFAAAAAgAh07iQGuJCqpJAgAAlQQAAA4AAAAA&#10;AAAAAQAgAAAAJwEAAGRycy9lMm9Eb2MueG1sUEsFBgAAAAAGAAYAWQEAAOIFAAAAAA==&#10;">
                  <v:fill on="t" focussize="0,0"/>
                  <v:stroke color="#000000" miterlimit="8" joinstyle="miter"/>
                  <v:imagedata o:title=""/>
                  <o:lock v:ext="edit" aspectratio="f"/>
                  <v:textbox>
                    <w:txbxContent>
                      <w:p w14:paraId="07362D15">
                        <w:pPr>
                          <w:ind w:firstLine="600" w:firstLineChars="250"/>
                          <w:rPr>
                            <w:rFonts w:ascii="宋体" w:hAnsi="宋体"/>
                            <w:sz w:val="24"/>
                            <w:szCs w:val="24"/>
                          </w:rPr>
                        </w:pPr>
                        <w:r>
                          <w:rPr>
                            <w:rFonts w:hint="eastAsia" w:ascii="宋体" w:hAnsi="宋体"/>
                            <w:sz w:val="24"/>
                            <w:szCs w:val="24"/>
                          </w:rPr>
                          <w:t>开户行</w:t>
                        </w:r>
                      </w:p>
                    </w:txbxContent>
                  </v:textbox>
                </v:rect>
                <v:line id="直接连接符 26" o:spid="_x0000_s1026" o:spt="20" style="position:absolute;left:4457700;top:6459855;height:396240;width:635;" filled="f" stroked="t" coordsize="21600,21600" o:gfxdata="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3VmxtsAAAAKAQAADwAAAAAAAAABACAAAAAiAAAAZHJzL2Rv&#10;d25yZXYueG1sUEsBAhQAFAAAAAgAh07iQJbUPsL+AQAAwwMAAA4AAAAAAAAAAQAgAAAAKgEAAGRy&#10;cy9lMm9Eb2MueG1sUEsFBgAAAAAGAAYAWQEAAJoFAAAAAA==&#10;">
                  <v:fill on="f" focussize="0,0"/>
                  <v:stroke color="#000000" joinstyle="round" endarrow="block"/>
                  <v:imagedata o:title=""/>
                  <o:lock v:ext="edit" aspectratio="f"/>
                </v:line>
                <v:rect id="矩形 27" o:spid="_x0000_s1026" o:spt="1" style="position:absolute;left:2514600;top:4556760;height:396240;width:1143000;" fillcolor="#FFFFFF" filled="t" stroked="t" coordsize="21600,21600" o:gfxdata="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ZA5Mr2AAAAAoBAAAPAAAA&#10;AAAAAAEAIAAAACIAAABkcnMvZG93bnJldi54bWxQSwECFAAUAAAACACHTuJAwcvQDU4CAACWBAAA&#10;DgAAAAAAAAABACAAAAAnAQAAZHJzL2Uyb0RvYy54bWxQSwUGAAAAAAYABgBZAQAA5wUAAAAA&#10;">
                  <v:fill on="t" focussize="0,0"/>
                  <v:stroke color="#000000" miterlimit="8" joinstyle="miter"/>
                  <v:imagedata o:title=""/>
                  <o:lock v:ext="edit" aspectratio="f"/>
                  <v:textbox>
                    <w:txbxContent>
                      <w:p w14:paraId="72CE4213">
                        <w:r>
                          <w:rPr>
                            <w:rFonts w:hint="eastAsia"/>
                          </w:rPr>
                          <w:t>出具划款通知书</w:t>
                        </w:r>
                      </w:p>
                    </w:txbxContent>
                  </v:textbox>
                </v:rect>
              </v:group>
            </w:pict>
          </mc:Fallback>
        </mc:AlternateContent>
      </w:r>
    </w:p>
    <w:p w14:paraId="0EDE2BEB">
      <w:pPr>
        <w:wordWrap w:val="0"/>
        <w:rPr>
          <w:rFonts w:hint="eastAsia" w:ascii="宋体" w:hAnsi="宋体" w:cs="宋体"/>
          <w:color w:val="auto"/>
          <w:highlight w:val="none"/>
        </w:rPr>
      </w:pPr>
      <w:r>
        <w:rPr>
          <w:rFonts w:hint="eastAsia" w:ascii="宋体" w:hAnsi="宋体" w:cs="宋体"/>
          <w:color w:val="auto"/>
          <w:highlight w:val="none"/>
        </w:rPr>
        <w:t>附件五：</w:t>
      </w:r>
    </w:p>
    <w:p w14:paraId="743C85AE">
      <w:pPr>
        <w:wordWrap w:val="0"/>
        <w:autoSpaceDN w:val="0"/>
        <w:spacing w:line="360" w:lineRule="auto"/>
        <w:jc w:val="center"/>
        <w:rPr>
          <w:rFonts w:hint="eastAsia" w:ascii="宋体" w:hAnsi="宋体" w:cs="宋体"/>
          <w:b/>
          <w:bCs/>
          <w:color w:val="auto"/>
          <w:szCs w:val="30"/>
          <w:highlight w:val="none"/>
        </w:rPr>
      </w:pPr>
    </w:p>
    <w:p w14:paraId="73CA7230">
      <w:pPr>
        <w:wordWrap w:val="0"/>
        <w:autoSpaceDN w:val="0"/>
        <w:spacing w:line="360" w:lineRule="auto"/>
        <w:jc w:val="center"/>
        <w:rPr>
          <w:rFonts w:hint="eastAsia" w:ascii="宋体" w:hAnsi="宋体" w:cs="宋体"/>
          <w:b/>
          <w:bCs/>
          <w:color w:val="auto"/>
          <w:szCs w:val="30"/>
          <w:highlight w:val="none"/>
        </w:rPr>
      </w:pPr>
      <w:r>
        <w:rPr>
          <w:rFonts w:hint="eastAsia" w:ascii="宋体" w:hAnsi="宋体" w:cs="宋体"/>
          <w:b/>
          <w:bCs/>
          <w:color w:val="auto"/>
          <w:szCs w:val="30"/>
          <w:highlight w:val="none"/>
        </w:rPr>
        <w:t>共管工程预付款使用监管办法（适用于无代建项目）</w:t>
      </w:r>
    </w:p>
    <w:p w14:paraId="6C2852B8">
      <w:pPr>
        <w:wordWrap w:val="0"/>
        <w:autoSpaceDN w:val="0"/>
        <w:spacing w:line="360" w:lineRule="auto"/>
        <w:ind w:firstLine="555"/>
        <w:rPr>
          <w:rFonts w:hint="eastAsia" w:ascii="宋体" w:hAnsi="宋体" w:cs="宋体"/>
          <w:color w:val="auto"/>
          <w:sz w:val="32"/>
          <w:szCs w:val="32"/>
          <w:highlight w:val="none"/>
        </w:rPr>
      </w:pPr>
    </w:p>
    <w:p w14:paraId="2FC95037">
      <w:pPr>
        <w:wordWrap w:val="0"/>
        <w:autoSpaceDN w:val="0"/>
        <w:spacing w:line="360" w:lineRule="auto"/>
        <w:rPr>
          <w:rFonts w:hint="eastAsia" w:ascii="宋体" w:hAnsi="宋体" w:cs="宋体"/>
          <w:color w:val="auto"/>
          <w:highlight w:val="none"/>
        </w:rPr>
      </w:pPr>
      <w:r>
        <w:rPr>
          <w:rFonts w:hint="eastAsia" w:ascii="宋体" w:hAnsi="宋体" w:cs="宋体"/>
          <w:color w:val="auto"/>
          <w:highlight w:val="none"/>
        </w:rPr>
        <w:t xml:space="preserve">    鉴于（下称“本工程”）建设业主（即发包人）支付给承包人的建安工程预付款（扣除工人工资款项）（以下简称“工程预付款”）采用在经由建设业主、承包人双方协商一致后选择的银行（以下简称“共管银行”）设立共管账户，以建设业主、承包人共管方式支出。为保证工程预付款的专款专用和合理使用，现就共管账户内资金支出监管事宜制订本办法。</w:t>
      </w:r>
    </w:p>
    <w:p w14:paraId="7E50F755">
      <w:pPr>
        <w:wordWrap w:val="0"/>
        <w:autoSpaceDN w:val="0"/>
        <w:spacing w:line="360" w:lineRule="auto"/>
        <w:rPr>
          <w:rFonts w:hint="eastAsia" w:ascii="宋体" w:hAnsi="宋体" w:cs="宋体"/>
          <w:color w:val="auto"/>
          <w:highlight w:val="none"/>
        </w:rPr>
      </w:pPr>
      <w:r>
        <w:rPr>
          <w:rFonts w:hint="eastAsia" w:ascii="宋体" w:hAnsi="宋体" w:cs="宋体"/>
          <w:color w:val="auto"/>
          <w:highlight w:val="none"/>
        </w:rPr>
        <w:t xml:space="preserve">    一、共管原则</w:t>
      </w:r>
    </w:p>
    <w:p w14:paraId="5230ADE7">
      <w:pPr>
        <w:wordWrap w:val="0"/>
        <w:autoSpaceDN w:val="0"/>
        <w:spacing w:line="360" w:lineRule="auto"/>
        <w:rPr>
          <w:rFonts w:hint="eastAsia" w:ascii="宋体" w:hAnsi="宋体" w:cs="宋体"/>
          <w:color w:val="auto"/>
          <w:highlight w:val="none"/>
        </w:rPr>
      </w:pPr>
      <w:r>
        <w:rPr>
          <w:rFonts w:hint="eastAsia" w:ascii="宋体" w:hAnsi="宋体" w:cs="宋体"/>
          <w:color w:val="auto"/>
          <w:highlight w:val="none"/>
        </w:rPr>
        <w:t xml:space="preserve">    本工程建设业主、施工承包人及共管银行签订三方资金共管账户合同，在共管银行设立户名为施工承包人的资金结算共管账户。建设业主按《》（以下简称施工合同）约定支付的工程预付款直接支付至上述共管账户（款项支付至共管账户，即视为发包人已按合同约定履行付款义务）。承包人就本工程需从上述账户中对外支付款项的，应按本办法规定报建设业主审核。建设业主审批同意承包人用款申请后，向银行出具书面同意支付通知，银行根据前述书面支付通知及承包人的申请，将相应资金从共管账户划转至指定收款方。</w:t>
      </w:r>
    </w:p>
    <w:p w14:paraId="1EB77AB3">
      <w:pPr>
        <w:wordWrap w:val="0"/>
        <w:autoSpaceDN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二、工程预付款对外支付审批流程</w:t>
      </w:r>
    </w:p>
    <w:p w14:paraId="71A36114">
      <w:pPr>
        <w:wordWrap w:val="0"/>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建设业主按施工合同约定支付工程预付款至共管账户后，承包人即可申请支出，每次支出金额不得超过帐户中工程预付款，且累计支出金额不得超过按本工程可开工部分工程量占本工程总工程量比例计算的预付款金额，直至预付款支出完毕。</w:t>
      </w:r>
    </w:p>
    <w:p w14:paraId="25838929">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 （注：具体预付款支付次数及条件由工程部门结合项目实际确定。）</w:t>
      </w:r>
    </w:p>
    <w:p w14:paraId="5C9899C1">
      <w:pPr>
        <w:wordWrap w:val="0"/>
        <w:autoSpaceDN w:val="0"/>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支付前置条件：签订施工合同，工程本次交地范围完成临时设施、安全文明措施，具备开工条件。</w:t>
      </w:r>
    </w:p>
    <w:p w14:paraId="1E7369E0">
      <w:pPr>
        <w:wordWrap w:val="0"/>
        <w:autoSpaceDN w:val="0"/>
        <w:spacing w:line="360" w:lineRule="auto"/>
        <w:rPr>
          <w:rFonts w:hint="eastAsia" w:ascii="宋体" w:hAnsi="宋体" w:cs="宋体"/>
          <w:color w:val="auto"/>
          <w:highlight w:val="none"/>
        </w:rPr>
      </w:pPr>
      <w:r>
        <w:rPr>
          <w:rFonts w:hint="eastAsia" w:ascii="宋体" w:hAnsi="宋体" w:cs="宋体"/>
          <w:color w:val="auto"/>
          <w:highlight w:val="none"/>
        </w:rPr>
        <w:t xml:space="preserve">    申请支付审批流程为：承包人提交申请材料→监理审核→建设业主审核并出具同意支付通知。</w:t>
      </w:r>
    </w:p>
    <w:p w14:paraId="37773335">
      <w:pPr>
        <w:wordWrap w:val="0"/>
        <w:autoSpaceDN w:val="0"/>
        <w:spacing w:line="360" w:lineRule="auto"/>
        <w:ind w:firstLine="315" w:firstLineChars="150"/>
        <w:rPr>
          <w:rFonts w:hint="eastAsia" w:ascii="宋体" w:hAnsi="宋体" w:cs="宋体"/>
          <w:color w:val="auto"/>
          <w:highlight w:val="none"/>
        </w:rPr>
      </w:pPr>
      <w:r>
        <w:rPr>
          <w:rFonts w:hint="eastAsia" w:ascii="宋体" w:hAnsi="宋体" w:cs="宋体"/>
          <w:color w:val="auto"/>
          <w:highlight w:val="none"/>
        </w:rPr>
        <w:t xml:space="preserve"> 承包人申请款项支出应提供材料包括但不限于：</w:t>
      </w:r>
    </w:p>
    <w:p w14:paraId="47EDF46D">
      <w:pPr>
        <w:wordWrap w:val="0"/>
        <w:autoSpaceDN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1、填写建设业主统一提供的付款申请书；</w:t>
      </w:r>
    </w:p>
    <w:p w14:paraId="5BE0BE4D">
      <w:pPr>
        <w:wordWrap w:val="0"/>
        <w:autoSpaceDN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2、用款计划（内容包括款项用途、金额等）。</w:t>
      </w:r>
    </w:p>
    <w:p w14:paraId="61421F1D">
      <w:pPr>
        <w:wordWrap w:val="0"/>
        <w:autoSpaceDN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三、监理单位、建设业主在审核承包人支付申请时，如发现支付申请不满足工程节点要求、支出金额不符合工程实际或有弄虚作假情况的，应拒绝承包人的支出申请。</w:t>
      </w:r>
    </w:p>
    <w:p w14:paraId="2D3EC0F2">
      <w:pPr>
        <w:wordWrap w:val="0"/>
        <w:autoSpaceDN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承包人的支出申请因上述情况被拒绝的，监理单位、建设业主不承担任何责任，承包人不得因此延误工程进度、或向相关方索赔。</w:t>
      </w:r>
    </w:p>
    <w:p w14:paraId="0987FC9E">
      <w:pPr>
        <w:numPr>
          <w:ilvl w:val="0"/>
          <w:numId w:val="16"/>
        </w:numPr>
        <w:wordWrap w:val="0"/>
        <w:autoSpaceDN w:val="0"/>
        <w:spacing w:line="360" w:lineRule="auto"/>
        <w:ind w:firstLine="420" w:firstLineChars="200"/>
        <w:rPr>
          <w:rFonts w:hint="eastAsia"/>
          <w:color w:val="auto"/>
          <w:highlight w:val="none"/>
        </w:rPr>
      </w:pPr>
      <w:r>
        <w:rPr>
          <w:rFonts w:hint="eastAsia" w:ascii="宋体" w:hAnsi="宋体" w:cs="宋体"/>
          <w:color w:val="auto"/>
          <w:highlight w:val="none"/>
        </w:rPr>
        <w:t>建设业主可不定期采取到银行对账等方式对共管账户资金使用情况（包括支付金额、支付单位等）进行检查，并有权要求承包人定期或不定期编制共管账户资金支出汇总表交建设业主审核及对账，前述汇总表应列明每笔用款的具体日期、金额、用途等要素。</w:t>
      </w:r>
    </w:p>
    <w:p w14:paraId="1C63BDA5">
      <w:pPr>
        <w:wordWrap w:val="0"/>
        <w:autoSpaceDN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建设业主如发现账户资金支付有不符合工程实际、弄虚作假情况的，或发现本工程建设资金存在外借、挪用、转移、权益转让、抵押、质押、担保等情况的，有权停止后续工程款项的支付、并要求承包人限期返还违规支出的资金。上述权利不因建设业主审核同意承包人具体支出申请或暂定、停止审核支出申请而排除。</w:t>
      </w:r>
    </w:p>
    <w:p w14:paraId="67A4CFCB">
      <w:pPr>
        <w:wordWrap w:val="0"/>
        <w:autoSpaceDN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五、监理单位、建设业主审核同意承包人的支出申请，不表示其对承包人提供资料的真实性、合法性承担责任，不表示其与承包人的供应商建立了合同关系，也不表示其同意承担承包人与供应商的任何权利义务。承包人与其供应商之间的任何纠纷与监理单位、建设业主无关。</w:t>
      </w:r>
    </w:p>
    <w:p w14:paraId="572CE770">
      <w:pPr>
        <w:spacing w:line="360" w:lineRule="auto"/>
        <w:rPr>
          <w:rFonts w:hint="eastAsia" w:ascii="宋体" w:hAnsi="宋体" w:cs="宋体"/>
          <w:color w:val="auto"/>
          <w:highlight w:val="none"/>
        </w:rPr>
      </w:pPr>
      <w:r>
        <w:rPr>
          <w:rFonts w:hint="eastAsia" w:ascii="宋体" w:hAnsi="宋体" w:cs="宋体"/>
          <w:color w:val="auto"/>
          <w:highlight w:val="none"/>
        </w:rPr>
        <w:t>六、本办法是本工程施工合同的组成部分，建设业主及承包人均应按本办法执行。</w:t>
      </w:r>
    </w:p>
    <w:p w14:paraId="51D12B24">
      <w:pPr>
        <w:spacing w:line="440" w:lineRule="exact"/>
        <w:ind w:left="-197" w:leftChars="-94"/>
        <w:jc w:val="both"/>
        <w:rPr>
          <w:rFonts w:ascii="宋体" w:hAnsi="宋体" w:eastAsia="宋体" w:cs="Times New Roman"/>
          <w:color w:val="auto"/>
          <w:highlight w:val="none"/>
        </w:rPr>
        <w:sectPr>
          <w:headerReference r:id="rId19" w:type="first"/>
          <w:footerReference r:id="rId22" w:type="first"/>
          <w:headerReference r:id="rId17" w:type="default"/>
          <w:footerReference r:id="rId20" w:type="default"/>
          <w:headerReference r:id="rId18" w:type="even"/>
          <w:footerReference r:id="rId21" w:type="even"/>
          <w:pgSz w:w="11906" w:h="16838"/>
          <w:pgMar w:top="1440" w:right="1080" w:bottom="1440" w:left="1080" w:header="850" w:footer="992" w:gutter="0"/>
          <w:pgNumType w:fmt="decimal"/>
          <w:cols w:space="720" w:num="1"/>
          <w:docGrid w:type="lines" w:linePitch="408" w:charSpace="0"/>
        </w:sectPr>
      </w:pPr>
    </w:p>
    <w:p w14:paraId="593126DE">
      <w:pPr>
        <w:keepNext/>
        <w:keepLines/>
        <w:spacing w:line="360" w:lineRule="auto"/>
        <w:jc w:val="center"/>
        <w:outlineLvl w:val="0"/>
        <w:rPr>
          <w:rFonts w:ascii="宋体" w:hAnsi="宋体" w:eastAsia="宋体" w:cs="宋体"/>
          <w:b/>
          <w:color w:val="auto"/>
          <w:kern w:val="44"/>
          <w:sz w:val="28"/>
          <w:szCs w:val="28"/>
          <w:highlight w:val="none"/>
        </w:rPr>
      </w:pPr>
      <w:bookmarkStart w:id="54" w:name="_Toc202907305"/>
      <w:r>
        <w:rPr>
          <w:rFonts w:hint="eastAsia" w:ascii="宋体" w:hAnsi="宋体" w:eastAsia="宋体" w:cs="宋体"/>
          <w:b/>
          <w:color w:val="auto"/>
          <w:kern w:val="44"/>
          <w:sz w:val="28"/>
          <w:szCs w:val="28"/>
          <w:highlight w:val="none"/>
        </w:rPr>
        <w:t>第四章 投标文件格式</w:t>
      </w:r>
      <w:bookmarkEnd w:id="54"/>
    </w:p>
    <w:p w14:paraId="209983DD">
      <w:pPr>
        <w:keepNext/>
        <w:keepLines/>
        <w:numPr>
          <w:ilvl w:val="0"/>
          <w:numId w:val="17"/>
        </w:numPr>
        <w:spacing w:line="360" w:lineRule="auto"/>
        <w:jc w:val="center"/>
        <w:outlineLvl w:val="1"/>
        <w:rPr>
          <w:rFonts w:ascii="宋体" w:hAnsi="宋体" w:eastAsia="宋体" w:cs="宋体"/>
          <w:b/>
          <w:color w:val="auto"/>
          <w:kern w:val="0"/>
          <w:sz w:val="24"/>
          <w:szCs w:val="24"/>
          <w:highlight w:val="none"/>
        </w:rPr>
      </w:pPr>
      <w:bookmarkStart w:id="55" w:name="_Toc152532517"/>
      <w:bookmarkEnd w:id="55"/>
      <w:bookmarkStart w:id="56" w:name="_Toc202907306"/>
      <w:bookmarkStart w:id="57" w:name="_Toc152532518"/>
      <w:r>
        <w:rPr>
          <w:rFonts w:hint="eastAsia" w:ascii="宋体" w:hAnsi="宋体" w:eastAsia="宋体" w:cs="宋体"/>
          <w:b/>
          <w:color w:val="auto"/>
          <w:kern w:val="0"/>
          <w:sz w:val="24"/>
          <w:szCs w:val="24"/>
          <w:highlight w:val="none"/>
        </w:rPr>
        <w:t>技术标投标文件格式</w:t>
      </w:r>
      <w:bookmarkEnd w:id="56"/>
      <w:bookmarkEnd w:id="57"/>
    </w:p>
    <w:p w14:paraId="5EF280B3">
      <w:pPr>
        <w:ind w:firstLine="420"/>
        <w:rPr>
          <w:rFonts w:ascii="宋体" w:hAnsi="宋体" w:eastAsia="宋体" w:cs="宋体"/>
          <w:color w:val="auto"/>
          <w:szCs w:val="20"/>
          <w:highlight w:val="none"/>
        </w:rPr>
      </w:pPr>
    </w:p>
    <w:p w14:paraId="62CAAC5E">
      <w:pPr>
        <w:pStyle w:val="4"/>
        <w:rPr>
          <w:color w:val="auto"/>
          <w:highlight w:val="none"/>
        </w:rPr>
      </w:pPr>
      <w:r>
        <w:rPr>
          <w:rFonts w:hint="eastAsia"/>
          <w:color w:val="auto"/>
          <w:highlight w:val="none"/>
        </w:rPr>
        <w:br w:type="page"/>
      </w:r>
      <w:bookmarkStart w:id="58" w:name="_Toc6493845"/>
      <w:bookmarkStart w:id="59" w:name="_Toc152532519"/>
      <w:bookmarkStart w:id="60" w:name="_Toc202907307"/>
      <w:r>
        <w:rPr>
          <w:rFonts w:hint="eastAsia"/>
          <w:color w:val="auto"/>
          <w:highlight w:val="none"/>
        </w:rPr>
        <w:t>格式一</w:t>
      </w:r>
      <w:bookmarkEnd w:id="58"/>
      <w:r>
        <w:rPr>
          <w:rFonts w:hint="eastAsia"/>
          <w:color w:val="auto"/>
          <w:highlight w:val="none"/>
        </w:rPr>
        <w:t>：</w:t>
      </w:r>
      <w:bookmarkEnd w:id="59"/>
      <w:bookmarkEnd w:id="60"/>
    </w:p>
    <w:p w14:paraId="15730A97">
      <w:pPr>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广州建设工程施工招标投标书</w:t>
      </w:r>
    </w:p>
    <w:tbl>
      <w:tblPr>
        <w:tblStyle w:val="50"/>
        <w:tblpPr w:leftFromText="180" w:rightFromText="180" w:vertAnchor="text" w:horzAnchor="margin" w:tblpXSpec="center" w:tblpY="27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8"/>
        <w:gridCol w:w="2622"/>
        <w:gridCol w:w="3794"/>
      </w:tblGrid>
      <w:tr w14:paraId="2539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6162" w:type="dxa"/>
            <w:gridSpan w:val="2"/>
            <w:tcBorders>
              <w:top w:val="single" w:color="auto" w:sz="4" w:space="0"/>
              <w:left w:val="single" w:color="auto" w:sz="4" w:space="0"/>
              <w:bottom w:val="single" w:color="auto" w:sz="4" w:space="0"/>
              <w:right w:val="single" w:color="auto" w:sz="4" w:space="0"/>
            </w:tcBorders>
            <w:vAlign w:val="center"/>
          </w:tcPr>
          <w:p w14:paraId="6D6120AB">
            <w:pPr>
              <w:jc w:val="left"/>
              <w:rPr>
                <w:rFonts w:ascii="宋体" w:hAnsi="宋体" w:eastAsia="宋体"/>
                <w:color w:val="auto"/>
                <w:szCs w:val="21"/>
                <w:highlight w:val="none"/>
                <w:lang w:val="zh-CN"/>
              </w:rPr>
            </w:pPr>
            <w:r>
              <w:rPr>
                <w:rFonts w:hint="eastAsia" w:ascii="宋体" w:hAnsi="宋体" w:eastAsia="宋体"/>
                <w:color w:val="auto"/>
                <w:szCs w:val="21"/>
                <w:highlight w:val="none"/>
                <w:lang w:val="zh-CN"/>
              </w:rPr>
              <w:t>工</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程</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名</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称</w:t>
            </w:r>
          </w:p>
        </w:tc>
        <w:tc>
          <w:tcPr>
            <w:tcW w:w="3794" w:type="dxa"/>
            <w:tcBorders>
              <w:top w:val="single" w:color="auto" w:sz="4" w:space="0"/>
              <w:left w:val="single" w:color="auto" w:sz="4" w:space="0"/>
              <w:bottom w:val="single" w:color="auto" w:sz="4" w:space="0"/>
              <w:right w:val="single" w:color="auto" w:sz="4" w:space="0"/>
            </w:tcBorders>
            <w:vAlign w:val="center"/>
          </w:tcPr>
          <w:p w14:paraId="4E6F624B">
            <w:pPr>
              <w:jc w:val="center"/>
              <w:rPr>
                <w:rFonts w:ascii="宋体" w:hAnsi="宋体" w:eastAsia="宋体"/>
                <w:color w:val="auto"/>
                <w:szCs w:val="21"/>
                <w:highlight w:val="none"/>
                <w:lang w:val="zh-CN"/>
              </w:rPr>
            </w:pPr>
            <w:r>
              <w:rPr>
                <w:rFonts w:hint="eastAsia" w:ascii="宋体" w:hAnsi="宋体" w:eastAsia="宋体"/>
                <w:color w:val="auto"/>
                <w:szCs w:val="21"/>
                <w:highlight w:val="none"/>
                <w:lang w:val="zh-CN" w:eastAsia="zh-CN"/>
              </w:rPr>
              <w:t>知识城凤凰湖-九龙湖云道项目施工总承包</w:t>
            </w:r>
          </w:p>
        </w:tc>
      </w:tr>
      <w:tr w14:paraId="3BD6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6162" w:type="dxa"/>
            <w:gridSpan w:val="2"/>
            <w:tcBorders>
              <w:top w:val="single" w:color="auto" w:sz="4" w:space="0"/>
              <w:left w:val="single" w:color="auto" w:sz="4" w:space="0"/>
              <w:bottom w:val="single" w:color="auto" w:sz="4" w:space="0"/>
              <w:right w:val="single" w:color="auto" w:sz="4" w:space="0"/>
            </w:tcBorders>
            <w:vAlign w:val="center"/>
          </w:tcPr>
          <w:p w14:paraId="5101ABB9">
            <w:pPr>
              <w:rPr>
                <w:rFonts w:ascii="宋体" w:hAnsi="宋体" w:eastAsia="宋体"/>
                <w:color w:val="auto"/>
                <w:szCs w:val="21"/>
                <w:highlight w:val="none"/>
                <w:lang w:val="zh-CN"/>
              </w:rPr>
            </w:pPr>
            <w:r>
              <w:rPr>
                <w:rFonts w:hint="eastAsia" w:ascii="宋体" w:hAnsi="宋体" w:eastAsia="宋体"/>
                <w:color w:val="auto"/>
                <w:szCs w:val="21"/>
                <w:highlight w:val="none"/>
                <w:lang w:val="zh-CN"/>
              </w:rPr>
              <w:t>投标总报价（元）</w:t>
            </w:r>
          </w:p>
        </w:tc>
        <w:tc>
          <w:tcPr>
            <w:tcW w:w="3794" w:type="dxa"/>
            <w:tcBorders>
              <w:top w:val="single" w:color="auto" w:sz="4" w:space="0"/>
              <w:left w:val="single" w:color="auto" w:sz="4" w:space="0"/>
              <w:bottom w:val="single" w:color="auto" w:sz="4" w:space="0"/>
              <w:right w:val="single" w:color="auto" w:sz="4" w:space="0"/>
            </w:tcBorders>
            <w:vAlign w:val="center"/>
          </w:tcPr>
          <w:p w14:paraId="198DFF21">
            <w:pPr>
              <w:rPr>
                <w:rFonts w:ascii="宋体" w:hAnsi="宋体" w:eastAsia="宋体"/>
                <w:color w:val="auto"/>
                <w:szCs w:val="21"/>
                <w:highlight w:val="none"/>
                <w:lang w:val="zh-CN"/>
              </w:rPr>
            </w:pPr>
          </w:p>
        </w:tc>
      </w:tr>
      <w:tr w14:paraId="7BBB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6162" w:type="dxa"/>
            <w:gridSpan w:val="2"/>
            <w:tcBorders>
              <w:top w:val="single" w:color="auto" w:sz="4" w:space="0"/>
              <w:left w:val="single" w:color="auto" w:sz="4" w:space="0"/>
              <w:bottom w:val="single" w:color="auto" w:sz="4" w:space="0"/>
              <w:right w:val="single" w:color="auto" w:sz="4" w:space="0"/>
            </w:tcBorders>
            <w:vAlign w:val="center"/>
          </w:tcPr>
          <w:p w14:paraId="4B4C0BBE">
            <w:pPr>
              <w:rPr>
                <w:rFonts w:ascii="宋体" w:hAnsi="宋体" w:eastAsia="宋体"/>
                <w:color w:val="auto"/>
                <w:szCs w:val="21"/>
                <w:highlight w:val="none"/>
                <w:lang w:val="zh-CN"/>
              </w:rPr>
            </w:pPr>
            <w:r>
              <w:rPr>
                <w:rFonts w:hint="eastAsia" w:ascii="宋体" w:hAnsi="宋体" w:eastAsia="宋体"/>
                <w:color w:val="auto"/>
                <w:szCs w:val="21"/>
                <w:highlight w:val="none"/>
                <w:lang w:val="zh-CN"/>
              </w:rPr>
              <w:t>其中：人工费（元）</w:t>
            </w:r>
          </w:p>
        </w:tc>
        <w:tc>
          <w:tcPr>
            <w:tcW w:w="3794" w:type="dxa"/>
            <w:tcBorders>
              <w:top w:val="single" w:color="auto" w:sz="4" w:space="0"/>
              <w:left w:val="single" w:color="auto" w:sz="4" w:space="0"/>
              <w:bottom w:val="single" w:color="auto" w:sz="4" w:space="0"/>
              <w:right w:val="single" w:color="auto" w:sz="4" w:space="0"/>
            </w:tcBorders>
            <w:vAlign w:val="center"/>
          </w:tcPr>
          <w:p w14:paraId="27F6843A">
            <w:pPr>
              <w:rPr>
                <w:rFonts w:ascii="宋体" w:hAnsi="宋体" w:eastAsia="宋体"/>
                <w:color w:val="auto"/>
                <w:szCs w:val="21"/>
                <w:highlight w:val="none"/>
                <w:lang w:val="zh-CN"/>
              </w:rPr>
            </w:pPr>
          </w:p>
        </w:tc>
      </w:tr>
      <w:tr w14:paraId="20A1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6162" w:type="dxa"/>
            <w:gridSpan w:val="2"/>
            <w:tcBorders>
              <w:top w:val="single" w:color="auto" w:sz="4" w:space="0"/>
              <w:left w:val="single" w:color="auto" w:sz="4" w:space="0"/>
              <w:bottom w:val="single" w:color="auto" w:sz="4" w:space="0"/>
              <w:right w:val="single" w:color="auto" w:sz="4" w:space="0"/>
            </w:tcBorders>
            <w:vAlign w:val="center"/>
          </w:tcPr>
          <w:p w14:paraId="4567D56E">
            <w:pPr>
              <w:rPr>
                <w:rFonts w:ascii="宋体" w:hAnsi="宋体" w:eastAsia="宋体"/>
                <w:color w:val="auto"/>
                <w:szCs w:val="21"/>
                <w:highlight w:val="none"/>
                <w:lang w:val="zh-CN"/>
              </w:rPr>
            </w:pPr>
            <w:r>
              <w:rPr>
                <w:rFonts w:hint="eastAsia" w:ascii="宋体" w:hAnsi="宋体" w:eastAsia="宋体"/>
                <w:color w:val="auto"/>
                <w:szCs w:val="21"/>
                <w:highlight w:val="none"/>
                <w:lang w:val="zh-CN"/>
              </w:rPr>
              <w:t>其中：安全</w:t>
            </w:r>
            <w:r>
              <w:rPr>
                <w:rFonts w:hint="eastAsia" w:ascii="宋体" w:hAnsi="宋体" w:eastAsia="宋体"/>
                <w:color w:val="auto"/>
                <w:szCs w:val="21"/>
                <w:highlight w:val="none"/>
                <w:lang w:val="en-US" w:eastAsia="zh-CN"/>
              </w:rPr>
              <w:t>生产</w:t>
            </w:r>
            <w:r>
              <w:rPr>
                <w:rFonts w:hint="eastAsia" w:ascii="宋体" w:hAnsi="宋体" w:eastAsia="宋体"/>
                <w:color w:val="auto"/>
                <w:szCs w:val="21"/>
                <w:highlight w:val="none"/>
                <w:lang w:val="zh-CN"/>
              </w:rPr>
              <w:t>措施费（元）</w:t>
            </w:r>
          </w:p>
        </w:tc>
        <w:tc>
          <w:tcPr>
            <w:tcW w:w="3794" w:type="dxa"/>
            <w:tcBorders>
              <w:top w:val="single" w:color="auto" w:sz="4" w:space="0"/>
              <w:left w:val="single" w:color="auto" w:sz="4" w:space="0"/>
              <w:bottom w:val="single" w:color="auto" w:sz="4" w:space="0"/>
              <w:right w:val="single" w:color="auto" w:sz="4" w:space="0"/>
            </w:tcBorders>
            <w:vAlign w:val="center"/>
          </w:tcPr>
          <w:p w14:paraId="63E51A44">
            <w:pPr>
              <w:rPr>
                <w:rFonts w:ascii="宋体" w:hAnsi="宋体" w:eastAsia="宋体"/>
                <w:color w:val="auto"/>
                <w:szCs w:val="21"/>
                <w:highlight w:val="none"/>
                <w:lang w:val="zh-CN"/>
              </w:rPr>
            </w:pPr>
          </w:p>
        </w:tc>
      </w:tr>
      <w:tr w14:paraId="2F33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6162" w:type="dxa"/>
            <w:gridSpan w:val="2"/>
            <w:tcBorders>
              <w:top w:val="single" w:color="auto" w:sz="4" w:space="0"/>
              <w:left w:val="single" w:color="auto" w:sz="4" w:space="0"/>
              <w:bottom w:val="single" w:color="auto" w:sz="4" w:space="0"/>
              <w:right w:val="single" w:color="auto" w:sz="4" w:space="0"/>
            </w:tcBorders>
            <w:vAlign w:val="center"/>
          </w:tcPr>
          <w:p w14:paraId="49A9FA0F">
            <w:pPr>
              <w:rPr>
                <w:rFonts w:ascii="宋体" w:hAnsi="宋体" w:eastAsia="宋体"/>
                <w:color w:val="auto"/>
                <w:szCs w:val="21"/>
                <w:highlight w:val="none"/>
                <w:lang w:val="zh-CN"/>
              </w:rPr>
            </w:pPr>
            <w:r>
              <w:rPr>
                <w:rFonts w:hint="eastAsia" w:ascii="宋体" w:hAnsi="宋体" w:eastAsia="宋体"/>
                <w:color w:val="auto"/>
                <w:szCs w:val="21"/>
                <w:highlight w:val="none"/>
                <w:lang w:val="zh-CN"/>
              </w:rPr>
              <w:t>投标总工期</w:t>
            </w:r>
          </w:p>
        </w:tc>
        <w:tc>
          <w:tcPr>
            <w:tcW w:w="3794" w:type="dxa"/>
            <w:tcBorders>
              <w:top w:val="single" w:color="auto" w:sz="4" w:space="0"/>
              <w:left w:val="single" w:color="auto" w:sz="4" w:space="0"/>
              <w:bottom w:val="single" w:color="auto" w:sz="4" w:space="0"/>
              <w:right w:val="single" w:color="auto" w:sz="4" w:space="0"/>
            </w:tcBorders>
          </w:tcPr>
          <w:p w14:paraId="067B5A30">
            <w:pPr>
              <w:rPr>
                <w:rFonts w:ascii="宋体" w:hAnsi="宋体" w:eastAsia="宋体"/>
                <w:color w:val="auto"/>
                <w:szCs w:val="21"/>
                <w:highlight w:val="none"/>
                <w:lang w:val="zh-CN"/>
              </w:rPr>
            </w:pPr>
          </w:p>
        </w:tc>
      </w:tr>
      <w:tr w14:paraId="2FC5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6162" w:type="dxa"/>
            <w:gridSpan w:val="2"/>
            <w:tcBorders>
              <w:top w:val="single" w:color="auto" w:sz="4" w:space="0"/>
              <w:left w:val="single" w:color="auto" w:sz="4" w:space="0"/>
              <w:bottom w:val="single" w:color="auto" w:sz="4" w:space="0"/>
              <w:right w:val="single" w:color="auto" w:sz="4" w:space="0"/>
            </w:tcBorders>
            <w:vAlign w:val="center"/>
          </w:tcPr>
          <w:p w14:paraId="766DABA5">
            <w:pPr>
              <w:rPr>
                <w:rFonts w:ascii="宋体" w:hAnsi="宋体" w:eastAsia="宋体"/>
                <w:color w:val="auto"/>
                <w:szCs w:val="21"/>
                <w:highlight w:val="none"/>
              </w:rPr>
            </w:pPr>
            <w:r>
              <w:rPr>
                <w:rFonts w:hint="eastAsia" w:ascii="宋体" w:hAnsi="宋体" w:eastAsia="宋体"/>
                <w:color w:val="auto"/>
                <w:szCs w:val="21"/>
                <w:highlight w:val="none"/>
                <w:lang w:val="zh-CN"/>
              </w:rPr>
              <w:t>工程质量标准</w:t>
            </w:r>
          </w:p>
        </w:tc>
        <w:tc>
          <w:tcPr>
            <w:tcW w:w="3794" w:type="dxa"/>
            <w:tcBorders>
              <w:top w:val="single" w:color="auto" w:sz="4" w:space="0"/>
              <w:left w:val="single" w:color="auto" w:sz="4" w:space="0"/>
              <w:bottom w:val="single" w:color="auto" w:sz="4" w:space="0"/>
              <w:right w:val="single" w:color="auto" w:sz="4" w:space="0"/>
            </w:tcBorders>
          </w:tcPr>
          <w:p w14:paraId="230A141B">
            <w:pPr>
              <w:rPr>
                <w:rFonts w:ascii="宋体" w:hAnsi="宋体" w:eastAsia="宋体"/>
                <w:color w:val="auto"/>
                <w:szCs w:val="21"/>
                <w:highlight w:val="none"/>
                <w:lang w:val="zh-CN"/>
              </w:rPr>
            </w:pPr>
          </w:p>
        </w:tc>
      </w:tr>
      <w:tr w14:paraId="7FDA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6162" w:type="dxa"/>
            <w:gridSpan w:val="2"/>
            <w:tcBorders>
              <w:top w:val="single" w:color="auto" w:sz="4" w:space="0"/>
              <w:left w:val="single" w:color="auto" w:sz="4" w:space="0"/>
              <w:bottom w:val="single" w:color="auto" w:sz="4" w:space="0"/>
              <w:right w:val="single" w:color="auto" w:sz="4" w:space="0"/>
            </w:tcBorders>
            <w:vAlign w:val="center"/>
          </w:tcPr>
          <w:p w14:paraId="7517B324">
            <w:pPr>
              <w:rPr>
                <w:rFonts w:ascii="宋体" w:hAnsi="宋体" w:eastAsia="宋体"/>
                <w:color w:val="auto"/>
                <w:szCs w:val="21"/>
                <w:highlight w:val="none"/>
                <w:lang w:val="zh-CN"/>
              </w:rPr>
            </w:pPr>
            <w:r>
              <w:rPr>
                <w:rFonts w:hint="eastAsia" w:ascii="宋体" w:hAnsi="宋体" w:eastAsia="宋体"/>
                <w:color w:val="auto"/>
                <w:szCs w:val="21"/>
                <w:highlight w:val="none"/>
                <w:lang w:val="zh-CN"/>
              </w:rPr>
              <w:t>保修期限</w:t>
            </w:r>
          </w:p>
        </w:tc>
        <w:tc>
          <w:tcPr>
            <w:tcW w:w="3794" w:type="dxa"/>
            <w:tcBorders>
              <w:top w:val="single" w:color="auto" w:sz="4" w:space="0"/>
              <w:left w:val="single" w:color="auto" w:sz="4" w:space="0"/>
              <w:bottom w:val="single" w:color="auto" w:sz="4" w:space="0"/>
              <w:right w:val="single" w:color="auto" w:sz="4" w:space="0"/>
            </w:tcBorders>
          </w:tcPr>
          <w:p w14:paraId="738CB5C0">
            <w:pPr>
              <w:rPr>
                <w:rFonts w:ascii="宋体" w:hAnsi="宋体" w:eastAsia="宋体"/>
                <w:color w:val="auto"/>
                <w:szCs w:val="21"/>
                <w:highlight w:val="none"/>
                <w:lang w:val="zh-CN"/>
              </w:rPr>
            </w:pPr>
          </w:p>
        </w:tc>
      </w:tr>
      <w:tr w14:paraId="2063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3539" w:type="dxa"/>
            <w:tcBorders>
              <w:top w:val="single" w:color="auto" w:sz="4" w:space="0"/>
              <w:left w:val="single" w:color="auto" w:sz="4" w:space="0"/>
              <w:right w:val="single" w:color="auto" w:sz="4" w:space="0"/>
            </w:tcBorders>
            <w:vAlign w:val="center"/>
          </w:tcPr>
          <w:p w14:paraId="36AA5FBA">
            <w:pPr>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委派的项目负责人</w:t>
            </w:r>
          </w:p>
        </w:tc>
        <w:tc>
          <w:tcPr>
            <w:tcW w:w="2623" w:type="dxa"/>
            <w:tcBorders>
              <w:top w:val="single" w:color="auto" w:sz="4" w:space="0"/>
              <w:left w:val="single" w:color="auto" w:sz="4" w:space="0"/>
              <w:bottom w:val="single" w:color="auto" w:sz="4" w:space="0"/>
              <w:right w:val="single" w:color="auto" w:sz="4" w:space="0"/>
            </w:tcBorders>
            <w:vAlign w:val="center"/>
          </w:tcPr>
          <w:p w14:paraId="376C3D37">
            <w:pPr>
              <w:jc w:val="left"/>
              <w:rPr>
                <w:rFonts w:ascii="宋体" w:hAnsi="宋体" w:eastAsia="宋体"/>
                <w:color w:val="auto"/>
                <w:szCs w:val="21"/>
                <w:highlight w:val="none"/>
                <w:lang w:val="zh-CN"/>
              </w:rPr>
            </w:pPr>
            <w:r>
              <w:rPr>
                <w:rFonts w:hint="eastAsia" w:ascii="宋体" w:hAnsi="宋体" w:eastAsia="宋体"/>
                <w:color w:val="auto"/>
                <w:szCs w:val="21"/>
                <w:highlight w:val="none"/>
                <w:lang w:val="zh-CN"/>
              </w:rPr>
              <w:t>姓</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名</w:t>
            </w:r>
          </w:p>
        </w:tc>
        <w:tc>
          <w:tcPr>
            <w:tcW w:w="3794" w:type="dxa"/>
            <w:tcBorders>
              <w:top w:val="single" w:color="auto" w:sz="4" w:space="0"/>
              <w:left w:val="single" w:color="auto" w:sz="4" w:space="0"/>
              <w:bottom w:val="single" w:color="auto" w:sz="4" w:space="0"/>
              <w:right w:val="single" w:color="auto" w:sz="4" w:space="0"/>
            </w:tcBorders>
          </w:tcPr>
          <w:p w14:paraId="2628A5D5">
            <w:pPr>
              <w:autoSpaceDE w:val="0"/>
              <w:autoSpaceDN w:val="0"/>
              <w:adjustRightInd w:val="0"/>
              <w:rPr>
                <w:rFonts w:ascii="宋体" w:hAnsi="宋体" w:eastAsia="宋体" w:cs="宋体"/>
                <w:bCs/>
                <w:color w:val="auto"/>
                <w:szCs w:val="21"/>
                <w:highlight w:val="none"/>
                <w:lang w:val="zh-CN"/>
              </w:rPr>
            </w:pPr>
          </w:p>
        </w:tc>
      </w:tr>
      <w:tr w14:paraId="07DA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3539" w:type="dxa"/>
            <w:tcBorders>
              <w:top w:val="single" w:color="auto" w:sz="4" w:space="0"/>
              <w:left w:val="single" w:color="auto" w:sz="4" w:space="0"/>
              <w:right w:val="single" w:color="auto" w:sz="4" w:space="0"/>
            </w:tcBorders>
            <w:vAlign w:val="center"/>
          </w:tcPr>
          <w:p w14:paraId="2C73E83D">
            <w:pPr>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委派的专职安全员</w:t>
            </w:r>
          </w:p>
        </w:tc>
        <w:tc>
          <w:tcPr>
            <w:tcW w:w="2623" w:type="dxa"/>
            <w:tcBorders>
              <w:top w:val="single" w:color="auto" w:sz="4" w:space="0"/>
              <w:left w:val="single" w:color="auto" w:sz="4" w:space="0"/>
              <w:bottom w:val="single" w:color="auto" w:sz="4" w:space="0"/>
              <w:right w:val="single" w:color="auto" w:sz="4" w:space="0"/>
            </w:tcBorders>
            <w:vAlign w:val="center"/>
          </w:tcPr>
          <w:p w14:paraId="1455D7CE">
            <w:pPr>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姓</w:t>
            </w:r>
            <w:r>
              <w:rPr>
                <w:rFonts w:ascii="宋体" w:hAnsi="宋体" w:eastAsia="宋体" w:cs="Times New Roman"/>
                <w:color w:val="auto"/>
                <w:szCs w:val="21"/>
                <w:highlight w:val="none"/>
                <w:lang w:val="zh-CN"/>
              </w:rPr>
              <w:t xml:space="preserve">   </w:t>
            </w:r>
            <w:r>
              <w:rPr>
                <w:rFonts w:hint="eastAsia" w:ascii="宋体" w:hAnsi="宋体" w:eastAsia="宋体" w:cs="Times New Roman"/>
                <w:color w:val="auto"/>
                <w:szCs w:val="21"/>
                <w:highlight w:val="none"/>
                <w:lang w:val="zh-CN"/>
              </w:rPr>
              <w:t>名</w:t>
            </w:r>
          </w:p>
        </w:tc>
        <w:tc>
          <w:tcPr>
            <w:tcW w:w="3794" w:type="dxa"/>
            <w:tcBorders>
              <w:top w:val="single" w:color="auto" w:sz="4" w:space="0"/>
              <w:left w:val="single" w:color="auto" w:sz="4" w:space="0"/>
              <w:bottom w:val="single" w:color="auto" w:sz="4" w:space="0"/>
              <w:right w:val="single" w:color="auto" w:sz="4" w:space="0"/>
            </w:tcBorders>
          </w:tcPr>
          <w:p w14:paraId="2A3BCF19">
            <w:pPr>
              <w:autoSpaceDE w:val="0"/>
              <w:autoSpaceDN w:val="0"/>
              <w:adjustRightInd w:val="0"/>
              <w:rPr>
                <w:rFonts w:ascii="宋体" w:hAnsi="宋体" w:eastAsia="宋体" w:cs="宋体"/>
                <w:bCs/>
                <w:color w:val="auto"/>
                <w:szCs w:val="21"/>
                <w:highlight w:val="none"/>
                <w:lang w:val="zh-CN"/>
              </w:rPr>
            </w:pPr>
          </w:p>
        </w:tc>
      </w:tr>
    </w:tbl>
    <w:p w14:paraId="193D3D55">
      <w:pPr>
        <w:pStyle w:val="4"/>
        <w:rPr>
          <w:snapToGrid w:val="0"/>
          <w:color w:val="auto"/>
          <w:spacing w:val="4"/>
          <w:highlight w:val="none"/>
        </w:rPr>
      </w:pPr>
      <w:r>
        <w:rPr>
          <w:rFonts w:hint="eastAsia"/>
          <w:b/>
          <w:color w:val="auto"/>
          <w:highlight w:val="none"/>
        </w:rPr>
        <w:br w:type="page"/>
      </w:r>
      <w:bookmarkStart w:id="61" w:name="_Toc152532520"/>
      <w:bookmarkStart w:id="62" w:name="_Toc202907308"/>
      <w:r>
        <w:rPr>
          <w:rFonts w:hint="eastAsia"/>
          <w:color w:val="auto"/>
          <w:highlight w:val="none"/>
        </w:rPr>
        <w:t>格式二：</w:t>
      </w:r>
      <w:bookmarkEnd w:id="61"/>
      <w:bookmarkEnd w:id="62"/>
    </w:p>
    <w:p w14:paraId="3E3143B2">
      <w:pPr>
        <w:topLinePunct/>
        <w:spacing w:line="360" w:lineRule="auto"/>
        <w:jc w:val="center"/>
        <w:rPr>
          <w:rFonts w:ascii="宋体" w:hAnsi="宋体" w:eastAsia="宋体" w:cs="宋体"/>
          <w:b/>
          <w:snapToGrid w:val="0"/>
          <w:color w:val="auto"/>
          <w:spacing w:val="4"/>
          <w:kern w:val="0"/>
          <w:sz w:val="32"/>
          <w:szCs w:val="32"/>
          <w:highlight w:val="none"/>
        </w:rPr>
      </w:pPr>
      <w:r>
        <w:rPr>
          <w:rFonts w:hint="eastAsia" w:ascii="宋体" w:hAnsi="宋体" w:eastAsia="宋体" w:cs="宋体"/>
          <w:b/>
          <w:snapToGrid w:val="0"/>
          <w:color w:val="auto"/>
          <w:spacing w:val="4"/>
          <w:kern w:val="0"/>
          <w:sz w:val="32"/>
          <w:szCs w:val="32"/>
          <w:highlight w:val="none"/>
        </w:rPr>
        <w:t>投 标 函</w:t>
      </w:r>
    </w:p>
    <w:p w14:paraId="31B6820C">
      <w:pPr>
        <w:topLinePunct/>
        <w:spacing w:line="360" w:lineRule="auto"/>
        <w:rPr>
          <w:rFonts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致：</w:t>
      </w:r>
      <w:r>
        <w:rPr>
          <w:rFonts w:hint="eastAsia" w:ascii="宋体" w:hAnsi="宋体" w:eastAsia="宋体" w:cs="宋体"/>
          <w:snapToGrid w:val="0"/>
          <w:color w:val="auto"/>
          <w:spacing w:val="4"/>
          <w:kern w:val="0"/>
          <w:sz w:val="24"/>
          <w:szCs w:val="24"/>
          <w:highlight w:val="none"/>
          <w:u w:val="single"/>
        </w:rPr>
        <w:t>中新广州知识城财政投资建设项目管理中心</w:t>
      </w:r>
    </w:p>
    <w:p w14:paraId="70B9CFC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1.根据已收到贵方的项目编号为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zh-CN" w:eastAsia="zh-CN"/>
        </w:rPr>
        <w:t>知识城凤凰湖-九龙湖云道项目施工总承包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的招标文件，并已详细审核了全部招标文件及有关附件。</w:t>
      </w:r>
    </w:p>
    <w:p w14:paraId="1D289E3C">
      <w:pPr>
        <w:spacing w:line="360" w:lineRule="auto"/>
        <w:ind w:firstLine="523" w:firstLineChars="218"/>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3065C8F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愿以经济标中的投标报价并按上述合同条款、标准和技术规范、图纸、工程量清单等的要求承包上述工程的施工、竣工并修补其任何缺陷。</w:t>
      </w:r>
    </w:p>
    <w:p w14:paraId="7A6A1ED2">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14:paraId="004167D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4.我方理解贵方将不受必须接受你们所收到的最低标价或其它任何投标文件的约束。</w:t>
      </w:r>
    </w:p>
    <w:p w14:paraId="5C582F4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olor w:val="auto"/>
          <w:highlight w:val="none"/>
        </w:rPr>
        <w:t xml:space="preserve"> </w:t>
      </w:r>
      <w:r>
        <w:rPr>
          <w:rFonts w:hint="eastAsia" w:ascii="宋体" w:hAnsi="宋体" w:eastAsia="宋体" w:cs="宋体"/>
          <w:color w:val="auto"/>
          <w:sz w:val="24"/>
          <w:szCs w:val="24"/>
          <w:highlight w:val="none"/>
        </w:rPr>
        <w:t>如果我方中标，我方保证在投标文件所附《广州建设工程施工招标投标书》中承诺的投标总工期内完成并移交本工程，保证工程质量达到在投标文件所附《广州建设工程施工招标投标书》中承诺的工程质量标准要求。</w:t>
      </w:r>
    </w:p>
    <w:p w14:paraId="5415E36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6.如果我方中标，我方将按照规定递交由招标人认可，并在招标文件中规定金额的履约保函。</w:t>
      </w:r>
    </w:p>
    <w:p w14:paraId="1D0ED48C">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7.除非另外达成协议并生效，贵方的中标通知书和本投标文件将成为约束双方的合同文件的组成部分。</w:t>
      </w:r>
    </w:p>
    <w:p w14:paraId="7F9BAD10">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74DE989A">
      <w:pPr>
        <w:spacing w:line="360" w:lineRule="auto"/>
        <w:ind w:firstLine="481"/>
        <w:rPr>
          <w:rFonts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kern w:val="0"/>
          <w:sz w:val="24"/>
          <w:szCs w:val="24"/>
          <w:highlight w:val="none"/>
        </w:rPr>
        <w:t>如我方中标，我方承诺：须按</w:t>
      </w:r>
      <w:r>
        <w:rPr>
          <w:rFonts w:hint="eastAsia" w:ascii="宋体" w:hAnsi="宋体" w:eastAsia="宋体" w:cs="宋体"/>
          <w:color w:val="auto"/>
          <w:szCs w:val="21"/>
          <w:highlight w:val="none"/>
        </w:rPr>
        <w:t>《</w:t>
      </w:r>
      <w:r>
        <w:rPr>
          <w:rFonts w:hint="eastAsia" w:ascii="宋体" w:hAnsi="宋体" w:eastAsia="宋体" w:cs="宋体"/>
          <w:color w:val="auto"/>
          <w:sz w:val="24"/>
          <w:szCs w:val="24"/>
          <w:highlight w:val="none"/>
        </w:rPr>
        <w:t>广州开发区财政投资建设项目管理中心施工类合同结算编审指引（2024年修订稿）》（穗开建管【2024】65号</w:t>
      </w:r>
      <w:r>
        <w:rPr>
          <w:rFonts w:hint="eastAsia" w:ascii="宋体" w:hAnsi="宋体" w:eastAsia="宋体" w:cs="宋体"/>
          <w:color w:val="auto"/>
          <w:szCs w:val="21"/>
          <w:highlight w:val="none"/>
        </w:rPr>
        <w:t>）</w:t>
      </w:r>
      <w:r>
        <w:rPr>
          <w:rFonts w:hint="eastAsia" w:ascii="宋体" w:hAnsi="宋体" w:eastAsia="宋体" w:cs="宋体"/>
          <w:b/>
          <w:bCs/>
          <w:color w:val="auto"/>
          <w:kern w:val="0"/>
          <w:sz w:val="24"/>
          <w:szCs w:val="24"/>
          <w:highlight w:val="none"/>
        </w:rPr>
        <w:t>及广州开发区有关规定编制及办理建设项目工程结算。本公司未按上述规定的期限和内容编制及办理建设项目工程结算，经建设业主或代建单位或监理人书面通知之日起2个月内（最长期限不得超过6个月）仍未提交编制及办理建设项目工程结算的相关文件的，监理人和建设业主有权根据建设业主已有资料进行审核并报财政部门审定，财政部门审定的竣工结算合同总价视同是经我方认可的工程竣工结算合同总价。</w:t>
      </w:r>
    </w:p>
    <w:p w14:paraId="155CD66B">
      <w:pPr>
        <w:spacing w:line="360" w:lineRule="auto"/>
        <w:ind w:firstLine="481"/>
        <w:rPr>
          <w:rFonts w:ascii="宋体" w:hAnsi="宋体" w:eastAsia="宋体" w:cs="宋体"/>
          <w:snapToGrid w:val="0"/>
          <w:color w:val="auto"/>
          <w:spacing w:val="4"/>
          <w:kern w:val="0"/>
          <w:sz w:val="24"/>
          <w:szCs w:val="24"/>
          <w:highlight w:val="none"/>
        </w:rPr>
      </w:pPr>
    </w:p>
    <w:p w14:paraId="54D01A83">
      <w:pPr>
        <w:topLinePunct/>
        <w:spacing w:line="360" w:lineRule="auto"/>
        <w:ind w:firstLine="691" w:firstLineChars="279"/>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 xml:space="preserve">投 标 人：    </w:t>
      </w:r>
    </w:p>
    <w:p w14:paraId="2469D38B">
      <w:pPr>
        <w:topLinePunct/>
        <w:spacing w:line="360" w:lineRule="auto"/>
        <w:ind w:firstLine="691" w:firstLineChars="279"/>
        <w:rPr>
          <w:rFonts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 xml:space="preserve">日    期：    年    月    日 </w:t>
      </w:r>
    </w:p>
    <w:p w14:paraId="39760596">
      <w:pPr>
        <w:topLinePunct/>
        <w:spacing w:line="360" w:lineRule="auto"/>
        <w:ind w:firstLine="691" w:firstLineChars="279"/>
        <w:rPr>
          <w:rFonts w:ascii="宋体" w:hAnsi="宋体" w:eastAsia="宋体" w:cs="宋体"/>
          <w:snapToGrid w:val="0"/>
          <w:color w:val="auto"/>
          <w:spacing w:val="4"/>
          <w:kern w:val="0"/>
          <w:sz w:val="24"/>
          <w:szCs w:val="24"/>
          <w:highlight w:val="none"/>
        </w:rPr>
      </w:pPr>
    </w:p>
    <w:p w14:paraId="11675717">
      <w:pPr>
        <w:spacing w:line="360" w:lineRule="auto"/>
        <w:jc w:val="left"/>
        <w:rPr>
          <w:rFonts w:ascii="宋体" w:hAnsi="宋体" w:eastAsia="宋体" w:cs="宋体"/>
          <w:color w:val="auto"/>
          <w:sz w:val="24"/>
          <w:szCs w:val="24"/>
          <w:highlight w:val="none"/>
        </w:rPr>
      </w:pPr>
    </w:p>
    <w:p w14:paraId="51F5A8C1">
      <w:pPr>
        <w:topLinePunct/>
        <w:spacing w:line="360" w:lineRule="auto"/>
        <w:ind w:firstLine="482" w:firstLineChars="200"/>
        <w:rPr>
          <w:rFonts w:ascii="宋体" w:hAnsi="宋体" w:eastAsia="宋体" w:cs="宋体"/>
          <w:b/>
          <w:color w:val="auto"/>
          <w:sz w:val="24"/>
          <w:szCs w:val="24"/>
          <w:highlight w:val="none"/>
        </w:rPr>
      </w:pPr>
    </w:p>
    <w:p w14:paraId="51BEB465">
      <w:pPr>
        <w:autoSpaceDE w:val="0"/>
        <w:autoSpaceDN w:val="0"/>
        <w:spacing w:line="360" w:lineRule="auto"/>
        <w:ind w:firstLine="482" w:firstLineChars="200"/>
        <w:rPr>
          <w:rFonts w:ascii="宋体" w:hAnsi="宋体" w:eastAsia="宋体" w:cs="宋体"/>
          <w:b/>
          <w:color w:val="auto"/>
          <w:sz w:val="24"/>
          <w:szCs w:val="24"/>
          <w:highlight w:val="none"/>
        </w:rPr>
      </w:pPr>
    </w:p>
    <w:p w14:paraId="5E2BC20D">
      <w:pPr>
        <w:pStyle w:val="4"/>
        <w:rPr>
          <w:color w:val="auto"/>
          <w:highlight w:val="none"/>
        </w:rPr>
      </w:pPr>
      <w:bookmarkStart w:id="63" w:name="_Toc478375101"/>
      <w:bookmarkStart w:id="64" w:name="_Toc474749524"/>
      <w:r>
        <w:rPr>
          <w:rFonts w:hint="eastAsia"/>
          <w:bCs/>
          <w:color w:val="auto"/>
          <w:highlight w:val="none"/>
        </w:rPr>
        <w:br w:type="page"/>
      </w:r>
      <w:bookmarkStart w:id="65" w:name="_Toc152532521"/>
      <w:bookmarkStart w:id="66" w:name="_Toc202907309"/>
      <w:r>
        <w:rPr>
          <w:rFonts w:hint="eastAsia"/>
          <w:color w:val="auto"/>
          <w:highlight w:val="none"/>
        </w:rPr>
        <w:t>格式三：</w:t>
      </w:r>
      <w:bookmarkEnd w:id="65"/>
      <w:bookmarkEnd w:id="66"/>
    </w:p>
    <w:p w14:paraId="6C9B72F6">
      <w:pPr>
        <w:topLinePunct/>
        <w:spacing w:line="360" w:lineRule="auto"/>
        <w:jc w:val="center"/>
        <w:rPr>
          <w:rFonts w:ascii="宋体" w:hAnsi="宋体" w:eastAsia="宋体" w:cs="宋体"/>
          <w:b/>
          <w:snapToGrid w:val="0"/>
          <w:color w:val="auto"/>
          <w:spacing w:val="4"/>
          <w:kern w:val="0"/>
          <w:sz w:val="32"/>
          <w:szCs w:val="32"/>
          <w:highlight w:val="none"/>
        </w:rPr>
      </w:pPr>
      <w:r>
        <w:rPr>
          <w:rFonts w:hint="eastAsia" w:ascii="宋体" w:hAnsi="宋体" w:eastAsia="宋体" w:cs="宋体"/>
          <w:b/>
          <w:snapToGrid w:val="0"/>
          <w:color w:val="auto"/>
          <w:spacing w:val="4"/>
          <w:kern w:val="0"/>
          <w:sz w:val="32"/>
          <w:szCs w:val="32"/>
          <w:highlight w:val="none"/>
        </w:rPr>
        <w:t>投标人廉洁承诺书</w:t>
      </w:r>
    </w:p>
    <w:p w14:paraId="6D549395">
      <w:pPr>
        <w:spacing w:line="360" w:lineRule="auto"/>
        <w:ind w:right="420"/>
        <w:rPr>
          <w:rFonts w:ascii="宋体" w:hAnsi="宋体" w:eastAsia="宋体" w:cs="宋体"/>
          <w:color w:val="auto"/>
          <w:szCs w:val="21"/>
          <w:highlight w:val="none"/>
        </w:rPr>
      </w:pPr>
      <w:r>
        <w:rPr>
          <w:rFonts w:hint="eastAsia" w:ascii="宋体" w:hAnsi="宋体" w:eastAsia="宋体" w:cs="宋体"/>
          <w:color w:val="auto"/>
          <w:szCs w:val="21"/>
          <w:highlight w:val="none"/>
        </w:rPr>
        <w:t>本招标项目招标人及招标监管机构：</w:t>
      </w:r>
    </w:p>
    <w:p w14:paraId="20B45CAA">
      <w:pPr>
        <w:spacing w:line="360" w:lineRule="auto"/>
        <w:ind w:righ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本公司参加了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zh-CN" w:eastAsia="zh-CN"/>
        </w:rPr>
        <w:t>知识城凤凰湖-九龙湖云道项目施工总承包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7964066D">
      <w:pPr>
        <w:spacing w:line="360" w:lineRule="auto"/>
        <w:ind w:righ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一、自觉遵守国家有关法律法规及廉洁规定。</w:t>
      </w:r>
    </w:p>
    <w:p w14:paraId="745B3A0C">
      <w:pPr>
        <w:spacing w:line="360" w:lineRule="auto"/>
        <w:ind w:righ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二、不与招标单位工作人员串通投标，损害国家利益、企业利益以及他人的合法利益；</w:t>
      </w:r>
    </w:p>
    <w:p w14:paraId="4D87001D">
      <w:pPr>
        <w:spacing w:line="360" w:lineRule="auto"/>
        <w:ind w:righ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三、不与其他单位围标、串标，不出让投标资格，不向招标人或评标委员会成员行贿。</w:t>
      </w:r>
    </w:p>
    <w:p w14:paraId="4EB987B5">
      <w:pPr>
        <w:spacing w:line="360" w:lineRule="auto"/>
        <w:ind w:righ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四、不以任何名义向参与招标、评标工作的有关人员提供高消费宴请及娱乐活动和赠送回扣、红包、礼金、购物卡、有价证券、贵重物品和好处费、感谢费等； </w:t>
      </w:r>
    </w:p>
    <w:p w14:paraId="6EFB2BE7">
      <w:pPr>
        <w:spacing w:line="360" w:lineRule="auto"/>
        <w:ind w:righ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五、不以任何名义为参与招标、评标工作的有关人员装修住房、婚丧嫁娶、配偶子女的工作安排以及境内外旅游等提供方便；</w:t>
      </w:r>
    </w:p>
    <w:p w14:paraId="266A9606">
      <w:pPr>
        <w:spacing w:line="360" w:lineRule="auto"/>
        <w:ind w:righ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六、不以谋取非正当利益为目的，擅自与参与招标、评标工作的有关人员就业务问题进行私下商谈或者达成利益默契。</w:t>
      </w:r>
    </w:p>
    <w:p w14:paraId="663A7D37">
      <w:pPr>
        <w:spacing w:line="360" w:lineRule="auto"/>
        <w:ind w:righ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本公司违反上述承诺，或本承诺陈述与事实不符，经查实，本公司愿意接受公开通报，被招标监管部门信用评价记录不良行为并扣分，并承担由此带来的法律后果。</w:t>
      </w:r>
    </w:p>
    <w:p w14:paraId="16716290">
      <w:pPr>
        <w:rPr>
          <w:rFonts w:ascii="宋体" w:hAnsi="宋体" w:eastAsia="宋体" w:cs="宋体"/>
          <w:color w:val="auto"/>
          <w:szCs w:val="21"/>
          <w:highlight w:val="none"/>
        </w:rPr>
      </w:pPr>
    </w:p>
    <w:p w14:paraId="28EF77C2">
      <w:pPr>
        <w:ind w:firstLine="420"/>
        <w:rPr>
          <w:rFonts w:ascii="宋体" w:hAnsi="宋体" w:eastAsia="宋体" w:cs="宋体"/>
          <w:color w:val="auto"/>
          <w:szCs w:val="21"/>
          <w:highlight w:val="none"/>
        </w:rPr>
      </w:pPr>
    </w:p>
    <w:p w14:paraId="3F308490">
      <w:pPr>
        <w:jc w:val="right"/>
        <w:rPr>
          <w:rFonts w:ascii="宋体" w:hAnsi="宋体" w:eastAsia="宋体" w:cs="宋体"/>
          <w:color w:val="auto"/>
          <w:szCs w:val="21"/>
          <w:highlight w:val="none"/>
        </w:rPr>
      </w:pPr>
      <w:r>
        <w:rPr>
          <w:rFonts w:hint="eastAsia" w:ascii="宋体" w:hAnsi="宋体" w:eastAsia="宋体" w:cs="宋体"/>
          <w:color w:val="auto"/>
          <w:szCs w:val="21"/>
          <w:highlight w:val="none"/>
        </w:rPr>
        <w:t>承诺企业：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0E6D78EF">
      <w:pPr>
        <w:topLinePunct/>
        <w:spacing w:line="360" w:lineRule="auto"/>
        <w:jc w:val="center"/>
        <w:rPr>
          <w:rFonts w:ascii="宋体" w:hAnsi="宋体" w:eastAsia="宋体"/>
          <w:color w:val="auto"/>
          <w:highlight w:val="none"/>
        </w:rPr>
      </w:pPr>
      <w:r>
        <w:rPr>
          <w:rFonts w:hint="eastAsia" w:ascii="宋体" w:hAnsi="宋体" w:eastAsia="宋体" w:cs="宋体"/>
          <w:b/>
          <w:color w:val="auto"/>
          <w:sz w:val="36"/>
          <w:szCs w:val="36"/>
          <w:highlight w:val="none"/>
        </w:rPr>
        <w:br w:type="page"/>
      </w:r>
      <w:bookmarkStart w:id="67" w:name="_Toc152532523"/>
    </w:p>
    <w:p w14:paraId="597A3BD9">
      <w:pPr>
        <w:pStyle w:val="4"/>
        <w:rPr>
          <w:b/>
          <w:snapToGrid w:val="0"/>
          <w:color w:val="auto"/>
          <w:spacing w:val="4"/>
          <w:highlight w:val="none"/>
        </w:rPr>
      </w:pPr>
      <w:bookmarkStart w:id="68" w:name="_Toc202907310"/>
      <w:r>
        <w:rPr>
          <w:rFonts w:hint="eastAsia"/>
          <w:color w:val="auto"/>
          <w:highlight w:val="none"/>
        </w:rPr>
        <w:t>格式四：</w:t>
      </w:r>
      <w:bookmarkEnd w:id="68"/>
    </w:p>
    <w:p w14:paraId="48A47CD6">
      <w:pPr>
        <w:topLinePunct/>
        <w:spacing w:line="360" w:lineRule="auto"/>
        <w:jc w:val="center"/>
        <w:rPr>
          <w:rFonts w:ascii="宋体" w:hAnsi="宋体" w:eastAsia="宋体" w:cs="宋体"/>
          <w:b/>
          <w:snapToGrid w:val="0"/>
          <w:color w:val="auto"/>
          <w:spacing w:val="4"/>
          <w:kern w:val="0"/>
          <w:sz w:val="32"/>
          <w:szCs w:val="32"/>
          <w:highlight w:val="none"/>
        </w:rPr>
      </w:pPr>
      <w:r>
        <w:rPr>
          <w:rFonts w:hint="eastAsia" w:ascii="宋体" w:hAnsi="宋体" w:eastAsia="宋体" w:cs="宋体"/>
          <w:b/>
          <w:snapToGrid w:val="0"/>
          <w:color w:val="auto"/>
          <w:spacing w:val="4"/>
          <w:kern w:val="0"/>
          <w:sz w:val="32"/>
          <w:szCs w:val="32"/>
          <w:highlight w:val="none"/>
        </w:rPr>
        <w:t>投入主要人员汇总表</w:t>
      </w: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2032"/>
        <w:gridCol w:w="2020"/>
        <w:gridCol w:w="2178"/>
        <w:gridCol w:w="2903"/>
      </w:tblGrid>
      <w:tr w14:paraId="50E0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4FCFCB78">
            <w:pPr>
              <w:jc w:val="center"/>
              <w:rPr>
                <w:rFonts w:ascii="宋体" w:hAnsi="宋体" w:eastAsia="宋体" w:cs="宋体"/>
                <w:b/>
                <w:color w:val="auto"/>
                <w:kern w:val="44"/>
                <w:szCs w:val="21"/>
                <w:highlight w:val="none"/>
              </w:rPr>
            </w:pPr>
            <w:r>
              <w:rPr>
                <w:rFonts w:hint="eastAsia" w:ascii="宋体" w:hAnsi="宋体" w:eastAsia="宋体" w:cs="宋体"/>
                <w:b/>
                <w:color w:val="auto"/>
                <w:kern w:val="44"/>
                <w:szCs w:val="21"/>
                <w:highlight w:val="none"/>
              </w:rPr>
              <w:t>投标人拟投入情况</w:t>
            </w:r>
          </w:p>
        </w:tc>
      </w:tr>
      <w:tr w14:paraId="535B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416" w:type="pct"/>
            <w:tcBorders>
              <w:top w:val="single" w:color="auto" w:sz="4" w:space="0"/>
              <w:left w:val="single" w:color="auto" w:sz="4" w:space="0"/>
              <w:bottom w:val="single" w:color="auto" w:sz="4" w:space="0"/>
              <w:right w:val="single" w:color="auto" w:sz="4" w:space="0"/>
            </w:tcBorders>
            <w:vAlign w:val="center"/>
          </w:tcPr>
          <w:p w14:paraId="1962BFC4">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1020" w:type="pct"/>
            <w:tcBorders>
              <w:top w:val="single" w:color="auto" w:sz="4" w:space="0"/>
              <w:left w:val="single" w:color="auto" w:sz="4" w:space="0"/>
              <w:bottom w:val="single" w:color="auto" w:sz="4" w:space="0"/>
              <w:right w:val="single" w:color="auto" w:sz="4" w:space="0"/>
            </w:tcBorders>
            <w:vAlign w:val="center"/>
          </w:tcPr>
          <w:p w14:paraId="3A7FA75F">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姓名</w:t>
            </w:r>
          </w:p>
        </w:tc>
        <w:tc>
          <w:tcPr>
            <w:tcW w:w="1014" w:type="pct"/>
            <w:tcBorders>
              <w:top w:val="single" w:color="auto" w:sz="4" w:space="0"/>
              <w:left w:val="single" w:color="auto" w:sz="4" w:space="0"/>
              <w:bottom w:val="single" w:color="auto" w:sz="4" w:space="0"/>
              <w:right w:val="single" w:color="auto" w:sz="4" w:space="0"/>
            </w:tcBorders>
            <w:vAlign w:val="center"/>
          </w:tcPr>
          <w:p w14:paraId="4AE98969">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岗位</w:t>
            </w:r>
          </w:p>
        </w:tc>
        <w:tc>
          <w:tcPr>
            <w:tcW w:w="1093" w:type="pct"/>
            <w:tcBorders>
              <w:top w:val="single" w:color="auto" w:sz="4" w:space="0"/>
              <w:left w:val="single" w:color="auto" w:sz="4" w:space="0"/>
              <w:bottom w:val="single" w:color="auto" w:sz="4" w:space="0"/>
              <w:right w:val="single" w:color="auto" w:sz="4" w:space="0"/>
            </w:tcBorders>
            <w:vAlign w:val="center"/>
          </w:tcPr>
          <w:p w14:paraId="4B2C38E6">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职称</w:t>
            </w:r>
          </w:p>
        </w:tc>
        <w:tc>
          <w:tcPr>
            <w:tcW w:w="1454" w:type="pct"/>
            <w:tcBorders>
              <w:top w:val="single" w:color="auto" w:sz="4" w:space="0"/>
              <w:left w:val="single" w:color="auto" w:sz="4" w:space="0"/>
              <w:bottom w:val="single" w:color="auto" w:sz="4" w:space="0"/>
              <w:right w:val="single" w:color="auto" w:sz="4" w:space="0"/>
            </w:tcBorders>
            <w:vAlign w:val="center"/>
          </w:tcPr>
          <w:p w14:paraId="5F91FA5E">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职称证书或资格证书编号</w:t>
            </w:r>
          </w:p>
        </w:tc>
      </w:tr>
      <w:tr w14:paraId="4344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tcBorders>
              <w:top w:val="single" w:color="auto" w:sz="4" w:space="0"/>
              <w:left w:val="single" w:color="auto" w:sz="4" w:space="0"/>
              <w:bottom w:val="single" w:color="auto" w:sz="4" w:space="0"/>
              <w:right w:val="single" w:color="auto" w:sz="4" w:space="0"/>
            </w:tcBorders>
          </w:tcPr>
          <w:p w14:paraId="54C04D6C">
            <w:pPr>
              <w:widowControl/>
              <w:jc w:val="left"/>
              <w:rPr>
                <w:rFonts w:ascii="宋体" w:hAnsi="宋体" w:eastAsia="宋体" w:cs="宋体"/>
                <w:color w:val="auto"/>
                <w:szCs w:val="21"/>
                <w:highlight w:val="none"/>
              </w:rPr>
            </w:pPr>
          </w:p>
        </w:tc>
        <w:tc>
          <w:tcPr>
            <w:tcW w:w="1020" w:type="pct"/>
            <w:tcBorders>
              <w:top w:val="single" w:color="auto" w:sz="4" w:space="0"/>
              <w:left w:val="single" w:color="auto" w:sz="4" w:space="0"/>
              <w:bottom w:val="single" w:color="auto" w:sz="4" w:space="0"/>
              <w:right w:val="single" w:color="auto" w:sz="4" w:space="0"/>
            </w:tcBorders>
            <w:vAlign w:val="center"/>
          </w:tcPr>
          <w:p w14:paraId="587A9397">
            <w:pPr>
              <w:widowControl/>
              <w:jc w:val="center"/>
              <w:textAlignment w:val="center"/>
              <w:rPr>
                <w:rFonts w:ascii="宋体" w:hAnsi="宋体" w:eastAsia="宋体" w:cs="宋体"/>
                <w:b/>
                <w:bCs/>
                <w:color w:val="auto"/>
                <w:sz w:val="24"/>
                <w:szCs w:val="24"/>
                <w:highlight w:val="none"/>
              </w:rPr>
            </w:pPr>
          </w:p>
        </w:tc>
        <w:tc>
          <w:tcPr>
            <w:tcW w:w="1014" w:type="pct"/>
            <w:tcBorders>
              <w:top w:val="single" w:color="auto" w:sz="4" w:space="0"/>
              <w:left w:val="single" w:color="auto" w:sz="4" w:space="0"/>
              <w:bottom w:val="single" w:color="auto" w:sz="4" w:space="0"/>
              <w:right w:val="single" w:color="auto" w:sz="4" w:space="0"/>
            </w:tcBorders>
            <w:vAlign w:val="center"/>
          </w:tcPr>
          <w:p w14:paraId="3DF1C114">
            <w:pPr>
              <w:widowControl/>
              <w:jc w:val="center"/>
              <w:textAlignment w:val="center"/>
              <w:rPr>
                <w:rFonts w:ascii="宋体" w:hAnsi="宋体" w:eastAsia="宋体" w:cs="宋体"/>
                <w:b/>
                <w:bCs/>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vAlign w:val="center"/>
          </w:tcPr>
          <w:p w14:paraId="527BBE5B">
            <w:pPr>
              <w:widowControl/>
              <w:jc w:val="center"/>
              <w:textAlignment w:val="center"/>
              <w:rPr>
                <w:rFonts w:ascii="宋体" w:hAnsi="宋体" w:eastAsia="宋体" w:cs="宋体"/>
                <w:b/>
                <w:bCs/>
                <w:color w:val="auto"/>
                <w:sz w:val="24"/>
                <w:szCs w:val="24"/>
                <w:highlight w:val="none"/>
              </w:rPr>
            </w:pPr>
          </w:p>
        </w:tc>
        <w:tc>
          <w:tcPr>
            <w:tcW w:w="1454" w:type="pct"/>
            <w:tcBorders>
              <w:top w:val="single" w:color="auto" w:sz="4" w:space="0"/>
              <w:left w:val="single" w:color="auto" w:sz="4" w:space="0"/>
              <w:bottom w:val="single" w:color="auto" w:sz="4" w:space="0"/>
              <w:right w:val="single" w:color="auto" w:sz="4" w:space="0"/>
            </w:tcBorders>
            <w:vAlign w:val="center"/>
          </w:tcPr>
          <w:p w14:paraId="633D5A43">
            <w:pPr>
              <w:widowControl/>
              <w:jc w:val="center"/>
              <w:textAlignment w:val="center"/>
              <w:rPr>
                <w:rFonts w:ascii="宋体" w:hAnsi="宋体" w:eastAsia="宋体" w:cs="宋体"/>
                <w:b/>
                <w:bCs/>
                <w:color w:val="auto"/>
                <w:sz w:val="24"/>
                <w:szCs w:val="24"/>
                <w:highlight w:val="none"/>
              </w:rPr>
            </w:pPr>
          </w:p>
        </w:tc>
      </w:tr>
      <w:tr w14:paraId="34D0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tcBorders>
              <w:top w:val="single" w:color="auto" w:sz="4" w:space="0"/>
              <w:left w:val="single" w:color="auto" w:sz="4" w:space="0"/>
              <w:bottom w:val="single" w:color="auto" w:sz="4" w:space="0"/>
              <w:right w:val="single" w:color="auto" w:sz="4" w:space="0"/>
            </w:tcBorders>
          </w:tcPr>
          <w:p w14:paraId="69EAC9A9">
            <w:pPr>
              <w:widowControl/>
              <w:jc w:val="left"/>
              <w:rPr>
                <w:rFonts w:ascii="宋体" w:hAnsi="宋体" w:eastAsia="宋体" w:cs="宋体"/>
                <w:color w:val="auto"/>
                <w:szCs w:val="21"/>
                <w:highlight w:val="none"/>
              </w:rPr>
            </w:pPr>
          </w:p>
        </w:tc>
        <w:tc>
          <w:tcPr>
            <w:tcW w:w="1020" w:type="pct"/>
            <w:tcBorders>
              <w:top w:val="single" w:color="auto" w:sz="4" w:space="0"/>
              <w:left w:val="single" w:color="auto" w:sz="4" w:space="0"/>
              <w:bottom w:val="single" w:color="auto" w:sz="4" w:space="0"/>
              <w:right w:val="single" w:color="auto" w:sz="4" w:space="0"/>
            </w:tcBorders>
          </w:tcPr>
          <w:p w14:paraId="1A767D4C">
            <w:pPr>
              <w:widowControl/>
              <w:jc w:val="left"/>
              <w:rPr>
                <w:rFonts w:ascii="宋体" w:hAnsi="宋体" w:eastAsia="宋体" w:cs="宋体"/>
                <w:color w:val="auto"/>
                <w:szCs w:val="21"/>
                <w:highlight w:val="none"/>
              </w:rPr>
            </w:pPr>
          </w:p>
        </w:tc>
        <w:tc>
          <w:tcPr>
            <w:tcW w:w="1014" w:type="pct"/>
            <w:tcBorders>
              <w:top w:val="single" w:color="auto" w:sz="4" w:space="0"/>
              <w:left w:val="single" w:color="auto" w:sz="4" w:space="0"/>
              <w:bottom w:val="single" w:color="auto" w:sz="4" w:space="0"/>
              <w:right w:val="single" w:color="auto" w:sz="4" w:space="0"/>
            </w:tcBorders>
          </w:tcPr>
          <w:p w14:paraId="5FBD1D27">
            <w:pPr>
              <w:widowControl/>
              <w:jc w:val="left"/>
              <w:rPr>
                <w:rFonts w:ascii="宋体" w:hAnsi="宋体" w:eastAsia="宋体" w:cs="宋体"/>
                <w:color w:val="auto"/>
                <w:szCs w:val="21"/>
                <w:highlight w:val="none"/>
              </w:rPr>
            </w:pPr>
          </w:p>
        </w:tc>
        <w:tc>
          <w:tcPr>
            <w:tcW w:w="1093" w:type="pct"/>
            <w:tcBorders>
              <w:top w:val="single" w:color="auto" w:sz="4" w:space="0"/>
              <w:left w:val="single" w:color="auto" w:sz="4" w:space="0"/>
              <w:bottom w:val="single" w:color="auto" w:sz="4" w:space="0"/>
              <w:right w:val="single" w:color="auto" w:sz="4" w:space="0"/>
            </w:tcBorders>
          </w:tcPr>
          <w:p w14:paraId="48FC00DA">
            <w:pPr>
              <w:widowControl/>
              <w:jc w:val="left"/>
              <w:rPr>
                <w:rFonts w:ascii="宋体" w:hAnsi="宋体" w:eastAsia="宋体" w:cs="宋体"/>
                <w:color w:val="auto"/>
                <w:szCs w:val="21"/>
                <w:highlight w:val="none"/>
              </w:rPr>
            </w:pPr>
          </w:p>
        </w:tc>
        <w:tc>
          <w:tcPr>
            <w:tcW w:w="1454" w:type="pct"/>
            <w:tcBorders>
              <w:top w:val="single" w:color="auto" w:sz="4" w:space="0"/>
              <w:left w:val="single" w:color="auto" w:sz="4" w:space="0"/>
              <w:bottom w:val="single" w:color="auto" w:sz="4" w:space="0"/>
              <w:right w:val="single" w:color="auto" w:sz="4" w:space="0"/>
            </w:tcBorders>
            <w:vAlign w:val="center"/>
          </w:tcPr>
          <w:p w14:paraId="5244271F">
            <w:pPr>
              <w:jc w:val="center"/>
              <w:rPr>
                <w:rFonts w:ascii="宋体" w:hAnsi="宋体" w:eastAsia="宋体" w:cs="宋体"/>
                <w:bCs/>
                <w:color w:val="auto"/>
                <w:spacing w:val="-10"/>
                <w:szCs w:val="21"/>
                <w:highlight w:val="none"/>
              </w:rPr>
            </w:pPr>
          </w:p>
        </w:tc>
      </w:tr>
      <w:tr w14:paraId="4E43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tcBorders>
              <w:top w:val="single" w:color="auto" w:sz="4" w:space="0"/>
              <w:left w:val="single" w:color="auto" w:sz="4" w:space="0"/>
              <w:bottom w:val="single" w:color="auto" w:sz="4" w:space="0"/>
              <w:right w:val="single" w:color="auto" w:sz="4" w:space="0"/>
            </w:tcBorders>
          </w:tcPr>
          <w:p w14:paraId="3EDEB2B7">
            <w:pPr>
              <w:widowControl/>
              <w:jc w:val="left"/>
              <w:rPr>
                <w:rFonts w:ascii="宋体" w:hAnsi="宋体" w:eastAsia="宋体" w:cs="宋体"/>
                <w:color w:val="auto"/>
                <w:szCs w:val="21"/>
                <w:highlight w:val="none"/>
              </w:rPr>
            </w:pPr>
          </w:p>
        </w:tc>
        <w:tc>
          <w:tcPr>
            <w:tcW w:w="1020" w:type="pct"/>
            <w:tcBorders>
              <w:top w:val="single" w:color="auto" w:sz="4" w:space="0"/>
              <w:left w:val="single" w:color="auto" w:sz="4" w:space="0"/>
              <w:bottom w:val="single" w:color="auto" w:sz="4" w:space="0"/>
              <w:right w:val="single" w:color="auto" w:sz="4" w:space="0"/>
            </w:tcBorders>
          </w:tcPr>
          <w:p w14:paraId="6994A4C9">
            <w:pPr>
              <w:widowControl/>
              <w:jc w:val="left"/>
              <w:rPr>
                <w:rFonts w:ascii="宋体" w:hAnsi="宋体" w:eastAsia="宋体" w:cs="宋体"/>
                <w:color w:val="auto"/>
                <w:szCs w:val="21"/>
                <w:highlight w:val="none"/>
              </w:rPr>
            </w:pPr>
          </w:p>
        </w:tc>
        <w:tc>
          <w:tcPr>
            <w:tcW w:w="1014" w:type="pct"/>
            <w:tcBorders>
              <w:top w:val="single" w:color="auto" w:sz="4" w:space="0"/>
              <w:left w:val="single" w:color="auto" w:sz="4" w:space="0"/>
              <w:bottom w:val="single" w:color="auto" w:sz="4" w:space="0"/>
              <w:right w:val="single" w:color="auto" w:sz="4" w:space="0"/>
            </w:tcBorders>
          </w:tcPr>
          <w:p w14:paraId="7AE87D6F">
            <w:pPr>
              <w:widowControl/>
              <w:jc w:val="left"/>
              <w:rPr>
                <w:rFonts w:ascii="宋体" w:hAnsi="宋体" w:eastAsia="宋体" w:cs="宋体"/>
                <w:color w:val="auto"/>
                <w:szCs w:val="21"/>
                <w:highlight w:val="none"/>
              </w:rPr>
            </w:pPr>
          </w:p>
        </w:tc>
        <w:tc>
          <w:tcPr>
            <w:tcW w:w="1093" w:type="pct"/>
            <w:tcBorders>
              <w:top w:val="single" w:color="auto" w:sz="4" w:space="0"/>
              <w:left w:val="single" w:color="auto" w:sz="4" w:space="0"/>
              <w:bottom w:val="single" w:color="auto" w:sz="4" w:space="0"/>
              <w:right w:val="single" w:color="auto" w:sz="4" w:space="0"/>
            </w:tcBorders>
          </w:tcPr>
          <w:p w14:paraId="717AFC0C">
            <w:pPr>
              <w:widowControl/>
              <w:jc w:val="left"/>
              <w:rPr>
                <w:rFonts w:ascii="宋体" w:hAnsi="宋体" w:eastAsia="宋体" w:cs="宋体"/>
                <w:color w:val="auto"/>
                <w:szCs w:val="21"/>
                <w:highlight w:val="none"/>
              </w:rPr>
            </w:pPr>
          </w:p>
        </w:tc>
        <w:tc>
          <w:tcPr>
            <w:tcW w:w="1454" w:type="pct"/>
            <w:tcBorders>
              <w:top w:val="single" w:color="auto" w:sz="4" w:space="0"/>
              <w:left w:val="single" w:color="auto" w:sz="4" w:space="0"/>
              <w:bottom w:val="single" w:color="auto" w:sz="4" w:space="0"/>
              <w:right w:val="single" w:color="auto" w:sz="4" w:space="0"/>
            </w:tcBorders>
            <w:vAlign w:val="center"/>
          </w:tcPr>
          <w:p w14:paraId="0B7DA8A6">
            <w:pPr>
              <w:jc w:val="center"/>
              <w:rPr>
                <w:rFonts w:ascii="宋体" w:hAnsi="宋体" w:eastAsia="宋体" w:cs="宋体"/>
                <w:bCs/>
                <w:color w:val="auto"/>
                <w:spacing w:val="-10"/>
                <w:szCs w:val="21"/>
                <w:highlight w:val="none"/>
              </w:rPr>
            </w:pPr>
          </w:p>
        </w:tc>
      </w:tr>
      <w:tr w14:paraId="7209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tcBorders>
              <w:top w:val="single" w:color="auto" w:sz="4" w:space="0"/>
              <w:left w:val="single" w:color="auto" w:sz="4" w:space="0"/>
              <w:bottom w:val="single" w:color="auto" w:sz="4" w:space="0"/>
              <w:right w:val="single" w:color="auto" w:sz="4" w:space="0"/>
            </w:tcBorders>
          </w:tcPr>
          <w:p w14:paraId="50CD36A8">
            <w:pPr>
              <w:widowControl/>
              <w:jc w:val="left"/>
              <w:rPr>
                <w:rFonts w:ascii="宋体" w:hAnsi="宋体" w:eastAsia="宋体" w:cs="宋体"/>
                <w:color w:val="auto"/>
                <w:szCs w:val="21"/>
                <w:highlight w:val="none"/>
              </w:rPr>
            </w:pPr>
          </w:p>
        </w:tc>
        <w:tc>
          <w:tcPr>
            <w:tcW w:w="1020" w:type="pct"/>
            <w:tcBorders>
              <w:top w:val="single" w:color="auto" w:sz="4" w:space="0"/>
              <w:left w:val="single" w:color="auto" w:sz="4" w:space="0"/>
              <w:bottom w:val="single" w:color="auto" w:sz="4" w:space="0"/>
              <w:right w:val="single" w:color="auto" w:sz="4" w:space="0"/>
            </w:tcBorders>
          </w:tcPr>
          <w:p w14:paraId="7F994CDF">
            <w:pPr>
              <w:widowControl/>
              <w:jc w:val="left"/>
              <w:rPr>
                <w:rFonts w:ascii="宋体" w:hAnsi="宋体" w:eastAsia="宋体" w:cs="宋体"/>
                <w:color w:val="auto"/>
                <w:szCs w:val="21"/>
                <w:highlight w:val="none"/>
              </w:rPr>
            </w:pPr>
          </w:p>
        </w:tc>
        <w:tc>
          <w:tcPr>
            <w:tcW w:w="1014" w:type="pct"/>
            <w:tcBorders>
              <w:top w:val="single" w:color="auto" w:sz="4" w:space="0"/>
              <w:left w:val="single" w:color="auto" w:sz="4" w:space="0"/>
              <w:bottom w:val="single" w:color="auto" w:sz="4" w:space="0"/>
              <w:right w:val="single" w:color="auto" w:sz="4" w:space="0"/>
            </w:tcBorders>
          </w:tcPr>
          <w:p w14:paraId="66A9F144">
            <w:pPr>
              <w:widowControl/>
              <w:jc w:val="left"/>
              <w:rPr>
                <w:rFonts w:ascii="宋体" w:hAnsi="宋体" w:eastAsia="宋体" w:cs="宋体"/>
                <w:color w:val="auto"/>
                <w:szCs w:val="21"/>
                <w:highlight w:val="none"/>
              </w:rPr>
            </w:pPr>
          </w:p>
        </w:tc>
        <w:tc>
          <w:tcPr>
            <w:tcW w:w="1093" w:type="pct"/>
            <w:tcBorders>
              <w:top w:val="single" w:color="auto" w:sz="4" w:space="0"/>
              <w:left w:val="single" w:color="auto" w:sz="4" w:space="0"/>
              <w:bottom w:val="single" w:color="auto" w:sz="4" w:space="0"/>
              <w:right w:val="single" w:color="auto" w:sz="4" w:space="0"/>
            </w:tcBorders>
          </w:tcPr>
          <w:p w14:paraId="48BA271C">
            <w:pPr>
              <w:widowControl/>
              <w:jc w:val="left"/>
              <w:rPr>
                <w:rFonts w:ascii="宋体" w:hAnsi="宋体" w:eastAsia="宋体" w:cs="宋体"/>
                <w:color w:val="auto"/>
                <w:szCs w:val="21"/>
                <w:highlight w:val="none"/>
              </w:rPr>
            </w:pPr>
          </w:p>
        </w:tc>
        <w:tc>
          <w:tcPr>
            <w:tcW w:w="1454" w:type="pct"/>
            <w:tcBorders>
              <w:top w:val="single" w:color="auto" w:sz="4" w:space="0"/>
              <w:left w:val="single" w:color="auto" w:sz="4" w:space="0"/>
              <w:bottom w:val="single" w:color="auto" w:sz="4" w:space="0"/>
              <w:right w:val="single" w:color="auto" w:sz="4" w:space="0"/>
            </w:tcBorders>
            <w:vAlign w:val="center"/>
          </w:tcPr>
          <w:p w14:paraId="5A6CA21C">
            <w:pPr>
              <w:jc w:val="center"/>
              <w:rPr>
                <w:rFonts w:ascii="宋体" w:hAnsi="宋体" w:eastAsia="宋体" w:cs="宋体"/>
                <w:bCs/>
                <w:color w:val="auto"/>
                <w:spacing w:val="-10"/>
                <w:szCs w:val="21"/>
                <w:highlight w:val="none"/>
              </w:rPr>
            </w:pPr>
          </w:p>
        </w:tc>
      </w:tr>
      <w:tr w14:paraId="1814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tcBorders>
              <w:top w:val="single" w:color="auto" w:sz="4" w:space="0"/>
              <w:left w:val="single" w:color="auto" w:sz="4" w:space="0"/>
              <w:bottom w:val="single" w:color="auto" w:sz="4" w:space="0"/>
              <w:right w:val="single" w:color="auto" w:sz="4" w:space="0"/>
            </w:tcBorders>
          </w:tcPr>
          <w:p w14:paraId="373437C8">
            <w:pPr>
              <w:widowControl/>
              <w:jc w:val="left"/>
              <w:rPr>
                <w:rFonts w:ascii="宋体" w:hAnsi="宋体" w:eastAsia="宋体" w:cs="宋体"/>
                <w:color w:val="auto"/>
                <w:szCs w:val="21"/>
                <w:highlight w:val="none"/>
              </w:rPr>
            </w:pPr>
          </w:p>
        </w:tc>
        <w:tc>
          <w:tcPr>
            <w:tcW w:w="1020" w:type="pct"/>
            <w:tcBorders>
              <w:top w:val="single" w:color="auto" w:sz="4" w:space="0"/>
              <w:left w:val="single" w:color="auto" w:sz="4" w:space="0"/>
              <w:bottom w:val="single" w:color="auto" w:sz="4" w:space="0"/>
              <w:right w:val="single" w:color="auto" w:sz="4" w:space="0"/>
            </w:tcBorders>
          </w:tcPr>
          <w:p w14:paraId="745DF68A">
            <w:pPr>
              <w:widowControl/>
              <w:jc w:val="left"/>
              <w:rPr>
                <w:rFonts w:ascii="宋体" w:hAnsi="宋体" w:eastAsia="宋体" w:cs="宋体"/>
                <w:color w:val="auto"/>
                <w:szCs w:val="21"/>
                <w:highlight w:val="none"/>
              </w:rPr>
            </w:pPr>
          </w:p>
        </w:tc>
        <w:tc>
          <w:tcPr>
            <w:tcW w:w="1014" w:type="pct"/>
            <w:tcBorders>
              <w:top w:val="single" w:color="auto" w:sz="4" w:space="0"/>
              <w:left w:val="single" w:color="auto" w:sz="4" w:space="0"/>
              <w:bottom w:val="single" w:color="auto" w:sz="4" w:space="0"/>
              <w:right w:val="single" w:color="auto" w:sz="4" w:space="0"/>
            </w:tcBorders>
          </w:tcPr>
          <w:p w14:paraId="1E997500">
            <w:pPr>
              <w:widowControl/>
              <w:jc w:val="left"/>
              <w:rPr>
                <w:rFonts w:ascii="宋体" w:hAnsi="宋体" w:eastAsia="宋体" w:cs="宋体"/>
                <w:color w:val="auto"/>
                <w:szCs w:val="21"/>
                <w:highlight w:val="none"/>
              </w:rPr>
            </w:pPr>
          </w:p>
        </w:tc>
        <w:tc>
          <w:tcPr>
            <w:tcW w:w="1093" w:type="pct"/>
            <w:tcBorders>
              <w:top w:val="single" w:color="auto" w:sz="4" w:space="0"/>
              <w:left w:val="single" w:color="auto" w:sz="4" w:space="0"/>
              <w:bottom w:val="single" w:color="auto" w:sz="4" w:space="0"/>
              <w:right w:val="single" w:color="auto" w:sz="4" w:space="0"/>
            </w:tcBorders>
          </w:tcPr>
          <w:p w14:paraId="72377517">
            <w:pPr>
              <w:widowControl/>
              <w:jc w:val="left"/>
              <w:rPr>
                <w:rFonts w:ascii="宋体" w:hAnsi="宋体" w:eastAsia="宋体" w:cs="宋体"/>
                <w:color w:val="auto"/>
                <w:szCs w:val="21"/>
                <w:highlight w:val="none"/>
              </w:rPr>
            </w:pPr>
          </w:p>
        </w:tc>
        <w:tc>
          <w:tcPr>
            <w:tcW w:w="1454" w:type="pct"/>
            <w:tcBorders>
              <w:top w:val="single" w:color="auto" w:sz="4" w:space="0"/>
              <w:left w:val="single" w:color="auto" w:sz="4" w:space="0"/>
              <w:bottom w:val="single" w:color="auto" w:sz="4" w:space="0"/>
              <w:right w:val="single" w:color="auto" w:sz="4" w:space="0"/>
            </w:tcBorders>
            <w:vAlign w:val="center"/>
          </w:tcPr>
          <w:p w14:paraId="3931CDB9">
            <w:pPr>
              <w:jc w:val="center"/>
              <w:rPr>
                <w:rFonts w:ascii="宋体" w:hAnsi="宋体" w:eastAsia="宋体" w:cs="宋体"/>
                <w:bCs/>
                <w:color w:val="auto"/>
                <w:spacing w:val="-10"/>
                <w:szCs w:val="21"/>
                <w:highlight w:val="none"/>
              </w:rPr>
            </w:pPr>
          </w:p>
        </w:tc>
      </w:tr>
      <w:tr w14:paraId="1EFF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tcBorders>
              <w:top w:val="single" w:color="auto" w:sz="4" w:space="0"/>
              <w:left w:val="single" w:color="auto" w:sz="4" w:space="0"/>
              <w:bottom w:val="single" w:color="auto" w:sz="4" w:space="0"/>
              <w:right w:val="single" w:color="auto" w:sz="4" w:space="0"/>
            </w:tcBorders>
          </w:tcPr>
          <w:p w14:paraId="42D40142">
            <w:pPr>
              <w:widowControl/>
              <w:jc w:val="left"/>
              <w:rPr>
                <w:rFonts w:ascii="宋体" w:hAnsi="宋体" w:eastAsia="宋体" w:cs="宋体"/>
                <w:color w:val="auto"/>
                <w:szCs w:val="21"/>
                <w:highlight w:val="none"/>
              </w:rPr>
            </w:pPr>
          </w:p>
        </w:tc>
        <w:tc>
          <w:tcPr>
            <w:tcW w:w="1020" w:type="pct"/>
            <w:tcBorders>
              <w:top w:val="single" w:color="auto" w:sz="4" w:space="0"/>
              <w:left w:val="single" w:color="auto" w:sz="4" w:space="0"/>
              <w:bottom w:val="single" w:color="auto" w:sz="4" w:space="0"/>
              <w:right w:val="single" w:color="auto" w:sz="4" w:space="0"/>
            </w:tcBorders>
          </w:tcPr>
          <w:p w14:paraId="1209DB48">
            <w:pPr>
              <w:widowControl/>
              <w:jc w:val="left"/>
              <w:rPr>
                <w:rFonts w:ascii="宋体" w:hAnsi="宋体" w:eastAsia="宋体" w:cs="宋体"/>
                <w:color w:val="auto"/>
                <w:szCs w:val="21"/>
                <w:highlight w:val="none"/>
              </w:rPr>
            </w:pPr>
          </w:p>
        </w:tc>
        <w:tc>
          <w:tcPr>
            <w:tcW w:w="1014" w:type="pct"/>
            <w:tcBorders>
              <w:top w:val="single" w:color="auto" w:sz="4" w:space="0"/>
              <w:left w:val="single" w:color="auto" w:sz="4" w:space="0"/>
              <w:bottom w:val="single" w:color="auto" w:sz="4" w:space="0"/>
              <w:right w:val="single" w:color="auto" w:sz="4" w:space="0"/>
            </w:tcBorders>
          </w:tcPr>
          <w:p w14:paraId="08026F33">
            <w:pPr>
              <w:widowControl/>
              <w:jc w:val="left"/>
              <w:rPr>
                <w:rFonts w:ascii="宋体" w:hAnsi="宋体" w:eastAsia="宋体" w:cs="宋体"/>
                <w:color w:val="auto"/>
                <w:szCs w:val="21"/>
                <w:highlight w:val="none"/>
              </w:rPr>
            </w:pPr>
          </w:p>
        </w:tc>
        <w:tc>
          <w:tcPr>
            <w:tcW w:w="1093" w:type="pct"/>
            <w:tcBorders>
              <w:top w:val="single" w:color="auto" w:sz="4" w:space="0"/>
              <w:left w:val="single" w:color="auto" w:sz="4" w:space="0"/>
              <w:bottom w:val="single" w:color="auto" w:sz="4" w:space="0"/>
              <w:right w:val="single" w:color="auto" w:sz="4" w:space="0"/>
            </w:tcBorders>
          </w:tcPr>
          <w:p w14:paraId="5BC5CE50">
            <w:pPr>
              <w:widowControl/>
              <w:jc w:val="left"/>
              <w:rPr>
                <w:rFonts w:ascii="宋体" w:hAnsi="宋体" w:eastAsia="宋体" w:cs="宋体"/>
                <w:color w:val="auto"/>
                <w:szCs w:val="21"/>
                <w:highlight w:val="none"/>
              </w:rPr>
            </w:pPr>
          </w:p>
        </w:tc>
        <w:tc>
          <w:tcPr>
            <w:tcW w:w="1454" w:type="pct"/>
            <w:tcBorders>
              <w:top w:val="single" w:color="auto" w:sz="4" w:space="0"/>
              <w:left w:val="single" w:color="auto" w:sz="4" w:space="0"/>
              <w:bottom w:val="single" w:color="auto" w:sz="4" w:space="0"/>
              <w:right w:val="single" w:color="auto" w:sz="4" w:space="0"/>
            </w:tcBorders>
            <w:vAlign w:val="center"/>
          </w:tcPr>
          <w:p w14:paraId="2A0A2D3F">
            <w:pPr>
              <w:jc w:val="center"/>
              <w:rPr>
                <w:rFonts w:ascii="宋体" w:hAnsi="宋体" w:eastAsia="宋体" w:cs="宋体"/>
                <w:bCs/>
                <w:color w:val="auto"/>
                <w:spacing w:val="-10"/>
                <w:szCs w:val="21"/>
                <w:highlight w:val="none"/>
              </w:rPr>
            </w:pPr>
          </w:p>
        </w:tc>
      </w:tr>
      <w:tr w14:paraId="1F23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tcBorders>
              <w:top w:val="single" w:color="auto" w:sz="4" w:space="0"/>
              <w:left w:val="single" w:color="auto" w:sz="4" w:space="0"/>
              <w:bottom w:val="single" w:color="auto" w:sz="4" w:space="0"/>
              <w:right w:val="single" w:color="auto" w:sz="4" w:space="0"/>
            </w:tcBorders>
          </w:tcPr>
          <w:p w14:paraId="2BFDAE00">
            <w:pPr>
              <w:widowControl/>
              <w:jc w:val="left"/>
              <w:rPr>
                <w:rFonts w:ascii="宋体" w:hAnsi="宋体" w:eastAsia="宋体" w:cs="宋体"/>
                <w:color w:val="auto"/>
                <w:szCs w:val="21"/>
                <w:highlight w:val="none"/>
              </w:rPr>
            </w:pPr>
          </w:p>
        </w:tc>
        <w:tc>
          <w:tcPr>
            <w:tcW w:w="1020" w:type="pct"/>
            <w:tcBorders>
              <w:top w:val="single" w:color="auto" w:sz="4" w:space="0"/>
              <w:left w:val="single" w:color="auto" w:sz="4" w:space="0"/>
              <w:bottom w:val="single" w:color="auto" w:sz="4" w:space="0"/>
              <w:right w:val="single" w:color="auto" w:sz="4" w:space="0"/>
            </w:tcBorders>
          </w:tcPr>
          <w:p w14:paraId="25D56515">
            <w:pPr>
              <w:widowControl/>
              <w:jc w:val="left"/>
              <w:rPr>
                <w:rFonts w:ascii="宋体" w:hAnsi="宋体" w:eastAsia="宋体" w:cs="宋体"/>
                <w:color w:val="auto"/>
                <w:szCs w:val="21"/>
                <w:highlight w:val="none"/>
              </w:rPr>
            </w:pPr>
          </w:p>
        </w:tc>
        <w:tc>
          <w:tcPr>
            <w:tcW w:w="1014" w:type="pct"/>
            <w:tcBorders>
              <w:top w:val="single" w:color="auto" w:sz="4" w:space="0"/>
              <w:left w:val="single" w:color="auto" w:sz="4" w:space="0"/>
              <w:bottom w:val="single" w:color="auto" w:sz="4" w:space="0"/>
              <w:right w:val="single" w:color="auto" w:sz="4" w:space="0"/>
            </w:tcBorders>
          </w:tcPr>
          <w:p w14:paraId="42600D9C">
            <w:pPr>
              <w:widowControl/>
              <w:jc w:val="left"/>
              <w:rPr>
                <w:rFonts w:ascii="宋体" w:hAnsi="宋体" w:eastAsia="宋体" w:cs="宋体"/>
                <w:color w:val="auto"/>
                <w:szCs w:val="21"/>
                <w:highlight w:val="none"/>
              </w:rPr>
            </w:pPr>
          </w:p>
        </w:tc>
        <w:tc>
          <w:tcPr>
            <w:tcW w:w="1093" w:type="pct"/>
            <w:tcBorders>
              <w:top w:val="single" w:color="auto" w:sz="4" w:space="0"/>
              <w:left w:val="single" w:color="auto" w:sz="4" w:space="0"/>
              <w:bottom w:val="single" w:color="auto" w:sz="4" w:space="0"/>
              <w:right w:val="single" w:color="auto" w:sz="4" w:space="0"/>
            </w:tcBorders>
          </w:tcPr>
          <w:p w14:paraId="65E1EE57">
            <w:pPr>
              <w:widowControl/>
              <w:jc w:val="left"/>
              <w:rPr>
                <w:rFonts w:ascii="宋体" w:hAnsi="宋体" w:eastAsia="宋体" w:cs="宋体"/>
                <w:color w:val="auto"/>
                <w:szCs w:val="21"/>
                <w:highlight w:val="none"/>
              </w:rPr>
            </w:pPr>
          </w:p>
        </w:tc>
        <w:tc>
          <w:tcPr>
            <w:tcW w:w="1454" w:type="pct"/>
            <w:tcBorders>
              <w:top w:val="single" w:color="auto" w:sz="4" w:space="0"/>
              <w:left w:val="single" w:color="auto" w:sz="4" w:space="0"/>
              <w:bottom w:val="single" w:color="auto" w:sz="4" w:space="0"/>
              <w:right w:val="single" w:color="auto" w:sz="4" w:space="0"/>
            </w:tcBorders>
            <w:vAlign w:val="center"/>
          </w:tcPr>
          <w:p w14:paraId="6E13D2D0">
            <w:pPr>
              <w:jc w:val="center"/>
              <w:rPr>
                <w:rFonts w:ascii="宋体" w:hAnsi="宋体" w:eastAsia="宋体" w:cs="宋体"/>
                <w:bCs/>
                <w:color w:val="auto"/>
                <w:spacing w:val="-10"/>
                <w:szCs w:val="21"/>
                <w:highlight w:val="none"/>
              </w:rPr>
            </w:pPr>
          </w:p>
        </w:tc>
      </w:tr>
      <w:tr w14:paraId="0FC9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tcBorders>
              <w:top w:val="single" w:color="auto" w:sz="4" w:space="0"/>
              <w:left w:val="single" w:color="auto" w:sz="4" w:space="0"/>
              <w:bottom w:val="single" w:color="auto" w:sz="4" w:space="0"/>
              <w:right w:val="single" w:color="auto" w:sz="4" w:space="0"/>
            </w:tcBorders>
          </w:tcPr>
          <w:p w14:paraId="4A03D624">
            <w:pPr>
              <w:widowControl/>
              <w:jc w:val="left"/>
              <w:rPr>
                <w:rFonts w:ascii="宋体" w:hAnsi="宋体" w:eastAsia="宋体" w:cs="宋体"/>
                <w:color w:val="auto"/>
                <w:szCs w:val="21"/>
                <w:highlight w:val="none"/>
              </w:rPr>
            </w:pPr>
          </w:p>
        </w:tc>
        <w:tc>
          <w:tcPr>
            <w:tcW w:w="1020" w:type="pct"/>
            <w:tcBorders>
              <w:top w:val="single" w:color="auto" w:sz="4" w:space="0"/>
              <w:left w:val="single" w:color="auto" w:sz="4" w:space="0"/>
              <w:bottom w:val="single" w:color="auto" w:sz="4" w:space="0"/>
              <w:right w:val="single" w:color="auto" w:sz="4" w:space="0"/>
            </w:tcBorders>
          </w:tcPr>
          <w:p w14:paraId="4505AFD9">
            <w:pPr>
              <w:widowControl/>
              <w:jc w:val="left"/>
              <w:rPr>
                <w:rFonts w:ascii="宋体" w:hAnsi="宋体" w:eastAsia="宋体" w:cs="宋体"/>
                <w:color w:val="auto"/>
                <w:szCs w:val="21"/>
                <w:highlight w:val="none"/>
              </w:rPr>
            </w:pPr>
          </w:p>
        </w:tc>
        <w:tc>
          <w:tcPr>
            <w:tcW w:w="1014" w:type="pct"/>
            <w:tcBorders>
              <w:top w:val="single" w:color="auto" w:sz="4" w:space="0"/>
              <w:left w:val="single" w:color="auto" w:sz="4" w:space="0"/>
              <w:bottom w:val="single" w:color="auto" w:sz="4" w:space="0"/>
              <w:right w:val="single" w:color="auto" w:sz="4" w:space="0"/>
            </w:tcBorders>
          </w:tcPr>
          <w:p w14:paraId="3BAE23E9">
            <w:pPr>
              <w:widowControl/>
              <w:jc w:val="left"/>
              <w:rPr>
                <w:rFonts w:ascii="宋体" w:hAnsi="宋体" w:eastAsia="宋体" w:cs="宋体"/>
                <w:color w:val="auto"/>
                <w:szCs w:val="21"/>
                <w:highlight w:val="none"/>
              </w:rPr>
            </w:pPr>
          </w:p>
        </w:tc>
        <w:tc>
          <w:tcPr>
            <w:tcW w:w="1093" w:type="pct"/>
            <w:tcBorders>
              <w:top w:val="single" w:color="auto" w:sz="4" w:space="0"/>
              <w:left w:val="single" w:color="auto" w:sz="4" w:space="0"/>
              <w:bottom w:val="single" w:color="auto" w:sz="4" w:space="0"/>
              <w:right w:val="single" w:color="auto" w:sz="4" w:space="0"/>
            </w:tcBorders>
          </w:tcPr>
          <w:p w14:paraId="31BA6B49">
            <w:pPr>
              <w:widowControl/>
              <w:jc w:val="left"/>
              <w:rPr>
                <w:rFonts w:ascii="宋体" w:hAnsi="宋体" w:eastAsia="宋体" w:cs="宋体"/>
                <w:color w:val="auto"/>
                <w:szCs w:val="21"/>
                <w:highlight w:val="none"/>
              </w:rPr>
            </w:pPr>
          </w:p>
        </w:tc>
        <w:tc>
          <w:tcPr>
            <w:tcW w:w="1454" w:type="pct"/>
            <w:tcBorders>
              <w:top w:val="single" w:color="auto" w:sz="4" w:space="0"/>
              <w:left w:val="single" w:color="auto" w:sz="4" w:space="0"/>
              <w:bottom w:val="single" w:color="auto" w:sz="4" w:space="0"/>
              <w:right w:val="single" w:color="auto" w:sz="4" w:space="0"/>
            </w:tcBorders>
            <w:vAlign w:val="center"/>
          </w:tcPr>
          <w:p w14:paraId="5F5A1D71">
            <w:pPr>
              <w:jc w:val="center"/>
              <w:rPr>
                <w:rFonts w:ascii="宋体" w:hAnsi="宋体" w:eastAsia="宋体" w:cs="宋体"/>
                <w:bCs/>
                <w:color w:val="auto"/>
                <w:spacing w:val="-10"/>
                <w:szCs w:val="21"/>
                <w:highlight w:val="none"/>
              </w:rPr>
            </w:pPr>
          </w:p>
        </w:tc>
      </w:tr>
      <w:tr w14:paraId="6D7C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tcBorders>
              <w:top w:val="single" w:color="auto" w:sz="4" w:space="0"/>
              <w:left w:val="single" w:color="auto" w:sz="4" w:space="0"/>
              <w:bottom w:val="single" w:color="auto" w:sz="4" w:space="0"/>
              <w:right w:val="single" w:color="auto" w:sz="4" w:space="0"/>
            </w:tcBorders>
          </w:tcPr>
          <w:p w14:paraId="3CD6F28C">
            <w:pPr>
              <w:widowControl/>
              <w:jc w:val="left"/>
              <w:rPr>
                <w:rFonts w:ascii="宋体" w:hAnsi="宋体" w:eastAsia="宋体" w:cs="宋体"/>
                <w:color w:val="auto"/>
                <w:szCs w:val="21"/>
                <w:highlight w:val="none"/>
              </w:rPr>
            </w:pPr>
          </w:p>
        </w:tc>
        <w:tc>
          <w:tcPr>
            <w:tcW w:w="1020" w:type="pct"/>
            <w:tcBorders>
              <w:top w:val="single" w:color="auto" w:sz="4" w:space="0"/>
              <w:left w:val="single" w:color="auto" w:sz="4" w:space="0"/>
              <w:bottom w:val="single" w:color="auto" w:sz="4" w:space="0"/>
              <w:right w:val="single" w:color="auto" w:sz="4" w:space="0"/>
            </w:tcBorders>
          </w:tcPr>
          <w:p w14:paraId="7D2E9804">
            <w:pPr>
              <w:widowControl/>
              <w:jc w:val="left"/>
              <w:rPr>
                <w:rFonts w:ascii="宋体" w:hAnsi="宋体" w:eastAsia="宋体" w:cs="宋体"/>
                <w:color w:val="auto"/>
                <w:szCs w:val="21"/>
                <w:highlight w:val="none"/>
              </w:rPr>
            </w:pPr>
          </w:p>
        </w:tc>
        <w:tc>
          <w:tcPr>
            <w:tcW w:w="1014" w:type="pct"/>
            <w:tcBorders>
              <w:top w:val="single" w:color="auto" w:sz="4" w:space="0"/>
              <w:left w:val="single" w:color="auto" w:sz="4" w:space="0"/>
              <w:bottom w:val="single" w:color="auto" w:sz="4" w:space="0"/>
              <w:right w:val="single" w:color="auto" w:sz="4" w:space="0"/>
            </w:tcBorders>
          </w:tcPr>
          <w:p w14:paraId="3CE28108">
            <w:pPr>
              <w:widowControl/>
              <w:jc w:val="left"/>
              <w:rPr>
                <w:rFonts w:ascii="宋体" w:hAnsi="宋体" w:eastAsia="宋体" w:cs="宋体"/>
                <w:color w:val="auto"/>
                <w:szCs w:val="21"/>
                <w:highlight w:val="none"/>
              </w:rPr>
            </w:pPr>
          </w:p>
        </w:tc>
        <w:tc>
          <w:tcPr>
            <w:tcW w:w="1093" w:type="pct"/>
            <w:tcBorders>
              <w:top w:val="single" w:color="auto" w:sz="4" w:space="0"/>
              <w:left w:val="single" w:color="auto" w:sz="4" w:space="0"/>
              <w:bottom w:val="single" w:color="auto" w:sz="4" w:space="0"/>
              <w:right w:val="single" w:color="auto" w:sz="4" w:space="0"/>
            </w:tcBorders>
          </w:tcPr>
          <w:p w14:paraId="2479EAFA">
            <w:pPr>
              <w:widowControl/>
              <w:jc w:val="left"/>
              <w:rPr>
                <w:rFonts w:ascii="宋体" w:hAnsi="宋体" w:eastAsia="宋体" w:cs="宋体"/>
                <w:color w:val="auto"/>
                <w:szCs w:val="21"/>
                <w:highlight w:val="none"/>
              </w:rPr>
            </w:pPr>
          </w:p>
        </w:tc>
        <w:tc>
          <w:tcPr>
            <w:tcW w:w="1454" w:type="pct"/>
            <w:tcBorders>
              <w:top w:val="single" w:color="auto" w:sz="4" w:space="0"/>
              <w:left w:val="single" w:color="auto" w:sz="4" w:space="0"/>
              <w:bottom w:val="single" w:color="auto" w:sz="4" w:space="0"/>
              <w:right w:val="single" w:color="auto" w:sz="4" w:space="0"/>
            </w:tcBorders>
            <w:vAlign w:val="center"/>
          </w:tcPr>
          <w:p w14:paraId="4FE1765E">
            <w:pPr>
              <w:jc w:val="center"/>
              <w:rPr>
                <w:rFonts w:ascii="宋体" w:hAnsi="宋体" w:eastAsia="宋体" w:cs="宋体"/>
                <w:bCs/>
                <w:color w:val="auto"/>
                <w:spacing w:val="-10"/>
                <w:szCs w:val="21"/>
                <w:highlight w:val="none"/>
              </w:rPr>
            </w:pPr>
          </w:p>
        </w:tc>
      </w:tr>
      <w:tr w14:paraId="256E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tcBorders>
              <w:top w:val="single" w:color="auto" w:sz="4" w:space="0"/>
              <w:left w:val="single" w:color="auto" w:sz="4" w:space="0"/>
              <w:bottom w:val="single" w:color="auto" w:sz="4" w:space="0"/>
              <w:right w:val="single" w:color="auto" w:sz="4" w:space="0"/>
            </w:tcBorders>
          </w:tcPr>
          <w:p w14:paraId="76B5988C">
            <w:pPr>
              <w:rPr>
                <w:rFonts w:ascii="宋体" w:hAnsi="宋体" w:eastAsia="宋体" w:cs="宋体"/>
                <w:color w:val="auto"/>
                <w:szCs w:val="21"/>
                <w:highlight w:val="none"/>
              </w:rPr>
            </w:pPr>
          </w:p>
        </w:tc>
        <w:tc>
          <w:tcPr>
            <w:tcW w:w="1020" w:type="pct"/>
            <w:tcBorders>
              <w:top w:val="single" w:color="auto" w:sz="4" w:space="0"/>
              <w:left w:val="single" w:color="auto" w:sz="4" w:space="0"/>
              <w:bottom w:val="single" w:color="auto" w:sz="4" w:space="0"/>
              <w:right w:val="single" w:color="auto" w:sz="4" w:space="0"/>
            </w:tcBorders>
          </w:tcPr>
          <w:p w14:paraId="1AC5B08E">
            <w:pPr>
              <w:rPr>
                <w:rFonts w:ascii="宋体" w:hAnsi="宋体" w:eastAsia="宋体" w:cs="宋体"/>
                <w:color w:val="auto"/>
                <w:szCs w:val="21"/>
                <w:highlight w:val="none"/>
              </w:rPr>
            </w:pPr>
          </w:p>
        </w:tc>
        <w:tc>
          <w:tcPr>
            <w:tcW w:w="1014" w:type="pct"/>
            <w:tcBorders>
              <w:top w:val="single" w:color="auto" w:sz="4" w:space="0"/>
              <w:left w:val="single" w:color="auto" w:sz="4" w:space="0"/>
              <w:bottom w:val="single" w:color="auto" w:sz="4" w:space="0"/>
              <w:right w:val="single" w:color="auto" w:sz="4" w:space="0"/>
            </w:tcBorders>
          </w:tcPr>
          <w:p w14:paraId="7C0D23FB">
            <w:pPr>
              <w:rPr>
                <w:rFonts w:ascii="宋体" w:hAnsi="宋体" w:eastAsia="宋体" w:cs="宋体"/>
                <w:color w:val="auto"/>
                <w:szCs w:val="21"/>
                <w:highlight w:val="none"/>
              </w:rPr>
            </w:pPr>
          </w:p>
        </w:tc>
        <w:tc>
          <w:tcPr>
            <w:tcW w:w="1093" w:type="pct"/>
            <w:tcBorders>
              <w:top w:val="single" w:color="auto" w:sz="4" w:space="0"/>
              <w:left w:val="single" w:color="auto" w:sz="4" w:space="0"/>
              <w:bottom w:val="single" w:color="auto" w:sz="4" w:space="0"/>
              <w:right w:val="single" w:color="auto" w:sz="4" w:space="0"/>
            </w:tcBorders>
          </w:tcPr>
          <w:p w14:paraId="2BED46F7">
            <w:pPr>
              <w:rPr>
                <w:rFonts w:ascii="宋体" w:hAnsi="宋体" w:eastAsia="宋体" w:cs="宋体"/>
                <w:color w:val="auto"/>
                <w:szCs w:val="21"/>
                <w:highlight w:val="none"/>
              </w:rPr>
            </w:pPr>
          </w:p>
        </w:tc>
        <w:tc>
          <w:tcPr>
            <w:tcW w:w="1454" w:type="pct"/>
            <w:tcBorders>
              <w:top w:val="single" w:color="auto" w:sz="4" w:space="0"/>
              <w:left w:val="single" w:color="auto" w:sz="4" w:space="0"/>
              <w:bottom w:val="single" w:color="auto" w:sz="4" w:space="0"/>
              <w:right w:val="single" w:color="auto" w:sz="4" w:space="0"/>
            </w:tcBorders>
            <w:vAlign w:val="center"/>
          </w:tcPr>
          <w:p w14:paraId="6A7F46D5">
            <w:pPr>
              <w:jc w:val="center"/>
              <w:rPr>
                <w:rFonts w:ascii="宋体" w:hAnsi="宋体" w:eastAsia="宋体" w:cs="宋体"/>
                <w:bCs/>
                <w:color w:val="auto"/>
                <w:spacing w:val="-10"/>
                <w:szCs w:val="21"/>
                <w:highlight w:val="none"/>
              </w:rPr>
            </w:pPr>
          </w:p>
        </w:tc>
      </w:tr>
      <w:tr w14:paraId="4D2D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tcBorders>
              <w:top w:val="single" w:color="auto" w:sz="4" w:space="0"/>
              <w:left w:val="single" w:color="auto" w:sz="4" w:space="0"/>
              <w:bottom w:val="single" w:color="auto" w:sz="4" w:space="0"/>
              <w:right w:val="single" w:color="auto" w:sz="4" w:space="0"/>
            </w:tcBorders>
          </w:tcPr>
          <w:p w14:paraId="616C2FAA">
            <w:pPr>
              <w:rPr>
                <w:rFonts w:ascii="宋体" w:hAnsi="宋体" w:eastAsia="宋体" w:cs="宋体"/>
                <w:color w:val="auto"/>
                <w:szCs w:val="21"/>
                <w:highlight w:val="none"/>
              </w:rPr>
            </w:pPr>
          </w:p>
        </w:tc>
        <w:tc>
          <w:tcPr>
            <w:tcW w:w="1020" w:type="pct"/>
            <w:tcBorders>
              <w:top w:val="single" w:color="auto" w:sz="4" w:space="0"/>
              <w:left w:val="single" w:color="auto" w:sz="4" w:space="0"/>
              <w:bottom w:val="single" w:color="auto" w:sz="4" w:space="0"/>
              <w:right w:val="single" w:color="auto" w:sz="4" w:space="0"/>
            </w:tcBorders>
          </w:tcPr>
          <w:p w14:paraId="76719166">
            <w:pPr>
              <w:rPr>
                <w:rFonts w:ascii="宋体" w:hAnsi="宋体" w:eastAsia="宋体" w:cs="宋体"/>
                <w:color w:val="auto"/>
                <w:szCs w:val="21"/>
                <w:highlight w:val="none"/>
              </w:rPr>
            </w:pPr>
          </w:p>
        </w:tc>
        <w:tc>
          <w:tcPr>
            <w:tcW w:w="1014" w:type="pct"/>
            <w:tcBorders>
              <w:top w:val="single" w:color="auto" w:sz="4" w:space="0"/>
              <w:left w:val="single" w:color="auto" w:sz="4" w:space="0"/>
              <w:bottom w:val="single" w:color="auto" w:sz="4" w:space="0"/>
              <w:right w:val="single" w:color="auto" w:sz="4" w:space="0"/>
            </w:tcBorders>
          </w:tcPr>
          <w:p w14:paraId="3F138DB5">
            <w:pPr>
              <w:rPr>
                <w:rFonts w:ascii="宋体" w:hAnsi="宋体" w:eastAsia="宋体" w:cs="宋体"/>
                <w:color w:val="auto"/>
                <w:szCs w:val="21"/>
                <w:highlight w:val="none"/>
              </w:rPr>
            </w:pPr>
          </w:p>
        </w:tc>
        <w:tc>
          <w:tcPr>
            <w:tcW w:w="1093" w:type="pct"/>
            <w:tcBorders>
              <w:top w:val="single" w:color="auto" w:sz="4" w:space="0"/>
              <w:left w:val="single" w:color="auto" w:sz="4" w:space="0"/>
              <w:bottom w:val="single" w:color="auto" w:sz="4" w:space="0"/>
              <w:right w:val="single" w:color="auto" w:sz="4" w:space="0"/>
            </w:tcBorders>
          </w:tcPr>
          <w:p w14:paraId="56641A34">
            <w:pPr>
              <w:rPr>
                <w:rFonts w:ascii="宋体" w:hAnsi="宋体" w:eastAsia="宋体" w:cs="宋体"/>
                <w:color w:val="auto"/>
                <w:szCs w:val="21"/>
                <w:highlight w:val="none"/>
              </w:rPr>
            </w:pPr>
          </w:p>
        </w:tc>
        <w:tc>
          <w:tcPr>
            <w:tcW w:w="1454" w:type="pct"/>
            <w:tcBorders>
              <w:top w:val="single" w:color="auto" w:sz="4" w:space="0"/>
              <w:left w:val="single" w:color="auto" w:sz="4" w:space="0"/>
              <w:bottom w:val="single" w:color="auto" w:sz="4" w:space="0"/>
              <w:right w:val="single" w:color="auto" w:sz="4" w:space="0"/>
            </w:tcBorders>
            <w:vAlign w:val="center"/>
          </w:tcPr>
          <w:p w14:paraId="17D45A33">
            <w:pPr>
              <w:jc w:val="center"/>
              <w:rPr>
                <w:rFonts w:ascii="宋体" w:hAnsi="宋体" w:eastAsia="宋体" w:cs="宋体"/>
                <w:bCs/>
                <w:color w:val="auto"/>
                <w:spacing w:val="-10"/>
                <w:szCs w:val="21"/>
                <w:highlight w:val="none"/>
              </w:rPr>
            </w:pPr>
          </w:p>
        </w:tc>
      </w:tr>
      <w:tr w14:paraId="0FE3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tcBorders>
              <w:top w:val="single" w:color="auto" w:sz="4" w:space="0"/>
              <w:left w:val="single" w:color="auto" w:sz="4" w:space="0"/>
              <w:bottom w:val="single" w:color="auto" w:sz="4" w:space="0"/>
              <w:right w:val="single" w:color="auto" w:sz="4" w:space="0"/>
            </w:tcBorders>
          </w:tcPr>
          <w:p w14:paraId="73BD0650">
            <w:pPr>
              <w:rPr>
                <w:rFonts w:ascii="宋体" w:hAnsi="宋体" w:eastAsia="宋体" w:cs="宋体"/>
                <w:color w:val="auto"/>
                <w:szCs w:val="21"/>
                <w:highlight w:val="none"/>
              </w:rPr>
            </w:pPr>
          </w:p>
        </w:tc>
        <w:tc>
          <w:tcPr>
            <w:tcW w:w="1020" w:type="pct"/>
            <w:tcBorders>
              <w:top w:val="single" w:color="auto" w:sz="4" w:space="0"/>
              <w:left w:val="single" w:color="auto" w:sz="4" w:space="0"/>
              <w:bottom w:val="single" w:color="auto" w:sz="4" w:space="0"/>
              <w:right w:val="single" w:color="auto" w:sz="4" w:space="0"/>
            </w:tcBorders>
          </w:tcPr>
          <w:p w14:paraId="384C7D64">
            <w:pPr>
              <w:rPr>
                <w:rFonts w:ascii="宋体" w:hAnsi="宋体" w:eastAsia="宋体" w:cs="宋体"/>
                <w:color w:val="auto"/>
                <w:szCs w:val="21"/>
                <w:highlight w:val="none"/>
              </w:rPr>
            </w:pPr>
          </w:p>
        </w:tc>
        <w:tc>
          <w:tcPr>
            <w:tcW w:w="1014" w:type="pct"/>
            <w:tcBorders>
              <w:top w:val="single" w:color="auto" w:sz="4" w:space="0"/>
              <w:left w:val="single" w:color="auto" w:sz="4" w:space="0"/>
              <w:bottom w:val="single" w:color="auto" w:sz="4" w:space="0"/>
              <w:right w:val="single" w:color="auto" w:sz="4" w:space="0"/>
            </w:tcBorders>
          </w:tcPr>
          <w:p w14:paraId="4A879907">
            <w:pPr>
              <w:rPr>
                <w:rFonts w:ascii="宋体" w:hAnsi="宋体" w:eastAsia="宋体" w:cs="宋体"/>
                <w:color w:val="auto"/>
                <w:szCs w:val="21"/>
                <w:highlight w:val="none"/>
              </w:rPr>
            </w:pPr>
          </w:p>
        </w:tc>
        <w:tc>
          <w:tcPr>
            <w:tcW w:w="1093" w:type="pct"/>
            <w:tcBorders>
              <w:top w:val="single" w:color="auto" w:sz="4" w:space="0"/>
              <w:left w:val="single" w:color="auto" w:sz="4" w:space="0"/>
              <w:bottom w:val="single" w:color="auto" w:sz="4" w:space="0"/>
              <w:right w:val="single" w:color="auto" w:sz="4" w:space="0"/>
            </w:tcBorders>
          </w:tcPr>
          <w:p w14:paraId="46E8AC24">
            <w:pPr>
              <w:rPr>
                <w:rFonts w:ascii="宋体" w:hAnsi="宋体" w:eastAsia="宋体" w:cs="宋体"/>
                <w:color w:val="auto"/>
                <w:szCs w:val="21"/>
                <w:highlight w:val="none"/>
              </w:rPr>
            </w:pPr>
          </w:p>
        </w:tc>
        <w:tc>
          <w:tcPr>
            <w:tcW w:w="1454" w:type="pct"/>
            <w:tcBorders>
              <w:top w:val="single" w:color="auto" w:sz="4" w:space="0"/>
              <w:left w:val="single" w:color="auto" w:sz="4" w:space="0"/>
              <w:bottom w:val="single" w:color="auto" w:sz="4" w:space="0"/>
              <w:right w:val="single" w:color="auto" w:sz="4" w:space="0"/>
            </w:tcBorders>
            <w:vAlign w:val="center"/>
          </w:tcPr>
          <w:p w14:paraId="50BC6976">
            <w:pPr>
              <w:jc w:val="center"/>
              <w:rPr>
                <w:rFonts w:ascii="宋体" w:hAnsi="宋体" w:eastAsia="宋体" w:cs="宋体"/>
                <w:bCs/>
                <w:color w:val="auto"/>
                <w:spacing w:val="-10"/>
                <w:szCs w:val="21"/>
                <w:highlight w:val="none"/>
              </w:rPr>
            </w:pPr>
          </w:p>
        </w:tc>
      </w:tr>
      <w:tr w14:paraId="0963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tcBorders>
              <w:top w:val="single" w:color="auto" w:sz="4" w:space="0"/>
              <w:left w:val="single" w:color="auto" w:sz="4" w:space="0"/>
              <w:bottom w:val="single" w:color="auto" w:sz="4" w:space="0"/>
              <w:right w:val="single" w:color="auto" w:sz="4" w:space="0"/>
            </w:tcBorders>
          </w:tcPr>
          <w:p w14:paraId="620ABA5D">
            <w:pPr>
              <w:widowControl/>
              <w:jc w:val="left"/>
              <w:rPr>
                <w:rFonts w:ascii="宋体" w:hAnsi="宋体" w:eastAsia="宋体" w:cs="宋体"/>
                <w:color w:val="auto"/>
                <w:szCs w:val="21"/>
                <w:highlight w:val="none"/>
              </w:rPr>
            </w:pPr>
          </w:p>
        </w:tc>
        <w:tc>
          <w:tcPr>
            <w:tcW w:w="1020" w:type="pct"/>
            <w:tcBorders>
              <w:top w:val="single" w:color="auto" w:sz="4" w:space="0"/>
              <w:left w:val="single" w:color="auto" w:sz="4" w:space="0"/>
              <w:bottom w:val="single" w:color="auto" w:sz="4" w:space="0"/>
              <w:right w:val="single" w:color="auto" w:sz="4" w:space="0"/>
            </w:tcBorders>
          </w:tcPr>
          <w:p w14:paraId="1A36B800">
            <w:pPr>
              <w:widowControl/>
              <w:jc w:val="left"/>
              <w:rPr>
                <w:rFonts w:ascii="宋体" w:hAnsi="宋体" w:eastAsia="宋体" w:cs="宋体"/>
                <w:color w:val="auto"/>
                <w:szCs w:val="21"/>
                <w:highlight w:val="none"/>
              </w:rPr>
            </w:pPr>
          </w:p>
        </w:tc>
        <w:tc>
          <w:tcPr>
            <w:tcW w:w="1014" w:type="pct"/>
            <w:tcBorders>
              <w:top w:val="single" w:color="auto" w:sz="4" w:space="0"/>
              <w:left w:val="single" w:color="auto" w:sz="4" w:space="0"/>
              <w:bottom w:val="single" w:color="auto" w:sz="4" w:space="0"/>
              <w:right w:val="single" w:color="auto" w:sz="4" w:space="0"/>
            </w:tcBorders>
          </w:tcPr>
          <w:p w14:paraId="24D2C8C2">
            <w:pPr>
              <w:widowControl/>
              <w:jc w:val="left"/>
              <w:rPr>
                <w:rFonts w:ascii="宋体" w:hAnsi="宋体" w:eastAsia="宋体" w:cs="宋体"/>
                <w:color w:val="auto"/>
                <w:szCs w:val="21"/>
                <w:highlight w:val="none"/>
              </w:rPr>
            </w:pPr>
          </w:p>
        </w:tc>
        <w:tc>
          <w:tcPr>
            <w:tcW w:w="1093" w:type="pct"/>
            <w:tcBorders>
              <w:top w:val="single" w:color="auto" w:sz="4" w:space="0"/>
              <w:left w:val="single" w:color="auto" w:sz="4" w:space="0"/>
              <w:bottom w:val="single" w:color="auto" w:sz="4" w:space="0"/>
              <w:right w:val="single" w:color="auto" w:sz="4" w:space="0"/>
            </w:tcBorders>
          </w:tcPr>
          <w:p w14:paraId="2A522F18">
            <w:pPr>
              <w:widowControl/>
              <w:jc w:val="left"/>
              <w:rPr>
                <w:rFonts w:ascii="宋体" w:hAnsi="宋体" w:eastAsia="宋体" w:cs="宋体"/>
                <w:color w:val="auto"/>
                <w:szCs w:val="21"/>
                <w:highlight w:val="none"/>
              </w:rPr>
            </w:pPr>
          </w:p>
        </w:tc>
        <w:tc>
          <w:tcPr>
            <w:tcW w:w="1454" w:type="pct"/>
            <w:tcBorders>
              <w:top w:val="single" w:color="auto" w:sz="4" w:space="0"/>
              <w:left w:val="single" w:color="auto" w:sz="4" w:space="0"/>
              <w:bottom w:val="single" w:color="auto" w:sz="4" w:space="0"/>
              <w:right w:val="single" w:color="auto" w:sz="4" w:space="0"/>
            </w:tcBorders>
            <w:vAlign w:val="center"/>
          </w:tcPr>
          <w:p w14:paraId="76CA8875">
            <w:pPr>
              <w:jc w:val="center"/>
              <w:rPr>
                <w:rFonts w:ascii="宋体" w:hAnsi="宋体" w:eastAsia="宋体" w:cs="宋体"/>
                <w:bCs/>
                <w:color w:val="auto"/>
                <w:spacing w:val="-10"/>
                <w:szCs w:val="21"/>
                <w:highlight w:val="none"/>
              </w:rPr>
            </w:pPr>
          </w:p>
        </w:tc>
      </w:tr>
      <w:tr w14:paraId="673F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tcBorders>
              <w:top w:val="single" w:color="auto" w:sz="4" w:space="0"/>
              <w:left w:val="single" w:color="auto" w:sz="4" w:space="0"/>
              <w:bottom w:val="single" w:color="auto" w:sz="4" w:space="0"/>
              <w:right w:val="single" w:color="auto" w:sz="4" w:space="0"/>
            </w:tcBorders>
          </w:tcPr>
          <w:p w14:paraId="0C3162F2">
            <w:pPr>
              <w:widowControl/>
              <w:jc w:val="left"/>
              <w:rPr>
                <w:rFonts w:ascii="宋体" w:hAnsi="宋体" w:eastAsia="宋体" w:cs="宋体"/>
                <w:color w:val="auto"/>
                <w:szCs w:val="21"/>
                <w:highlight w:val="none"/>
              </w:rPr>
            </w:pPr>
          </w:p>
        </w:tc>
        <w:tc>
          <w:tcPr>
            <w:tcW w:w="1020" w:type="pct"/>
            <w:tcBorders>
              <w:top w:val="single" w:color="auto" w:sz="4" w:space="0"/>
              <w:left w:val="single" w:color="auto" w:sz="4" w:space="0"/>
              <w:bottom w:val="single" w:color="auto" w:sz="4" w:space="0"/>
              <w:right w:val="single" w:color="auto" w:sz="4" w:space="0"/>
            </w:tcBorders>
          </w:tcPr>
          <w:p w14:paraId="66FF92D9">
            <w:pPr>
              <w:widowControl/>
              <w:jc w:val="left"/>
              <w:rPr>
                <w:rFonts w:ascii="宋体" w:hAnsi="宋体" w:eastAsia="宋体" w:cs="宋体"/>
                <w:color w:val="auto"/>
                <w:szCs w:val="21"/>
                <w:highlight w:val="none"/>
              </w:rPr>
            </w:pPr>
          </w:p>
        </w:tc>
        <w:tc>
          <w:tcPr>
            <w:tcW w:w="1014" w:type="pct"/>
            <w:tcBorders>
              <w:top w:val="single" w:color="auto" w:sz="4" w:space="0"/>
              <w:left w:val="single" w:color="auto" w:sz="4" w:space="0"/>
              <w:bottom w:val="single" w:color="auto" w:sz="4" w:space="0"/>
              <w:right w:val="single" w:color="auto" w:sz="4" w:space="0"/>
            </w:tcBorders>
          </w:tcPr>
          <w:p w14:paraId="0DB84185">
            <w:pPr>
              <w:widowControl/>
              <w:jc w:val="left"/>
              <w:rPr>
                <w:rFonts w:ascii="宋体" w:hAnsi="宋体" w:eastAsia="宋体" w:cs="宋体"/>
                <w:color w:val="auto"/>
                <w:szCs w:val="21"/>
                <w:highlight w:val="none"/>
              </w:rPr>
            </w:pPr>
          </w:p>
        </w:tc>
        <w:tc>
          <w:tcPr>
            <w:tcW w:w="1093" w:type="pct"/>
            <w:tcBorders>
              <w:top w:val="single" w:color="auto" w:sz="4" w:space="0"/>
              <w:left w:val="single" w:color="auto" w:sz="4" w:space="0"/>
              <w:bottom w:val="single" w:color="auto" w:sz="4" w:space="0"/>
              <w:right w:val="single" w:color="auto" w:sz="4" w:space="0"/>
            </w:tcBorders>
          </w:tcPr>
          <w:p w14:paraId="649F5CD9">
            <w:pPr>
              <w:widowControl/>
              <w:jc w:val="left"/>
              <w:rPr>
                <w:rFonts w:ascii="宋体" w:hAnsi="宋体" w:eastAsia="宋体" w:cs="宋体"/>
                <w:color w:val="auto"/>
                <w:szCs w:val="21"/>
                <w:highlight w:val="none"/>
              </w:rPr>
            </w:pPr>
          </w:p>
        </w:tc>
        <w:tc>
          <w:tcPr>
            <w:tcW w:w="1454" w:type="pct"/>
            <w:tcBorders>
              <w:top w:val="single" w:color="auto" w:sz="4" w:space="0"/>
              <w:left w:val="single" w:color="auto" w:sz="4" w:space="0"/>
              <w:bottom w:val="single" w:color="auto" w:sz="4" w:space="0"/>
              <w:right w:val="single" w:color="auto" w:sz="4" w:space="0"/>
            </w:tcBorders>
            <w:vAlign w:val="center"/>
          </w:tcPr>
          <w:p w14:paraId="530481A2">
            <w:pPr>
              <w:jc w:val="center"/>
              <w:rPr>
                <w:rFonts w:ascii="宋体" w:hAnsi="宋体" w:eastAsia="宋体" w:cs="宋体"/>
                <w:bCs/>
                <w:color w:val="auto"/>
                <w:spacing w:val="-10"/>
                <w:szCs w:val="21"/>
                <w:highlight w:val="none"/>
              </w:rPr>
            </w:pPr>
          </w:p>
        </w:tc>
      </w:tr>
      <w:tr w14:paraId="6696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tcBorders>
              <w:top w:val="single" w:color="auto" w:sz="4" w:space="0"/>
              <w:left w:val="single" w:color="auto" w:sz="4" w:space="0"/>
              <w:bottom w:val="single" w:color="auto" w:sz="4" w:space="0"/>
              <w:right w:val="single" w:color="auto" w:sz="4" w:space="0"/>
            </w:tcBorders>
          </w:tcPr>
          <w:p w14:paraId="47ADDFD0">
            <w:pPr>
              <w:widowControl/>
              <w:jc w:val="left"/>
              <w:rPr>
                <w:rFonts w:ascii="宋体" w:hAnsi="宋体" w:eastAsia="宋体" w:cs="宋体"/>
                <w:color w:val="auto"/>
                <w:szCs w:val="21"/>
                <w:highlight w:val="none"/>
              </w:rPr>
            </w:pPr>
          </w:p>
        </w:tc>
        <w:tc>
          <w:tcPr>
            <w:tcW w:w="1020" w:type="pct"/>
            <w:tcBorders>
              <w:top w:val="single" w:color="auto" w:sz="4" w:space="0"/>
              <w:left w:val="single" w:color="auto" w:sz="4" w:space="0"/>
              <w:bottom w:val="single" w:color="auto" w:sz="4" w:space="0"/>
              <w:right w:val="single" w:color="auto" w:sz="4" w:space="0"/>
            </w:tcBorders>
          </w:tcPr>
          <w:p w14:paraId="3C686499">
            <w:pPr>
              <w:widowControl/>
              <w:jc w:val="left"/>
              <w:rPr>
                <w:rFonts w:ascii="宋体" w:hAnsi="宋体" w:eastAsia="宋体" w:cs="宋体"/>
                <w:color w:val="auto"/>
                <w:szCs w:val="21"/>
                <w:highlight w:val="none"/>
              </w:rPr>
            </w:pPr>
          </w:p>
        </w:tc>
        <w:tc>
          <w:tcPr>
            <w:tcW w:w="1014" w:type="pct"/>
            <w:tcBorders>
              <w:top w:val="single" w:color="auto" w:sz="4" w:space="0"/>
              <w:left w:val="single" w:color="auto" w:sz="4" w:space="0"/>
              <w:bottom w:val="single" w:color="auto" w:sz="4" w:space="0"/>
              <w:right w:val="single" w:color="auto" w:sz="4" w:space="0"/>
            </w:tcBorders>
          </w:tcPr>
          <w:p w14:paraId="4CAE5E79">
            <w:pPr>
              <w:widowControl/>
              <w:jc w:val="left"/>
              <w:rPr>
                <w:rFonts w:ascii="宋体" w:hAnsi="宋体" w:eastAsia="宋体" w:cs="宋体"/>
                <w:color w:val="auto"/>
                <w:szCs w:val="21"/>
                <w:highlight w:val="none"/>
              </w:rPr>
            </w:pPr>
          </w:p>
        </w:tc>
        <w:tc>
          <w:tcPr>
            <w:tcW w:w="1093" w:type="pct"/>
            <w:tcBorders>
              <w:top w:val="single" w:color="auto" w:sz="4" w:space="0"/>
              <w:left w:val="single" w:color="auto" w:sz="4" w:space="0"/>
              <w:bottom w:val="single" w:color="auto" w:sz="4" w:space="0"/>
              <w:right w:val="single" w:color="auto" w:sz="4" w:space="0"/>
            </w:tcBorders>
          </w:tcPr>
          <w:p w14:paraId="67569866">
            <w:pPr>
              <w:widowControl/>
              <w:jc w:val="left"/>
              <w:rPr>
                <w:rFonts w:ascii="宋体" w:hAnsi="宋体" w:eastAsia="宋体" w:cs="宋体"/>
                <w:color w:val="auto"/>
                <w:szCs w:val="21"/>
                <w:highlight w:val="none"/>
              </w:rPr>
            </w:pPr>
          </w:p>
        </w:tc>
        <w:tc>
          <w:tcPr>
            <w:tcW w:w="1454" w:type="pct"/>
            <w:tcBorders>
              <w:top w:val="single" w:color="auto" w:sz="4" w:space="0"/>
              <w:left w:val="single" w:color="auto" w:sz="4" w:space="0"/>
              <w:bottom w:val="single" w:color="auto" w:sz="4" w:space="0"/>
              <w:right w:val="single" w:color="auto" w:sz="4" w:space="0"/>
            </w:tcBorders>
            <w:vAlign w:val="center"/>
          </w:tcPr>
          <w:p w14:paraId="1CB6D98E">
            <w:pPr>
              <w:jc w:val="center"/>
              <w:rPr>
                <w:rFonts w:ascii="宋体" w:hAnsi="宋体" w:eastAsia="宋体" w:cs="宋体"/>
                <w:bCs/>
                <w:color w:val="auto"/>
                <w:spacing w:val="-10"/>
                <w:szCs w:val="21"/>
                <w:highlight w:val="none"/>
              </w:rPr>
            </w:pPr>
          </w:p>
        </w:tc>
      </w:tr>
      <w:tr w14:paraId="0F9C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tcBorders>
              <w:top w:val="single" w:color="auto" w:sz="4" w:space="0"/>
              <w:left w:val="single" w:color="auto" w:sz="4" w:space="0"/>
              <w:bottom w:val="single" w:color="auto" w:sz="4" w:space="0"/>
              <w:right w:val="single" w:color="auto" w:sz="4" w:space="0"/>
            </w:tcBorders>
          </w:tcPr>
          <w:p w14:paraId="2273583E">
            <w:pPr>
              <w:widowControl/>
              <w:jc w:val="left"/>
              <w:rPr>
                <w:rFonts w:ascii="宋体" w:hAnsi="宋体" w:eastAsia="宋体" w:cs="宋体"/>
                <w:color w:val="auto"/>
                <w:kern w:val="0"/>
                <w:szCs w:val="21"/>
                <w:highlight w:val="none"/>
              </w:rPr>
            </w:pPr>
          </w:p>
        </w:tc>
        <w:tc>
          <w:tcPr>
            <w:tcW w:w="1020" w:type="pct"/>
            <w:tcBorders>
              <w:top w:val="single" w:color="auto" w:sz="4" w:space="0"/>
              <w:left w:val="single" w:color="auto" w:sz="4" w:space="0"/>
              <w:bottom w:val="single" w:color="auto" w:sz="4" w:space="0"/>
              <w:right w:val="single" w:color="auto" w:sz="4" w:space="0"/>
            </w:tcBorders>
          </w:tcPr>
          <w:p w14:paraId="6D05B770">
            <w:pPr>
              <w:widowControl/>
              <w:jc w:val="left"/>
              <w:rPr>
                <w:rFonts w:ascii="宋体" w:hAnsi="宋体" w:eastAsia="宋体" w:cs="宋体"/>
                <w:color w:val="auto"/>
                <w:kern w:val="0"/>
                <w:szCs w:val="21"/>
                <w:highlight w:val="none"/>
              </w:rPr>
            </w:pPr>
          </w:p>
        </w:tc>
        <w:tc>
          <w:tcPr>
            <w:tcW w:w="1014" w:type="pct"/>
            <w:tcBorders>
              <w:top w:val="single" w:color="auto" w:sz="4" w:space="0"/>
              <w:left w:val="single" w:color="auto" w:sz="4" w:space="0"/>
              <w:bottom w:val="single" w:color="auto" w:sz="4" w:space="0"/>
              <w:right w:val="single" w:color="auto" w:sz="4" w:space="0"/>
            </w:tcBorders>
          </w:tcPr>
          <w:p w14:paraId="3513E416">
            <w:pPr>
              <w:widowControl/>
              <w:jc w:val="left"/>
              <w:rPr>
                <w:rFonts w:ascii="宋体" w:hAnsi="宋体" w:eastAsia="宋体" w:cs="宋体"/>
                <w:color w:val="auto"/>
                <w:kern w:val="0"/>
                <w:szCs w:val="21"/>
                <w:highlight w:val="none"/>
              </w:rPr>
            </w:pPr>
          </w:p>
        </w:tc>
        <w:tc>
          <w:tcPr>
            <w:tcW w:w="1093" w:type="pct"/>
            <w:tcBorders>
              <w:top w:val="single" w:color="auto" w:sz="4" w:space="0"/>
              <w:left w:val="single" w:color="auto" w:sz="4" w:space="0"/>
              <w:bottom w:val="single" w:color="auto" w:sz="4" w:space="0"/>
              <w:right w:val="single" w:color="auto" w:sz="4" w:space="0"/>
            </w:tcBorders>
          </w:tcPr>
          <w:p w14:paraId="339503DC">
            <w:pPr>
              <w:widowControl/>
              <w:jc w:val="left"/>
              <w:rPr>
                <w:rFonts w:ascii="宋体" w:hAnsi="宋体" w:eastAsia="宋体" w:cs="宋体"/>
                <w:color w:val="auto"/>
                <w:kern w:val="0"/>
                <w:szCs w:val="21"/>
                <w:highlight w:val="none"/>
              </w:rPr>
            </w:pPr>
          </w:p>
        </w:tc>
        <w:tc>
          <w:tcPr>
            <w:tcW w:w="1454" w:type="pct"/>
            <w:tcBorders>
              <w:top w:val="single" w:color="auto" w:sz="4" w:space="0"/>
              <w:left w:val="single" w:color="auto" w:sz="4" w:space="0"/>
              <w:bottom w:val="single" w:color="auto" w:sz="4" w:space="0"/>
              <w:right w:val="single" w:color="auto" w:sz="4" w:space="0"/>
            </w:tcBorders>
            <w:vAlign w:val="center"/>
          </w:tcPr>
          <w:p w14:paraId="549C5412">
            <w:pPr>
              <w:jc w:val="center"/>
              <w:rPr>
                <w:rFonts w:ascii="宋体" w:hAnsi="宋体" w:eastAsia="宋体" w:cs="宋体"/>
                <w:bCs/>
                <w:color w:val="auto"/>
                <w:spacing w:val="-10"/>
                <w:szCs w:val="21"/>
                <w:highlight w:val="none"/>
              </w:rPr>
            </w:pPr>
          </w:p>
        </w:tc>
      </w:tr>
      <w:tr w14:paraId="2DED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tcBorders>
              <w:top w:val="single" w:color="auto" w:sz="4" w:space="0"/>
              <w:left w:val="single" w:color="auto" w:sz="4" w:space="0"/>
              <w:bottom w:val="single" w:color="auto" w:sz="4" w:space="0"/>
              <w:right w:val="single" w:color="auto" w:sz="4" w:space="0"/>
            </w:tcBorders>
          </w:tcPr>
          <w:p w14:paraId="5286844F">
            <w:pPr>
              <w:widowControl/>
              <w:jc w:val="left"/>
              <w:rPr>
                <w:rFonts w:ascii="宋体" w:hAnsi="宋体" w:eastAsia="宋体" w:cs="宋体"/>
                <w:color w:val="auto"/>
                <w:kern w:val="0"/>
                <w:szCs w:val="21"/>
                <w:highlight w:val="none"/>
              </w:rPr>
            </w:pPr>
          </w:p>
        </w:tc>
        <w:tc>
          <w:tcPr>
            <w:tcW w:w="1020" w:type="pct"/>
            <w:tcBorders>
              <w:top w:val="single" w:color="auto" w:sz="4" w:space="0"/>
              <w:left w:val="single" w:color="auto" w:sz="4" w:space="0"/>
              <w:bottom w:val="single" w:color="auto" w:sz="4" w:space="0"/>
              <w:right w:val="single" w:color="auto" w:sz="4" w:space="0"/>
            </w:tcBorders>
          </w:tcPr>
          <w:p w14:paraId="1C640D7E">
            <w:pPr>
              <w:widowControl/>
              <w:jc w:val="left"/>
              <w:rPr>
                <w:rFonts w:ascii="宋体" w:hAnsi="宋体" w:eastAsia="宋体" w:cs="宋体"/>
                <w:color w:val="auto"/>
                <w:kern w:val="0"/>
                <w:szCs w:val="21"/>
                <w:highlight w:val="none"/>
              </w:rPr>
            </w:pPr>
          </w:p>
        </w:tc>
        <w:tc>
          <w:tcPr>
            <w:tcW w:w="1014" w:type="pct"/>
            <w:tcBorders>
              <w:top w:val="single" w:color="auto" w:sz="4" w:space="0"/>
              <w:left w:val="single" w:color="auto" w:sz="4" w:space="0"/>
              <w:bottom w:val="single" w:color="auto" w:sz="4" w:space="0"/>
              <w:right w:val="single" w:color="auto" w:sz="4" w:space="0"/>
            </w:tcBorders>
          </w:tcPr>
          <w:p w14:paraId="1E5B94BB">
            <w:pPr>
              <w:widowControl/>
              <w:jc w:val="left"/>
              <w:rPr>
                <w:rFonts w:ascii="宋体" w:hAnsi="宋体" w:eastAsia="宋体" w:cs="宋体"/>
                <w:color w:val="auto"/>
                <w:kern w:val="0"/>
                <w:szCs w:val="21"/>
                <w:highlight w:val="none"/>
              </w:rPr>
            </w:pPr>
          </w:p>
        </w:tc>
        <w:tc>
          <w:tcPr>
            <w:tcW w:w="1093" w:type="pct"/>
            <w:tcBorders>
              <w:top w:val="single" w:color="auto" w:sz="4" w:space="0"/>
              <w:left w:val="single" w:color="auto" w:sz="4" w:space="0"/>
              <w:bottom w:val="single" w:color="auto" w:sz="4" w:space="0"/>
              <w:right w:val="single" w:color="auto" w:sz="4" w:space="0"/>
            </w:tcBorders>
          </w:tcPr>
          <w:p w14:paraId="229A1A4F">
            <w:pPr>
              <w:widowControl/>
              <w:jc w:val="left"/>
              <w:rPr>
                <w:rFonts w:ascii="宋体" w:hAnsi="宋体" w:eastAsia="宋体" w:cs="宋体"/>
                <w:color w:val="auto"/>
                <w:kern w:val="0"/>
                <w:szCs w:val="21"/>
                <w:highlight w:val="none"/>
              </w:rPr>
            </w:pPr>
          </w:p>
        </w:tc>
        <w:tc>
          <w:tcPr>
            <w:tcW w:w="1454" w:type="pct"/>
            <w:tcBorders>
              <w:top w:val="single" w:color="auto" w:sz="4" w:space="0"/>
              <w:left w:val="single" w:color="auto" w:sz="4" w:space="0"/>
              <w:bottom w:val="single" w:color="auto" w:sz="4" w:space="0"/>
              <w:right w:val="single" w:color="auto" w:sz="4" w:space="0"/>
            </w:tcBorders>
            <w:vAlign w:val="center"/>
          </w:tcPr>
          <w:p w14:paraId="28E592F9">
            <w:pPr>
              <w:jc w:val="center"/>
              <w:rPr>
                <w:rFonts w:ascii="宋体" w:hAnsi="宋体" w:eastAsia="宋体" w:cs="宋体"/>
                <w:bCs/>
                <w:color w:val="auto"/>
                <w:spacing w:val="-10"/>
                <w:szCs w:val="21"/>
                <w:highlight w:val="none"/>
              </w:rPr>
            </w:pPr>
          </w:p>
        </w:tc>
      </w:tr>
      <w:tr w14:paraId="26FD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tcBorders>
              <w:top w:val="single" w:color="auto" w:sz="4" w:space="0"/>
              <w:left w:val="single" w:color="auto" w:sz="4" w:space="0"/>
              <w:bottom w:val="single" w:color="auto" w:sz="4" w:space="0"/>
              <w:right w:val="single" w:color="auto" w:sz="4" w:space="0"/>
            </w:tcBorders>
          </w:tcPr>
          <w:p w14:paraId="2ECEDB42">
            <w:pPr>
              <w:widowControl/>
              <w:jc w:val="left"/>
              <w:rPr>
                <w:rFonts w:ascii="宋体" w:hAnsi="宋体" w:eastAsia="宋体" w:cs="宋体"/>
                <w:color w:val="auto"/>
                <w:kern w:val="0"/>
                <w:szCs w:val="21"/>
                <w:highlight w:val="none"/>
              </w:rPr>
            </w:pPr>
          </w:p>
        </w:tc>
        <w:tc>
          <w:tcPr>
            <w:tcW w:w="1020" w:type="pct"/>
            <w:tcBorders>
              <w:top w:val="single" w:color="auto" w:sz="4" w:space="0"/>
              <w:left w:val="single" w:color="auto" w:sz="4" w:space="0"/>
              <w:bottom w:val="single" w:color="auto" w:sz="4" w:space="0"/>
              <w:right w:val="single" w:color="auto" w:sz="4" w:space="0"/>
            </w:tcBorders>
          </w:tcPr>
          <w:p w14:paraId="259A3B73">
            <w:pPr>
              <w:widowControl/>
              <w:jc w:val="left"/>
              <w:rPr>
                <w:rFonts w:ascii="宋体" w:hAnsi="宋体" w:eastAsia="宋体" w:cs="宋体"/>
                <w:color w:val="auto"/>
                <w:kern w:val="0"/>
                <w:szCs w:val="21"/>
                <w:highlight w:val="none"/>
              </w:rPr>
            </w:pPr>
          </w:p>
        </w:tc>
        <w:tc>
          <w:tcPr>
            <w:tcW w:w="1014" w:type="pct"/>
            <w:tcBorders>
              <w:top w:val="single" w:color="auto" w:sz="4" w:space="0"/>
              <w:left w:val="single" w:color="auto" w:sz="4" w:space="0"/>
              <w:bottom w:val="single" w:color="auto" w:sz="4" w:space="0"/>
              <w:right w:val="single" w:color="auto" w:sz="4" w:space="0"/>
            </w:tcBorders>
          </w:tcPr>
          <w:p w14:paraId="5279A445">
            <w:pPr>
              <w:widowControl/>
              <w:jc w:val="left"/>
              <w:rPr>
                <w:rFonts w:ascii="宋体" w:hAnsi="宋体" w:eastAsia="宋体" w:cs="宋体"/>
                <w:color w:val="auto"/>
                <w:kern w:val="0"/>
                <w:szCs w:val="21"/>
                <w:highlight w:val="none"/>
              </w:rPr>
            </w:pPr>
          </w:p>
        </w:tc>
        <w:tc>
          <w:tcPr>
            <w:tcW w:w="1093" w:type="pct"/>
            <w:tcBorders>
              <w:top w:val="single" w:color="auto" w:sz="4" w:space="0"/>
              <w:left w:val="single" w:color="auto" w:sz="4" w:space="0"/>
              <w:bottom w:val="single" w:color="auto" w:sz="4" w:space="0"/>
              <w:right w:val="single" w:color="auto" w:sz="4" w:space="0"/>
            </w:tcBorders>
          </w:tcPr>
          <w:p w14:paraId="1C793380">
            <w:pPr>
              <w:widowControl/>
              <w:jc w:val="left"/>
              <w:rPr>
                <w:rFonts w:ascii="宋体" w:hAnsi="宋体" w:eastAsia="宋体" w:cs="宋体"/>
                <w:color w:val="auto"/>
                <w:kern w:val="0"/>
                <w:szCs w:val="21"/>
                <w:highlight w:val="none"/>
              </w:rPr>
            </w:pPr>
          </w:p>
        </w:tc>
        <w:tc>
          <w:tcPr>
            <w:tcW w:w="1454" w:type="pct"/>
            <w:tcBorders>
              <w:top w:val="single" w:color="auto" w:sz="4" w:space="0"/>
              <w:left w:val="single" w:color="auto" w:sz="4" w:space="0"/>
              <w:bottom w:val="single" w:color="auto" w:sz="4" w:space="0"/>
              <w:right w:val="single" w:color="auto" w:sz="4" w:space="0"/>
            </w:tcBorders>
            <w:vAlign w:val="center"/>
          </w:tcPr>
          <w:p w14:paraId="4CB29E4F">
            <w:pPr>
              <w:jc w:val="center"/>
              <w:rPr>
                <w:rFonts w:ascii="宋体" w:hAnsi="宋体" w:eastAsia="宋体" w:cs="宋体"/>
                <w:bCs/>
                <w:color w:val="auto"/>
                <w:spacing w:val="-10"/>
                <w:szCs w:val="21"/>
                <w:highlight w:val="none"/>
              </w:rPr>
            </w:pPr>
          </w:p>
        </w:tc>
      </w:tr>
      <w:tr w14:paraId="537F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tcBorders>
              <w:top w:val="single" w:color="auto" w:sz="4" w:space="0"/>
              <w:left w:val="single" w:color="auto" w:sz="4" w:space="0"/>
              <w:bottom w:val="single" w:color="auto" w:sz="4" w:space="0"/>
              <w:right w:val="single" w:color="auto" w:sz="4" w:space="0"/>
            </w:tcBorders>
          </w:tcPr>
          <w:p w14:paraId="4D1C5EB3">
            <w:pPr>
              <w:widowControl/>
              <w:jc w:val="left"/>
              <w:rPr>
                <w:rFonts w:ascii="宋体" w:hAnsi="宋体" w:eastAsia="宋体" w:cs="宋体"/>
                <w:color w:val="auto"/>
                <w:kern w:val="0"/>
                <w:szCs w:val="21"/>
                <w:highlight w:val="none"/>
              </w:rPr>
            </w:pPr>
          </w:p>
        </w:tc>
        <w:tc>
          <w:tcPr>
            <w:tcW w:w="1020" w:type="pct"/>
            <w:tcBorders>
              <w:top w:val="single" w:color="auto" w:sz="4" w:space="0"/>
              <w:left w:val="single" w:color="auto" w:sz="4" w:space="0"/>
              <w:bottom w:val="single" w:color="auto" w:sz="4" w:space="0"/>
              <w:right w:val="single" w:color="auto" w:sz="4" w:space="0"/>
            </w:tcBorders>
          </w:tcPr>
          <w:p w14:paraId="1B5C66D2">
            <w:pPr>
              <w:widowControl/>
              <w:jc w:val="left"/>
              <w:rPr>
                <w:rFonts w:ascii="宋体" w:hAnsi="宋体" w:eastAsia="宋体" w:cs="宋体"/>
                <w:color w:val="auto"/>
                <w:kern w:val="0"/>
                <w:szCs w:val="21"/>
                <w:highlight w:val="none"/>
              </w:rPr>
            </w:pPr>
          </w:p>
        </w:tc>
        <w:tc>
          <w:tcPr>
            <w:tcW w:w="1014" w:type="pct"/>
            <w:tcBorders>
              <w:top w:val="single" w:color="auto" w:sz="4" w:space="0"/>
              <w:left w:val="single" w:color="auto" w:sz="4" w:space="0"/>
              <w:bottom w:val="single" w:color="auto" w:sz="4" w:space="0"/>
              <w:right w:val="single" w:color="auto" w:sz="4" w:space="0"/>
            </w:tcBorders>
          </w:tcPr>
          <w:p w14:paraId="4F4BDAA3">
            <w:pPr>
              <w:widowControl/>
              <w:jc w:val="left"/>
              <w:rPr>
                <w:rFonts w:ascii="宋体" w:hAnsi="宋体" w:eastAsia="宋体" w:cs="宋体"/>
                <w:color w:val="auto"/>
                <w:kern w:val="0"/>
                <w:szCs w:val="21"/>
                <w:highlight w:val="none"/>
              </w:rPr>
            </w:pPr>
          </w:p>
        </w:tc>
        <w:tc>
          <w:tcPr>
            <w:tcW w:w="1093" w:type="pct"/>
            <w:tcBorders>
              <w:top w:val="single" w:color="auto" w:sz="4" w:space="0"/>
              <w:left w:val="single" w:color="auto" w:sz="4" w:space="0"/>
              <w:bottom w:val="single" w:color="auto" w:sz="4" w:space="0"/>
              <w:right w:val="single" w:color="auto" w:sz="4" w:space="0"/>
            </w:tcBorders>
          </w:tcPr>
          <w:p w14:paraId="5D07D24D">
            <w:pPr>
              <w:widowControl/>
              <w:jc w:val="left"/>
              <w:rPr>
                <w:rFonts w:ascii="宋体" w:hAnsi="宋体" w:eastAsia="宋体" w:cs="宋体"/>
                <w:color w:val="auto"/>
                <w:kern w:val="0"/>
                <w:szCs w:val="21"/>
                <w:highlight w:val="none"/>
              </w:rPr>
            </w:pPr>
          </w:p>
        </w:tc>
        <w:tc>
          <w:tcPr>
            <w:tcW w:w="1454" w:type="pct"/>
            <w:tcBorders>
              <w:top w:val="single" w:color="auto" w:sz="4" w:space="0"/>
              <w:left w:val="single" w:color="auto" w:sz="4" w:space="0"/>
              <w:bottom w:val="single" w:color="auto" w:sz="4" w:space="0"/>
              <w:right w:val="single" w:color="auto" w:sz="4" w:space="0"/>
            </w:tcBorders>
            <w:vAlign w:val="center"/>
          </w:tcPr>
          <w:p w14:paraId="36C7EABD">
            <w:pPr>
              <w:jc w:val="center"/>
              <w:rPr>
                <w:rFonts w:ascii="宋体" w:hAnsi="宋体" w:eastAsia="宋体" w:cs="宋体"/>
                <w:bCs/>
                <w:color w:val="auto"/>
                <w:spacing w:val="-10"/>
                <w:szCs w:val="21"/>
                <w:highlight w:val="none"/>
              </w:rPr>
            </w:pPr>
          </w:p>
        </w:tc>
      </w:tr>
      <w:tr w14:paraId="5002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6" w:type="pct"/>
            <w:tcBorders>
              <w:top w:val="single" w:color="auto" w:sz="4" w:space="0"/>
              <w:left w:val="single" w:color="auto" w:sz="4" w:space="0"/>
              <w:bottom w:val="single" w:color="auto" w:sz="4" w:space="0"/>
              <w:right w:val="single" w:color="auto" w:sz="4" w:space="0"/>
            </w:tcBorders>
          </w:tcPr>
          <w:p w14:paraId="29A0500C">
            <w:pPr>
              <w:widowControl/>
              <w:jc w:val="left"/>
              <w:rPr>
                <w:rFonts w:ascii="宋体" w:hAnsi="宋体" w:eastAsia="宋体" w:cs="宋体"/>
                <w:color w:val="auto"/>
                <w:kern w:val="0"/>
                <w:szCs w:val="21"/>
                <w:highlight w:val="none"/>
              </w:rPr>
            </w:pPr>
          </w:p>
        </w:tc>
        <w:tc>
          <w:tcPr>
            <w:tcW w:w="1020" w:type="pct"/>
            <w:tcBorders>
              <w:top w:val="single" w:color="auto" w:sz="4" w:space="0"/>
              <w:left w:val="single" w:color="auto" w:sz="4" w:space="0"/>
              <w:bottom w:val="single" w:color="auto" w:sz="4" w:space="0"/>
              <w:right w:val="single" w:color="auto" w:sz="4" w:space="0"/>
            </w:tcBorders>
          </w:tcPr>
          <w:p w14:paraId="705F0FCA">
            <w:pPr>
              <w:widowControl/>
              <w:jc w:val="left"/>
              <w:rPr>
                <w:rFonts w:ascii="宋体" w:hAnsi="宋体" w:eastAsia="宋体" w:cs="宋体"/>
                <w:color w:val="auto"/>
                <w:kern w:val="0"/>
                <w:szCs w:val="21"/>
                <w:highlight w:val="none"/>
              </w:rPr>
            </w:pPr>
          </w:p>
        </w:tc>
        <w:tc>
          <w:tcPr>
            <w:tcW w:w="1014" w:type="pct"/>
            <w:tcBorders>
              <w:top w:val="single" w:color="auto" w:sz="4" w:space="0"/>
              <w:left w:val="single" w:color="auto" w:sz="4" w:space="0"/>
              <w:bottom w:val="single" w:color="auto" w:sz="4" w:space="0"/>
              <w:right w:val="single" w:color="auto" w:sz="4" w:space="0"/>
            </w:tcBorders>
          </w:tcPr>
          <w:p w14:paraId="5C976F1D">
            <w:pPr>
              <w:widowControl/>
              <w:jc w:val="left"/>
              <w:rPr>
                <w:rFonts w:ascii="宋体" w:hAnsi="宋体" w:eastAsia="宋体" w:cs="宋体"/>
                <w:color w:val="auto"/>
                <w:kern w:val="0"/>
                <w:szCs w:val="21"/>
                <w:highlight w:val="none"/>
              </w:rPr>
            </w:pPr>
          </w:p>
        </w:tc>
        <w:tc>
          <w:tcPr>
            <w:tcW w:w="1093" w:type="pct"/>
            <w:tcBorders>
              <w:top w:val="single" w:color="auto" w:sz="4" w:space="0"/>
              <w:left w:val="single" w:color="auto" w:sz="4" w:space="0"/>
              <w:bottom w:val="single" w:color="auto" w:sz="4" w:space="0"/>
              <w:right w:val="single" w:color="auto" w:sz="4" w:space="0"/>
            </w:tcBorders>
          </w:tcPr>
          <w:p w14:paraId="09A8B8CD">
            <w:pPr>
              <w:widowControl/>
              <w:jc w:val="left"/>
              <w:rPr>
                <w:rFonts w:ascii="宋体" w:hAnsi="宋体" w:eastAsia="宋体" w:cs="宋体"/>
                <w:color w:val="auto"/>
                <w:kern w:val="0"/>
                <w:szCs w:val="21"/>
                <w:highlight w:val="none"/>
              </w:rPr>
            </w:pPr>
          </w:p>
        </w:tc>
        <w:tc>
          <w:tcPr>
            <w:tcW w:w="1454" w:type="pct"/>
            <w:tcBorders>
              <w:top w:val="single" w:color="auto" w:sz="4" w:space="0"/>
              <w:left w:val="single" w:color="auto" w:sz="4" w:space="0"/>
              <w:bottom w:val="single" w:color="auto" w:sz="4" w:space="0"/>
              <w:right w:val="single" w:color="auto" w:sz="4" w:space="0"/>
            </w:tcBorders>
            <w:vAlign w:val="center"/>
          </w:tcPr>
          <w:p w14:paraId="4013DDD8">
            <w:pPr>
              <w:jc w:val="center"/>
              <w:rPr>
                <w:rFonts w:ascii="宋体" w:hAnsi="宋体" w:eastAsia="宋体" w:cs="宋体"/>
                <w:bCs/>
                <w:color w:val="auto"/>
                <w:spacing w:val="-10"/>
                <w:szCs w:val="21"/>
                <w:highlight w:val="none"/>
              </w:rPr>
            </w:pPr>
          </w:p>
        </w:tc>
      </w:tr>
    </w:tbl>
    <w:p w14:paraId="7658D7DA">
      <w:pPr>
        <w:topLinePunct/>
        <w:ind w:firstLine="425" w:firstLineChars="195"/>
        <w:rPr>
          <w:rFonts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注：</w:t>
      </w:r>
      <w:r>
        <w:rPr>
          <w:rFonts w:ascii="宋体" w:hAnsi="宋体" w:eastAsia="宋体" w:cs="宋体"/>
          <w:color w:val="auto"/>
          <w:kern w:val="0"/>
          <w:szCs w:val="21"/>
          <w:highlight w:val="none"/>
          <w:lang w:bidi="ar"/>
        </w:rPr>
        <w:t>1、投标人应根据本表的格式要求，填写本表“</w:t>
      </w:r>
      <w:r>
        <w:rPr>
          <w:rFonts w:ascii="宋体" w:hAnsi="宋体" w:eastAsia="宋体" w:cs="宋体"/>
          <w:b/>
          <w:color w:val="auto"/>
          <w:kern w:val="0"/>
          <w:szCs w:val="21"/>
          <w:highlight w:val="none"/>
          <w:lang w:bidi="ar"/>
        </w:rPr>
        <w:t>投标人拟投入情况</w:t>
      </w:r>
      <w:r>
        <w:rPr>
          <w:rFonts w:ascii="宋体" w:hAnsi="宋体" w:eastAsia="宋体" w:cs="宋体"/>
          <w:color w:val="auto"/>
          <w:kern w:val="0"/>
          <w:szCs w:val="21"/>
          <w:highlight w:val="none"/>
          <w:lang w:bidi="ar"/>
        </w:rPr>
        <w:t>”部分的“岗位”栏和相关人员“姓名”、“职称”和“职称证书或资格证书编号”栏。“职称”栏填“高级”或“中级”或“初级”或“无”；不涉及职称的岗位在“职称”栏填“无”；无职称证书或资格证书的，“职称证书或资格证书编号”栏填“无”；同时具备职称证书和资格证书的，“职称证书或资格证书编号”栏填职称证书编号。</w:t>
      </w:r>
    </w:p>
    <w:p w14:paraId="48EFC0C0">
      <w:pPr>
        <w:topLinePunct/>
        <w:ind w:firstLine="425" w:firstLineChars="195"/>
        <w:rPr>
          <w:rFonts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2、岗位人员由投标人视本工程具体情况结合招标文件要求自行配备；</w:t>
      </w:r>
    </w:p>
    <w:p w14:paraId="1BE2E453">
      <w:pPr>
        <w:topLinePunct/>
        <w:ind w:firstLine="425" w:firstLineChars="195"/>
        <w:rPr>
          <w:rFonts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3、本表中填报的所有人员须为投标单位人员，并须提供投标截止前近一个月</w:t>
      </w:r>
      <w:r>
        <w:rPr>
          <w:rFonts w:hint="eastAsia" w:ascii="宋体" w:hAnsi="宋体" w:eastAsia="宋体" w:cs="宋体"/>
          <w:bCs/>
          <w:color w:val="auto"/>
          <w:highlight w:val="none"/>
        </w:rPr>
        <w:t>（</w:t>
      </w:r>
      <w:r>
        <w:rPr>
          <w:rFonts w:hint="eastAsia" w:ascii="宋体" w:hAnsi="宋体" w:eastAsia="宋体" w:cs="宋体"/>
          <w:bCs/>
          <w:color w:val="auto"/>
          <w:highlight w:val="none"/>
          <w:lang w:eastAsia="zh-CN"/>
        </w:rPr>
        <w:t>202</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lang w:eastAsia="zh-CN"/>
        </w:rPr>
        <w:t>年</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lang w:eastAsia="zh-CN"/>
        </w:rPr>
        <w:t>月或2026年</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lang w:eastAsia="zh-CN"/>
        </w:rPr>
        <w:t>月</w:t>
      </w:r>
      <w:r>
        <w:rPr>
          <w:rFonts w:hint="eastAsia" w:ascii="宋体" w:hAnsi="宋体" w:eastAsia="宋体" w:cs="宋体"/>
          <w:bCs/>
          <w:color w:val="auto"/>
          <w:highlight w:val="none"/>
        </w:rPr>
        <w:t>）</w:t>
      </w:r>
      <w:r>
        <w:rPr>
          <w:rFonts w:hint="eastAsia" w:ascii="宋体" w:hAnsi="宋体" w:eastAsia="宋体" w:cs="宋体"/>
          <w:color w:val="auto"/>
          <w:spacing w:val="4"/>
          <w:kern w:val="0"/>
          <w:szCs w:val="21"/>
          <w:highlight w:val="none"/>
        </w:rPr>
        <w:t>有效社保证明资料扫描件。</w:t>
      </w:r>
    </w:p>
    <w:p w14:paraId="01E8E797">
      <w:pPr>
        <w:topLinePunct/>
        <w:ind w:firstLine="425" w:firstLineChars="195"/>
        <w:rPr>
          <w:rFonts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4、上述人员须按招标公告及《技术标详细审查评分表》相应要求提供居民身份证、职称证（如有）、有效期内的注册证（如有）、岗位证（如有）或培训合格证（如有）等相关证明资料。所有资料为扫描件并加盖投标人电子印章。</w:t>
      </w:r>
    </w:p>
    <w:p w14:paraId="29A29126">
      <w:pPr>
        <w:topLinePunct/>
        <w:ind w:firstLine="425" w:firstLineChars="195"/>
        <w:rPr>
          <w:rFonts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5、本表中填报的所有人员均需按招标文件第四章《主要人员简历表》格式要求提交《主要人员简历表》。</w:t>
      </w:r>
    </w:p>
    <w:p w14:paraId="41CF8F46">
      <w:pPr>
        <w:tabs>
          <w:tab w:val="left" w:pos="720"/>
        </w:tabs>
        <w:spacing w:line="336" w:lineRule="auto"/>
        <w:ind w:firstLine="4534" w:firstLineChars="2080"/>
        <w:jc w:val="left"/>
        <w:rPr>
          <w:rFonts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投标人：</w:t>
      </w:r>
      <w:r>
        <w:rPr>
          <w:rFonts w:hint="eastAsia" w:ascii="宋体" w:hAnsi="宋体" w:eastAsia="宋体" w:cs="宋体"/>
          <w:color w:val="auto"/>
          <w:spacing w:val="4"/>
          <w:kern w:val="0"/>
          <w:szCs w:val="21"/>
          <w:highlight w:val="none"/>
          <w:u w:val="single"/>
        </w:rPr>
        <w:t xml:space="preserve">                         </w:t>
      </w:r>
      <w:r>
        <w:rPr>
          <w:rFonts w:hint="eastAsia" w:ascii="宋体" w:hAnsi="宋体" w:eastAsia="宋体" w:cs="宋体"/>
          <w:color w:val="auto"/>
          <w:spacing w:val="4"/>
          <w:kern w:val="0"/>
          <w:szCs w:val="21"/>
          <w:highlight w:val="none"/>
        </w:rPr>
        <w:t xml:space="preserve"> （盖章）</w:t>
      </w:r>
    </w:p>
    <w:p w14:paraId="443A4ECC">
      <w:pPr>
        <w:topLinePunct/>
        <w:spacing w:line="276" w:lineRule="auto"/>
        <w:ind w:firstLine="4534" w:firstLineChars="2080"/>
        <w:rPr>
          <w:rFonts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日期：</w:t>
      </w:r>
      <w:r>
        <w:rPr>
          <w:rFonts w:hint="eastAsia" w:ascii="宋体" w:hAnsi="宋体" w:eastAsia="宋体" w:cs="宋体"/>
          <w:color w:val="auto"/>
          <w:spacing w:val="4"/>
          <w:kern w:val="0"/>
          <w:szCs w:val="21"/>
          <w:highlight w:val="none"/>
          <w:u w:val="single"/>
        </w:rPr>
        <w:t xml:space="preserve">                                    </w:t>
      </w:r>
    </w:p>
    <w:bookmarkEnd w:id="67"/>
    <w:p w14:paraId="44C1DF63">
      <w:pPr>
        <w:topLinePunct/>
        <w:spacing w:line="360" w:lineRule="auto"/>
        <w:ind w:firstLine="482" w:firstLineChars="200"/>
        <w:rPr>
          <w:rFonts w:ascii="宋体" w:hAnsi="宋体" w:eastAsia="宋体" w:cs="宋体"/>
          <w:b/>
          <w:color w:val="auto"/>
          <w:sz w:val="24"/>
          <w:szCs w:val="24"/>
          <w:highlight w:val="none"/>
        </w:rPr>
      </w:pPr>
    </w:p>
    <w:p w14:paraId="74150CF6">
      <w:pPr>
        <w:topLinePunct/>
        <w:spacing w:line="360" w:lineRule="auto"/>
        <w:jc w:val="center"/>
        <w:rPr>
          <w:rFonts w:ascii="宋体" w:hAnsi="宋体" w:eastAsia="宋体" w:cs="宋体"/>
          <w:b/>
          <w:snapToGrid w:val="0"/>
          <w:color w:val="auto"/>
          <w:spacing w:val="4"/>
          <w:kern w:val="0"/>
          <w:sz w:val="32"/>
          <w:szCs w:val="32"/>
          <w:highlight w:val="none"/>
        </w:rPr>
      </w:pPr>
      <w:r>
        <w:rPr>
          <w:rFonts w:hint="eastAsia" w:ascii="宋体" w:hAnsi="宋体" w:eastAsia="宋体" w:cs="宋体"/>
          <w:b/>
          <w:snapToGrid w:val="0"/>
          <w:color w:val="auto"/>
          <w:spacing w:val="4"/>
          <w:kern w:val="0"/>
          <w:sz w:val="36"/>
          <w:szCs w:val="36"/>
          <w:highlight w:val="none"/>
        </w:rPr>
        <w:br w:type="page"/>
      </w:r>
      <w:r>
        <w:rPr>
          <w:rFonts w:hint="eastAsia" w:ascii="宋体" w:hAnsi="宋体" w:eastAsia="宋体" w:cs="宋体"/>
          <w:b/>
          <w:snapToGrid w:val="0"/>
          <w:color w:val="auto"/>
          <w:spacing w:val="4"/>
          <w:kern w:val="0"/>
          <w:sz w:val="32"/>
          <w:szCs w:val="32"/>
          <w:highlight w:val="none"/>
        </w:rPr>
        <w:t>主要人员简历表</w:t>
      </w:r>
    </w:p>
    <w:tbl>
      <w:tblPr>
        <w:tblStyle w:val="50"/>
        <w:tblW w:w="5000"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60" w:type="dxa"/>
          <w:left w:w="60" w:type="dxa"/>
          <w:bottom w:w="60" w:type="dxa"/>
          <w:right w:w="60" w:type="dxa"/>
        </w:tblCellMar>
      </w:tblPr>
      <w:tblGrid>
        <w:gridCol w:w="1424"/>
        <w:gridCol w:w="2228"/>
        <w:gridCol w:w="911"/>
        <w:gridCol w:w="569"/>
        <w:gridCol w:w="199"/>
        <w:gridCol w:w="1385"/>
        <w:gridCol w:w="1084"/>
        <w:gridCol w:w="369"/>
        <w:gridCol w:w="1707"/>
      </w:tblGrid>
      <w:tr w14:paraId="45CF6D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60" w:type="dxa"/>
            <w:left w:w="60" w:type="dxa"/>
            <w:bottom w:w="60" w:type="dxa"/>
            <w:right w:w="60" w:type="dxa"/>
          </w:tblCellMar>
        </w:tblPrEx>
        <w:trPr>
          <w:trHeight w:val="720" w:hRule="atLeast"/>
          <w:tblCellSpacing w:w="0" w:type="dxa"/>
          <w:jc w:val="center"/>
        </w:trPr>
        <w:tc>
          <w:tcPr>
            <w:tcW w:w="721" w:type="pct"/>
            <w:vAlign w:val="center"/>
          </w:tcPr>
          <w:p w14:paraId="2FC16054">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127" w:type="pct"/>
            <w:vAlign w:val="center"/>
          </w:tcPr>
          <w:p w14:paraId="43D4B58B">
            <w:pPr>
              <w:jc w:val="left"/>
              <w:rPr>
                <w:rFonts w:ascii="宋体" w:hAnsi="宋体" w:eastAsia="宋体" w:cs="宋体"/>
                <w:color w:val="auto"/>
                <w:sz w:val="24"/>
                <w:szCs w:val="24"/>
                <w:highlight w:val="none"/>
              </w:rPr>
            </w:pPr>
          </w:p>
        </w:tc>
        <w:tc>
          <w:tcPr>
            <w:tcW w:w="461" w:type="pct"/>
            <w:vAlign w:val="center"/>
          </w:tcPr>
          <w:p w14:paraId="32092DBF">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090" w:type="pct"/>
            <w:gridSpan w:val="3"/>
            <w:vAlign w:val="center"/>
          </w:tcPr>
          <w:p w14:paraId="3FDB3028">
            <w:pPr>
              <w:jc w:val="left"/>
              <w:rPr>
                <w:rFonts w:ascii="宋体" w:hAnsi="宋体" w:eastAsia="宋体" w:cs="宋体"/>
                <w:color w:val="auto"/>
                <w:sz w:val="24"/>
                <w:szCs w:val="24"/>
                <w:highlight w:val="none"/>
              </w:rPr>
            </w:pPr>
          </w:p>
        </w:tc>
        <w:tc>
          <w:tcPr>
            <w:tcW w:w="736" w:type="pct"/>
            <w:gridSpan w:val="2"/>
            <w:vAlign w:val="center"/>
          </w:tcPr>
          <w:p w14:paraId="7A53B543">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862" w:type="pct"/>
            <w:vAlign w:val="center"/>
          </w:tcPr>
          <w:p w14:paraId="4ECAC774">
            <w:pPr>
              <w:jc w:val="left"/>
              <w:rPr>
                <w:rFonts w:ascii="宋体" w:hAnsi="宋体" w:eastAsia="宋体" w:cs="宋体"/>
                <w:color w:val="auto"/>
                <w:sz w:val="24"/>
                <w:szCs w:val="24"/>
                <w:highlight w:val="none"/>
              </w:rPr>
            </w:pPr>
          </w:p>
        </w:tc>
      </w:tr>
      <w:tr w14:paraId="5E028F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60" w:type="dxa"/>
            <w:left w:w="60" w:type="dxa"/>
            <w:bottom w:w="60" w:type="dxa"/>
            <w:right w:w="60" w:type="dxa"/>
          </w:tblCellMar>
        </w:tblPrEx>
        <w:trPr>
          <w:trHeight w:val="735" w:hRule="atLeast"/>
          <w:tblCellSpacing w:w="0" w:type="dxa"/>
          <w:jc w:val="center"/>
        </w:trPr>
        <w:tc>
          <w:tcPr>
            <w:tcW w:w="721" w:type="pct"/>
            <w:vAlign w:val="center"/>
          </w:tcPr>
          <w:p w14:paraId="011EC9F5">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127" w:type="pct"/>
            <w:vAlign w:val="center"/>
          </w:tcPr>
          <w:p w14:paraId="69FC5AE4">
            <w:pPr>
              <w:jc w:val="left"/>
              <w:rPr>
                <w:rFonts w:ascii="宋体" w:hAnsi="宋体" w:eastAsia="宋体" w:cs="宋体"/>
                <w:color w:val="auto"/>
                <w:sz w:val="24"/>
                <w:szCs w:val="24"/>
                <w:highlight w:val="none"/>
              </w:rPr>
            </w:pPr>
          </w:p>
        </w:tc>
        <w:tc>
          <w:tcPr>
            <w:tcW w:w="461" w:type="pct"/>
            <w:vAlign w:val="center"/>
          </w:tcPr>
          <w:p w14:paraId="30E98EC0">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090" w:type="pct"/>
            <w:gridSpan w:val="3"/>
            <w:vAlign w:val="center"/>
          </w:tcPr>
          <w:p w14:paraId="66FAD222">
            <w:pPr>
              <w:jc w:val="left"/>
              <w:rPr>
                <w:rFonts w:ascii="宋体" w:hAnsi="宋体" w:eastAsia="宋体" w:cs="宋体"/>
                <w:color w:val="auto"/>
                <w:sz w:val="24"/>
                <w:szCs w:val="24"/>
                <w:highlight w:val="none"/>
              </w:rPr>
            </w:pPr>
          </w:p>
        </w:tc>
        <w:tc>
          <w:tcPr>
            <w:tcW w:w="736" w:type="pct"/>
            <w:gridSpan w:val="2"/>
            <w:vAlign w:val="center"/>
          </w:tcPr>
          <w:p w14:paraId="0C21757B">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862" w:type="pct"/>
            <w:vAlign w:val="center"/>
          </w:tcPr>
          <w:p w14:paraId="07B40C15">
            <w:pPr>
              <w:jc w:val="left"/>
              <w:rPr>
                <w:rFonts w:ascii="宋体" w:hAnsi="宋体" w:eastAsia="宋体" w:cs="宋体"/>
                <w:color w:val="auto"/>
                <w:sz w:val="24"/>
                <w:szCs w:val="24"/>
                <w:highlight w:val="none"/>
              </w:rPr>
            </w:pPr>
          </w:p>
        </w:tc>
      </w:tr>
      <w:tr w14:paraId="16673B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60" w:type="dxa"/>
            <w:left w:w="60" w:type="dxa"/>
            <w:bottom w:w="60" w:type="dxa"/>
            <w:right w:w="60" w:type="dxa"/>
          </w:tblCellMar>
        </w:tblPrEx>
        <w:trPr>
          <w:trHeight w:val="735" w:hRule="atLeast"/>
          <w:tblCellSpacing w:w="0" w:type="dxa"/>
          <w:jc w:val="center"/>
        </w:trPr>
        <w:tc>
          <w:tcPr>
            <w:tcW w:w="1849" w:type="pct"/>
            <w:gridSpan w:val="2"/>
            <w:vAlign w:val="center"/>
          </w:tcPr>
          <w:p w14:paraId="2E9E8F89">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参加工作时间</w:t>
            </w:r>
          </w:p>
        </w:tc>
        <w:tc>
          <w:tcPr>
            <w:tcW w:w="850" w:type="pct"/>
            <w:gridSpan w:val="3"/>
            <w:vAlign w:val="center"/>
          </w:tcPr>
          <w:p w14:paraId="017304CE">
            <w:pPr>
              <w:jc w:val="left"/>
              <w:rPr>
                <w:rFonts w:ascii="宋体" w:hAnsi="宋体" w:eastAsia="宋体" w:cs="宋体"/>
                <w:color w:val="auto"/>
                <w:sz w:val="24"/>
                <w:szCs w:val="24"/>
                <w:highlight w:val="none"/>
              </w:rPr>
            </w:pPr>
          </w:p>
        </w:tc>
        <w:tc>
          <w:tcPr>
            <w:tcW w:w="1250" w:type="pct"/>
            <w:gridSpan w:val="2"/>
            <w:vAlign w:val="center"/>
          </w:tcPr>
          <w:p w14:paraId="1B9D4546">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担任相应职务年限</w:t>
            </w:r>
          </w:p>
        </w:tc>
        <w:tc>
          <w:tcPr>
            <w:tcW w:w="1050" w:type="pct"/>
            <w:gridSpan w:val="2"/>
            <w:vAlign w:val="center"/>
          </w:tcPr>
          <w:p w14:paraId="529CCB99">
            <w:pPr>
              <w:jc w:val="left"/>
              <w:rPr>
                <w:rFonts w:ascii="宋体" w:hAnsi="宋体" w:eastAsia="宋体" w:cs="宋体"/>
                <w:color w:val="auto"/>
                <w:sz w:val="24"/>
                <w:szCs w:val="24"/>
                <w:highlight w:val="none"/>
              </w:rPr>
            </w:pPr>
          </w:p>
        </w:tc>
      </w:tr>
      <w:tr w14:paraId="4C28F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60" w:type="dxa"/>
            <w:left w:w="60" w:type="dxa"/>
            <w:bottom w:w="60" w:type="dxa"/>
            <w:right w:w="60" w:type="dxa"/>
          </w:tblCellMar>
        </w:tblPrEx>
        <w:trPr>
          <w:trHeight w:val="735" w:hRule="atLeast"/>
          <w:tblCellSpacing w:w="0" w:type="dxa"/>
          <w:jc w:val="center"/>
        </w:trPr>
        <w:tc>
          <w:tcPr>
            <w:tcW w:w="1849" w:type="pct"/>
            <w:gridSpan w:val="2"/>
            <w:vAlign w:val="center"/>
          </w:tcPr>
          <w:p w14:paraId="643C737A">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3150" w:type="pct"/>
            <w:gridSpan w:val="7"/>
            <w:vAlign w:val="center"/>
          </w:tcPr>
          <w:p w14:paraId="3E161E7F">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月毕业于     学校    系，学制    年</w:t>
            </w:r>
          </w:p>
        </w:tc>
      </w:tr>
      <w:tr w14:paraId="588DBE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60" w:type="dxa"/>
            <w:left w:w="60" w:type="dxa"/>
            <w:bottom w:w="60" w:type="dxa"/>
            <w:right w:w="60" w:type="dxa"/>
          </w:tblCellMar>
        </w:tblPrEx>
        <w:trPr>
          <w:trHeight w:val="735" w:hRule="atLeast"/>
          <w:tblCellSpacing w:w="0" w:type="dxa"/>
          <w:jc w:val="center"/>
        </w:trPr>
        <w:tc>
          <w:tcPr>
            <w:tcW w:w="5000" w:type="pct"/>
            <w:gridSpan w:val="9"/>
            <w:vAlign w:val="center"/>
          </w:tcPr>
          <w:p w14:paraId="75DB86D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业绩简介</w:t>
            </w:r>
          </w:p>
        </w:tc>
      </w:tr>
      <w:tr w14:paraId="786DAF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60" w:type="dxa"/>
            <w:left w:w="60" w:type="dxa"/>
            <w:bottom w:w="60" w:type="dxa"/>
            <w:right w:w="60" w:type="dxa"/>
          </w:tblCellMar>
        </w:tblPrEx>
        <w:trPr>
          <w:trHeight w:val="735" w:hRule="atLeast"/>
          <w:tblCellSpacing w:w="0" w:type="dxa"/>
          <w:jc w:val="center"/>
        </w:trPr>
        <w:tc>
          <w:tcPr>
            <w:tcW w:w="721" w:type="pct"/>
            <w:vAlign w:val="center"/>
          </w:tcPr>
          <w:p w14:paraId="6F4ADDE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建设单位</w:t>
            </w:r>
          </w:p>
        </w:tc>
        <w:tc>
          <w:tcPr>
            <w:tcW w:w="1127" w:type="pct"/>
            <w:vAlign w:val="center"/>
          </w:tcPr>
          <w:p w14:paraId="7DD5E2B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49" w:type="pct"/>
            <w:gridSpan w:val="2"/>
            <w:vAlign w:val="center"/>
          </w:tcPr>
          <w:p w14:paraId="45ED122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建设规模</w:t>
            </w:r>
          </w:p>
        </w:tc>
        <w:tc>
          <w:tcPr>
            <w:tcW w:w="801" w:type="pct"/>
            <w:gridSpan w:val="2"/>
            <w:vAlign w:val="center"/>
          </w:tcPr>
          <w:p w14:paraId="36993E0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开、竣工日期</w:t>
            </w:r>
          </w:p>
        </w:tc>
        <w:tc>
          <w:tcPr>
            <w:tcW w:w="736" w:type="pct"/>
            <w:gridSpan w:val="2"/>
            <w:vAlign w:val="center"/>
          </w:tcPr>
          <w:p w14:paraId="5C2BD59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在建或已完工程质量</w:t>
            </w:r>
          </w:p>
        </w:tc>
        <w:tc>
          <w:tcPr>
            <w:tcW w:w="862" w:type="pct"/>
            <w:vAlign w:val="center"/>
          </w:tcPr>
          <w:p w14:paraId="600F4D0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r>
      <w:tr w14:paraId="00644F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60" w:type="dxa"/>
            <w:left w:w="60" w:type="dxa"/>
            <w:bottom w:w="60" w:type="dxa"/>
            <w:right w:w="60" w:type="dxa"/>
          </w:tblCellMar>
        </w:tblPrEx>
        <w:trPr>
          <w:trHeight w:val="735" w:hRule="atLeast"/>
          <w:tblCellSpacing w:w="0" w:type="dxa"/>
          <w:jc w:val="center"/>
        </w:trPr>
        <w:tc>
          <w:tcPr>
            <w:tcW w:w="721" w:type="pct"/>
            <w:vAlign w:val="center"/>
          </w:tcPr>
          <w:p w14:paraId="290DFE1A">
            <w:pPr>
              <w:jc w:val="left"/>
              <w:rPr>
                <w:rFonts w:ascii="宋体" w:hAnsi="宋体" w:eastAsia="宋体" w:cs="宋体"/>
                <w:color w:val="auto"/>
                <w:sz w:val="24"/>
                <w:szCs w:val="24"/>
                <w:highlight w:val="none"/>
              </w:rPr>
            </w:pPr>
          </w:p>
        </w:tc>
        <w:tc>
          <w:tcPr>
            <w:tcW w:w="1127" w:type="pct"/>
            <w:vAlign w:val="center"/>
          </w:tcPr>
          <w:p w14:paraId="6B6EA296">
            <w:pPr>
              <w:jc w:val="left"/>
              <w:rPr>
                <w:rFonts w:ascii="宋体" w:hAnsi="宋体" w:eastAsia="宋体" w:cs="宋体"/>
                <w:color w:val="auto"/>
                <w:sz w:val="24"/>
                <w:szCs w:val="24"/>
                <w:highlight w:val="none"/>
              </w:rPr>
            </w:pPr>
          </w:p>
        </w:tc>
        <w:tc>
          <w:tcPr>
            <w:tcW w:w="749" w:type="pct"/>
            <w:gridSpan w:val="2"/>
            <w:vAlign w:val="center"/>
          </w:tcPr>
          <w:p w14:paraId="088A67E5">
            <w:pPr>
              <w:jc w:val="left"/>
              <w:rPr>
                <w:rFonts w:ascii="宋体" w:hAnsi="宋体" w:eastAsia="宋体" w:cs="宋体"/>
                <w:color w:val="auto"/>
                <w:sz w:val="24"/>
                <w:szCs w:val="24"/>
                <w:highlight w:val="none"/>
              </w:rPr>
            </w:pPr>
          </w:p>
        </w:tc>
        <w:tc>
          <w:tcPr>
            <w:tcW w:w="801" w:type="pct"/>
            <w:gridSpan w:val="2"/>
            <w:vAlign w:val="center"/>
          </w:tcPr>
          <w:p w14:paraId="007EFB51">
            <w:pPr>
              <w:jc w:val="left"/>
              <w:rPr>
                <w:rFonts w:ascii="宋体" w:hAnsi="宋体" w:eastAsia="宋体" w:cs="宋体"/>
                <w:color w:val="auto"/>
                <w:sz w:val="24"/>
                <w:szCs w:val="24"/>
                <w:highlight w:val="none"/>
              </w:rPr>
            </w:pPr>
          </w:p>
        </w:tc>
        <w:tc>
          <w:tcPr>
            <w:tcW w:w="736" w:type="pct"/>
            <w:gridSpan w:val="2"/>
            <w:vAlign w:val="center"/>
          </w:tcPr>
          <w:p w14:paraId="75F0F8E5">
            <w:pPr>
              <w:jc w:val="left"/>
              <w:rPr>
                <w:rFonts w:ascii="宋体" w:hAnsi="宋体" w:eastAsia="宋体" w:cs="宋体"/>
                <w:color w:val="auto"/>
                <w:sz w:val="24"/>
                <w:szCs w:val="24"/>
                <w:highlight w:val="none"/>
              </w:rPr>
            </w:pPr>
          </w:p>
        </w:tc>
        <w:tc>
          <w:tcPr>
            <w:tcW w:w="862" w:type="pct"/>
            <w:vAlign w:val="center"/>
          </w:tcPr>
          <w:p w14:paraId="5907A0C8">
            <w:pPr>
              <w:jc w:val="left"/>
              <w:rPr>
                <w:rFonts w:ascii="宋体" w:hAnsi="宋体" w:eastAsia="宋体" w:cs="宋体"/>
                <w:color w:val="auto"/>
                <w:sz w:val="24"/>
                <w:szCs w:val="24"/>
                <w:highlight w:val="none"/>
              </w:rPr>
            </w:pPr>
          </w:p>
        </w:tc>
      </w:tr>
      <w:tr w14:paraId="3BC275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60" w:type="dxa"/>
            <w:left w:w="60" w:type="dxa"/>
            <w:bottom w:w="60" w:type="dxa"/>
            <w:right w:w="60" w:type="dxa"/>
          </w:tblCellMar>
        </w:tblPrEx>
        <w:trPr>
          <w:trHeight w:val="735" w:hRule="atLeast"/>
          <w:tblCellSpacing w:w="0" w:type="dxa"/>
          <w:jc w:val="center"/>
        </w:trPr>
        <w:tc>
          <w:tcPr>
            <w:tcW w:w="721" w:type="pct"/>
            <w:vAlign w:val="center"/>
          </w:tcPr>
          <w:p w14:paraId="67206198">
            <w:pPr>
              <w:jc w:val="left"/>
              <w:rPr>
                <w:rFonts w:ascii="宋体" w:hAnsi="宋体" w:eastAsia="宋体" w:cs="宋体"/>
                <w:color w:val="auto"/>
                <w:sz w:val="24"/>
                <w:szCs w:val="24"/>
                <w:highlight w:val="none"/>
              </w:rPr>
            </w:pPr>
          </w:p>
        </w:tc>
        <w:tc>
          <w:tcPr>
            <w:tcW w:w="1127" w:type="pct"/>
            <w:vAlign w:val="center"/>
          </w:tcPr>
          <w:p w14:paraId="1B94F115">
            <w:pPr>
              <w:jc w:val="left"/>
              <w:rPr>
                <w:rFonts w:ascii="宋体" w:hAnsi="宋体" w:eastAsia="宋体" w:cs="宋体"/>
                <w:color w:val="auto"/>
                <w:sz w:val="24"/>
                <w:szCs w:val="24"/>
                <w:highlight w:val="none"/>
              </w:rPr>
            </w:pPr>
          </w:p>
        </w:tc>
        <w:tc>
          <w:tcPr>
            <w:tcW w:w="749" w:type="pct"/>
            <w:gridSpan w:val="2"/>
            <w:vAlign w:val="center"/>
          </w:tcPr>
          <w:p w14:paraId="1E590199">
            <w:pPr>
              <w:jc w:val="left"/>
              <w:rPr>
                <w:rFonts w:ascii="宋体" w:hAnsi="宋体" w:eastAsia="宋体" w:cs="宋体"/>
                <w:color w:val="auto"/>
                <w:sz w:val="24"/>
                <w:szCs w:val="24"/>
                <w:highlight w:val="none"/>
              </w:rPr>
            </w:pPr>
          </w:p>
        </w:tc>
        <w:tc>
          <w:tcPr>
            <w:tcW w:w="801" w:type="pct"/>
            <w:gridSpan w:val="2"/>
            <w:vAlign w:val="center"/>
          </w:tcPr>
          <w:p w14:paraId="516F6493">
            <w:pPr>
              <w:jc w:val="left"/>
              <w:rPr>
                <w:rFonts w:ascii="宋体" w:hAnsi="宋体" w:eastAsia="宋体" w:cs="宋体"/>
                <w:color w:val="auto"/>
                <w:sz w:val="24"/>
                <w:szCs w:val="24"/>
                <w:highlight w:val="none"/>
              </w:rPr>
            </w:pPr>
          </w:p>
        </w:tc>
        <w:tc>
          <w:tcPr>
            <w:tcW w:w="736" w:type="pct"/>
            <w:gridSpan w:val="2"/>
            <w:vAlign w:val="center"/>
          </w:tcPr>
          <w:p w14:paraId="36654E83">
            <w:pPr>
              <w:jc w:val="left"/>
              <w:rPr>
                <w:rFonts w:ascii="宋体" w:hAnsi="宋体" w:eastAsia="宋体" w:cs="宋体"/>
                <w:color w:val="auto"/>
                <w:sz w:val="24"/>
                <w:szCs w:val="24"/>
                <w:highlight w:val="none"/>
              </w:rPr>
            </w:pPr>
          </w:p>
        </w:tc>
        <w:tc>
          <w:tcPr>
            <w:tcW w:w="862" w:type="pct"/>
            <w:vAlign w:val="center"/>
          </w:tcPr>
          <w:p w14:paraId="3EB81DD5">
            <w:pPr>
              <w:jc w:val="left"/>
              <w:rPr>
                <w:rFonts w:ascii="宋体" w:hAnsi="宋体" w:eastAsia="宋体" w:cs="宋体"/>
                <w:color w:val="auto"/>
                <w:sz w:val="24"/>
                <w:szCs w:val="24"/>
                <w:highlight w:val="none"/>
              </w:rPr>
            </w:pPr>
          </w:p>
        </w:tc>
      </w:tr>
      <w:tr w14:paraId="45B2F4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60" w:type="dxa"/>
            <w:left w:w="60" w:type="dxa"/>
            <w:bottom w:w="60" w:type="dxa"/>
            <w:right w:w="60" w:type="dxa"/>
          </w:tblCellMar>
        </w:tblPrEx>
        <w:trPr>
          <w:trHeight w:val="735" w:hRule="atLeast"/>
          <w:tblCellSpacing w:w="0" w:type="dxa"/>
          <w:jc w:val="center"/>
        </w:trPr>
        <w:tc>
          <w:tcPr>
            <w:tcW w:w="721" w:type="pct"/>
            <w:vAlign w:val="center"/>
          </w:tcPr>
          <w:p w14:paraId="750ACBE0">
            <w:pPr>
              <w:jc w:val="left"/>
              <w:rPr>
                <w:rFonts w:ascii="宋体" w:hAnsi="宋体" w:eastAsia="宋体" w:cs="宋体"/>
                <w:color w:val="auto"/>
                <w:sz w:val="24"/>
                <w:szCs w:val="24"/>
                <w:highlight w:val="none"/>
              </w:rPr>
            </w:pPr>
          </w:p>
        </w:tc>
        <w:tc>
          <w:tcPr>
            <w:tcW w:w="1127" w:type="pct"/>
            <w:vAlign w:val="center"/>
          </w:tcPr>
          <w:p w14:paraId="34B14808">
            <w:pPr>
              <w:jc w:val="left"/>
              <w:rPr>
                <w:rFonts w:ascii="宋体" w:hAnsi="宋体" w:eastAsia="宋体" w:cs="宋体"/>
                <w:color w:val="auto"/>
                <w:sz w:val="24"/>
                <w:szCs w:val="24"/>
                <w:highlight w:val="none"/>
              </w:rPr>
            </w:pPr>
          </w:p>
        </w:tc>
        <w:tc>
          <w:tcPr>
            <w:tcW w:w="749" w:type="pct"/>
            <w:gridSpan w:val="2"/>
            <w:vAlign w:val="center"/>
          </w:tcPr>
          <w:p w14:paraId="1FC1A871">
            <w:pPr>
              <w:jc w:val="left"/>
              <w:rPr>
                <w:rFonts w:ascii="宋体" w:hAnsi="宋体" w:eastAsia="宋体" w:cs="宋体"/>
                <w:color w:val="auto"/>
                <w:sz w:val="24"/>
                <w:szCs w:val="24"/>
                <w:highlight w:val="none"/>
              </w:rPr>
            </w:pPr>
          </w:p>
        </w:tc>
        <w:tc>
          <w:tcPr>
            <w:tcW w:w="801" w:type="pct"/>
            <w:gridSpan w:val="2"/>
            <w:vAlign w:val="center"/>
          </w:tcPr>
          <w:p w14:paraId="43C90C66">
            <w:pPr>
              <w:jc w:val="left"/>
              <w:rPr>
                <w:rFonts w:ascii="宋体" w:hAnsi="宋体" w:eastAsia="宋体" w:cs="宋体"/>
                <w:color w:val="auto"/>
                <w:sz w:val="24"/>
                <w:szCs w:val="24"/>
                <w:highlight w:val="none"/>
              </w:rPr>
            </w:pPr>
          </w:p>
        </w:tc>
        <w:tc>
          <w:tcPr>
            <w:tcW w:w="736" w:type="pct"/>
            <w:gridSpan w:val="2"/>
            <w:vAlign w:val="center"/>
          </w:tcPr>
          <w:p w14:paraId="42CE11A0">
            <w:pPr>
              <w:jc w:val="left"/>
              <w:rPr>
                <w:rFonts w:ascii="宋体" w:hAnsi="宋体" w:eastAsia="宋体" w:cs="宋体"/>
                <w:color w:val="auto"/>
                <w:sz w:val="24"/>
                <w:szCs w:val="24"/>
                <w:highlight w:val="none"/>
              </w:rPr>
            </w:pPr>
          </w:p>
        </w:tc>
        <w:tc>
          <w:tcPr>
            <w:tcW w:w="862" w:type="pct"/>
            <w:vAlign w:val="center"/>
          </w:tcPr>
          <w:p w14:paraId="57C8E310">
            <w:pPr>
              <w:jc w:val="left"/>
              <w:rPr>
                <w:rFonts w:ascii="宋体" w:hAnsi="宋体" w:eastAsia="宋体" w:cs="宋体"/>
                <w:color w:val="auto"/>
                <w:sz w:val="24"/>
                <w:szCs w:val="24"/>
                <w:highlight w:val="none"/>
              </w:rPr>
            </w:pPr>
          </w:p>
        </w:tc>
      </w:tr>
    </w:tbl>
    <w:p w14:paraId="48F9E786">
      <w:pPr>
        <w:topLinePunct/>
        <w:spacing w:line="360" w:lineRule="auto"/>
        <w:ind w:firstLine="496" w:firstLineChars="200"/>
        <w:rPr>
          <w:rFonts w:ascii="宋体" w:hAnsi="宋体" w:eastAsia="宋体" w:cs="宋体"/>
          <w:snapToGrid w:val="0"/>
          <w:color w:val="auto"/>
          <w:spacing w:val="4"/>
          <w:kern w:val="0"/>
          <w:sz w:val="24"/>
          <w:szCs w:val="24"/>
          <w:highlight w:val="none"/>
        </w:rPr>
      </w:pPr>
    </w:p>
    <w:p w14:paraId="57C6046B">
      <w:pPr>
        <w:tabs>
          <w:tab w:val="left" w:pos="720"/>
        </w:tabs>
        <w:spacing w:line="336" w:lineRule="auto"/>
        <w:ind w:firstLine="4578" w:firstLineChars="2100"/>
        <w:jc w:val="left"/>
        <w:rPr>
          <w:rFonts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投标人：</w:t>
      </w:r>
      <w:r>
        <w:rPr>
          <w:rFonts w:hint="eastAsia" w:ascii="宋体" w:hAnsi="宋体" w:eastAsia="宋体" w:cs="宋体"/>
          <w:color w:val="auto"/>
          <w:spacing w:val="4"/>
          <w:kern w:val="0"/>
          <w:szCs w:val="21"/>
          <w:highlight w:val="none"/>
          <w:u w:val="single"/>
        </w:rPr>
        <w:t xml:space="preserve">                         </w:t>
      </w:r>
      <w:r>
        <w:rPr>
          <w:rFonts w:hint="eastAsia" w:ascii="宋体" w:hAnsi="宋体" w:eastAsia="宋体" w:cs="宋体"/>
          <w:color w:val="auto"/>
          <w:spacing w:val="4"/>
          <w:kern w:val="0"/>
          <w:szCs w:val="21"/>
          <w:highlight w:val="none"/>
        </w:rPr>
        <w:t xml:space="preserve"> （盖章）</w:t>
      </w:r>
    </w:p>
    <w:p w14:paraId="774EF908">
      <w:pPr>
        <w:topLinePunct/>
        <w:spacing w:line="276" w:lineRule="auto"/>
        <w:ind w:firstLine="4578" w:firstLineChars="2100"/>
        <w:rPr>
          <w:rFonts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日期：</w:t>
      </w:r>
      <w:r>
        <w:rPr>
          <w:rFonts w:hint="eastAsia" w:ascii="宋体" w:hAnsi="宋体" w:eastAsia="宋体" w:cs="宋体"/>
          <w:color w:val="auto"/>
          <w:spacing w:val="4"/>
          <w:kern w:val="0"/>
          <w:szCs w:val="21"/>
          <w:highlight w:val="none"/>
          <w:u w:val="single"/>
        </w:rPr>
        <w:t xml:space="preserve">                                    </w:t>
      </w:r>
    </w:p>
    <w:p w14:paraId="3996CFD9">
      <w:pPr>
        <w:widowControl/>
        <w:jc w:val="left"/>
        <w:rPr>
          <w:rFonts w:ascii="宋体" w:hAnsi="宋体" w:eastAsia="宋体" w:cs="宋体"/>
          <w:color w:val="auto"/>
          <w:spacing w:val="4"/>
          <w:kern w:val="0"/>
          <w:szCs w:val="21"/>
          <w:highlight w:val="none"/>
          <w:u w:val="single"/>
        </w:rPr>
      </w:pPr>
      <w:r>
        <w:rPr>
          <w:rFonts w:ascii="宋体" w:hAnsi="宋体" w:eastAsia="宋体" w:cs="宋体"/>
          <w:color w:val="auto"/>
          <w:spacing w:val="4"/>
          <w:kern w:val="0"/>
          <w:szCs w:val="21"/>
          <w:highlight w:val="none"/>
          <w:u w:val="single"/>
        </w:rPr>
        <w:br w:type="page"/>
      </w:r>
    </w:p>
    <w:p w14:paraId="4224D20D">
      <w:pPr>
        <w:topLinePunct/>
        <w:spacing w:line="360" w:lineRule="auto"/>
        <w:jc w:val="center"/>
        <w:rPr>
          <w:rFonts w:ascii="宋体" w:hAnsi="宋体" w:eastAsia="宋体" w:cs="宋体"/>
          <w:b/>
          <w:snapToGrid w:val="0"/>
          <w:color w:val="auto"/>
          <w:spacing w:val="4"/>
          <w:kern w:val="0"/>
          <w:sz w:val="32"/>
          <w:szCs w:val="32"/>
          <w:highlight w:val="none"/>
        </w:rPr>
      </w:pPr>
      <w:r>
        <w:rPr>
          <w:rFonts w:hint="eastAsia" w:ascii="宋体" w:hAnsi="宋体" w:eastAsia="宋体" w:cs="宋体"/>
          <w:b/>
          <w:snapToGrid w:val="0"/>
          <w:color w:val="auto"/>
          <w:spacing w:val="4"/>
          <w:kern w:val="0"/>
          <w:sz w:val="32"/>
          <w:szCs w:val="32"/>
          <w:highlight w:val="none"/>
        </w:rPr>
        <w:t>拟派项目负责人业绩表（根据评分表的要求编制）</w:t>
      </w:r>
    </w:p>
    <w:tbl>
      <w:tblPr>
        <w:tblStyle w:val="50"/>
        <w:tblW w:w="9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1771"/>
        <w:gridCol w:w="2020"/>
        <w:gridCol w:w="1984"/>
        <w:gridCol w:w="1399"/>
        <w:gridCol w:w="1399"/>
      </w:tblGrid>
      <w:tr w14:paraId="3A2B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198" w:type="dxa"/>
            <w:vAlign w:val="center"/>
          </w:tcPr>
          <w:p w14:paraId="47679FD2">
            <w:pPr>
              <w:topLinePunct/>
              <w:adjustRightInd w:val="0"/>
              <w:spacing w:line="276" w:lineRule="auto"/>
              <w:jc w:val="center"/>
              <w:rPr>
                <w:rFonts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序号</w:t>
            </w:r>
          </w:p>
        </w:tc>
        <w:tc>
          <w:tcPr>
            <w:tcW w:w="1771" w:type="dxa"/>
            <w:vAlign w:val="center"/>
          </w:tcPr>
          <w:p w14:paraId="674DC055">
            <w:pPr>
              <w:topLinePunct/>
              <w:adjustRightInd w:val="0"/>
              <w:spacing w:line="276" w:lineRule="auto"/>
              <w:jc w:val="center"/>
              <w:rPr>
                <w:rFonts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项目名称</w:t>
            </w:r>
          </w:p>
        </w:tc>
        <w:tc>
          <w:tcPr>
            <w:tcW w:w="2020" w:type="dxa"/>
            <w:vAlign w:val="center"/>
          </w:tcPr>
          <w:p w14:paraId="625C7198">
            <w:pPr>
              <w:topLinePunct/>
              <w:adjustRightInd w:val="0"/>
              <w:spacing w:line="276" w:lineRule="auto"/>
              <w:jc w:val="center"/>
              <w:rPr>
                <w:rFonts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中标金额（万元）</w:t>
            </w:r>
          </w:p>
        </w:tc>
        <w:tc>
          <w:tcPr>
            <w:tcW w:w="1984" w:type="dxa"/>
            <w:vAlign w:val="center"/>
          </w:tcPr>
          <w:p w14:paraId="2BF3B835">
            <w:pPr>
              <w:topLinePunct/>
              <w:adjustRightInd w:val="0"/>
              <w:spacing w:line="276" w:lineRule="auto"/>
              <w:jc w:val="center"/>
              <w:rPr>
                <w:rFonts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规模</w:t>
            </w:r>
          </w:p>
        </w:tc>
        <w:tc>
          <w:tcPr>
            <w:tcW w:w="1399" w:type="dxa"/>
            <w:vAlign w:val="center"/>
          </w:tcPr>
          <w:p w14:paraId="261D6D86">
            <w:pPr>
              <w:topLinePunct/>
              <w:adjustRightInd w:val="0"/>
              <w:spacing w:line="276" w:lineRule="auto"/>
              <w:jc w:val="center"/>
              <w:rPr>
                <w:rFonts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竣工时间</w:t>
            </w:r>
          </w:p>
        </w:tc>
        <w:tc>
          <w:tcPr>
            <w:tcW w:w="1399" w:type="dxa"/>
            <w:vAlign w:val="center"/>
          </w:tcPr>
          <w:p w14:paraId="0839B847">
            <w:pPr>
              <w:topLinePunct/>
              <w:adjustRightInd w:val="0"/>
              <w:spacing w:line="276" w:lineRule="auto"/>
              <w:jc w:val="center"/>
              <w:rPr>
                <w:rFonts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备注</w:t>
            </w:r>
          </w:p>
        </w:tc>
      </w:tr>
      <w:tr w14:paraId="13B1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vAlign w:val="center"/>
          </w:tcPr>
          <w:p w14:paraId="6FD95E67">
            <w:pPr>
              <w:topLinePunct/>
              <w:adjustRightInd w:val="0"/>
              <w:spacing w:line="276" w:lineRule="auto"/>
              <w:ind w:firstLine="436" w:firstLineChars="200"/>
              <w:jc w:val="left"/>
              <w:rPr>
                <w:rFonts w:ascii="宋体" w:hAnsi="宋体" w:eastAsia="宋体" w:cs="宋体"/>
                <w:color w:val="auto"/>
                <w:spacing w:val="4"/>
                <w:szCs w:val="21"/>
                <w:highlight w:val="none"/>
              </w:rPr>
            </w:pPr>
          </w:p>
        </w:tc>
        <w:tc>
          <w:tcPr>
            <w:tcW w:w="1771" w:type="dxa"/>
            <w:vAlign w:val="center"/>
          </w:tcPr>
          <w:p w14:paraId="56A19F7F">
            <w:pPr>
              <w:topLinePunct/>
              <w:adjustRightInd w:val="0"/>
              <w:spacing w:line="276" w:lineRule="auto"/>
              <w:ind w:firstLine="436" w:firstLineChars="200"/>
              <w:jc w:val="left"/>
              <w:rPr>
                <w:rFonts w:ascii="宋体" w:hAnsi="宋体" w:eastAsia="宋体" w:cs="宋体"/>
                <w:color w:val="auto"/>
                <w:spacing w:val="4"/>
                <w:szCs w:val="21"/>
                <w:highlight w:val="none"/>
              </w:rPr>
            </w:pPr>
          </w:p>
        </w:tc>
        <w:tc>
          <w:tcPr>
            <w:tcW w:w="2020" w:type="dxa"/>
            <w:vAlign w:val="center"/>
          </w:tcPr>
          <w:p w14:paraId="59DB8B11">
            <w:pPr>
              <w:topLinePunct/>
              <w:adjustRightInd w:val="0"/>
              <w:spacing w:line="276" w:lineRule="auto"/>
              <w:ind w:firstLine="436" w:firstLineChars="200"/>
              <w:jc w:val="left"/>
              <w:rPr>
                <w:rFonts w:ascii="宋体" w:hAnsi="宋体" w:eastAsia="宋体" w:cs="宋体"/>
                <w:color w:val="auto"/>
                <w:spacing w:val="4"/>
                <w:szCs w:val="21"/>
                <w:highlight w:val="none"/>
              </w:rPr>
            </w:pPr>
          </w:p>
        </w:tc>
        <w:tc>
          <w:tcPr>
            <w:tcW w:w="1984" w:type="dxa"/>
            <w:vAlign w:val="center"/>
          </w:tcPr>
          <w:p w14:paraId="30A2CFB4">
            <w:pPr>
              <w:topLinePunct/>
              <w:adjustRightInd w:val="0"/>
              <w:spacing w:line="276" w:lineRule="auto"/>
              <w:ind w:firstLine="436" w:firstLineChars="200"/>
              <w:jc w:val="left"/>
              <w:rPr>
                <w:rFonts w:ascii="宋体" w:hAnsi="宋体" w:eastAsia="宋体" w:cs="宋体"/>
                <w:color w:val="auto"/>
                <w:spacing w:val="4"/>
                <w:szCs w:val="21"/>
                <w:highlight w:val="none"/>
              </w:rPr>
            </w:pPr>
          </w:p>
        </w:tc>
        <w:tc>
          <w:tcPr>
            <w:tcW w:w="1399" w:type="dxa"/>
            <w:vAlign w:val="center"/>
          </w:tcPr>
          <w:p w14:paraId="0D14A78B">
            <w:pPr>
              <w:topLinePunct/>
              <w:adjustRightInd w:val="0"/>
              <w:spacing w:line="276" w:lineRule="auto"/>
              <w:ind w:firstLine="436" w:firstLineChars="200"/>
              <w:jc w:val="left"/>
              <w:rPr>
                <w:rFonts w:ascii="宋体" w:hAnsi="宋体" w:eastAsia="宋体" w:cs="宋体"/>
                <w:color w:val="auto"/>
                <w:spacing w:val="4"/>
                <w:szCs w:val="21"/>
                <w:highlight w:val="none"/>
              </w:rPr>
            </w:pPr>
          </w:p>
        </w:tc>
        <w:tc>
          <w:tcPr>
            <w:tcW w:w="1399" w:type="dxa"/>
            <w:vAlign w:val="center"/>
          </w:tcPr>
          <w:p w14:paraId="269B1BA5">
            <w:pPr>
              <w:topLinePunct/>
              <w:adjustRightInd w:val="0"/>
              <w:spacing w:line="276" w:lineRule="auto"/>
              <w:ind w:firstLine="436" w:firstLineChars="200"/>
              <w:jc w:val="left"/>
              <w:rPr>
                <w:rFonts w:ascii="宋体" w:hAnsi="宋体" w:eastAsia="宋体" w:cs="宋体"/>
                <w:color w:val="auto"/>
                <w:spacing w:val="4"/>
                <w:szCs w:val="21"/>
                <w:highlight w:val="none"/>
              </w:rPr>
            </w:pPr>
          </w:p>
        </w:tc>
      </w:tr>
      <w:tr w14:paraId="4531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vAlign w:val="center"/>
          </w:tcPr>
          <w:p w14:paraId="5297F691">
            <w:pPr>
              <w:topLinePunct/>
              <w:adjustRightInd w:val="0"/>
              <w:spacing w:line="276" w:lineRule="auto"/>
              <w:ind w:firstLine="436" w:firstLineChars="200"/>
              <w:jc w:val="left"/>
              <w:rPr>
                <w:rFonts w:ascii="宋体" w:hAnsi="宋体" w:eastAsia="宋体" w:cs="宋体"/>
                <w:color w:val="auto"/>
                <w:spacing w:val="4"/>
                <w:szCs w:val="21"/>
                <w:highlight w:val="none"/>
              </w:rPr>
            </w:pPr>
          </w:p>
        </w:tc>
        <w:tc>
          <w:tcPr>
            <w:tcW w:w="1771" w:type="dxa"/>
            <w:vAlign w:val="center"/>
          </w:tcPr>
          <w:p w14:paraId="0657A1F7">
            <w:pPr>
              <w:topLinePunct/>
              <w:adjustRightInd w:val="0"/>
              <w:spacing w:line="276" w:lineRule="auto"/>
              <w:ind w:firstLine="436" w:firstLineChars="200"/>
              <w:jc w:val="left"/>
              <w:rPr>
                <w:rFonts w:ascii="宋体" w:hAnsi="宋体" w:eastAsia="宋体" w:cs="宋体"/>
                <w:color w:val="auto"/>
                <w:spacing w:val="4"/>
                <w:szCs w:val="21"/>
                <w:highlight w:val="none"/>
              </w:rPr>
            </w:pPr>
          </w:p>
        </w:tc>
        <w:tc>
          <w:tcPr>
            <w:tcW w:w="2020" w:type="dxa"/>
            <w:vAlign w:val="center"/>
          </w:tcPr>
          <w:p w14:paraId="04A15D58">
            <w:pPr>
              <w:topLinePunct/>
              <w:adjustRightInd w:val="0"/>
              <w:spacing w:line="276" w:lineRule="auto"/>
              <w:ind w:firstLine="436" w:firstLineChars="200"/>
              <w:jc w:val="center"/>
              <w:rPr>
                <w:rFonts w:ascii="宋体" w:hAnsi="宋体" w:eastAsia="宋体" w:cs="宋体"/>
                <w:color w:val="auto"/>
                <w:spacing w:val="4"/>
                <w:szCs w:val="21"/>
                <w:highlight w:val="none"/>
              </w:rPr>
            </w:pPr>
          </w:p>
        </w:tc>
        <w:tc>
          <w:tcPr>
            <w:tcW w:w="1984" w:type="dxa"/>
            <w:vAlign w:val="center"/>
          </w:tcPr>
          <w:p w14:paraId="5FC82DA9">
            <w:pPr>
              <w:topLinePunct/>
              <w:adjustRightInd w:val="0"/>
              <w:spacing w:line="276" w:lineRule="auto"/>
              <w:ind w:firstLine="436" w:firstLineChars="200"/>
              <w:jc w:val="left"/>
              <w:rPr>
                <w:rFonts w:ascii="宋体" w:hAnsi="宋体" w:eastAsia="宋体" w:cs="宋体"/>
                <w:color w:val="auto"/>
                <w:spacing w:val="4"/>
                <w:szCs w:val="21"/>
                <w:highlight w:val="none"/>
              </w:rPr>
            </w:pPr>
          </w:p>
        </w:tc>
        <w:tc>
          <w:tcPr>
            <w:tcW w:w="1399" w:type="dxa"/>
            <w:vAlign w:val="center"/>
          </w:tcPr>
          <w:p w14:paraId="355B2BE0">
            <w:pPr>
              <w:topLinePunct/>
              <w:adjustRightInd w:val="0"/>
              <w:spacing w:line="276" w:lineRule="auto"/>
              <w:ind w:firstLine="436" w:firstLineChars="200"/>
              <w:jc w:val="left"/>
              <w:rPr>
                <w:rFonts w:ascii="宋体" w:hAnsi="宋体" w:eastAsia="宋体" w:cs="宋体"/>
                <w:color w:val="auto"/>
                <w:spacing w:val="4"/>
                <w:szCs w:val="21"/>
                <w:highlight w:val="none"/>
              </w:rPr>
            </w:pPr>
          </w:p>
        </w:tc>
        <w:tc>
          <w:tcPr>
            <w:tcW w:w="1399" w:type="dxa"/>
            <w:vAlign w:val="center"/>
          </w:tcPr>
          <w:p w14:paraId="24821FCB">
            <w:pPr>
              <w:topLinePunct/>
              <w:adjustRightInd w:val="0"/>
              <w:spacing w:line="276" w:lineRule="auto"/>
              <w:ind w:firstLine="436" w:firstLineChars="200"/>
              <w:jc w:val="left"/>
              <w:rPr>
                <w:rFonts w:ascii="宋体" w:hAnsi="宋体" w:eastAsia="宋体" w:cs="宋体"/>
                <w:color w:val="auto"/>
                <w:spacing w:val="4"/>
                <w:szCs w:val="21"/>
                <w:highlight w:val="none"/>
              </w:rPr>
            </w:pPr>
          </w:p>
        </w:tc>
      </w:tr>
      <w:tr w14:paraId="5A05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vAlign w:val="center"/>
          </w:tcPr>
          <w:p w14:paraId="60D71EB1">
            <w:pPr>
              <w:topLinePunct/>
              <w:adjustRightInd w:val="0"/>
              <w:spacing w:line="276" w:lineRule="auto"/>
              <w:ind w:firstLine="436" w:firstLineChars="200"/>
              <w:jc w:val="left"/>
              <w:rPr>
                <w:rFonts w:ascii="宋体" w:hAnsi="宋体" w:eastAsia="宋体" w:cs="宋体"/>
                <w:color w:val="auto"/>
                <w:spacing w:val="4"/>
                <w:szCs w:val="21"/>
                <w:highlight w:val="none"/>
              </w:rPr>
            </w:pPr>
          </w:p>
        </w:tc>
        <w:tc>
          <w:tcPr>
            <w:tcW w:w="1771" w:type="dxa"/>
            <w:vAlign w:val="center"/>
          </w:tcPr>
          <w:p w14:paraId="78151171">
            <w:pPr>
              <w:topLinePunct/>
              <w:adjustRightInd w:val="0"/>
              <w:spacing w:line="276" w:lineRule="auto"/>
              <w:ind w:firstLine="436" w:firstLineChars="200"/>
              <w:jc w:val="left"/>
              <w:rPr>
                <w:rFonts w:ascii="宋体" w:hAnsi="宋体" w:eastAsia="宋体" w:cs="宋体"/>
                <w:color w:val="auto"/>
                <w:spacing w:val="4"/>
                <w:szCs w:val="21"/>
                <w:highlight w:val="none"/>
              </w:rPr>
            </w:pPr>
          </w:p>
        </w:tc>
        <w:tc>
          <w:tcPr>
            <w:tcW w:w="2020" w:type="dxa"/>
            <w:vAlign w:val="center"/>
          </w:tcPr>
          <w:p w14:paraId="1D38581D">
            <w:pPr>
              <w:topLinePunct/>
              <w:adjustRightInd w:val="0"/>
              <w:spacing w:line="276" w:lineRule="auto"/>
              <w:ind w:firstLine="436" w:firstLineChars="200"/>
              <w:jc w:val="left"/>
              <w:rPr>
                <w:rFonts w:ascii="宋体" w:hAnsi="宋体" w:eastAsia="宋体" w:cs="宋体"/>
                <w:color w:val="auto"/>
                <w:spacing w:val="4"/>
                <w:szCs w:val="21"/>
                <w:highlight w:val="none"/>
              </w:rPr>
            </w:pPr>
          </w:p>
        </w:tc>
        <w:tc>
          <w:tcPr>
            <w:tcW w:w="1984" w:type="dxa"/>
            <w:vAlign w:val="center"/>
          </w:tcPr>
          <w:p w14:paraId="26B7DAD5">
            <w:pPr>
              <w:topLinePunct/>
              <w:adjustRightInd w:val="0"/>
              <w:spacing w:line="276" w:lineRule="auto"/>
              <w:ind w:firstLine="436" w:firstLineChars="200"/>
              <w:jc w:val="left"/>
              <w:rPr>
                <w:rFonts w:ascii="宋体" w:hAnsi="宋体" w:eastAsia="宋体" w:cs="宋体"/>
                <w:color w:val="auto"/>
                <w:spacing w:val="4"/>
                <w:szCs w:val="21"/>
                <w:highlight w:val="none"/>
              </w:rPr>
            </w:pPr>
          </w:p>
        </w:tc>
        <w:tc>
          <w:tcPr>
            <w:tcW w:w="1399" w:type="dxa"/>
            <w:vAlign w:val="center"/>
          </w:tcPr>
          <w:p w14:paraId="1524449E">
            <w:pPr>
              <w:topLinePunct/>
              <w:adjustRightInd w:val="0"/>
              <w:spacing w:line="276" w:lineRule="auto"/>
              <w:ind w:firstLine="436" w:firstLineChars="200"/>
              <w:jc w:val="left"/>
              <w:rPr>
                <w:rFonts w:ascii="宋体" w:hAnsi="宋体" w:eastAsia="宋体" w:cs="宋体"/>
                <w:color w:val="auto"/>
                <w:spacing w:val="4"/>
                <w:szCs w:val="21"/>
                <w:highlight w:val="none"/>
              </w:rPr>
            </w:pPr>
          </w:p>
        </w:tc>
        <w:tc>
          <w:tcPr>
            <w:tcW w:w="1399" w:type="dxa"/>
            <w:vAlign w:val="center"/>
          </w:tcPr>
          <w:p w14:paraId="64262B5F">
            <w:pPr>
              <w:topLinePunct/>
              <w:adjustRightInd w:val="0"/>
              <w:spacing w:line="276" w:lineRule="auto"/>
              <w:ind w:firstLine="436" w:firstLineChars="200"/>
              <w:jc w:val="left"/>
              <w:rPr>
                <w:rFonts w:ascii="宋体" w:hAnsi="宋体" w:eastAsia="宋体" w:cs="宋体"/>
                <w:color w:val="auto"/>
                <w:spacing w:val="4"/>
                <w:szCs w:val="21"/>
                <w:highlight w:val="none"/>
              </w:rPr>
            </w:pPr>
          </w:p>
        </w:tc>
      </w:tr>
      <w:tr w14:paraId="2852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vAlign w:val="center"/>
          </w:tcPr>
          <w:p w14:paraId="6F6E0529">
            <w:pPr>
              <w:topLinePunct/>
              <w:adjustRightInd w:val="0"/>
              <w:spacing w:line="276" w:lineRule="auto"/>
              <w:ind w:firstLine="436" w:firstLineChars="200"/>
              <w:jc w:val="left"/>
              <w:rPr>
                <w:rFonts w:ascii="宋体" w:hAnsi="宋体" w:eastAsia="宋体" w:cs="宋体"/>
                <w:color w:val="auto"/>
                <w:spacing w:val="4"/>
                <w:szCs w:val="21"/>
                <w:highlight w:val="none"/>
              </w:rPr>
            </w:pPr>
          </w:p>
        </w:tc>
        <w:tc>
          <w:tcPr>
            <w:tcW w:w="1771" w:type="dxa"/>
            <w:vAlign w:val="center"/>
          </w:tcPr>
          <w:p w14:paraId="304706EC">
            <w:pPr>
              <w:topLinePunct/>
              <w:adjustRightInd w:val="0"/>
              <w:spacing w:line="276" w:lineRule="auto"/>
              <w:ind w:firstLine="436" w:firstLineChars="200"/>
              <w:jc w:val="left"/>
              <w:rPr>
                <w:rFonts w:ascii="宋体" w:hAnsi="宋体" w:eastAsia="宋体" w:cs="宋体"/>
                <w:color w:val="auto"/>
                <w:spacing w:val="4"/>
                <w:szCs w:val="21"/>
                <w:highlight w:val="none"/>
              </w:rPr>
            </w:pPr>
          </w:p>
        </w:tc>
        <w:tc>
          <w:tcPr>
            <w:tcW w:w="2020" w:type="dxa"/>
            <w:vAlign w:val="center"/>
          </w:tcPr>
          <w:p w14:paraId="498328D8">
            <w:pPr>
              <w:topLinePunct/>
              <w:adjustRightInd w:val="0"/>
              <w:spacing w:line="276" w:lineRule="auto"/>
              <w:ind w:firstLine="436" w:firstLineChars="200"/>
              <w:jc w:val="left"/>
              <w:rPr>
                <w:rFonts w:ascii="宋体" w:hAnsi="宋体" w:eastAsia="宋体" w:cs="宋体"/>
                <w:color w:val="auto"/>
                <w:spacing w:val="4"/>
                <w:szCs w:val="21"/>
                <w:highlight w:val="none"/>
              </w:rPr>
            </w:pPr>
          </w:p>
        </w:tc>
        <w:tc>
          <w:tcPr>
            <w:tcW w:w="1984" w:type="dxa"/>
            <w:vAlign w:val="center"/>
          </w:tcPr>
          <w:p w14:paraId="7714B8E8">
            <w:pPr>
              <w:topLinePunct/>
              <w:adjustRightInd w:val="0"/>
              <w:spacing w:line="276" w:lineRule="auto"/>
              <w:ind w:firstLine="436" w:firstLineChars="200"/>
              <w:jc w:val="left"/>
              <w:rPr>
                <w:rFonts w:ascii="宋体" w:hAnsi="宋体" w:eastAsia="宋体" w:cs="宋体"/>
                <w:color w:val="auto"/>
                <w:spacing w:val="4"/>
                <w:szCs w:val="21"/>
                <w:highlight w:val="none"/>
              </w:rPr>
            </w:pPr>
          </w:p>
        </w:tc>
        <w:tc>
          <w:tcPr>
            <w:tcW w:w="1399" w:type="dxa"/>
            <w:vAlign w:val="center"/>
          </w:tcPr>
          <w:p w14:paraId="4454995D">
            <w:pPr>
              <w:topLinePunct/>
              <w:adjustRightInd w:val="0"/>
              <w:spacing w:line="276" w:lineRule="auto"/>
              <w:ind w:firstLine="436" w:firstLineChars="200"/>
              <w:jc w:val="left"/>
              <w:rPr>
                <w:rFonts w:ascii="宋体" w:hAnsi="宋体" w:eastAsia="宋体" w:cs="宋体"/>
                <w:color w:val="auto"/>
                <w:spacing w:val="4"/>
                <w:szCs w:val="21"/>
                <w:highlight w:val="none"/>
              </w:rPr>
            </w:pPr>
          </w:p>
        </w:tc>
        <w:tc>
          <w:tcPr>
            <w:tcW w:w="1399" w:type="dxa"/>
            <w:vAlign w:val="center"/>
          </w:tcPr>
          <w:p w14:paraId="60CD5EEE">
            <w:pPr>
              <w:topLinePunct/>
              <w:adjustRightInd w:val="0"/>
              <w:spacing w:line="276" w:lineRule="auto"/>
              <w:ind w:firstLine="436" w:firstLineChars="200"/>
              <w:jc w:val="left"/>
              <w:rPr>
                <w:rFonts w:ascii="宋体" w:hAnsi="宋体" w:eastAsia="宋体" w:cs="宋体"/>
                <w:color w:val="auto"/>
                <w:spacing w:val="4"/>
                <w:szCs w:val="21"/>
                <w:highlight w:val="none"/>
              </w:rPr>
            </w:pPr>
          </w:p>
        </w:tc>
      </w:tr>
      <w:tr w14:paraId="6B1E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vAlign w:val="center"/>
          </w:tcPr>
          <w:p w14:paraId="1FE73AED">
            <w:pPr>
              <w:topLinePunct/>
              <w:adjustRightInd w:val="0"/>
              <w:spacing w:line="276" w:lineRule="auto"/>
              <w:ind w:firstLine="436" w:firstLineChars="200"/>
              <w:jc w:val="left"/>
              <w:rPr>
                <w:rFonts w:ascii="宋体" w:hAnsi="宋体" w:eastAsia="宋体" w:cs="宋体"/>
                <w:color w:val="auto"/>
                <w:spacing w:val="4"/>
                <w:szCs w:val="21"/>
                <w:highlight w:val="none"/>
              </w:rPr>
            </w:pPr>
          </w:p>
        </w:tc>
        <w:tc>
          <w:tcPr>
            <w:tcW w:w="1771" w:type="dxa"/>
            <w:vAlign w:val="center"/>
          </w:tcPr>
          <w:p w14:paraId="43F2F8D9">
            <w:pPr>
              <w:topLinePunct/>
              <w:adjustRightInd w:val="0"/>
              <w:spacing w:line="276" w:lineRule="auto"/>
              <w:ind w:firstLine="436" w:firstLineChars="200"/>
              <w:jc w:val="left"/>
              <w:rPr>
                <w:rFonts w:ascii="宋体" w:hAnsi="宋体" w:eastAsia="宋体" w:cs="宋体"/>
                <w:color w:val="auto"/>
                <w:spacing w:val="4"/>
                <w:szCs w:val="21"/>
                <w:highlight w:val="none"/>
              </w:rPr>
            </w:pPr>
          </w:p>
        </w:tc>
        <w:tc>
          <w:tcPr>
            <w:tcW w:w="2020" w:type="dxa"/>
            <w:vAlign w:val="center"/>
          </w:tcPr>
          <w:p w14:paraId="54C26410">
            <w:pPr>
              <w:topLinePunct/>
              <w:adjustRightInd w:val="0"/>
              <w:spacing w:line="276" w:lineRule="auto"/>
              <w:ind w:firstLine="436" w:firstLineChars="200"/>
              <w:jc w:val="left"/>
              <w:rPr>
                <w:rFonts w:ascii="宋体" w:hAnsi="宋体" w:eastAsia="宋体" w:cs="宋体"/>
                <w:color w:val="auto"/>
                <w:spacing w:val="4"/>
                <w:szCs w:val="21"/>
                <w:highlight w:val="none"/>
              </w:rPr>
            </w:pPr>
          </w:p>
        </w:tc>
        <w:tc>
          <w:tcPr>
            <w:tcW w:w="1984" w:type="dxa"/>
            <w:vAlign w:val="center"/>
          </w:tcPr>
          <w:p w14:paraId="5D9B5725">
            <w:pPr>
              <w:topLinePunct/>
              <w:adjustRightInd w:val="0"/>
              <w:spacing w:line="276" w:lineRule="auto"/>
              <w:ind w:firstLine="436" w:firstLineChars="200"/>
              <w:jc w:val="left"/>
              <w:rPr>
                <w:rFonts w:ascii="宋体" w:hAnsi="宋体" w:eastAsia="宋体" w:cs="宋体"/>
                <w:color w:val="auto"/>
                <w:spacing w:val="4"/>
                <w:szCs w:val="21"/>
                <w:highlight w:val="none"/>
              </w:rPr>
            </w:pPr>
          </w:p>
        </w:tc>
        <w:tc>
          <w:tcPr>
            <w:tcW w:w="1399" w:type="dxa"/>
            <w:vAlign w:val="center"/>
          </w:tcPr>
          <w:p w14:paraId="336A5911">
            <w:pPr>
              <w:topLinePunct/>
              <w:adjustRightInd w:val="0"/>
              <w:spacing w:line="276" w:lineRule="auto"/>
              <w:ind w:firstLine="436" w:firstLineChars="200"/>
              <w:jc w:val="left"/>
              <w:rPr>
                <w:rFonts w:ascii="宋体" w:hAnsi="宋体" w:eastAsia="宋体" w:cs="宋体"/>
                <w:color w:val="auto"/>
                <w:spacing w:val="4"/>
                <w:szCs w:val="21"/>
                <w:highlight w:val="none"/>
              </w:rPr>
            </w:pPr>
          </w:p>
        </w:tc>
        <w:tc>
          <w:tcPr>
            <w:tcW w:w="1399" w:type="dxa"/>
            <w:vAlign w:val="center"/>
          </w:tcPr>
          <w:p w14:paraId="4A43B655">
            <w:pPr>
              <w:topLinePunct/>
              <w:adjustRightInd w:val="0"/>
              <w:spacing w:line="276" w:lineRule="auto"/>
              <w:ind w:firstLine="436" w:firstLineChars="200"/>
              <w:jc w:val="left"/>
              <w:rPr>
                <w:rFonts w:ascii="宋体" w:hAnsi="宋体" w:eastAsia="宋体" w:cs="宋体"/>
                <w:color w:val="auto"/>
                <w:spacing w:val="4"/>
                <w:szCs w:val="21"/>
                <w:highlight w:val="none"/>
              </w:rPr>
            </w:pPr>
          </w:p>
        </w:tc>
      </w:tr>
    </w:tbl>
    <w:p w14:paraId="1DBF83E8">
      <w:pPr>
        <w:topLinePunct/>
        <w:spacing w:line="276"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注：上述业绩为(拟派项目负责人姓名)以项目负责人身份完成的业绩，如有虚假，(投标人名称)和(拟派项目负责人姓名)承担由此带来的相应法律责任和一切不良后果。</w:t>
      </w:r>
    </w:p>
    <w:p w14:paraId="798B7547">
      <w:pPr>
        <w:tabs>
          <w:tab w:val="left" w:pos="720"/>
        </w:tabs>
        <w:spacing w:line="336" w:lineRule="auto"/>
        <w:ind w:firstLine="4534" w:firstLineChars="2080"/>
        <w:jc w:val="left"/>
        <w:rPr>
          <w:rFonts w:ascii="宋体" w:hAnsi="宋体" w:eastAsia="宋体" w:cs="宋体"/>
          <w:color w:val="auto"/>
          <w:spacing w:val="4"/>
          <w:kern w:val="0"/>
          <w:szCs w:val="21"/>
          <w:highlight w:val="none"/>
        </w:rPr>
      </w:pPr>
    </w:p>
    <w:p w14:paraId="431C95F4">
      <w:pPr>
        <w:tabs>
          <w:tab w:val="left" w:pos="720"/>
        </w:tabs>
        <w:spacing w:line="336" w:lineRule="auto"/>
        <w:ind w:firstLine="4534" w:firstLineChars="2080"/>
        <w:jc w:val="left"/>
        <w:rPr>
          <w:rFonts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投标人：</w:t>
      </w:r>
      <w:r>
        <w:rPr>
          <w:rFonts w:hint="eastAsia" w:ascii="宋体" w:hAnsi="宋体" w:eastAsia="宋体" w:cs="宋体"/>
          <w:color w:val="auto"/>
          <w:spacing w:val="4"/>
          <w:kern w:val="0"/>
          <w:szCs w:val="21"/>
          <w:highlight w:val="none"/>
          <w:u w:val="single"/>
        </w:rPr>
        <w:t xml:space="preserve">                         </w:t>
      </w:r>
      <w:r>
        <w:rPr>
          <w:rFonts w:hint="eastAsia" w:ascii="宋体" w:hAnsi="宋体" w:eastAsia="宋体" w:cs="宋体"/>
          <w:color w:val="auto"/>
          <w:spacing w:val="4"/>
          <w:kern w:val="0"/>
          <w:szCs w:val="21"/>
          <w:highlight w:val="none"/>
        </w:rPr>
        <w:t xml:space="preserve"> （盖章）</w:t>
      </w:r>
    </w:p>
    <w:p w14:paraId="7575EE11">
      <w:pPr>
        <w:topLinePunct/>
        <w:spacing w:line="276" w:lineRule="auto"/>
        <w:ind w:firstLine="4534" w:firstLineChars="2080"/>
        <w:rPr>
          <w:rFonts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日期：</w:t>
      </w:r>
      <w:r>
        <w:rPr>
          <w:rFonts w:hint="eastAsia" w:ascii="宋体" w:hAnsi="宋体" w:eastAsia="宋体" w:cs="宋体"/>
          <w:color w:val="auto"/>
          <w:spacing w:val="4"/>
          <w:kern w:val="0"/>
          <w:szCs w:val="21"/>
          <w:highlight w:val="none"/>
          <w:u w:val="single"/>
        </w:rPr>
        <w:t xml:space="preserve">                                    </w:t>
      </w:r>
    </w:p>
    <w:p w14:paraId="6A77D154">
      <w:pPr>
        <w:topLinePunct/>
        <w:spacing w:line="276" w:lineRule="auto"/>
        <w:rPr>
          <w:rFonts w:ascii="宋体" w:hAnsi="宋体" w:eastAsia="宋体" w:cs="宋体"/>
          <w:bCs/>
          <w:color w:val="auto"/>
          <w:sz w:val="24"/>
          <w:szCs w:val="24"/>
          <w:highlight w:val="none"/>
          <w:u w:val="single"/>
        </w:rPr>
      </w:pPr>
    </w:p>
    <w:p w14:paraId="60E19950">
      <w:pPr>
        <w:topLinePunct/>
        <w:spacing w:line="276" w:lineRule="auto"/>
        <w:rPr>
          <w:rFonts w:ascii="宋体" w:hAnsi="宋体" w:eastAsia="宋体" w:cs="宋体"/>
          <w:color w:val="auto"/>
          <w:spacing w:val="4"/>
          <w:kern w:val="0"/>
          <w:szCs w:val="21"/>
          <w:highlight w:val="none"/>
        </w:rPr>
      </w:pPr>
    </w:p>
    <w:p w14:paraId="4692404D">
      <w:pPr>
        <w:pStyle w:val="4"/>
        <w:rPr>
          <w:snapToGrid w:val="0"/>
          <w:color w:val="auto"/>
          <w:highlight w:val="none"/>
        </w:rPr>
      </w:pPr>
      <w:r>
        <w:rPr>
          <w:rFonts w:hint="eastAsia"/>
          <w:snapToGrid w:val="0"/>
          <w:color w:val="auto"/>
          <w:highlight w:val="none"/>
        </w:rPr>
        <w:br w:type="page"/>
      </w:r>
      <w:bookmarkStart w:id="69" w:name="_Toc202907311"/>
      <w:bookmarkStart w:id="70" w:name="_Toc152532524"/>
      <w:r>
        <w:rPr>
          <w:rFonts w:hint="eastAsia"/>
          <w:color w:val="auto"/>
          <w:highlight w:val="none"/>
        </w:rPr>
        <w:t>格式</w:t>
      </w:r>
      <w:bookmarkEnd w:id="63"/>
      <w:bookmarkEnd w:id="64"/>
      <w:r>
        <w:rPr>
          <w:rFonts w:hint="eastAsia"/>
          <w:color w:val="auto"/>
          <w:highlight w:val="none"/>
        </w:rPr>
        <w:t>五：</w:t>
      </w:r>
      <w:bookmarkEnd w:id="69"/>
      <w:bookmarkEnd w:id="70"/>
    </w:p>
    <w:p w14:paraId="1ECB317C">
      <w:pPr>
        <w:topLinePunct/>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标函承诺书</w:t>
      </w:r>
    </w:p>
    <w:p w14:paraId="741F9BB9">
      <w:pPr>
        <w:spacing w:after="120" w:line="360" w:lineRule="auto"/>
        <w:ind w:left="339" w:leftChars="101" w:hanging="127" w:hangingChars="53"/>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致：中新广州知识城财政投资建设项目管理中心</w:t>
      </w:r>
    </w:p>
    <w:p w14:paraId="50E27189">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如果在本招标工程中我司中标，我司将积极响应贵单位提出的合同条件及招标文件的要求，并做出如下承诺：</w:t>
      </w:r>
    </w:p>
    <w:p w14:paraId="7524B03A">
      <w:pPr>
        <w:spacing w:line="360" w:lineRule="auto"/>
        <w:ind w:firstLine="424" w:firstLineChars="17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1、若我公司中标，我公司承诺按时交纳履约保证金。</w:t>
      </w:r>
    </w:p>
    <w:p w14:paraId="194E7E47">
      <w:pPr>
        <w:spacing w:after="159" w:afterLines="50" w:line="360" w:lineRule="auto"/>
        <w:ind w:firstLine="424" w:firstLineChars="17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2、在本工程施工期间，拟投入的人力不少于下表中的人数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3783"/>
      </w:tblGrid>
      <w:tr w14:paraId="2287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14:paraId="6B95F552">
            <w:pPr>
              <w:ind w:firstLine="420" w:firstLineChars="20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工种</w:t>
            </w:r>
          </w:p>
        </w:tc>
        <w:tc>
          <w:tcPr>
            <w:tcW w:w="3783" w:type="dxa"/>
            <w:tcBorders>
              <w:top w:val="single" w:color="auto" w:sz="4" w:space="0"/>
              <w:left w:val="single" w:color="auto" w:sz="4" w:space="0"/>
              <w:bottom w:val="single" w:color="auto" w:sz="4" w:space="0"/>
              <w:right w:val="single" w:color="auto" w:sz="4" w:space="0"/>
            </w:tcBorders>
            <w:vAlign w:val="center"/>
          </w:tcPr>
          <w:p w14:paraId="622B8CCB">
            <w:pPr>
              <w:ind w:firstLine="420" w:firstLineChars="200"/>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施工低峰期数量</w:t>
            </w:r>
          </w:p>
        </w:tc>
      </w:tr>
      <w:tr w14:paraId="65A1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14:paraId="16A4D676">
            <w:pPr>
              <w:ind w:left="-422" w:leftChars="-201" w:firstLine="420" w:firstLineChars="200"/>
              <w:jc w:val="center"/>
              <w:rPr>
                <w:rFonts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14:paraId="2483512B">
            <w:pPr>
              <w:ind w:firstLine="420" w:firstLineChars="200"/>
              <w:jc w:val="center"/>
              <w:rPr>
                <w:rFonts w:ascii="宋体" w:hAnsi="宋体" w:eastAsia="宋体" w:cs="宋体"/>
                <w:color w:val="auto"/>
                <w:kern w:val="0"/>
                <w:szCs w:val="21"/>
                <w:highlight w:val="none"/>
                <w:u w:val="single"/>
              </w:rPr>
            </w:pPr>
          </w:p>
        </w:tc>
      </w:tr>
      <w:tr w14:paraId="04A8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14:paraId="26141F15">
            <w:pPr>
              <w:ind w:firstLine="420" w:firstLineChars="200"/>
              <w:jc w:val="center"/>
              <w:rPr>
                <w:rFonts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14:paraId="641F8C5A">
            <w:pPr>
              <w:ind w:firstLine="420" w:firstLineChars="200"/>
              <w:jc w:val="center"/>
              <w:rPr>
                <w:rFonts w:ascii="宋体" w:hAnsi="宋体" w:eastAsia="宋体" w:cs="宋体"/>
                <w:color w:val="auto"/>
                <w:kern w:val="0"/>
                <w:szCs w:val="21"/>
                <w:highlight w:val="none"/>
                <w:u w:val="single"/>
              </w:rPr>
            </w:pPr>
          </w:p>
        </w:tc>
      </w:tr>
      <w:tr w14:paraId="5501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14:paraId="6CDD71EE">
            <w:pPr>
              <w:ind w:firstLine="420" w:firstLineChars="200"/>
              <w:jc w:val="center"/>
              <w:rPr>
                <w:rFonts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14:paraId="6A3238D9">
            <w:pPr>
              <w:ind w:firstLine="420" w:firstLineChars="200"/>
              <w:jc w:val="center"/>
              <w:rPr>
                <w:rFonts w:ascii="宋体" w:hAnsi="宋体" w:eastAsia="宋体" w:cs="宋体"/>
                <w:color w:val="auto"/>
                <w:kern w:val="0"/>
                <w:szCs w:val="21"/>
                <w:highlight w:val="none"/>
                <w:u w:val="single"/>
              </w:rPr>
            </w:pPr>
          </w:p>
        </w:tc>
      </w:tr>
      <w:tr w14:paraId="35D8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14:paraId="2A2BCD85">
            <w:pPr>
              <w:ind w:firstLine="420" w:firstLineChars="200"/>
              <w:jc w:val="center"/>
              <w:rPr>
                <w:rFonts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14:paraId="3EE4F52D">
            <w:pPr>
              <w:ind w:firstLine="420" w:firstLineChars="200"/>
              <w:jc w:val="center"/>
              <w:rPr>
                <w:rFonts w:ascii="宋体" w:hAnsi="宋体" w:eastAsia="宋体" w:cs="宋体"/>
                <w:color w:val="auto"/>
                <w:kern w:val="0"/>
                <w:szCs w:val="21"/>
                <w:highlight w:val="none"/>
                <w:u w:val="single"/>
              </w:rPr>
            </w:pPr>
          </w:p>
        </w:tc>
      </w:tr>
      <w:tr w14:paraId="1426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14:paraId="68492B6E">
            <w:pPr>
              <w:ind w:firstLine="420" w:firstLineChars="200"/>
              <w:jc w:val="center"/>
              <w:rPr>
                <w:rFonts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14:paraId="2D732A99">
            <w:pPr>
              <w:ind w:firstLine="420" w:firstLineChars="200"/>
              <w:jc w:val="center"/>
              <w:rPr>
                <w:rFonts w:ascii="宋体" w:hAnsi="宋体" w:eastAsia="宋体" w:cs="宋体"/>
                <w:color w:val="auto"/>
                <w:kern w:val="0"/>
                <w:szCs w:val="21"/>
                <w:highlight w:val="none"/>
                <w:u w:val="single"/>
              </w:rPr>
            </w:pPr>
          </w:p>
        </w:tc>
      </w:tr>
      <w:tr w14:paraId="5126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14:paraId="25BCFFD7">
            <w:pPr>
              <w:ind w:firstLine="420" w:firstLineChars="200"/>
              <w:jc w:val="center"/>
              <w:rPr>
                <w:rFonts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14:paraId="05B99D13">
            <w:pPr>
              <w:ind w:firstLine="420" w:firstLineChars="200"/>
              <w:jc w:val="center"/>
              <w:rPr>
                <w:rFonts w:ascii="宋体" w:hAnsi="宋体" w:eastAsia="宋体" w:cs="宋体"/>
                <w:color w:val="auto"/>
                <w:kern w:val="0"/>
                <w:szCs w:val="21"/>
                <w:highlight w:val="none"/>
                <w:u w:val="single"/>
              </w:rPr>
            </w:pPr>
          </w:p>
        </w:tc>
      </w:tr>
      <w:tr w14:paraId="1D22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14:paraId="2CDDACE7">
            <w:pPr>
              <w:ind w:firstLine="420" w:firstLineChars="200"/>
              <w:jc w:val="center"/>
              <w:rPr>
                <w:rFonts w:ascii="宋体" w:hAnsi="宋体" w:eastAsia="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14:paraId="6D8A211E">
            <w:pPr>
              <w:ind w:firstLine="420" w:firstLineChars="200"/>
              <w:jc w:val="center"/>
              <w:rPr>
                <w:rFonts w:ascii="宋体" w:hAnsi="宋体" w:eastAsia="宋体" w:cs="宋体"/>
                <w:color w:val="auto"/>
                <w:kern w:val="0"/>
                <w:szCs w:val="21"/>
                <w:highlight w:val="none"/>
                <w:u w:val="single"/>
              </w:rPr>
            </w:pPr>
          </w:p>
        </w:tc>
      </w:tr>
      <w:tr w14:paraId="376A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14:paraId="08192EE7">
            <w:pPr>
              <w:ind w:firstLine="420" w:firstLineChars="200"/>
              <w:jc w:val="center"/>
              <w:rPr>
                <w:rFonts w:ascii="宋体" w:hAnsi="宋体" w:eastAsia="宋体" w:cs="宋体"/>
                <w:color w:val="auto"/>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14:paraId="756A0341">
            <w:pPr>
              <w:ind w:firstLine="420" w:firstLineChars="200"/>
              <w:jc w:val="center"/>
              <w:rPr>
                <w:rFonts w:ascii="宋体" w:hAnsi="宋体" w:eastAsia="宋体" w:cs="宋体"/>
                <w:color w:val="auto"/>
                <w:kern w:val="0"/>
                <w:szCs w:val="21"/>
                <w:highlight w:val="none"/>
                <w:u w:val="single"/>
              </w:rPr>
            </w:pPr>
          </w:p>
        </w:tc>
      </w:tr>
      <w:tr w14:paraId="7414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14:paraId="542DF02D">
            <w:pPr>
              <w:ind w:firstLine="420" w:firstLineChars="200"/>
              <w:jc w:val="center"/>
              <w:rPr>
                <w:rFonts w:ascii="宋体" w:hAnsi="宋体" w:eastAsia="宋体" w:cs="宋体"/>
                <w:color w:val="auto"/>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14:paraId="4ECE1FA6">
            <w:pPr>
              <w:ind w:firstLine="420" w:firstLineChars="200"/>
              <w:jc w:val="center"/>
              <w:rPr>
                <w:rFonts w:ascii="宋体" w:hAnsi="宋体" w:eastAsia="宋体" w:cs="宋体"/>
                <w:color w:val="auto"/>
                <w:kern w:val="0"/>
                <w:szCs w:val="21"/>
                <w:highlight w:val="none"/>
                <w:u w:val="single"/>
              </w:rPr>
            </w:pPr>
          </w:p>
        </w:tc>
      </w:tr>
    </w:tbl>
    <w:p w14:paraId="4D104F1D">
      <w:pPr>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注：工种不含投标文件所附的《投入主要人员汇总表》所填岗位。</w:t>
      </w:r>
    </w:p>
    <w:p w14:paraId="6B243A8D">
      <w:pPr>
        <w:spacing w:line="360" w:lineRule="auto"/>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3、在工程施工期间，拟投入的主要机械设备按投标文件所附的《拟投入本工程施工的主要机械设备配备表》。</w:t>
      </w:r>
    </w:p>
    <w:p w14:paraId="73624872">
      <w:pPr>
        <w:spacing w:line="360" w:lineRule="auto"/>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4、所选用的主要材料符合招标文件的要求。</w:t>
      </w:r>
    </w:p>
    <w:p w14:paraId="39367686">
      <w:pPr>
        <w:spacing w:line="360" w:lineRule="auto"/>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5、拟投入到本工程的主要技术人员、经济和管理人员按投标文件所附的《投入主要人员汇总表》。中标后，拟投入到本工程安全员人数不得低于住建部相关文件的最低要求。</w:t>
      </w:r>
    </w:p>
    <w:p w14:paraId="45B2E5A2">
      <w:pPr>
        <w:spacing w:line="360" w:lineRule="auto"/>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6、我公司保证拟派项目负责人符合《广州市住房和城乡建设局关于加强建筑工程项目负责人管理的通知》（穗建规字〔2020〕32号）文的要求，并将严格按照招标文件要求，自签订合同之日起至工程竣工验收将常驻现场，严格按照有关工程项目管理的要求进行项目管理，如果不能够按照此要求实施，我方自愿接受贵中心的处罚措施。</w:t>
      </w:r>
    </w:p>
    <w:p w14:paraId="06405C8D">
      <w:pPr>
        <w:spacing w:line="360" w:lineRule="auto"/>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7、本工程施工过程中，我司将严格按照国家、省、市有关施工及验收规范、标准进行施工，确保本工程质量标准达到在投标文件所附《广州建设工程施工招标投标书》中承诺的工程质量标准要求。</w:t>
      </w:r>
    </w:p>
    <w:p w14:paraId="23952F77">
      <w:pPr>
        <w:spacing w:line="360" w:lineRule="auto"/>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8、在确保工程质量的前提下，我司严格控制工程工期，确保本工程在投标文件所附《广州建设工程施工招标投标书》中承诺的投标总工期内完成并移交。</w:t>
      </w:r>
    </w:p>
    <w:p w14:paraId="56A75E79">
      <w:pPr>
        <w:spacing w:line="360" w:lineRule="auto"/>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9、严格按照国家、省、市有关安全生产、文明施工要求，积极制定安全生产、文明施工措施，并严格执行，确保施工中符合安全生产、文明施工要求。在施工过程中,若发生重大伤亡事故，我方自愿接受贵中心的经济处罚：如发生死亡事故，死亡1人，支付20万元违约金；死亡2人，支付40万元违约金；死亡3人或以上，支付80万元违约金；如发生重伤事故，重伤1人，支付10万元违约金；重伤2人，支付20万元违约金；重伤3人或以上，支付40万元违约金。以上款项从工程款中扣除，扣除的款项均上缴国库。</w:t>
      </w:r>
    </w:p>
    <w:p w14:paraId="3119A19C">
      <w:pPr>
        <w:spacing w:line="360" w:lineRule="auto"/>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10、按照发包人、监理工程师的要求及时为各专业工程（电信、电力管线、电力走廊、煤气、道路绿化、路灯、交通设施等）提供工作面，并为专业工程穿插施工所需各项配合工作给予方便。</w:t>
      </w:r>
    </w:p>
    <w:p w14:paraId="7A7E9045">
      <w:pPr>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将按照招标过程中确定的范围，除了下表所列专业工程外，其余全部工程由我司自行施工。对工程分包，我司承诺按照招标文件的要求和有关规定履行总包单位的职责，在中标后提供分包单位的资质证明材料（如有必须分包的专业工程，请填入下表）。</w:t>
      </w:r>
    </w:p>
    <w:tbl>
      <w:tblPr>
        <w:tblStyle w:val="50"/>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7523"/>
      </w:tblGrid>
      <w:tr w14:paraId="0F6F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8573" w:type="dxa"/>
            <w:gridSpan w:val="2"/>
            <w:tcBorders>
              <w:top w:val="single" w:color="auto" w:sz="4" w:space="0"/>
              <w:left w:val="single" w:color="auto" w:sz="4" w:space="0"/>
              <w:bottom w:val="single" w:color="auto" w:sz="4" w:space="0"/>
              <w:right w:val="single" w:color="auto" w:sz="4" w:space="0"/>
            </w:tcBorders>
            <w:vAlign w:val="center"/>
          </w:tcPr>
          <w:p w14:paraId="5E5A66D7">
            <w:pPr>
              <w:spacing w:line="400" w:lineRule="exact"/>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必须分包的专业工程内容</w:t>
            </w:r>
          </w:p>
        </w:tc>
      </w:tr>
      <w:tr w14:paraId="2015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14:paraId="46045A39">
            <w:pPr>
              <w:spacing w:line="400" w:lineRule="exact"/>
              <w:ind w:left="-105" w:leftChars="-50" w:firstLine="90" w:firstLineChars="43"/>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序号</w:t>
            </w:r>
          </w:p>
        </w:tc>
        <w:tc>
          <w:tcPr>
            <w:tcW w:w="7523" w:type="dxa"/>
            <w:tcBorders>
              <w:top w:val="single" w:color="auto" w:sz="4" w:space="0"/>
              <w:left w:val="single" w:color="auto" w:sz="4" w:space="0"/>
              <w:bottom w:val="single" w:color="auto" w:sz="4" w:space="0"/>
              <w:right w:val="single" w:color="auto" w:sz="4" w:space="0"/>
            </w:tcBorders>
            <w:vAlign w:val="center"/>
          </w:tcPr>
          <w:p w14:paraId="0D092A9D">
            <w:pPr>
              <w:spacing w:line="400" w:lineRule="exact"/>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工程内容</w:t>
            </w:r>
          </w:p>
        </w:tc>
      </w:tr>
      <w:tr w14:paraId="2375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14:paraId="0232F635">
            <w:pPr>
              <w:spacing w:line="400" w:lineRule="exact"/>
              <w:rPr>
                <w:rFonts w:ascii="宋体" w:hAnsi="宋体" w:eastAsia="宋体" w:cs="宋体"/>
                <w:color w:val="auto"/>
                <w:szCs w:val="21"/>
                <w:highlight w:val="none"/>
                <w:u w:val="single"/>
              </w:rPr>
            </w:pPr>
          </w:p>
        </w:tc>
        <w:tc>
          <w:tcPr>
            <w:tcW w:w="7523" w:type="dxa"/>
            <w:tcBorders>
              <w:top w:val="single" w:color="auto" w:sz="4" w:space="0"/>
              <w:left w:val="single" w:color="auto" w:sz="4" w:space="0"/>
              <w:bottom w:val="single" w:color="auto" w:sz="4" w:space="0"/>
              <w:right w:val="single" w:color="auto" w:sz="4" w:space="0"/>
            </w:tcBorders>
            <w:vAlign w:val="center"/>
          </w:tcPr>
          <w:p w14:paraId="67070BF0">
            <w:pPr>
              <w:spacing w:line="400" w:lineRule="exact"/>
              <w:rPr>
                <w:rFonts w:ascii="宋体" w:hAnsi="宋体" w:eastAsia="宋体" w:cs="宋体"/>
                <w:color w:val="auto"/>
                <w:szCs w:val="21"/>
                <w:highlight w:val="none"/>
                <w:u w:val="single"/>
              </w:rPr>
            </w:pPr>
          </w:p>
        </w:tc>
      </w:tr>
      <w:tr w14:paraId="3E35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14:paraId="3D3631B8">
            <w:pPr>
              <w:spacing w:line="400" w:lineRule="exact"/>
              <w:rPr>
                <w:rFonts w:ascii="宋体" w:hAnsi="宋体" w:eastAsia="宋体" w:cs="宋体"/>
                <w:color w:val="auto"/>
                <w:szCs w:val="21"/>
                <w:highlight w:val="none"/>
                <w:u w:val="single"/>
              </w:rPr>
            </w:pPr>
          </w:p>
        </w:tc>
        <w:tc>
          <w:tcPr>
            <w:tcW w:w="7523" w:type="dxa"/>
            <w:tcBorders>
              <w:top w:val="single" w:color="auto" w:sz="4" w:space="0"/>
              <w:left w:val="single" w:color="auto" w:sz="4" w:space="0"/>
              <w:bottom w:val="single" w:color="auto" w:sz="4" w:space="0"/>
              <w:right w:val="single" w:color="auto" w:sz="4" w:space="0"/>
            </w:tcBorders>
            <w:vAlign w:val="center"/>
          </w:tcPr>
          <w:p w14:paraId="3A16B705">
            <w:pPr>
              <w:spacing w:line="400" w:lineRule="exact"/>
              <w:rPr>
                <w:rFonts w:ascii="宋体" w:hAnsi="宋体" w:eastAsia="宋体" w:cs="宋体"/>
                <w:color w:val="auto"/>
                <w:szCs w:val="21"/>
                <w:highlight w:val="none"/>
                <w:u w:val="single"/>
              </w:rPr>
            </w:pPr>
          </w:p>
        </w:tc>
      </w:tr>
      <w:tr w14:paraId="633C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14:paraId="3E986BA7">
            <w:pPr>
              <w:spacing w:line="400" w:lineRule="exact"/>
              <w:rPr>
                <w:rFonts w:ascii="宋体" w:hAnsi="宋体" w:eastAsia="宋体" w:cs="宋体"/>
                <w:color w:val="auto"/>
                <w:szCs w:val="21"/>
                <w:highlight w:val="none"/>
                <w:u w:val="single"/>
              </w:rPr>
            </w:pPr>
          </w:p>
        </w:tc>
        <w:tc>
          <w:tcPr>
            <w:tcW w:w="7523" w:type="dxa"/>
            <w:tcBorders>
              <w:top w:val="single" w:color="auto" w:sz="4" w:space="0"/>
              <w:left w:val="single" w:color="auto" w:sz="4" w:space="0"/>
              <w:bottom w:val="single" w:color="auto" w:sz="4" w:space="0"/>
              <w:right w:val="single" w:color="auto" w:sz="4" w:space="0"/>
            </w:tcBorders>
            <w:vAlign w:val="center"/>
          </w:tcPr>
          <w:p w14:paraId="4418E747">
            <w:pPr>
              <w:spacing w:line="400" w:lineRule="exact"/>
              <w:rPr>
                <w:rFonts w:ascii="宋体" w:hAnsi="宋体" w:eastAsia="宋体" w:cs="宋体"/>
                <w:color w:val="auto"/>
                <w:szCs w:val="21"/>
                <w:highlight w:val="none"/>
                <w:u w:val="single"/>
              </w:rPr>
            </w:pPr>
          </w:p>
        </w:tc>
      </w:tr>
    </w:tbl>
    <w:p w14:paraId="49F3D17A">
      <w:pPr>
        <w:spacing w:line="360" w:lineRule="auto"/>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12、我司保证在中标后，严格按照 《广州市住房和城乡建设委员会关于印发&lt;广州市建筑施工实名制管理办法&gt;的通知》（穗建规字[2020]18号）、《关于印发广州市建设领域工人工资支付分帐管理实施细则的通知》（穗建规字[2020]37号）等最新规定及广州市黄埔区、开发区对应出台的相关文件规定办理建筑工地实名制管理和工人工资支付分帐管理事宜；加强对我司承包范围（含其专业分包、劳务分包范围）工人工资支付的管理，并对我司及其分包单位工人工资支付负总责，防止出现拖欠工人工资情况。若因违法转包、分包工程的或其他承包人原因导</w:t>
      </w:r>
      <w:r>
        <w:rPr>
          <w:rFonts w:hint="eastAsia" w:ascii="宋体" w:hAnsi="宋体" w:eastAsia="宋体"/>
          <w:color w:val="auto"/>
          <w:sz w:val="24"/>
          <w:szCs w:val="24"/>
          <w:highlight w:val="none"/>
        </w:rPr>
        <w:t>致相应工程出现拖欠工人工资情况的，我司将对拖欠工人工资承担清偿责任，对此引起的纠纷负全责，造成发包人损失（包括但不限于发包人因此而支付的赔偿款、律师费、诉讼费、保全费、公证费、鉴定费等）的，我司将承担全部责任。</w:t>
      </w:r>
    </w:p>
    <w:p w14:paraId="1FB42815">
      <w:pPr>
        <w:spacing w:line="360" w:lineRule="auto"/>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13、我司保证在中标后，根据工程特点，编制本工程详细的施工组织设计和施工方案，并报监理和发包人审核批准，并严格按审批的意见和要求组织施工。</w:t>
      </w:r>
    </w:p>
    <w:p w14:paraId="73BAD62E">
      <w:pPr>
        <w:spacing w:line="360" w:lineRule="auto"/>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14、我司承诺积极响应并接受招标文件中合同专用专款关于合同价款的调整办法。</w:t>
      </w:r>
    </w:p>
    <w:p w14:paraId="19B2B30B">
      <w:pPr>
        <w:spacing w:line="360" w:lineRule="auto"/>
        <w:ind w:firstLine="424" w:firstLineChars="177"/>
        <w:rPr>
          <w:rFonts w:ascii="宋体" w:hAnsi="宋体" w:eastAsia="宋体"/>
          <w:color w:val="auto"/>
          <w:sz w:val="24"/>
          <w:szCs w:val="24"/>
          <w:highlight w:val="none"/>
        </w:rPr>
      </w:pPr>
      <w:r>
        <w:rPr>
          <w:rFonts w:ascii="宋体" w:hAnsi="宋体" w:eastAsia="宋体"/>
          <w:color w:val="auto"/>
          <w:sz w:val="24"/>
          <w:szCs w:val="24"/>
          <w:highlight w:val="none"/>
        </w:rPr>
        <w:t>15、我司保证在中标后，施工现场严格按照《广州市建设工程文明施工管理规定》（广州市人民政府</w:t>
      </w:r>
      <w:r>
        <w:rPr>
          <w:rFonts w:hint="eastAsia" w:ascii="宋体" w:hAnsi="宋体" w:eastAsia="宋体"/>
          <w:color w:val="auto"/>
          <w:sz w:val="22"/>
          <w:highlight w:val="none"/>
        </w:rPr>
        <w:t>令第</w:t>
      </w:r>
      <w:r>
        <w:rPr>
          <w:rFonts w:ascii="宋体" w:hAnsi="宋体" w:eastAsia="宋体"/>
          <w:color w:val="auto"/>
          <w:sz w:val="22"/>
          <w:highlight w:val="none"/>
        </w:rPr>
        <w:t>62</w:t>
      </w:r>
      <w:r>
        <w:rPr>
          <w:rFonts w:hint="eastAsia" w:ascii="宋体" w:hAnsi="宋体" w:eastAsia="宋体"/>
          <w:color w:val="auto"/>
          <w:sz w:val="22"/>
          <w:highlight w:val="none"/>
        </w:rPr>
        <w:t>号、</w:t>
      </w:r>
      <w:r>
        <w:rPr>
          <w:rFonts w:hint="eastAsia" w:ascii="宋体" w:hAnsi="宋体" w:eastAsia="宋体" w:cs="宋体"/>
          <w:snapToGrid w:val="0"/>
          <w:color w:val="auto"/>
          <w:kern w:val="0"/>
          <w:sz w:val="22"/>
          <w:highlight w:val="none"/>
        </w:rPr>
        <w:t>第158号</w:t>
      </w:r>
      <w:r>
        <w:rPr>
          <w:rFonts w:ascii="宋体" w:hAnsi="宋体" w:eastAsia="宋体"/>
          <w:color w:val="auto"/>
          <w:sz w:val="24"/>
          <w:szCs w:val="24"/>
          <w:highlight w:val="none"/>
        </w:rPr>
        <w:t>）、《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w:t>
      </w:r>
      <w:r>
        <w:rPr>
          <w:rFonts w:hint="eastAsia" w:ascii="宋体" w:hAnsi="宋体" w:eastAsia="宋体"/>
          <w:color w:val="auto"/>
          <w:sz w:val="24"/>
          <w:szCs w:val="24"/>
          <w:highlight w:val="none"/>
        </w:rPr>
        <w:t>其他相关规定实施，施工围蔽严格按照《关于进一步规范建设工程施工现场围蔽的通知》（穗建质</w:t>
      </w:r>
      <w:r>
        <w:rPr>
          <w:rFonts w:ascii="宋体" w:hAnsi="宋体" w:eastAsia="宋体"/>
          <w:color w:val="auto"/>
          <w:sz w:val="24"/>
          <w:szCs w:val="24"/>
          <w:highlight w:val="none"/>
        </w:rPr>
        <w:t>[2008]1008号）、《广州市建设工程绿色施工围蔽指导图集（V2.0版）》(穗建质〔2020〕1号）、</w:t>
      </w:r>
      <w:r>
        <w:rPr>
          <w:rFonts w:hint="default" w:ascii="宋体" w:hAnsi="宋体" w:eastAsia="宋体" w:cstheme="minorBidi"/>
          <w:b w:val="0"/>
          <w:bCs w:val="0"/>
          <w:color w:val="auto"/>
          <w:sz w:val="24"/>
          <w:szCs w:val="24"/>
          <w:highlight w:val="none"/>
          <w:u w:val="none"/>
        </w:rPr>
        <w:t>《危险性较大的分部分项工程安全管理规定》(中华人民共和国住房和城乡建设部令第47号)</w:t>
      </w:r>
      <w:r>
        <w:rPr>
          <w:rFonts w:hint="default" w:ascii="宋体" w:hAnsi="宋体" w:eastAsia="宋体" w:cstheme="minorBidi"/>
          <w:b w:val="0"/>
          <w:bCs w:val="0"/>
          <w:color w:val="auto"/>
          <w:sz w:val="24"/>
          <w:szCs w:val="24"/>
          <w:highlight w:val="none"/>
          <w:u w:val="none"/>
          <w:lang w:eastAsia="zh-CN"/>
        </w:rPr>
        <w:t>、</w:t>
      </w:r>
      <w:r>
        <w:rPr>
          <w:rFonts w:ascii="宋体" w:hAnsi="宋体" w:eastAsia="宋体"/>
          <w:color w:val="auto"/>
          <w:sz w:val="24"/>
          <w:szCs w:val="24"/>
          <w:highlight w:val="none"/>
        </w:rPr>
        <w:t>《关于进一步落实我区市政建设项目施工围蔽提升工作的通知》（穗埔建[2019]123号）及《黄埔区住房和城乡建设局 广州开发区建设和交通局关于进一步规范全区建设工程施工围蔽标准的通知》（穗埔建﹝2020﹞183号）的相关文件要求的标准实施。以上文件要求不一致的，以后发布文件为准，若相关部门发布有关施工现场管理及施工围蔽新</w:t>
      </w:r>
      <w:r>
        <w:rPr>
          <w:rFonts w:hint="eastAsia" w:ascii="宋体" w:hAnsi="宋体" w:eastAsia="宋体"/>
          <w:color w:val="auto"/>
          <w:sz w:val="24"/>
          <w:szCs w:val="24"/>
          <w:highlight w:val="none"/>
        </w:rPr>
        <w:t>规定的，按新规定执行。我司随时接受监理、业主、安监机构等相关部门监督和检查，对在检查中发现不符合安全文明施工要求的，无条件进行整改。如不及时按要求整改，发包人有权不支付安全文明施工措施费，或另行委托单位实施，所发生的费用在本工程</w:t>
      </w:r>
      <w:r>
        <w:rPr>
          <w:rFonts w:hint="eastAsia" w:ascii="宋体" w:hAnsi="宋体" w:eastAsia="宋体"/>
          <w:color w:val="auto"/>
          <w:sz w:val="24"/>
          <w:szCs w:val="24"/>
          <w:highlight w:val="none"/>
          <w:lang w:val="en-US" w:eastAsia="zh-CN"/>
        </w:rPr>
        <w:t>安全生产措施费</w:t>
      </w:r>
      <w:r>
        <w:rPr>
          <w:rFonts w:hint="eastAsia" w:ascii="宋体" w:hAnsi="宋体" w:eastAsia="宋体"/>
          <w:color w:val="auto"/>
          <w:sz w:val="24"/>
          <w:szCs w:val="24"/>
          <w:highlight w:val="none"/>
        </w:rPr>
        <w:t>中扣除，如不足抵扣可在本工程承包工程款中扣除，同时我司接受发包人根据实际情况对我司作出的其他处罚措施。发包人可将情况上报建设行政主管部门，视情况追究我司有关责任，可对我司或项目责任人作不良行为记录。</w:t>
      </w:r>
    </w:p>
    <w:p w14:paraId="1043EE05">
      <w:pPr>
        <w:spacing w:line="400" w:lineRule="exact"/>
        <w:ind w:firstLine="480" w:firstLineChars="200"/>
        <w:rPr>
          <w:rFonts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u w:val="single"/>
        </w:rPr>
        <w:t>16、本单位为大中型企业，通过向一家或者多家小微企业分包的方式参与投标，分包意向协议中约定的小微企业的合同份额占到合同总金额30%</w:t>
      </w:r>
      <w:r>
        <w:rPr>
          <w:rFonts w:hint="eastAsia" w:ascii="宋体" w:hAnsi="宋体" w:eastAsia="宋体" w:cs="宋体"/>
          <w:b/>
          <w:bCs/>
          <w:color w:val="auto"/>
          <w:sz w:val="24"/>
          <w:szCs w:val="24"/>
          <w:highlight w:val="none"/>
          <w:u w:val="single"/>
        </w:rPr>
        <w:t>（含）</w:t>
      </w:r>
      <w:r>
        <w:rPr>
          <w:rFonts w:hint="eastAsia" w:ascii="宋体" w:hAnsi="宋体" w:eastAsia="宋体" w:cs="宋体"/>
          <w:color w:val="auto"/>
          <w:sz w:val="24"/>
          <w:szCs w:val="24"/>
          <w:highlight w:val="none"/>
          <w:u w:val="single"/>
        </w:rPr>
        <w:t>以上。</w:t>
      </w:r>
    </w:p>
    <w:p w14:paraId="45D1E7CB">
      <w:pPr>
        <w:spacing w:line="360" w:lineRule="auto"/>
        <w:ind w:firstLine="424" w:firstLineChars="177"/>
        <w:rPr>
          <w:rFonts w:ascii="宋体" w:hAnsi="宋体" w:eastAsia="宋体" w:cs="宋体"/>
          <w:snapToGrid w:val="0"/>
          <w:color w:val="auto"/>
          <w:kern w:val="0"/>
          <w:sz w:val="24"/>
          <w:szCs w:val="24"/>
          <w:highlight w:val="none"/>
          <w:u w:val="single"/>
        </w:rPr>
      </w:pPr>
    </w:p>
    <w:p w14:paraId="0176536F">
      <w:pPr>
        <w:spacing w:line="360" w:lineRule="auto"/>
        <w:ind w:left="5811" w:leftChars="2767" w:firstLine="424" w:firstLineChars="17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投标单位：（公章）</w:t>
      </w:r>
    </w:p>
    <w:p w14:paraId="205B169E">
      <w:pPr>
        <w:spacing w:line="360" w:lineRule="auto"/>
        <w:ind w:left="5811" w:leftChars="2767" w:right="560" w:firstLine="424" w:firstLineChars="177"/>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046BD0C7">
      <w:pPr>
        <w:tabs>
          <w:tab w:val="left" w:pos="720"/>
        </w:tabs>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注：</w:t>
      </w:r>
    </w:p>
    <w:p w14:paraId="1AFA8085">
      <w:pPr>
        <w:tabs>
          <w:tab w:val="left" w:pos="720"/>
        </w:tabs>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1、投标人应如实填写《标函承诺书》，中标后，工程的监理单位将经常核验投标人是否按填报内容实施，行政管理机构也将随时抽查。</w:t>
      </w:r>
    </w:p>
    <w:p w14:paraId="2D24EEF1">
      <w:pPr>
        <w:spacing w:line="400" w:lineRule="exact"/>
        <w:rPr>
          <w:rFonts w:ascii="宋体" w:hAnsi="宋体" w:eastAsia="宋体" w:cs="宋体"/>
          <w:strike/>
          <w:color w:val="auto"/>
          <w:szCs w:val="21"/>
          <w:highlight w:val="none"/>
        </w:rPr>
      </w:pPr>
      <w:r>
        <w:rPr>
          <w:rFonts w:hint="eastAsia" w:ascii="宋体" w:hAnsi="宋体" w:eastAsia="宋体" w:cs="宋体"/>
          <w:color w:val="auto"/>
          <w:szCs w:val="21"/>
          <w:highlight w:val="none"/>
        </w:rPr>
        <w:t>2、如独立投标或与小微企业无分包意向协议的，本格式第16点可自行删除。</w:t>
      </w:r>
    </w:p>
    <w:p w14:paraId="0CE98482">
      <w:pPr>
        <w:pStyle w:val="4"/>
        <w:rPr>
          <w:snapToGrid w:val="0"/>
          <w:color w:val="auto"/>
          <w:highlight w:val="none"/>
        </w:rPr>
      </w:pPr>
      <w:r>
        <w:rPr>
          <w:rFonts w:hint="eastAsia"/>
          <w:color w:val="auto"/>
          <w:highlight w:val="none"/>
        </w:rPr>
        <w:br w:type="page"/>
      </w:r>
    </w:p>
    <w:p w14:paraId="2B0C647E">
      <w:pPr>
        <w:pStyle w:val="4"/>
        <w:rPr>
          <w:b/>
          <w:color w:val="auto"/>
          <w:sz w:val="36"/>
          <w:szCs w:val="36"/>
          <w:highlight w:val="none"/>
        </w:rPr>
      </w:pPr>
      <w:bookmarkStart w:id="71" w:name="_Toc202907312"/>
      <w:r>
        <w:rPr>
          <w:rFonts w:hint="eastAsia"/>
          <w:snapToGrid w:val="0"/>
          <w:color w:val="auto"/>
          <w:highlight w:val="none"/>
        </w:rPr>
        <w:t>格式六：</w:t>
      </w:r>
      <w:bookmarkEnd w:id="71"/>
    </w:p>
    <w:p w14:paraId="4F469438">
      <w:pPr>
        <w:topLinePunct/>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项目负责人驻场承诺书</w:t>
      </w:r>
    </w:p>
    <w:p w14:paraId="66FADDB5">
      <w:pPr>
        <w:spacing w:line="336"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致（业主）                                           ：</w:t>
      </w:r>
    </w:p>
    <w:p w14:paraId="2CA06A41">
      <w:pPr>
        <w:spacing w:line="336" w:lineRule="auto"/>
        <w:ind w:firstLine="424" w:firstLineChars="177"/>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本人（姓名）              ，项目负责人证书注册编号：                       </w:t>
      </w:r>
    </w:p>
    <w:p w14:paraId="715D6418">
      <w:pPr>
        <w:spacing w:line="336" w:lineRule="auto"/>
        <w:ind w:firstLine="424" w:firstLineChars="177"/>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受（投标人）                                                              委派，拟在（项目名称）                                                   担任项目负责人一职。为加强本工程项目管理，保证我公司在中标后严格履行与业主签定的工程建设承包合同，圆满的完成本项工程，我愿就此做出以下承诺；</w:t>
      </w:r>
    </w:p>
    <w:p w14:paraId="7322E9DF">
      <w:pPr>
        <w:spacing w:line="336" w:lineRule="auto"/>
        <w:ind w:firstLine="424" w:firstLineChars="177"/>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14:paraId="0582A6A4">
      <w:pPr>
        <w:spacing w:line="336" w:lineRule="auto"/>
        <w:ind w:firstLine="424" w:firstLineChars="177"/>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2．如果本招标工程我公司中标，我本人保证在工程签订合同之日起至工程竣工验收完成期间只担任此工程的项目经理，不参加其他任何工程的报名和任何工作，不在其他任何工程担任本职务。</w:t>
      </w:r>
    </w:p>
    <w:p w14:paraId="24285562">
      <w:pPr>
        <w:spacing w:line="336" w:lineRule="auto"/>
        <w:ind w:firstLine="424" w:firstLineChars="177"/>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广州市相关主管部门并接受上述部门给予的通报和相关职能部门给予的扣证等处罚。</w:t>
      </w:r>
    </w:p>
    <w:p w14:paraId="1489B820">
      <w:pPr>
        <w:spacing w:line="336" w:lineRule="auto"/>
        <w:ind w:firstLine="424" w:firstLineChars="177"/>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4．项目负责人本人身份证</w:t>
      </w:r>
      <w:r>
        <w:rPr>
          <w:rFonts w:hint="eastAsia" w:ascii="宋体" w:hAnsi="宋体" w:eastAsia="宋体" w:cs="宋体"/>
          <w:color w:val="auto"/>
          <w:sz w:val="24"/>
          <w:szCs w:val="24"/>
          <w:highlight w:val="none"/>
          <w:u w:val="single"/>
          <w:lang w:val="en-US" w:eastAsia="zh-CN"/>
        </w:rPr>
        <w:t>正反</w:t>
      </w:r>
      <w:r>
        <w:rPr>
          <w:rFonts w:hint="eastAsia" w:ascii="宋体" w:hAnsi="宋体" w:eastAsia="宋体" w:cs="宋体"/>
          <w:color w:val="auto"/>
          <w:sz w:val="24"/>
          <w:szCs w:val="24"/>
          <w:highlight w:val="none"/>
          <w:u w:val="single"/>
        </w:rPr>
        <w:t>扫描件和相片扫描件：</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8"/>
        <w:gridCol w:w="2741"/>
      </w:tblGrid>
      <w:tr w14:paraId="60D3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6648" w:type="dxa"/>
            <w:tcBorders>
              <w:top w:val="single" w:color="auto" w:sz="4" w:space="0"/>
              <w:left w:val="single" w:color="auto" w:sz="4" w:space="0"/>
              <w:bottom w:val="single" w:color="auto" w:sz="4" w:space="0"/>
              <w:right w:val="single" w:color="auto" w:sz="4" w:space="0"/>
            </w:tcBorders>
          </w:tcPr>
          <w:p w14:paraId="1F21E124">
            <w:pPr>
              <w:spacing w:line="336" w:lineRule="auto"/>
              <w:jc w:val="center"/>
              <w:rPr>
                <w:rFonts w:ascii="宋体" w:hAnsi="宋体" w:eastAsia="宋体" w:cs="宋体"/>
                <w:color w:val="auto"/>
                <w:szCs w:val="21"/>
                <w:highlight w:val="none"/>
                <w:u w:val="single"/>
              </w:rPr>
            </w:pPr>
          </w:p>
          <w:p w14:paraId="1D2119B6">
            <w:pPr>
              <w:spacing w:line="336" w:lineRule="auto"/>
              <w:jc w:val="center"/>
              <w:rPr>
                <w:rFonts w:ascii="宋体" w:hAnsi="宋体" w:eastAsia="宋体" w:cs="宋体"/>
                <w:color w:val="auto"/>
                <w:szCs w:val="21"/>
                <w:highlight w:val="none"/>
                <w:u w:val="single"/>
              </w:rPr>
            </w:pPr>
          </w:p>
          <w:p w14:paraId="4F2BAFF9">
            <w:pPr>
              <w:spacing w:line="336" w:lineRule="auto"/>
              <w:jc w:val="center"/>
              <w:rPr>
                <w:rFonts w:ascii="宋体" w:hAnsi="宋体" w:eastAsia="宋体" w:cs="宋体"/>
                <w:color w:val="auto"/>
                <w:szCs w:val="21"/>
                <w:highlight w:val="none"/>
                <w:u w:val="single"/>
              </w:rPr>
            </w:pPr>
          </w:p>
          <w:p w14:paraId="534BB906">
            <w:pPr>
              <w:spacing w:line="33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身份证</w:t>
            </w:r>
            <w:r>
              <w:rPr>
                <w:rFonts w:hint="eastAsia" w:ascii="宋体" w:hAnsi="宋体" w:eastAsia="宋体" w:cs="宋体"/>
                <w:color w:val="auto"/>
                <w:szCs w:val="21"/>
                <w:highlight w:val="none"/>
                <w:u w:val="single"/>
                <w:lang w:val="en-US" w:eastAsia="zh-CN"/>
              </w:rPr>
              <w:t>正反</w:t>
            </w:r>
            <w:r>
              <w:rPr>
                <w:rFonts w:hint="eastAsia" w:ascii="宋体" w:hAnsi="宋体" w:eastAsia="宋体" w:cs="宋体"/>
                <w:color w:val="auto"/>
                <w:sz w:val="24"/>
                <w:szCs w:val="24"/>
                <w:highlight w:val="none"/>
                <w:u w:val="single"/>
              </w:rPr>
              <w:t>扫描件</w:t>
            </w:r>
          </w:p>
        </w:tc>
        <w:tc>
          <w:tcPr>
            <w:tcW w:w="2741" w:type="dxa"/>
            <w:tcBorders>
              <w:top w:val="single" w:color="auto" w:sz="4" w:space="0"/>
              <w:left w:val="single" w:color="auto" w:sz="4" w:space="0"/>
              <w:bottom w:val="single" w:color="auto" w:sz="4" w:space="0"/>
              <w:right w:val="single" w:color="auto" w:sz="4" w:space="0"/>
            </w:tcBorders>
          </w:tcPr>
          <w:p w14:paraId="151D002A">
            <w:pPr>
              <w:spacing w:line="336" w:lineRule="auto"/>
              <w:jc w:val="center"/>
              <w:rPr>
                <w:rFonts w:ascii="宋体" w:hAnsi="宋体" w:eastAsia="宋体" w:cs="宋体"/>
                <w:color w:val="auto"/>
                <w:szCs w:val="21"/>
                <w:highlight w:val="none"/>
                <w:u w:val="single"/>
              </w:rPr>
            </w:pPr>
          </w:p>
          <w:p w14:paraId="28352845">
            <w:pPr>
              <w:spacing w:line="336" w:lineRule="auto"/>
              <w:jc w:val="center"/>
              <w:rPr>
                <w:rFonts w:ascii="宋体" w:hAnsi="宋体" w:eastAsia="宋体" w:cs="宋体"/>
                <w:color w:val="auto"/>
                <w:szCs w:val="21"/>
                <w:highlight w:val="none"/>
                <w:u w:val="single"/>
              </w:rPr>
            </w:pPr>
          </w:p>
          <w:p w14:paraId="77A56E3C">
            <w:pPr>
              <w:spacing w:line="336" w:lineRule="auto"/>
              <w:jc w:val="center"/>
              <w:rPr>
                <w:rFonts w:ascii="宋体" w:hAnsi="宋体" w:eastAsia="宋体" w:cs="宋体"/>
                <w:color w:val="auto"/>
                <w:szCs w:val="21"/>
                <w:highlight w:val="none"/>
                <w:u w:val="single"/>
              </w:rPr>
            </w:pPr>
          </w:p>
          <w:p w14:paraId="6CFEC4F4">
            <w:pPr>
              <w:spacing w:line="33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相片扫描件</w:t>
            </w:r>
          </w:p>
        </w:tc>
      </w:tr>
    </w:tbl>
    <w:p w14:paraId="57B4E78C">
      <w:pPr>
        <w:spacing w:line="336" w:lineRule="auto"/>
        <w:rPr>
          <w:rFonts w:ascii="宋体" w:hAnsi="宋体" w:eastAsia="宋体" w:cs="宋体"/>
          <w:color w:val="auto"/>
          <w:sz w:val="24"/>
          <w:szCs w:val="24"/>
          <w:highlight w:val="none"/>
          <w:u w:val="single"/>
        </w:rPr>
      </w:pPr>
    </w:p>
    <w:p w14:paraId="4CCC090E">
      <w:pPr>
        <w:tabs>
          <w:tab w:val="left" w:pos="720"/>
        </w:tabs>
        <w:spacing w:line="336" w:lineRule="auto"/>
        <w:ind w:firstLine="4578" w:firstLineChars="2100"/>
        <w:jc w:val="left"/>
        <w:rPr>
          <w:rFonts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投标人：</w:t>
      </w:r>
      <w:r>
        <w:rPr>
          <w:rFonts w:hint="eastAsia" w:ascii="宋体" w:hAnsi="宋体" w:eastAsia="宋体" w:cs="宋体"/>
          <w:color w:val="auto"/>
          <w:spacing w:val="4"/>
          <w:kern w:val="0"/>
          <w:szCs w:val="21"/>
          <w:highlight w:val="none"/>
          <w:u w:val="single"/>
        </w:rPr>
        <w:t xml:space="preserve">                         </w:t>
      </w:r>
      <w:r>
        <w:rPr>
          <w:rFonts w:hint="eastAsia" w:ascii="宋体" w:hAnsi="宋体" w:eastAsia="宋体" w:cs="宋体"/>
          <w:color w:val="auto"/>
          <w:spacing w:val="4"/>
          <w:kern w:val="0"/>
          <w:szCs w:val="21"/>
          <w:highlight w:val="none"/>
        </w:rPr>
        <w:t xml:space="preserve"> （盖章）</w:t>
      </w:r>
    </w:p>
    <w:p w14:paraId="54C324CD">
      <w:pPr>
        <w:tabs>
          <w:tab w:val="left" w:pos="720"/>
        </w:tabs>
        <w:spacing w:line="336" w:lineRule="auto"/>
        <w:ind w:firstLine="4578" w:firstLineChars="2100"/>
        <w:jc w:val="left"/>
        <w:rPr>
          <w:rFonts w:ascii="宋体" w:hAnsi="宋体" w:eastAsia="宋体" w:cs="宋体"/>
          <w:color w:val="auto"/>
          <w:sz w:val="24"/>
          <w:szCs w:val="24"/>
          <w:highlight w:val="none"/>
          <w:u w:val="single"/>
        </w:rPr>
      </w:pPr>
      <w:r>
        <w:rPr>
          <w:rFonts w:hint="eastAsia" w:ascii="宋体" w:hAnsi="宋体" w:eastAsia="宋体" w:cs="宋体"/>
          <w:color w:val="auto"/>
          <w:spacing w:val="4"/>
          <w:kern w:val="0"/>
          <w:szCs w:val="21"/>
          <w:highlight w:val="none"/>
        </w:rPr>
        <w:t>日期：</w:t>
      </w:r>
      <w:r>
        <w:rPr>
          <w:rFonts w:hint="eastAsia" w:ascii="宋体" w:hAnsi="宋体" w:eastAsia="宋体" w:cs="宋体"/>
          <w:color w:val="auto"/>
          <w:spacing w:val="4"/>
          <w:kern w:val="0"/>
          <w:szCs w:val="21"/>
          <w:highlight w:val="none"/>
          <w:u w:val="single"/>
        </w:rPr>
        <w:t xml:space="preserve">                                    </w:t>
      </w:r>
    </w:p>
    <w:p w14:paraId="158EC286">
      <w:pPr>
        <w:pStyle w:val="4"/>
        <w:rPr>
          <w:color w:val="auto"/>
          <w:highlight w:val="none"/>
        </w:rPr>
      </w:pPr>
      <w:r>
        <w:rPr>
          <w:rFonts w:hint="eastAsia"/>
          <w:bCs/>
          <w:color w:val="auto"/>
          <w:highlight w:val="none"/>
        </w:rPr>
        <w:br w:type="page"/>
      </w:r>
      <w:bookmarkStart w:id="72" w:name="_Toc152532527"/>
    </w:p>
    <w:p w14:paraId="18EF9DCD">
      <w:pPr>
        <w:pStyle w:val="4"/>
        <w:rPr>
          <w:color w:val="auto"/>
          <w:highlight w:val="none"/>
        </w:rPr>
      </w:pPr>
      <w:bookmarkStart w:id="73" w:name="_Toc202907313"/>
      <w:r>
        <w:rPr>
          <w:rFonts w:hint="eastAsia"/>
          <w:color w:val="auto"/>
          <w:highlight w:val="none"/>
        </w:rPr>
        <w:t>格式七：</w:t>
      </w:r>
    </w:p>
    <w:p w14:paraId="3D2F7710">
      <w:pPr>
        <w:topLinePunct/>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已竣工验收的类似工程业绩表</w:t>
      </w:r>
    </w:p>
    <w:tbl>
      <w:tblPr>
        <w:tblStyle w:val="5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0"/>
        <w:gridCol w:w="2433"/>
        <w:gridCol w:w="2433"/>
        <w:gridCol w:w="2438"/>
      </w:tblGrid>
      <w:tr w14:paraId="317D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1331" w:type="pct"/>
            <w:tcBorders>
              <w:top w:val="single" w:color="auto" w:sz="4" w:space="0"/>
              <w:left w:val="single" w:color="auto" w:sz="4" w:space="0"/>
              <w:bottom w:val="single" w:color="auto" w:sz="4" w:space="0"/>
              <w:right w:val="single" w:color="auto" w:sz="4" w:space="0"/>
            </w:tcBorders>
            <w:vAlign w:val="center"/>
          </w:tcPr>
          <w:p w14:paraId="5F03C906">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1222" w:type="pct"/>
            <w:tcBorders>
              <w:top w:val="single" w:color="auto" w:sz="4" w:space="0"/>
              <w:left w:val="single" w:color="auto" w:sz="4" w:space="0"/>
              <w:bottom w:val="single" w:color="auto" w:sz="4" w:space="0"/>
              <w:right w:val="single" w:color="auto" w:sz="4" w:space="0"/>
            </w:tcBorders>
            <w:vAlign w:val="center"/>
          </w:tcPr>
          <w:p w14:paraId="361AFAB4">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22" w:type="pct"/>
            <w:tcBorders>
              <w:top w:val="single" w:color="auto" w:sz="4" w:space="0"/>
              <w:left w:val="single" w:color="auto" w:sz="4" w:space="0"/>
              <w:bottom w:val="single" w:color="auto" w:sz="4" w:space="0"/>
              <w:right w:val="single" w:color="auto" w:sz="4" w:space="0"/>
            </w:tcBorders>
            <w:vAlign w:val="center"/>
          </w:tcPr>
          <w:p w14:paraId="6EE15E39">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23" w:type="pct"/>
            <w:tcBorders>
              <w:top w:val="single" w:color="auto" w:sz="4" w:space="0"/>
              <w:left w:val="single" w:color="auto" w:sz="4" w:space="0"/>
              <w:bottom w:val="single" w:color="auto" w:sz="4" w:space="0"/>
              <w:right w:val="single" w:color="auto" w:sz="4" w:space="0"/>
            </w:tcBorders>
            <w:vAlign w:val="center"/>
          </w:tcPr>
          <w:p w14:paraId="0317E9CE">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23D7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31" w:type="pct"/>
            <w:tcBorders>
              <w:top w:val="single" w:color="auto" w:sz="4" w:space="0"/>
              <w:left w:val="single" w:color="auto" w:sz="4" w:space="0"/>
              <w:bottom w:val="single" w:color="auto" w:sz="4" w:space="0"/>
              <w:right w:val="single" w:color="auto" w:sz="4" w:space="0"/>
            </w:tcBorders>
            <w:vAlign w:val="center"/>
          </w:tcPr>
          <w:p w14:paraId="78827C93">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工程名称</w:t>
            </w:r>
          </w:p>
        </w:tc>
        <w:tc>
          <w:tcPr>
            <w:tcW w:w="1222" w:type="pct"/>
            <w:tcBorders>
              <w:top w:val="single" w:color="auto" w:sz="4" w:space="0"/>
              <w:left w:val="single" w:color="auto" w:sz="4" w:space="0"/>
              <w:bottom w:val="single" w:color="auto" w:sz="4" w:space="0"/>
              <w:right w:val="single" w:color="auto" w:sz="4" w:space="0"/>
            </w:tcBorders>
            <w:vAlign w:val="center"/>
          </w:tcPr>
          <w:p w14:paraId="06C506F4">
            <w:pPr>
              <w:spacing w:line="276" w:lineRule="auto"/>
              <w:jc w:val="center"/>
              <w:rPr>
                <w:rFonts w:ascii="宋体" w:hAnsi="宋体" w:eastAsia="宋体" w:cs="宋体"/>
                <w:color w:val="auto"/>
                <w:szCs w:val="21"/>
                <w:highlight w:val="none"/>
              </w:rPr>
            </w:pPr>
          </w:p>
        </w:tc>
        <w:tc>
          <w:tcPr>
            <w:tcW w:w="1222" w:type="pct"/>
            <w:tcBorders>
              <w:top w:val="single" w:color="auto" w:sz="4" w:space="0"/>
              <w:left w:val="single" w:color="auto" w:sz="4" w:space="0"/>
              <w:bottom w:val="single" w:color="auto" w:sz="4" w:space="0"/>
              <w:right w:val="single" w:color="auto" w:sz="4" w:space="0"/>
            </w:tcBorders>
            <w:vAlign w:val="center"/>
          </w:tcPr>
          <w:p w14:paraId="7D23711A">
            <w:pPr>
              <w:spacing w:line="276" w:lineRule="auto"/>
              <w:jc w:val="center"/>
              <w:rPr>
                <w:rFonts w:ascii="宋体" w:hAnsi="宋体" w:eastAsia="宋体" w:cs="宋体"/>
                <w:color w:val="auto"/>
                <w:szCs w:val="21"/>
                <w:highlight w:val="none"/>
              </w:rPr>
            </w:pPr>
          </w:p>
        </w:tc>
        <w:tc>
          <w:tcPr>
            <w:tcW w:w="1223" w:type="pct"/>
            <w:tcBorders>
              <w:top w:val="single" w:color="auto" w:sz="4" w:space="0"/>
              <w:left w:val="single" w:color="auto" w:sz="4" w:space="0"/>
              <w:bottom w:val="single" w:color="auto" w:sz="4" w:space="0"/>
              <w:right w:val="single" w:color="auto" w:sz="4" w:space="0"/>
            </w:tcBorders>
            <w:vAlign w:val="center"/>
          </w:tcPr>
          <w:p w14:paraId="7EDC88A8">
            <w:pPr>
              <w:spacing w:line="276" w:lineRule="auto"/>
              <w:jc w:val="center"/>
              <w:rPr>
                <w:rFonts w:ascii="宋体" w:hAnsi="宋体" w:eastAsia="宋体" w:cs="宋体"/>
                <w:color w:val="auto"/>
                <w:szCs w:val="21"/>
                <w:highlight w:val="none"/>
              </w:rPr>
            </w:pPr>
          </w:p>
        </w:tc>
      </w:tr>
      <w:tr w14:paraId="00A2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331" w:type="pct"/>
            <w:tcBorders>
              <w:top w:val="single" w:color="auto" w:sz="4" w:space="0"/>
              <w:left w:val="single" w:color="auto" w:sz="4" w:space="0"/>
              <w:bottom w:val="single" w:color="auto" w:sz="4" w:space="0"/>
              <w:right w:val="single" w:color="auto" w:sz="4" w:space="0"/>
            </w:tcBorders>
            <w:vAlign w:val="center"/>
          </w:tcPr>
          <w:p w14:paraId="5CDBF6C4">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项目概况</w:t>
            </w:r>
          </w:p>
        </w:tc>
        <w:tc>
          <w:tcPr>
            <w:tcW w:w="1222" w:type="pct"/>
            <w:tcBorders>
              <w:top w:val="single" w:color="auto" w:sz="4" w:space="0"/>
              <w:left w:val="single" w:color="auto" w:sz="4" w:space="0"/>
              <w:bottom w:val="single" w:color="auto" w:sz="4" w:space="0"/>
              <w:right w:val="single" w:color="auto" w:sz="4" w:space="0"/>
            </w:tcBorders>
            <w:vAlign w:val="center"/>
          </w:tcPr>
          <w:p w14:paraId="04AA2B7C">
            <w:pPr>
              <w:spacing w:line="276" w:lineRule="auto"/>
              <w:jc w:val="center"/>
              <w:rPr>
                <w:rFonts w:ascii="宋体" w:hAnsi="宋体" w:eastAsia="宋体" w:cs="宋体"/>
                <w:color w:val="auto"/>
                <w:szCs w:val="21"/>
                <w:highlight w:val="none"/>
              </w:rPr>
            </w:pPr>
          </w:p>
        </w:tc>
        <w:tc>
          <w:tcPr>
            <w:tcW w:w="1222" w:type="pct"/>
            <w:tcBorders>
              <w:top w:val="single" w:color="auto" w:sz="4" w:space="0"/>
              <w:left w:val="single" w:color="auto" w:sz="4" w:space="0"/>
              <w:bottom w:val="single" w:color="auto" w:sz="4" w:space="0"/>
              <w:right w:val="single" w:color="auto" w:sz="4" w:space="0"/>
            </w:tcBorders>
            <w:vAlign w:val="center"/>
          </w:tcPr>
          <w:p w14:paraId="7CC2F709">
            <w:pPr>
              <w:spacing w:line="276" w:lineRule="auto"/>
              <w:jc w:val="center"/>
              <w:rPr>
                <w:rFonts w:ascii="宋体" w:hAnsi="宋体" w:eastAsia="宋体" w:cs="宋体"/>
                <w:color w:val="auto"/>
                <w:szCs w:val="21"/>
                <w:highlight w:val="none"/>
              </w:rPr>
            </w:pPr>
          </w:p>
        </w:tc>
        <w:tc>
          <w:tcPr>
            <w:tcW w:w="1223" w:type="pct"/>
            <w:tcBorders>
              <w:top w:val="single" w:color="auto" w:sz="4" w:space="0"/>
              <w:left w:val="single" w:color="auto" w:sz="4" w:space="0"/>
              <w:bottom w:val="single" w:color="auto" w:sz="4" w:space="0"/>
              <w:right w:val="single" w:color="auto" w:sz="4" w:space="0"/>
            </w:tcBorders>
            <w:vAlign w:val="center"/>
          </w:tcPr>
          <w:p w14:paraId="57B1222A">
            <w:pPr>
              <w:spacing w:line="276" w:lineRule="auto"/>
              <w:jc w:val="center"/>
              <w:rPr>
                <w:rFonts w:ascii="宋体" w:hAnsi="宋体" w:eastAsia="宋体" w:cs="宋体"/>
                <w:color w:val="auto"/>
                <w:szCs w:val="21"/>
                <w:highlight w:val="none"/>
              </w:rPr>
            </w:pPr>
          </w:p>
        </w:tc>
      </w:tr>
      <w:tr w14:paraId="3F9F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31" w:type="pct"/>
            <w:tcBorders>
              <w:top w:val="single" w:color="auto" w:sz="4" w:space="0"/>
              <w:left w:val="single" w:color="auto" w:sz="4" w:space="0"/>
              <w:bottom w:val="single" w:color="auto" w:sz="4" w:space="0"/>
              <w:right w:val="single" w:color="auto" w:sz="4" w:space="0"/>
            </w:tcBorders>
            <w:vAlign w:val="center"/>
          </w:tcPr>
          <w:p w14:paraId="0C17B9BD">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工程对应的企业资质</w:t>
            </w:r>
          </w:p>
        </w:tc>
        <w:tc>
          <w:tcPr>
            <w:tcW w:w="1222" w:type="pct"/>
            <w:tcBorders>
              <w:top w:val="single" w:color="auto" w:sz="4" w:space="0"/>
              <w:left w:val="single" w:color="auto" w:sz="4" w:space="0"/>
              <w:bottom w:val="single" w:color="auto" w:sz="4" w:space="0"/>
              <w:right w:val="single" w:color="auto" w:sz="4" w:space="0"/>
            </w:tcBorders>
            <w:vAlign w:val="center"/>
          </w:tcPr>
          <w:p w14:paraId="0721A59D">
            <w:pPr>
              <w:spacing w:line="276" w:lineRule="auto"/>
              <w:jc w:val="center"/>
              <w:rPr>
                <w:rFonts w:ascii="宋体" w:hAnsi="宋体" w:eastAsia="宋体" w:cs="宋体"/>
                <w:color w:val="auto"/>
                <w:szCs w:val="21"/>
                <w:highlight w:val="none"/>
              </w:rPr>
            </w:pPr>
          </w:p>
        </w:tc>
        <w:tc>
          <w:tcPr>
            <w:tcW w:w="1222" w:type="pct"/>
            <w:tcBorders>
              <w:top w:val="single" w:color="auto" w:sz="4" w:space="0"/>
              <w:left w:val="single" w:color="auto" w:sz="4" w:space="0"/>
              <w:bottom w:val="single" w:color="auto" w:sz="4" w:space="0"/>
              <w:right w:val="single" w:color="auto" w:sz="4" w:space="0"/>
            </w:tcBorders>
            <w:vAlign w:val="center"/>
          </w:tcPr>
          <w:p w14:paraId="32C5248A">
            <w:pPr>
              <w:spacing w:line="276" w:lineRule="auto"/>
              <w:jc w:val="center"/>
              <w:rPr>
                <w:rFonts w:ascii="宋体" w:hAnsi="宋体" w:eastAsia="宋体" w:cs="宋体"/>
                <w:color w:val="auto"/>
                <w:szCs w:val="21"/>
                <w:highlight w:val="none"/>
              </w:rPr>
            </w:pPr>
          </w:p>
        </w:tc>
        <w:tc>
          <w:tcPr>
            <w:tcW w:w="1223" w:type="pct"/>
            <w:tcBorders>
              <w:top w:val="single" w:color="auto" w:sz="4" w:space="0"/>
              <w:left w:val="single" w:color="auto" w:sz="4" w:space="0"/>
              <w:bottom w:val="single" w:color="auto" w:sz="4" w:space="0"/>
              <w:right w:val="single" w:color="auto" w:sz="4" w:space="0"/>
            </w:tcBorders>
            <w:vAlign w:val="center"/>
          </w:tcPr>
          <w:p w14:paraId="58745D9E">
            <w:pPr>
              <w:spacing w:line="276" w:lineRule="auto"/>
              <w:jc w:val="center"/>
              <w:rPr>
                <w:rFonts w:ascii="宋体" w:hAnsi="宋体" w:eastAsia="宋体" w:cs="宋体"/>
                <w:color w:val="auto"/>
                <w:szCs w:val="21"/>
                <w:highlight w:val="none"/>
              </w:rPr>
            </w:pPr>
          </w:p>
        </w:tc>
      </w:tr>
      <w:tr w14:paraId="197E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1331" w:type="pct"/>
            <w:tcBorders>
              <w:top w:val="single" w:color="auto" w:sz="4" w:space="0"/>
              <w:left w:val="single" w:color="auto" w:sz="4" w:space="0"/>
              <w:right w:val="single" w:color="auto" w:sz="4" w:space="0"/>
            </w:tcBorders>
            <w:vAlign w:val="center"/>
          </w:tcPr>
          <w:p w14:paraId="3853CAA3">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中标金额或合同金额 (人民币：万元)</w:t>
            </w:r>
          </w:p>
        </w:tc>
        <w:tc>
          <w:tcPr>
            <w:tcW w:w="1222" w:type="pct"/>
            <w:tcBorders>
              <w:top w:val="single" w:color="auto" w:sz="4" w:space="0"/>
              <w:left w:val="single" w:color="auto" w:sz="4" w:space="0"/>
              <w:right w:val="single" w:color="auto" w:sz="4" w:space="0"/>
            </w:tcBorders>
            <w:vAlign w:val="center"/>
          </w:tcPr>
          <w:p w14:paraId="7423FE51">
            <w:pPr>
              <w:spacing w:line="276" w:lineRule="auto"/>
              <w:jc w:val="center"/>
              <w:rPr>
                <w:rFonts w:ascii="宋体" w:hAnsi="宋体" w:eastAsia="宋体" w:cs="宋体"/>
                <w:color w:val="auto"/>
                <w:szCs w:val="21"/>
                <w:highlight w:val="none"/>
              </w:rPr>
            </w:pPr>
          </w:p>
        </w:tc>
        <w:tc>
          <w:tcPr>
            <w:tcW w:w="1222" w:type="pct"/>
            <w:tcBorders>
              <w:top w:val="single" w:color="auto" w:sz="4" w:space="0"/>
              <w:left w:val="single" w:color="auto" w:sz="4" w:space="0"/>
              <w:right w:val="single" w:color="auto" w:sz="4" w:space="0"/>
            </w:tcBorders>
            <w:vAlign w:val="center"/>
          </w:tcPr>
          <w:p w14:paraId="6FF0F72E">
            <w:pPr>
              <w:spacing w:line="276" w:lineRule="auto"/>
              <w:jc w:val="center"/>
              <w:rPr>
                <w:rFonts w:ascii="宋体" w:hAnsi="宋体" w:eastAsia="宋体" w:cs="宋体"/>
                <w:color w:val="auto"/>
                <w:szCs w:val="21"/>
                <w:highlight w:val="none"/>
              </w:rPr>
            </w:pPr>
          </w:p>
        </w:tc>
        <w:tc>
          <w:tcPr>
            <w:tcW w:w="1223" w:type="pct"/>
            <w:tcBorders>
              <w:top w:val="single" w:color="auto" w:sz="4" w:space="0"/>
              <w:left w:val="single" w:color="auto" w:sz="4" w:space="0"/>
              <w:right w:val="single" w:color="auto" w:sz="4" w:space="0"/>
            </w:tcBorders>
            <w:vAlign w:val="center"/>
          </w:tcPr>
          <w:p w14:paraId="46DDC680">
            <w:pPr>
              <w:spacing w:line="276" w:lineRule="auto"/>
              <w:jc w:val="center"/>
              <w:rPr>
                <w:rFonts w:ascii="宋体" w:hAnsi="宋体" w:eastAsia="宋体" w:cs="宋体"/>
                <w:color w:val="auto"/>
                <w:szCs w:val="21"/>
                <w:highlight w:val="none"/>
              </w:rPr>
            </w:pPr>
          </w:p>
        </w:tc>
      </w:tr>
      <w:tr w14:paraId="1A2C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31" w:type="pct"/>
            <w:tcBorders>
              <w:top w:val="single" w:color="auto" w:sz="4" w:space="0"/>
              <w:left w:val="single" w:color="auto" w:sz="4" w:space="0"/>
              <w:bottom w:val="single" w:color="auto" w:sz="4" w:space="0"/>
              <w:right w:val="single" w:color="auto" w:sz="4" w:space="0"/>
            </w:tcBorders>
            <w:vAlign w:val="center"/>
          </w:tcPr>
          <w:p w14:paraId="6816C035">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竣工日期</w:t>
            </w:r>
          </w:p>
        </w:tc>
        <w:tc>
          <w:tcPr>
            <w:tcW w:w="1222" w:type="pct"/>
            <w:tcBorders>
              <w:top w:val="single" w:color="auto" w:sz="4" w:space="0"/>
              <w:left w:val="single" w:color="auto" w:sz="4" w:space="0"/>
              <w:bottom w:val="single" w:color="auto" w:sz="4" w:space="0"/>
              <w:right w:val="single" w:color="auto" w:sz="4" w:space="0"/>
            </w:tcBorders>
            <w:vAlign w:val="center"/>
          </w:tcPr>
          <w:p w14:paraId="696C9454">
            <w:pPr>
              <w:spacing w:line="276" w:lineRule="auto"/>
              <w:jc w:val="center"/>
              <w:rPr>
                <w:rFonts w:ascii="宋体" w:hAnsi="宋体" w:eastAsia="宋体" w:cs="宋体"/>
                <w:color w:val="auto"/>
                <w:szCs w:val="21"/>
                <w:highlight w:val="none"/>
              </w:rPr>
            </w:pPr>
          </w:p>
        </w:tc>
        <w:tc>
          <w:tcPr>
            <w:tcW w:w="1222" w:type="pct"/>
            <w:tcBorders>
              <w:top w:val="single" w:color="auto" w:sz="4" w:space="0"/>
              <w:left w:val="single" w:color="auto" w:sz="4" w:space="0"/>
              <w:bottom w:val="single" w:color="auto" w:sz="4" w:space="0"/>
              <w:right w:val="single" w:color="auto" w:sz="4" w:space="0"/>
            </w:tcBorders>
            <w:vAlign w:val="center"/>
          </w:tcPr>
          <w:p w14:paraId="017D1E5F">
            <w:pPr>
              <w:spacing w:line="276" w:lineRule="auto"/>
              <w:jc w:val="center"/>
              <w:rPr>
                <w:rFonts w:ascii="宋体" w:hAnsi="宋体" w:eastAsia="宋体" w:cs="宋体"/>
                <w:color w:val="auto"/>
                <w:szCs w:val="21"/>
                <w:highlight w:val="none"/>
              </w:rPr>
            </w:pPr>
          </w:p>
        </w:tc>
        <w:tc>
          <w:tcPr>
            <w:tcW w:w="1223" w:type="pct"/>
            <w:tcBorders>
              <w:top w:val="single" w:color="auto" w:sz="4" w:space="0"/>
              <w:left w:val="single" w:color="auto" w:sz="4" w:space="0"/>
              <w:bottom w:val="single" w:color="auto" w:sz="4" w:space="0"/>
              <w:right w:val="single" w:color="auto" w:sz="4" w:space="0"/>
            </w:tcBorders>
            <w:vAlign w:val="center"/>
          </w:tcPr>
          <w:p w14:paraId="488A5A72">
            <w:pPr>
              <w:spacing w:line="276" w:lineRule="auto"/>
              <w:jc w:val="center"/>
              <w:rPr>
                <w:rFonts w:ascii="宋体" w:hAnsi="宋体" w:eastAsia="宋体" w:cs="宋体"/>
                <w:color w:val="auto"/>
                <w:szCs w:val="21"/>
                <w:highlight w:val="none"/>
              </w:rPr>
            </w:pPr>
          </w:p>
        </w:tc>
      </w:tr>
      <w:tr w14:paraId="39D3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31" w:type="pct"/>
            <w:tcBorders>
              <w:top w:val="single" w:color="auto" w:sz="4" w:space="0"/>
              <w:left w:val="single" w:color="auto" w:sz="4" w:space="0"/>
              <w:bottom w:val="single" w:color="auto" w:sz="4" w:space="0"/>
              <w:right w:val="single" w:color="auto" w:sz="4" w:space="0"/>
            </w:tcBorders>
            <w:vAlign w:val="center"/>
          </w:tcPr>
          <w:p w14:paraId="23CB07BD">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项目经理姓名</w:t>
            </w:r>
          </w:p>
        </w:tc>
        <w:tc>
          <w:tcPr>
            <w:tcW w:w="1222" w:type="pct"/>
            <w:tcBorders>
              <w:top w:val="single" w:color="auto" w:sz="4" w:space="0"/>
              <w:left w:val="single" w:color="auto" w:sz="4" w:space="0"/>
              <w:bottom w:val="single" w:color="auto" w:sz="4" w:space="0"/>
              <w:right w:val="single" w:color="auto" w:sz="4" w:space="0"/>
            </w:tcBorders>
            <w:vAlign w:val="center"/>
          </w:tcPr>
          <w:p w14:paraId="0A02D735">
            <w:pPr>
              <w:spacing w:line="276" w:lineRule="auto"/>
              <w:jc w:val="center"/>
              <w:rPr>
                <w:rFonts w:ascii="宋体" w:hAnsi="宋体" w:eastAsia="宋体" w:cs="宋体"/>
                <w:color w:val="auto"/>
                <w:szCs w:val="21"/>
                <w:highlight w:val="none"/>
              </w:rPr>
            </w:pPr>
          </w:p>
        </w:tc>
        <w:tc>
          <w:tcPr>
            <w:tcW w:w="1222" w:type="pct"/>
            <w:tcBorders>
              <w:top w:val="single" w:color="auto" w:sz="4" w:space="0"/>
              <w:left w:val="single" w:color="auto" w:sz="4" w:space="0"/>
              <w:bottom w:val="single" w:color="auto" w:sz="4" w:space="0"/>
              <w:right w:val="single" w:color="auto" w:sz="4" w:space="0"/>
            </w:tcBorders>
            <w:vAlign w:val="center"/>
          </w:tcPr>
          <w:p w14:paraId="2C3B8648">
            <w:pPr>
              <w:spacing w:line="276" w:lineRule="auto"/>
              <w:jc w:val="center"/>
              <w:rPr>
                <w:rFonts w:ascii="宋体" w:hAnsi="宋体" w:eastAsia="宋体" w:cs="宋体"/>
                <w:color w:val="auto"/>
                <w:szCs w:val="21"/>
                <w:highlight w:val="none"/>
              </w:rPr>
            </w:pPr>
          </w:p>
        </w:tc>
        <w:tc>
          <w:tcPr>
            <w:tcW w:w="1223" w:type="pct"/>
            <w:tcBorders>
              <w:top w:val="single" w:color="auto" w:sz="4" w:space="0"/>
              <w:left w:val="single" w:color="auto" w:sz="4" w:space="0"/>
              <w:bottom w:val="single" w:color="auto" w:sz="4" w:space="0"/>
              <w:right w:val="single" w:color="auto" w:sz="4" w:space="0"/>
            </w:tcBorders>
            <w:vAlign w:val="center"/>
          </w:tcPr>
          <w:p w14:paraId="591269DC">
            <w:pPr>
              <w:spacing w:line="276" w:lineRule="auto"/>
              <w:jc w:val="center"/>
              <w:rPr>
                <w:rFonts w:ascii="宋体" w:hAnsi="宋体" w:eastAsia="宋体" w:cs="宋体"/>
                <w:color w:val="auto"/>
                <w:szCs w:val="21"/>
                <w:highlight w:val="none"/>
              </w:rPr>
            </w:pPr>
          </w:p>
        </w:tc>
      </w:tr>
      <w:tr w14:paraId="1186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31" w:type="pct"/>
            <w:tcBorders>
              <w:top w:val="single" w:color="auto" w:sz="4" w:space="0"/>
              <w:left w:val="single" w:color="auto" w:sz="4" w:space="0"/>
              <w:bottom w:val="single" w:color="auto" w:sz="4" w:space="0"/>
              <w:right w:val="single" w:color="auto" w:sz="4" w:space="0"/>
            </w:tcBorders>
            <w:vAlign w:val="center"/>
          </w:tcPr>
          <w:p w14:paraId="397532F7">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项目业主名称</w:t>
            </w:r>
          </w:p>
        </w:tc>
        <w:tc>
          <w:tcPr>
            <w:tcW w:w="1222" w:type="pct"/>
            <w:tcBorders>
              <w:top w:val="single" w:color="auto" w:sz="4" w:space="0"/>
              <w:left w:val="single" w:color="auto" w:sz="4" w:space="0"/>
              <w:bottom w:val="single" w:color="auto" w:sz="4" w:space="0"/>
              <w:right w:val="single" w:color="auto" w:sz="4" w:space="0"/>
            </w:tcBorders>
            <w:vAlign w:val="center"/>
          </w:tcPr>
          <w:p w14:paraId="205F23FB">
            <w:pPr>
              <w:spacing w:line="276" w:lineRule="auto"/>
              <w:jc w:val="center"/>
              <w:rPr>
                <w:rFonts w:ascii="宋体" w:hAnsi="宋体" w:eastAsia="宋体" w:cs="宋体"/>
                <w:color w:val="auto"/>
                <w:szCs w:val="21"/>
                <w:highlight w:val="none"/>
              </w:rPr>
            </w:pPr>
          </w:p>
        </w:tc>
        <w:tc>
          <w:tcPr>
            <w:tcW w:w="1222" w:type="pct"/>
            <w:tcBorders>
              <w:top w:val="single" w:color="auto" w:sz="4" w:space="0"/>
              <w:left w:val="single" w:color="auto" w:sz="4" w:space="0"/>
              <w:bottom w:val="single" w:color="auto" w:sz="4" w:space="0"/>
              <w:right w:val="single" w:color="auto" w:sz="4" w:space="0"/>
            </w:tcBorders>
            <w:vAlign w:val="center"/>
          </w:tcPr>
          <w:p w14:paraId="19589DB8">
            <w:pPr>
              <w:spacing w:line="276" w:lineRule="auto"/>
              <w:jc w:val="center"/>
              <w:rPr>
                <w:rFonts w:ascii="宋体" w:hAnsi="宋体" w:eastAsia="宋体" w:cs="宋体"/>
                <w:color w:val="auto"/>
                <w:szCs w:val="21"/>
                <w:highlight w:val="none"/>
              </w:rPr>
            </w:pPr>
          </w:p>
        </w:tc>
        <w:tc>
          <w:tcPr>
            <w:tcW w:w="1223" w:type="pct"/>
            <w:tcBorders>
              <w:top w:val="single" w:color="auto" w:sz="4" w:space="0"/>
              <w:left w:val="single" w:color="auto" w:sz="4" w:space="0"/>
              <w:bottom w:val="single" w:color="auto" w:sz="4" w:space="0"/>
              <w:right w:val="single" w:color="auto" w:sz="4" w:space="0"/>
            </w:tcBorders>
            <w:vAlign w:val="center"/>
          </w:tcPr>
          <w:p w14:paraId="1D04CC32">
            <w:pPr>
              <w:spacing w:line="276" w:lineRule="auto"/>
              <w:jc w:val="center"/>
              <w:rPr>
                <w:rFonts w:ascii="宋体" w:hAnsi="宋体" w:eastAsia="宋体" w:cs="宋体"/>
                <w:color w:val="auto"/>
                <w:szCs w:val="21"/>
                <w:highlight w:val="none"/>
              </w:rPr>
            </w:pPr>
          </w:p>
        </w:tc>
      </w:tr>
      <w:tr w14:paraId="381B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331" w:type="pct"/>
            <w:tcBorders>
              <w:top w:val="single" w:color="auto" w:sz="4" w:space="0"/>
              <w:left w:val="single" w:color="auto" w:sz="4" w:space="0"/>
              <w:bottom w:val="single" w:color="auto" w:sz="4" w:space="0"/>
              <w:right w:val="single" w:color="auto" w:sz="4" w:space="0"/>
            </w:tcBorders>
            <w:vAlign w:val="center"/>
          </w:tcPr>
          <w:p w14:paraId="6C07A7B3">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竣工质量评定等级</w:t>
            </w:r>
          </w:p>
        </w:tc>
        <w:tc>
          <w:tcPr>
            <w:tcW w:w="1222" w:type="pct"/>
            <w:tcBorders>
              <w:top w:val="single" w:color="auto" w:sz="4" w:space="0"/>
              <w:left w:val="single" w:color="auto" w:sz="4" w:space="0"/>
              <w:bottom w:val="single" w:color="auto" w:sz="4" w:space="0"/>
              <w:right w:val="single" w:color="auto" w:sz="4" w:space="0"/>
            </w:tcBorders>
            <w:vAlign w:val="center"/>
          </w:tcPr>
          <w:p w14:paraId="05313D77">
            <w:pPr>
              <w:spacing w:line="276" w:lineRule="auto"/>
              <w:jc w:val="center"/>
              <w:rPr>
                <w:rFonts w:ascii="宋体" w:hAnsi="宋体" w:eastAsia="宋体" w:cs="宋体"/>
                <w:color w:val="auto"/>
                <w:szCs w:val="21"/>
                <w:highlight w:val="none"/>
              </w:rPr>
            </w:pPr>
          </w:p>
        </w:tc>
        <w:tc>
          <w:tcPr>
            <w:tcW w:w="1222" w:type="pct"/>
            <w:tcBorders>
              <w:top w:val="single" w:color="auto" w:sz="4" w:space="0"/>
              <w:left w:val="single" w:color="auto" w:sz="4" w:space="0"/>
              <w:bottom w:val="single" w:color="auto" w:sz="4" w:space="0"/>
              <w:right w:val="single" w:color="auto" w:sz="4" w:space="0"/>
            </w:tcBorders>
            <w:vAlign w:val="center"/>
          </w:tcPr>
          <w:p w14:paraId="51C4B520">
            <w:pPr>
              <w:spacing w:line="276" w:lineRule="auto"/>
              <w:jc w:val="center"/>
              <w:rPr>
                <w:rFonts w:ascii="宋体" w:hAnsi="宋体" w:eastAsia="宋体" w:cs="宋体"/>
                <w:color w:val="auto"/>
                <w:szCs w:val="21"/>
                <w:highlight w:val="none"/>
              </w:rPr>
            </w:pPr>
          </w:p>
        </w:tc>
        <w:tc>
          <w:tcPr>
            <w:tcW w:w="1223" w:type="pct"/>
            <w:tcBorders>
              <w:top w:val="single" w:color="auto" w:sz="4" w:space="0"/>
              <w:left w:val="single" w:color="auto" w:sz="4" w:space="0"/>
              <w:bottom w:val="single" w:color="auto" w:sz="4" w:space="0"/>
              <w:right w:val="single" w:color="auto" w:sz="4" w:space="0"/>
            </w:tcBorders>
            <w:vAlign w:val="center"/>
          </w:tcPr>
          <w:p w14:paraId="2E717441">
            <w:pPr>
              <w:spacing w:line="276" w:lineRule="auto"/>
              <w:jc w:val="center"/>
              <w:rPr>
                <w:rFonts w:ascii="宋体" w:hAnsi="宋体" w:eastAsia="宋体" w:cs="宋体"/>
                <w:color w:val="auto"/>
                <w:szCs w:val="21"/>
                <w:highlight w:val="none"/>
              </w:rPr>
            </w:pPr>
          </w:p>
        </w:tc>
      </w:tr>
      <w:tr w14:paraId="0845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331" w:type="pct"/>
            <w:tcBorders>
              <w:top w:val="single" w:color="auto" w:sz="4" w:space="0"/>
              <w:left w:val="single" w:color="auto" w:sz="4" w:space="0"/>
              <w:bottom w:val="single" w:color="auto" w:sz="4" w:space="0"/>
              <w:right w:val="single" w:color="auto" w:sz="4" w:space="0"/>
            </w:tcBorders>
            <w:vAlign w:val="center"/>
          </w:tcPr>
          <w:p w14:paraId="7F815A8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类似工程业绩证明资料</w:t>
            </w:r>
            <w:r>
              <w:rPr>
                <w:rFonts w:hint="eastAsia" w:ascii="宋体" w:hAnsi="宋体" w:eastAsia="宋体" w:cs="宋体"/>
                <w:color w:val="auto"/>
                <w:sz w:val="21"/>
                <w:szCs w:val="21"/>
                <w:highlight w:val="none"/>
              </w:rPr>
              <w:t>在投标文件的位置</w:t>
            </w:r>
          </w:p>
        </w:tc>
        <w:tc>
          <w:tcPr>
            <w:tcW w:w="3668" w:type="pct"/>
            <w:gridSpan w:val="3"/>
            <w:tcBorders>
              <w:top w:val="single" w:color="auto" w:sz="4" w:space="0"/>
              <w:left w:val="single" w:color="auto" w:sz="4" w:space="0"/>
              <w:bottom w:val="single" w:color="auto" w:sz="4" w:space="0"/>
              <w:right w:val="single" w:color="auto" w:sz="4" w:space="0"/>
            </w:tcBorders>
            <w:vAlign w:val="center"/>
          </w:tcPr>
          <w:p w14:paraId="5AEEFF1E">
            <w:pPr>
              <w:rPr>
                <w:rFonts w:ascii="宋体" w:hAnsi="宋体" w:eastAsia="宋体" w:cs="宋体"/>
                <w:color w:val="auto"/>
                <w:szCs w:val="21"/>
                <w:highlight w:val="none"/>
              </w:rPr>
            </w:pPr>
            <w:r>
              <w:rPr>
                <w:rFonts w:hint="eastAsia" w:ascii="宋体" w:hAnsi="宋体" w:eastAsia="宋体" w:cs="宋体"/>
                <w:color w:val="auto"/>
                <w:sz w:val="21"/>
                <w:szCs w:val="21"/>
                <w:highlight w:val="none"/>
              </w:rPr>
              <w:t>例如：投标文件第X页至第X页</w:t>
            </w:r>
          </w:p>
        </w:tc>
      </w:tr>
    </w:tbl>
    <w:p w14:paraId="4C279B74">
      <w:pPr>
        <w:autoSpaceDE w:val="0"/>
        <w:autoSpaceDN w:val="0"/>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注：由投标人按评审要求填写本表，并按《技术标详细审查评分表》要求附相关证明材料。</w:t>
      </w:r>
    </w:p>
    <w:p w14:paraId="31C4DEBE">
      <w:pPr>
        <w:tabs>
          <w:tab w:val="left" w:pos="720"/>
        </w:tabs>
        <w:spacing w:line="336" w:lineRule="auto"/>
        <w:ind w:firstLine="4578" w:firstLineChars="2100"/>
        <w:jc w:val="left"/>
        <w:rPr>
          <w:rFonts w:ascii="宋体" w:hAnsi="宋体" w:eastAsia="宋体" w:cs="宋体"/>
          <w:color w:val="auto"/>
          <w:spacing w:val="4"/>
          <w:kern w:val="0"/>
          <w:szCs w:val="21"/>
          <w:highlight w:val="none"/>
        </w:rPr>
      </w:pPr>
    </w:p>
    <w:p w14:paraId="3EF08930">
      <w:pPr>
        <w:tabs>
          <w:tab w:val="left" w:pos="720"/>
        </w:tabs>
        <w:spacing w:line="336" w:lineRule="auto"/>
        <w:ind w:firstLine="4578" w:firstLineChars="2100"/>
        <w:jc w:val="left"/>
        <w:rPr>
          <w:rFonts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投标人：</w:t>
      </w:r>
      <w:r>
        <w:rPr>
          <w:rFonts w:hint="eastAsia" w:ascii="宋体" w:hAnsi="宋体" w:eastAsia="宋体" w:cs="宋体"/>
          <w:color w:val="auto"/>
          <w:spacing w:val="4"/>
          <w:kern w:val="0"/>
          <w:szCs w:val="21"/>
          <w:highlight w:val="none"/>
          <w:u w:val="single"/>
        </w:rPr>
        <w:t xml:space="preserve">                         </w:t>
      </w:r>
      <w:r>
        <w:rPr>
          <w:rFonts w:hint="eastAsia" w:ascii="宋体" w:hAnsi="宋体" w:eastAsia="宋体" w:cs="宋体"/>
          <w:color w:val="auto"/>
          <w:spacing w:val="4"/>
          <w:kern w:val="0"/>
          <w:szCs w:val="21"/>
          <w:highlight w:val="none"/>
        </w:rPr>
        <w:t xml:space="preserve"> （盖章）</w:t>
      </w:r>
    </w:p>
    <w:p w14:paraId="3A72BBE3">
      <w:pPr>
        <w:topLinePunct/>
        <w:spacing w:line="276" w:lineRule="auto"/>
        <w:ind w:firstLine="4578" w:firstLineChars="2100"/>
        <w:rPr>
          <w:rFonts w:hint="eastAsia" w:ascii="宋体" w:hAnsi="宋体" w:eastAsia="宋体" w:cs="宋体"/>
          <w:color w:val="auto"/>
          <w:spacing w:val="4"/>
          <w:kern w:val="0"/>
          <w:szCs w:val="21"/>
          <w:highlight w:val="none"/>
          <w:u w:val="single"/>
        </w:rPr>
        <w:sectPr>
          <w:headerReference r:id="rId24" w:type="first"/>
          <w:footerReference r:id="rId26" w:type="first"/>
          <w:headerReference r:id="rId23" w:type="default"/>
          <w:footerReference r:id="rId25" w:type="default"/>
          <w:pgSz w:w="11906" w:h="16838"/>
          <w:pgMar w:top="1440" w:right="1080" w:bottom="1440" w:left="1080" w:header="850" w:footer="992" w:gutter="0"/>
          <w:pgNumType w:fmt="decimal"/>
          <w:cols w:space="720" w:num="1"/>
          <w:titlePg/>
          <w:docGrid w:type="lines" w:linePitch="318" w:charSpace="0"/>
        </w:sectPr>
      </w:pPr>
      <w:r>
        <w:rPr>
          <w:rFonts w:hint="eastAsia" w:ascii="宋体" w:hAnsi="宋体" w:eastAsia="宋体" w:cs="宋体"/>
          <w:color w:val="auto"/>
          <w:spacing w:val="4"/>
          <w:kern w:val="0"/>
          <w:szCs w:val="21"/>
          <w:highlight w:val="none"/>
        </w:rPr>
        <w:t>日期：</w:t>
      </w:r>
      <w:r>
        <w:rPr>
          <w:rFonts w:hint="eastAsia" w:ascii="宋体" w:hAnsi="宋体" w:eastAsia="宋体" w:cs="宋体"/>
          <w:color w:val="auto"/>
          <w:spacing w:val="4"/>
          <w:kern w:val="0"/>
          <w:szCs w:val="21"/>
          <w:highlight w:val="none"/>
          <w:u w:val="single"/>
        </w:rPr>
        <w:t xml:space="preserve">                                    </w:t>
      </w:r>
    </w:p>
    <w:p w14:paraId="5F94D9A1">
      <w:pPr>
        <w:pStyle w:val="4"/>
        <w:rPr>
          <w:color w:val="auto"/>
          <w:highlight w:val="none"/>
        </w:rPr>
      </w:pPr>
      <w:r>
        <w:rPr>
          <w:rFonts w:hint="eastAsia"/>
          <w:color w:val="auto"/>
          <w:highlight w:val="none"/>
        </w:rPr>
        <w:t>格式</w:t>
      </w:r>
      <w:r>
        <w:rPr>
          <w:rFonts w:hint="eastAsia"/>
          <w:color w:val="auto"/>
          <w:highlight w:val="none"/>
          <w:lang w:val="en-US" w:eastAsia="zh-CN"/>
        </w:rPr>
        <w:t>八</w:t>
      </w:r>
      <w:r>
        <w:rPr>
          <w:rFonts w:hint="eastAsia"/>
          <w:color w:val="auto"/>
          <w:highlight w:val="none"/>
        </w:rPr>
        <w:t>：</w:t>
      </w:r>
    </w:p>
    <w:p w14:paraId="1BFABFAC">
      <w:pPr>
        <w:pStyle w:val="4"/>
        <w:widowControl/>
        <w:jc w:val="left"/>
        <w:rPr>
          <w:rFonts w:ascii="宋体" w:hAnsi="宋体" w:eastAsia="宋体" w:cs="宋体"/>
          <w:b/>
          <w:color w:val="auto"/>
          <w:kern w:val="0"/>
          <w:sz w:val="20"/>
          <w:szCs w:val="20"/>
          <w:highlight w:val="none"/>
          <w:lang w:eastAsia="zh-Hans"/>
        </w:rPr>
      </w:pPr>
      <w:r>
        <w:rPr>
          <w:rFonts w:ascii="宋体" w:hAnsi="宋体" w:eastAsia="宋体" w:cs="宋体"/>
          <w:b/>
          <w:color w:val="auto"/>
          <w:kern w:val="0"/>
          <w:sz w:val="20"/>
          <w:szCs w:val="20"/>
          <w:highlight w:val="none"/>
          <w:lang w:eastAsia="zh-Hans"/>
        </w:rPr>
        <w:t>（以下格式文件由</w:t>
      </w:r>
      <w:r>
        <w:rPr>
          <w:rFonts w:hint="eastAsia" w:ascii="宋体" w:hAnsi="宋体" w:eastAsia="宋体" w:cs="宋体"/>
          <w:b/>
          <w:color w:val="auto"/>
          <w:kern w:val="0"/>
          <w:sz w:val="20"/>
          <w:szCs w:val="20"/>
          <w:highlight w:val="none"/>
          <w:lang w:eastAsia="zh-Hans"/>
        </w:rPr>
        <w:t>投标人</w:t>
      </w:r>
      <w:r>
        <w:rPr>
          <w:rFonts w:ascii="宋体" w:hAnsi="宋体" w:eastAsia="宋体" w:cs="宋体"/>
          <w:b/>
          <w:color w:val="auto"/>
          <w:kern w:val="0"/>
          <w:sz w:val="20"/>
          <w:szCs w:val="20"/>
          <w:highlight w:val="none"/>
          <w:lang w:eastAsia="zh-Hans"/>
        </w:rPr>
        <w:t>根据需要选用）</w:t>
      </w:r>
    </w:p>
    <w:p w14:paraId="5D4E9D9D">
      <w:pPr>
        <w:topLinePunct/>
        <w:spacing w:line="360" w:lineRule="auto"/>
        <w:jc w:val="center"/>
        <w:rPr>
          <w:rFonts w:ascii="宋体" w:hAnsi="宋体" w:eastAsia="宋体" w:cs="宋体"/>
          <w:b/>
          <w:color w:val="auto"/>
          <w:sz w:val="36"/>
          <w:szCs w:val="36"/>
          <w:highlight w:val="none"/>
        </w:rPr>
      </w:pPr>
      <w:r>
        <w:rPr>
          <w:rFonts w:ascii="宋体" w:hAnsi="宋体" w:eastAsia="宋体" w:cs="宋体"/>
          <w:b/>
          <w:color w:val="auto"/>
          <w:sz w:val="36"/>
          <w:szCs w:val="36"/>
          <w:highlight w:val="none"/>
        </w:rPr>
        <w:t>中小企业声明函</w:t>
      </w:r>
    </w:p>
    <w:p w14:paraId="4A3AD27A">
      <w:pPr>
        <w:widowControl/>
        <w:spacing w:line="360" w:lineRule="auto"/>
        <w:ind w:firstLine="480"/>
        <w:jc w:val="left"/>
        <w:rPr>
          <w:rFonts w:ascii="宋体" w:hAnsi="宋体" w:eastAsia="宋体" w:cs="宋体"/>
          <w:color w:val="auto"/>
          <w:kern w:val="0"/>
          <w:szCs w:val="21"/>
          <w:highlight w:val="none"/>
          <w:lang w:eastAsia="zh-Hans"/>
        </w:rPr>
      </w:pPr>
      <w:r>
        <w:rPr>
          <w:rFonts w:ascii="宋体" w:hAnsi="宋体" w:eastAsia="宋体" w:cs="宋体"/>
          <w:color w:val="auto"/>
          <w:kern w:val="0"/>
          <w:szCs w:val="21"/>
          <w:highlight w:val="none"/>
          <w:lang w:eastAsia="zh-Hans"/>
        </w:rPr>
        <w:t>本公司（联合体）郑重声明，根据《政府采购促进中小企业发展管理办法》（财库﹝2020﹞46 号）的规定，本公司（联合体）参加</w:t>
      </w:r>
      <w:r>
        <w:rPr>
          <w:rFonts w:ascii="宋体" w:hAnsi="宋体" w:eastAsia="宋体" w:cs="宋体"/>
          <w:color w:val="auto"/>
          <w:kern w:val="0"/>
          <w:szCs w:val="21"/>
          <w:highlight w:val="none"/>
          <w:u w:val="single"/>
          <w:lang w:eastAsia="zh-Hans"/>
        </w:rPr>
        <w:t>（单位名称）</w:t>
      </w:r>
      <w:r>
        <w:rPr>
          <w:rFonts w:ascii="宋体" w:hAnsi="宋体" w:eastAsia="宋体" w:cs="宋体"/>
          <w:color w:val="auto"/>
          <w:kern w:val="0"/>
          <w:szCs w:val="21"/>
          <w:highlight w:val="none"/>
          <w:lang w:eastAsia="zh-Hans"/>
        </w:rPr>
        <w:t>的</w:t>
      </w:r>
      <w:r>
        <w:rPr>
          <w:rFonts w:ascii="宋体" w:hAnsi="宋体" w:eastAsia="宋体" w:cs="宋体"/>
          <w:color w:val="auto"/>
          <w:kern w:val="0"/>
          <w:szCs w:val="21"/>
          <w:highlight w:val="none"/>
          <w:u w:val="single"/>
          <w:lang w:eastAsia="zh-Hans"/>
        </w:rPr>
        <w:t>（项目名称）</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lang w:eastAsia="zh-Hans"/>
        </w:rPr>
        <w:t>活动，工程的施工单位全部为符合政策要求的中小企业。相关企业（含联合体中的中小企业、签订分包意向协议</w:t>
      </w:r>
      <w:r>
        <w:rPr>
          <w:rFonts w:hint="eastAsia" w:ascii="宋体" w:hAnsi="宋体" w:eastAsia="宋体" w:cs="宋体"/>
          <w:color w:val="auto"/>
          <w:kern w:val="0"/>
          <w:szCs w:val="21"/>
          <w:highlight w:val="none"/>
        </w:rPr>
        <w:t>书</w:t>
      </w:r>
      <w:r>
        <w:rPr>
          <w:rFonts w:ascii="宋体" w:hAnsi="宋体" w:eastAsia="宋体" w:cs="宋体"/>
          <w:color w:val="auto"/>
          <w:kern w:val="0"/>
          <w:szCs w:val="21"/>
          <w:highlight w:val="none"/>
          <w:lang w:eastAsia="zh-Hans"/>
        </w:rPr>
        <w:t>的中小企业）的具体情况如下：</w:t>
      </w:r>
    </w:p>
    <w:p w14:paraId="1A672398">
      <w:pPr>
        <w:widowControl/>
        <w:spacing w:line="360" w:lineRule="auto"/>
        <w:ind w:firstLine="480"/>
        <w:jc w:val="left"/>
        <w:rPr>
          <w:rFonts w:ascii="宋体" w:hAnsi="宋体" w:eastAsia="宋体" w:cs="宋体"/>
          <w:color w:val="auto"/>
          <w:kern w:val="0"/>
          <w:szCs w:val="21"/>
          <w:highlight w:val="none"/>
          <w:lang w:eastAsia="zh-Hans"/>
        </w:rPr>
      </w:pPr>
      <w:r>
        <w:rPr>
          <w:rFonts w:ascii="宋体" w:hAnsi="宋体" w:eastAsia="宋体" w:cs="宋体"/>
          <w:color w:val="auto"/>
          <w:kern w:val="0"/>
          <w:szCs w:val="21"/>
          <w:highlight w:val="none"/>
          <w:lang w:eastAsia="zh-Hans"/>
        </w:rPr>
        <w:t>1.</w:t>
      </w:r>
      <w:r>
        <w:rPr>
          <w:rFonts w:hint="eastAsia" w:ascii="宋体" w:hAnsi="宋体" w:eastAsia="宋体" w:cs="Times New Roman"/>
          <w:color w:val="auto"/>
          <w:kern w:val="0"/>
          <w:szCs w:val="21"/>
          <w:highlight w:val="none"/>
          <w:u w:val="single"/>
          <w:lang w:eastAsia="zh-Hans"/>
        </w:rPr>
        <w:t>（</w:t>
      </w:r>
      <w:r>
        <w:rPr>
          <w:rFonts w:hint="eastAsia" w:ascii="宋体" w:hAnsi="宋体" w:eastAsia="宋体" w:cs="Times New Roman"/>
          <w:color w:val="auto"/>
          <w:spacing w:val="2"/>
          <w:kern w:val="0"/>
          <w:szCs w:val="21"/>
          <w:highlight w:val="none"/>
          <w:u w:val="single"/>
          <w:lang w:eastAsia="zh-Hans"/>
        </w:rPr>
        <w:t>标</w:t>
      </w:r>
      <w:r>
        <w:rPr>
          <w:rFonts w:hint="eastAsia" w:ascii="宋体" w:hAnsi="宋体" w:eastAsia="宋体" w:cs="Times New Roman"/>
          <w:color w:val="auto"/>
          <w:kern w:val="0"/>
          <w:szCs w:val="21"/>
          <w:highlight w:val="none"/>
          <w:u w:val="single"/>
          <w:lang w:eastAsia="zh-Hans"/>
        </w:rPr>
        <w:t>的名</w:t>
      </w:r>
      <w:r>
        <w:rPr>
          <w:rFonts w:hint="eastAsia" w:ascii="宋体" w:hAnsi="宋体" w:eastAsia="宋体" w:cs="Times New Roman"/>
          <w:color w:val="auto"/>
          <w:spacing w:val="2"/>
          <w:kern w:val="0"/>
          <w:szCs w:val="21"/>
          <w:highlight w:val="none"/>
          <w:u w:val="single"/>
          <w:lang w:eastAsia="zh-Hans"/>
        </w:rPr>
        <w:t>称</w:t>
      </w:r>
      <w:r>
        <w:rPr>
          <w:rFonts w:hint="eastAsia" w:ascii="宋体" w:hAnsi="宋体" w:eastAsia="宋体" w:cs="Times New Roman"/>
          <w:color w:val="auto"/>
          <w:kern w:val="0"/>
          <w:szCs w:val="21"/>
          <w:highlight w:val="none"/>
          <w:u w:val="single"/>
          <w:lang w:eastAsia="zh-Hans"/>
        </w:rPr>
        <w:t>）</w:t>
      </w:r>
      <w:r>
        <w:rPr>
          <w:rFonts w:ascii="宋体" w:hAnsi="宋体" w:eastAsia="宋体" w:cs="宋体"/>
          <w:color w:val="auto"/>
          <w:kern w:val="0"/>
          <w:szCs w:val="21"/>
          <w:highlight w:val="none"/>
          <w:lang w:eastAsia="zh-Hans"/>
        </w:rPr>
        <w:t>，属于</w:t>
      </w:r>
      <w:r>
        <w:rPr>
          <w:rFonts w:ascii="宋体" w:hAnsi="宋体" w:eastAsia="宋体" w:cs="宋体"/>
          <w:color w:val="auto"/>
          <w:kern w:val="0"/>
          <w:szCs w:val="21"/>
          <w:highlight w:val="none"/>
          <w:u w:val="single"/>
          <w:lang w:eastAsia="zh-Hans"/>
        </w:rPr>
        <w:t>（</w:t>
      </w:r>
      <w:r>
        <w:rPr>
          <w:rFonts w:hint="eastAsia" w:ascii="宋体" w:hAnsi="宋体" w:eastAsia="宋体" w:cs="宋体"/>
          <w:color w:val="auto"/>
          <w:kern w:val="0"/>
          <w:szCs w:val="21"/>
          <w:highlight w:val="none"/>
          <w:u w:val="single"/>
        </w:rPr>
        <w:t>招标</w:t>
      </w:r>
      <w:r>
        <w:rPr>
          <w:rFonts w:ascii="宋体" w:hAnsi="宋体" w:eastAsia="宋体" w:cs="宋体"/>
          <w:color w:val="auto"/>
          <w:kern w:val="0"/>
          <w:szCs w:val="21"/>
          <w:highlight w:val="none"/>
          <w:u w:val="single"/>
          <w:lang w:eastAsia="zh-Hans"/>
        </w:rPr>
        <w:t>文件中明确的所属行业）</w:t>
      </w:r>
      <w:r>
        <w:rPr>
          <w:rFonts w:ascii="宋体" w:hAnsi="宋体" w:eastAsia="宋体" w:cs="宋体"/>
          <w:color w:val="auto"/>
          <w:kern w:val="0"/>
          <w:szCs w:val="21"/>
          <w:highlight w:val="none"/>
          <w:lang w:eastAsia="zh-Hans"/>
        </w:rPr>
        <w:t>行业；承建（承接）企业为</w:t>
      </w:r>
      <w:r>
        <w:rPr>
          <w:rFonts w:ascii="宋体" w:hAnsi="宋体" w:eastAsia="宋体" w:cs="宋体"/>
          <w:color w:val="auto"/>
          <w:kern w:val="0"/>
          <w:szCs w:val="21"/>
          <w:highlight w:val="none"/>
          <w:u w:val="single"/>
          <w:lang w:eastAsia="zh-Hans"/>
        </w:rPr>
        <w:t>（企业名称）</w:t>
      </w:r>
      <w:r>
        <w:rPr>
          <w:rFonts w:ascii="宋体" w:hAnsi="宋体" w:eastAsia="宋体" w:cs="宋体"/>
          <w:color w:val="auto"/>
          <w:kern w:val="0"/>
          <w:szCs w:val="21"/>
          <w:highlight w:val="none"/>
          <w:lang w:eastAsia="zh-Hans"/>
        </w:rPr>
        <w:t>，从业人员</w:t>
      </w:r>
      <w:r>
        <w:rPr>
          <w:rFonts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lang w:eastAsia="zh-Hans"/>
        </w:rPr>
        <w:t>人，营业收入为</w:t>
      </w:r>
      <w:r>
        <w:rPr>
          <w:rFonts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lang w:eastAsia="zh-Hans"/>
        </w:rPr>
        <w:t>万元，资产总额为</w:t>
      </w:r>
      <w:r>
        <w:rPr>
          <w:rFonts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lang w:eastAsia="zh-Hans"/>
        </w:rPr>
        <w:t>万元，属于</w:t>
      </w:r>
      <w:r>
        <w:rPr>
          <w:rFonts w:ascii="宋体" w:hAnsi="宋体" w:eastAsia="宋体" w:cs="宋体"/>
          <w:color w:val="auto"/>
          <w:kern w:val="0"/>
          <w:szCs w:val="21"/>
          <w:highlight w:val="none"/>
          <w:u w:val="single"/>
          <w:lang w:eastAsia="zh-Hans"/>
        </w:rPr>
        <w:t>（中型企业、小型企业、微型企业）</w:t>
      </w:r>
      <w:r>
        <w:rPr>
          <w:rFonts w:ascii="宋体" w:hAnsi="宋体" w:eastAsia="宋体" w:cs="宋体"/>
          <w:color w:val="auto"/>
          <w:kern w:val="0"/>
          <w:szCs w:val="21"/>
          <w:highlight w:val="none"/>
          <w:lang w:eastAsia="zh-Hans"/>
        </w:rPr>
        <w:t>；</w:t>
      </w:r>
      <w:r>
        <w:rPr>
          <w:rFonts w:hint="eastAsia" w:ascii="宋体" w:hAnsi="宋体" w:eastAsia="宋体" w:cs="Times New Roman"/>
          <w:color w:val="auto"/>
          <w:kern w:val="0"/>
          <w:szCs w:val="21"/>
          <w:highlight w:val="none"/>
          <w:lang w:eastAsia="zh-Hans"/>
        </w:rPr>
        <w:t>在本项目中拟承担工作，在本项目的合同份额占合同总金额</w:t>
      </w:r>
      <w:r>
        <w:rPr>
          <w:rFonts w:hint="eastAsia" w:ascii="宋体" w:hAnsi="宋体" w:eastAsia="宋体" w:cs="Times New Roman"/>
          <w:color w:val="auto"/>
          <w:kern w:val="0"/>
          <w:szCs w:val="21"/>
          <w:highlight w:val="none"/>
          <w:u w:val="single"/>
          <w:lang w:eastAsia="zh-Hans"/>
        </w:rPr>
        <w:t xml:space="preserve">    </w:t>
      </w:r>
      <w:r>
        <w:rPr>
          <w:rFonts w:hint="eastAsia" w:ascii="宋体" w:hAnsi="宋体" w:eastAsia="宋体" w:cs="Times New Roman"/>
          <w:color w:val="auto"/>
          <w:kern w:val="0"/>
          <w:szCs w:val="21"/>
          <w:highlight w:val="none"/>
          <w:lang w:eastAsia="zh-Hans"/>
        </w:rPr>
        <w:t>%</w:t>
      </w:r>
    </w:p>
    <w:p w14:paraId="26ABF8F7">
      <w:pPr>
        <w:widowControl/>
        <w:spacing w:line="360" w:lineRule="auto"/>
        <w:ind w:firstLine="480"/>
        <w:jc w:val="left"/>
        <w:rPr>
          <w:rFonts w:ascii="宋体" w:hAnsi="宋体" w:eastAsia="宋体" w:cs="宋体"/>
          <w:color w:val="auto"/>
          <w:kern w:val="0"/>
          <w:szCs w:val="21"/>
          <w:highlight w:val="none"/>
          <w:lang w:eastAsia="zh-Hans"/>
        </w:rPr>
      </w:pPr>
      <w:r>
        <w:rPr>
          <w:rFonts w:ascii="宋体" w:hAnsi="宋体" w:eastAsia="宋体" w:cs="宋体"/>
          <w:color w:val="auto"/>
          <w:kern w:val="0"/>
          <w:szCs w:val="21"/>
          <w:highlight w:val="none"/>
          <w:lang w:eastAsia="zh-Hans"/>
        </w:rPr>
        <w:t>2</w:t>
      </w:r>
      <w:r>
        <w:rPr>
          <w:rFonts w:hint="eastAsia" w:ascii="宋体" w:hAnsi="宋体" w:eastAsia="宋体" w:cs="Times New Roman"/>
          <w:color w:val="auto"/>
          <w:kern w:val="0"/>
          <w:szCs w:val="21"/>
          <w:highlight w:val="none"/>
          <w:u w:val="single"/>
          <w:lang w:eastAsia="zh-Hans"/>
        </w:rPr>
        <w:t>（</w:t>
      </w:r>
      <w:r>
        <w:rPr>
          <w:rFonts w:hint="eastAsia" w:ascii="宋体" w:hAnsi="宋体" w:eastAsia="宋体" w:cs="Times New Roman"/>
          <w:color w:val="auto"/>
          <w:spacing w:val="2"/>
          <w:kern w:val="0"/>
          <w:szCs w:val="21"/>
          <w:highlight w:val="none"/>
          <w:u w:val="single"/>
          <w:lang w:eastAsia="zh-Hans"/>
        </w:rPr>
        <w:t>标</w:t>
      </w:r>
      <w:r>
        <w:rPr>
          <w:rFonts w:hint="eastAsia" w:ascii="宋体" w:hAnsi="宋体" w:eastAsia="宋体" w:cs="Times New Roman"/>
          <w:color w:val="auto"/>
          <w:kern w:val="0"/>
          <w:szCs w:val="21"/>
          <w:highlight w:val="none"/>
          <w:u w:val="single"/>
          <w:lang w:eastAsia="zh-Hans"/>
        </w:rPr>
        <w:t>的名</w:t>
      </w:r>
      <w:r>
        <w:rPr>
          <w:rFonts w:hint="eastAsia" w:ascii="宋体" w:hAnsi="宋体" w:eastAsia="宋体" w:cs="Times New Roman"/>
          <w:color w:val="auto"/>
          <w:spacing w:val="2"/>
          <w:kern w:val="0"/>
          <w:szCs w:val="21"/>
          <w:highlight w:val="none"/>
          <w:u w:val="single"/>
          <w:lang w:eastAsia="zh-Hans"/>
        </w:rPr>
        <w:t>称</w:t>
      </w:r>
      <w:r>
        <w:rPr>
          <w:rFonts w:hint="eastAsia" w:ascii="宋体" w:hAnsi="宋体" w:eastAsia="宋体" w:cs="Times New Roman"/>
          <w:color w:val="auto"/>
          <w:kern w:val="0"/>
          <w:szCs w:val="21"/>
          <w:highlight w:val="none"/>
          <w:u w:val="single"/>
          <w:lang w:eastAsia="zh-Hans"/>
        </w:rPr>
        <w:t>）</w:t>
      </w:r>
      <w:r>
        <w:rPr>
          <w:rFonts w:ascii="宋体" w:hAnsi="宋体" w:eastAsia="宋体" w:cs="宋体"/>
          <w:color w:val="auto"/>
          <w:kern w:val="0"/>
          <w:szCs w:val="21"/>
          <w:highlight w:val="none"/>
          <w:lang w:eastAsia="zh-Hans"/>
        </w:rPr>
        <w:t>，属于</w:t>
      </w:r>
      <w:r>
        <w:rPr>
          <w:rFonts w:ascii="宋体" w:hAnsi="宋体" w:eastAsia="宋体" w:cs="宋体"/>
          <w:color w:val="auto"/>
          <w:kern w:val="0"/>
          <w:szCs w:val="21"/>
          <w:highlight w:val="none"/>
          <w:u w:val="single"/>
          <w:lang w:eastAsia="zh-Hans"/>
        </w:rPr>
        <w:t>（</w:t>
      </w:r>
      <w:r>
        <w:rPr>
          <w:rFonts w:hint="eastAsia" w:ascii="宋体" w:hAnsi="宋体" w:eastAsia="宋体" w:cs="宋体"/>
          <w:color w:val="auto"/>
          <w:kern w:val="0"/>
          <w:szCs w:val="21"/>
          <w:highlight w:val="none"/>
          <w:u w:val="single"/>
        </w:rPr>
        <w:t>招标</w:t>
      </w:r>
      <w:r>
        <w:rPr>
          <w:rFonts w:ascii="宋体" w:hAnsi="宋体" w:eastAsia="宋体" w:cs="宋体"/>
          <w:color w:val="auto"/>
          <w:kern w:val="0"/>
          <w:szCs w:val="21"/>
          <w:highlight w:val="none"/>
          <w:u w:val="single"/>
          <w:lang w:eastAsia="zh-Hans"/>
        </w:rPr>
        <w:t>文件中明确的所属行业）</w:t>
      </w:r>
      <w:r>
        <w:rPr>
          <w:rFonts w:ascii="宋体" w:hAnsi="宋体" w:eastAsia="宋体" w:cs="宋体"/>
          <w:color w:val="auto"/>
          <w:kern w:val="0"/>
          <w:szCs w:val="21"/>
          <w:highlight w:val="none"/>
          <w:lang w:eastAsia="zh-Hans"/>
        </w:rPr>
        <w:t>行业；承建（承接）企业为</w:t>
      </w:r>
      <w:r>
        <w:rPr>
          <w:rFonts w:ascii="宋体" w:hAnsi="宋体" w:eastAsia="宋体" w:cs="宋体"/>
          <w:color w:val="auto"/>
          <w:kern w:val="0"/>
          <w:szCs w:val="21"/>
          <w:highlight w:val="none"/>
          <w:u w:val="single"/>
          <w:lang w:eastAsia="zh-Hans"/>
        </w:rPr>
        <w:t>（企业名称）</w:t>
      </w:r>
      <w:r>
        <w:rPr>
          <w:rFonts w:ascii="宋体" w:hAnsi="宋体" w:eastAsia="宋体" w:cs="宋体"/>
          <w:color w:val="auto"/>
          <w:kern w:val="0"/>
          <w:szCs w:val="21"/>
          <w:highlight w:val="none"/>
          <w:lang w:eastAsia="zh-Hans"/>
        </w:rPr>
        <w:t>，从业人员__________________人，营业收入为__________________万元，资产总额为__________________万元，属于</w:t>
      </w:r>
      <w:r>
        <w:rPr>
          <w:rFonts w:ascii="宋体" w:hAnsi="宋体" w:eastAsia="宋体" w:cs="宋体"/>
          <w:color w:val="auto"/>
          <w:kern w:val="0"/>
          <w:szCs w:val="21"/>
          <w:highlight w:val="none"/>
          <w:u w:val="single"/>
          <w:lang w:eastAsia="zh-Hans"/>
        </w:rPr>
        <w:t>（中型企业、小型企业、微型企业）</w:t>
      </w:r>
      <w:r>
        <w:rPr>
          <w:rFonts w:ascii="宋体" w:hAnsi="宋体" w:eastAsia="宋体" w:cs="宋体"/>
          <w:color w:val="auto"/>
          <w:kern w:val="0"/>
          <w:szCs w:val="21"/>
          <w:highlight w:val="none"/>
          <w:lang w:eastAsia="zh-Hans"/>
        </w:rPr>
        <w:t>；</w:t>
      </w:r>
      <w:r>
        <w:rPr>
          <w:rFonts w:hint="eastAsia" w:ascii="宋体" w:hAnsi="宋体" w:eastAsia="宋体" w:cs="Times New Roman"/>
          <w:color w:val="auto"/>
          <w:kern w:val="0"/>
          <w:szCs w:val="21"/>
          <w:highlight w:val="none"/>
          <w:lang w:eastAsia="zh-Hans"/>
        </w:rPr>
        <w:t>在本项目中拟承担工作，在本项目的合同份额占合同总金额</w:t>
      </w:r>
      <w:r>
        <w:rPr>
          <w:rFonts w:hint="eastAsia" w:ascii="宋体" w:hAnsi="宋体" w:eastAsia="宋体" w:cs="Times New Roman"/>
          <w:color w:val="auto"/>
          <w:kern w:val="0"/>
          <w:szCs w:val="21"/>
          <w:highlight w:val="none"/>
          <w:u w:val="single"/>
          <w:lang w:eastAsia="zh-Hans"/>
        </w:rPr>
        <w:t xml:space="preserve">    </w:t>
      </w:r>
      <w:r>
        <w:rPr>
          <w:rFonts w:hint="eastAsia" w:ascii="宋体" w:hAnsi="宋体" w:eastAsia="宋体" w:cs="Times New Roman"/>
          <w:color w:val="auto"/>
          <w:kern w:val="0"/>
          <w:szCs w:val="21"/>
          <w:highlight w:val="none"/>
          <w:lang w:eastAsia="zh-Hans"/>
        </w:rPr>
        <w:t>%。</w:t>
      </w:r>
    </w:p>
    <w:p w14:paraId="6C0C2D31">
      <w:pPr>
        <w:widowControl/>
        <w:spacing w:line="360" w:lineRule="auto"/>
        <w:ind w:firstLine="480"/>
        <w:jc w:val="left"/>
        <w:rPr>
          <w:rFonts w:ascii="宋体" w:hAnsi="宋体" w:eastAsia="宋体" w:cs="宋体"/>
          <w:color w:val="auto"/>
          <w:kern w:val="0"/>
          <w:szCs w:val="21"/>
          <w:highlight w:val="none"/>
          <w:lang w:eastAsia="zh-Hans"/>
        </w:rPr>
      </w:pPr>
      <w:r>
        <w:rPr>
          <w:rFonts w:ascii="宋体" w:hAnsi="宋体" w:eastAsia="宋体" w:cs="宋体"/>
          <w:color w:val="auto"/>
          <w:kern w:val="0"/>
          <w:szCs w:val="21"/>
          <w:highlight w:val="none"/>
          <w:lang w:eastAsia="zh-Hans"/>
        </w:rPr>
        <w:t>……</w:t>
      </w:r>
    </w:p>
    <w:p w14:paraId="62C9AC5B">
      <w:pPr>
        <w:widowControl/>
        <w:spacing w:line="360" w:lineRule="auto"/>
        <w:ind w:firstLine="480"/>
        <w:jc w:val="left"/>
        <w:rPr>
          <w:rFonts w:ascii="宋体" w:hAnsi="宋体" w:eastAsia="宋体" w:cs="宋体"/>
          <w:color w:val="auto"/>
          <w:kern w:val="0"/>
          <w:szCs w:val="21"/>
          <w:highlight w:val="none"/>
          <w:lang w:eastAsia="zh-Hans"/>
        </w:rPr>
      </w:pPr>
      <w:r>
        <w:rPr>
          <w:rFonts w:ascii="宋体" w:hAnsi="宋体" w:eastAsia="宋体" w:cs="宋体"/>
          <w:color w:val="auto"/>
          <w:kern w:val="0"/>
          <w:szCs w:val="21"/>
          <w:highlight w:val="none"/>
          <w:lang w:eastAsia="zh-Hans"/>
        </w:rPr>
        <w:t>以上企业，不属于大企业的分支机构，不存在控股股东为大企业的情形，也不存在与大企业的负责人为同一人的情形。</w:t>
      </w:r>
    </w:p>
    <w:p w14:paraId="1011BAFB">
      <w:pPr>
        <w:widowControl/>
        <w:spacing w:line="360" w:lineRule="auto"/>
        <w:ind w:firstLine="480"/>
        <w:jc w:val="left"/>
        <w:rPr>
          <w:rFonts w:ascii="宋体" w:hAnsi="宋体" w:eastAsia="宋体" w:cs="宋体"/>
          <w:color w:val="auto"/>
          <w:kern w:val="0"/>
          <w:szCs w:val="21"/>
          <w:highlight w:val="none"/>
          <w:lang w:eastAsia="zh-Hans"/>
        </w:rPr>
      </w:pPr>
      <w:r>
        <w:rPr>
          <w:rFonts w:ascii="宋体" w:hAnsi="宋体" w:eastAsia="宋体" w:cs="宋体"/>
          <w:color w:val="auto"/>
          <w:kern w:val="0"/>
          <w:szCs w:val="21"/>
          <w:highlight w:val="none"/>
          <w:lang w:eastAsia="zh-Hans"/>
        </w:rPr>
        <w:t>本企业对上述声明内容的真实性负责。如有虚假，将依法承担相应责任。</w:t>
      </w:r>
    </w:p>
    <w:p w14:paraId="7D031DFF">
      <w:pPr>
        <w:widowControl/>
        <w:spacing w:line="360" w:lineRule="auto"/>
        <w:jc w:val="right"/>
        <w:rPr>
          <w:rFonts w:ascii="宋体" w:hAnsi="宋体" w:eastAsia="宋体" w:cs="宋体"/>
          <w:color w:val="auto"/>
          <w:kern w:val="0"/>
          <w:sz w:val="24"/>
          <w:szCs w:val="20"/>
          <w:highlight w:val="none"/>
          <w:lang w:eastAsia="zh-Hans"/>
        </w:rPr>
      </w:pPr>
    </w:p>
    <w:p w14:paraId="55737515">
      <w:pPr>
        <w:tabs>
          <w:tab w:val="left" w:pos="720"/>
        </w:tabs>
        <w:spacing w:line="336" w:lineRule="auto"/>
        <w:ind w:firstLine="4578" w:firstLineChars="2100"/>
        <w:jc w:val="left"/>
        <w:rPr>
          <w:rFonts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投标人：</w:t>
      </w:r>
      <w:r>
        <w:rPr>
          <w:rFonts w:hint="eastAsia" w:ascii="宋体" w:hAnsi="宋体" w:eastAsia="宋体" w:cs="宋体"/>
          <w:color w:val="auto"/>
          <w:spacing w:val="4"/>
          <w:kern w:val="0"/>
          <w:szCs w:val="21"/>
          <w:highlight w:val="none"/>
          <w:u w:val="single"/>
        </w:rPr>
        <w:t xml:space="preserve">                         </w:t>
      </w:r>
      <w:r>
        <w:rPr>
          <w:rFonts w:hint="eastAsia" w:ascii="宋体" w:hAnsi="宋体" w:eastAsia="宋体" w:cs="宋体"/>
          <w:color w:val="auto"/>
          <w:spacing w:val="4"/>
          <w:kern w:val="0"/>
          <w:szCs w:val="21"/>
          <w:highlight w:val="none"/>
        </w:rPr>
        <w:t xml:space="preserve"> （盖章）</w:t>
      </w:r>
    </w:p>
    <w:p w14:paraId="0E3609B3">
      <w:pPr>
        <w:topLinePunct/>
        <w:spacing w:line="276" w:lineRule="auto"/>
        <w:ind w:firstLine="4578" w:firstLineChars="2100"/>
        <w:rPr>
          <w:rFonts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日期：</w:t>
      </w:r>
      <w:r>
        <w:rPr>
          <w:rFonts w:hint="eastAsia" w:ascii="宋体" w:hAnsi="宋体" w:eastAsia="宋体" w:cs="宋体"/>
          <w:color w:val="auto"/>
          <w:spacing w:val="4"/>
          <w:kern w:val="0"/>
          <w:szCs w:val="21"/>
          <w:highlight w:val="none"/>
          <w:u w:val="single"/>
        </w:rPr>
        <w:t xml:space="preserve">                                    </w:t>
      </w:r>
    </w:p>
    <w:p w14:paraId="2A0A5FB5">
      <w:pPr>
        <w:rPr>
          <w:rFonts w:ascii="宋体" w:hAnsi="宋体" w:eastAsia="宋体"/>
          <w:color w:val="auto"/>
          <w:highlight w:val="none"/>
        </w:rPr>
      </w:pPr>
    </w:p>
    <w:p w14:paraId="0574DAFA">
      <w:pPr>
        <w:wordWrap w:val="0"/>
        <w:spacing w:line="276" w:lineRule="auto"/>
        <w:rPr>
          <w:rFonts w:ascii="宋体" w:hAnsi="宋体" w:eastAsia="宋体"/>
          <w:color w:val="auto"/>
          <w:highlight w:val="none"/>
          <w:u w:val="single"/>
        </w:rPr>
      </w:pPr>
      <w:r>
        <w:rPr>
          <w:rFonts w:hint="eastAsia" w:ascii="宋体" w:hAnsi="宋体" w:eastAsia="宋体"/>
          <w:color w:val="auto"/>
          <w:highlight w:val="none"/>
          <w:u w:val="single"/>
        </w:rPr>
        <w:t>备注：1.从业人员、营业收入、资产总额填报上一年度数据，无上一年度数据的新成立企业可不填报。</w:t>
      </w:r>
    </w:p>
    <w:p w14:paraId="12903804">
      <w:pPr>
        <w:wordWrap w:val="0"/>
        <w:spacing w:line="276" w:lineRule="auto"/>
        <w:rPr>
          <w:rFonts w:ascii="宋体" w:hAnsi="宋体" w:eastAsia="宋体"/>
          <w:color w:val="auto"/>
          <w:highlight w:val="none"/>
          <w:u w:val="single"/>
        </w:rPr>
      </w:pPr>
      <w:r>
        <w:rPr>
          <w:rFonts w:hint="eastAsia" w:ascii="宋体" w:hAnsi="宋体" w:eastAsia="宋体"/>
          <w:color w:val="auto"/>
          <w:highlight w:val="none"/>
          <w:u w:val="single"/>
        </w:rPr>
        <w:t>2.投标人可参考《广东省财政厅关于进一步规范政府采购活动中落实促进中小企业发展政策的通知（粤财采购〔2024〕11 号）》 （http://czt.gd.gov.cn/zfcg/content/post_4497011.html）、《广州市政府采购中心关于规范填写《中小企业声明函》的温馨提示》（集团公告-详情页https://www.gzggzy.cn/jtgg/1001279.jhtml）填写，《中小企业声明函》由参加招投标活动的投标人出具。《中小企业声明函》中需填写签订分包意向协议书的小微企业相关信息。</w:t>
      </w:r>
    </w:p>
    <w:p w14:paraId="40DCB552">
      <w:pPr>
        <w:wordWrap w:val="0"/>
        <w:spacing w:line="276" w:lineRule="auto"/>
        <w:rPr>
          <w:rFonts w:ascii="宋体" w:hAnsi="宋体" w:eastAsia="宋体"/>
          <w:color w:val="auto"/>
          <w:highlight w:val="none"/>
        </w:rPr>
      </w:pPr>
      <w:r>
        <w:rPr>
          <w:rFonts w:hint="eastAsia" w:ascii="宋体" w:hAnsi="宋体" w:eastAsia="宋体"/>
          <w:color w:val="auto"/>
          <w:highlight w:val="none"/>
          <w:u w:val="single"/>
        </w:rPr>
        <w:t>3.投标人应当自行核实是否属于小微企业，并认真填写中小企业声明函。投标人应当在声明函规定的空白处填写相关内容，在中型企业、小型企业、微型企业三类中选填所属类别。若有虚假将追究其责任。</w:t>
      </w:r>
    </w:p>
    <w:p w14:paraId="7A4FD128">
      <w:pPr>
        <w:widowControl/>
        <w:jc w:val="left"/>
        <w:rPr>
          <w:rFonts w:ascii="宋体" w:hAnsi="宋体" w:eastAsia="宋体" w:cs="宋体"/>
          <w:color w:val="auto"/>
          <w:szCs w:val="21"/>
          <w:highlight w:val="none"/>
        </w:rPr>
      </w:pPr>
    </w:p>
    <w:p w14:paraId="1F465768">
      <w:pPr>
        <w:pStyle w:val="7"/>
        <w:widowControl/>
        <w:jc w:val="left"/>
        <w:rPr>
          <w:color w:val="auto"/>
          <w:highlight w:val="none"/>
        </w:rPr>
      </w:pPr>
      <w:r>
        <w:rPr>
          <w:rFonts w:hint="eastAsia"/>
          <w:color w:val="auto"/>
          <w:highlight w:val="none"/>
        </w:rPr>
        <w:br w:type="page"/>
      </w:r>
    </w:p>
    <w:p w14:paraId="01CF3D1E">
      <w:pPr>
        <w:topLinePunct/>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监狱企业证明文件（如有）</w:t>
      </w:r>
    </w:p>
    <w:p w14:paraId="2154B105">
      <w:pPr>
        <w:pStyle w:val="385"/>
        <w:ind w:firstLine="480"/>
        <w:rPr>
          <w:rFonts w:hint="default" w:ascii="宋体" w:hAnsi="宋体"/>
          <w:bCs/>
          <w:color w:val="auto"/>
          <w:highlight w:val="none"/>
          <w:lang w:eastAsia="zh-CN"/>
        </w:rPr>
      </w:pPr>
    </w:p>
    <w:p w14:paraId="7925C5D1">
      <w:pPr>
        <w:pStyle w:val="385"/>
        <w:ind w:firstLine="480"/>
        <w:rPr>
          <w:rFonts w:hint="default" w:ascii="宋体" w:hAnsi="宋体"/>
          <w:bCs/>
          <w:color w:val="auto"/>
          <w:highlight w:val="none"/>
          <w:lang w:eastAsia="zh-CN"/>
        </w:rPr>
      </w:pPr>
    </w:p>
    <w:p w14:paraId="4897581B">
      <w:pPr>
        <w:pStyle w:val="385"/>
        <w:ind w:firstLine="480"/>
        <w:rPr>
          <w:rFonts w:hint="default" w:ascii="宋体" w:hAnsi="宋体"/>
          <w:bCs/>
          <w:color w:val="auto"/>
          <w:highlight w:val="none"/>
          <w:lang w:eastAsia="zh-CN"/>
        </w:rPr>
      </w:pPr>
    </w:p>
    <w:p w14:paraId="16011A78">
      <w:pPr>
        <w:pStyle w:val="385"/>
        <w:ind w:firstLine="480"/>
        <w:rPr>
          <w:rFonts w:hint="default" w:ascii="宋体" w:hAnsi="宋体"/>
          <w:bCs/>
          <w:color w:val="auto"/>
          <w:highlight w:val="none"/>
          <w:lang w:eastAsia="zh-CN"/>
        </w:rPr>
      </w:pPr>
    </w:p>
    <w:p w14:paraId="0ADAAF5C">
      <w:pPr>
        <w:pStyle w:val="385"/>
        <w:ind w:firstLine="480"/>
        <w:rPr>
          <w:rFonts w:hint="default" w:ascii="宋体" w:hAnsi="宋体"/>
          <w:bCs/>
          <w:color w:val="auto"/>
          <w:highlight w:val="none"/>
          <w:lang w:eastAsia="zh-CN"/>
        </w:rPr>
      </w:pPr>
    </w:p>
    <w:p w14:paraId="4665AB00">
      <w:pPr>
        <w:pStyle w:val="385"/>
        <w:ind w:firstLine="480"/>
        <w:rPr>
          <w:rFonts w:hint="default" w:ascii="宋体" w:hAnsi="宋体"/>
          <w:bCs/>
          <w:color w:val="auto"/>
          <w:highlight w:val="none"/>
          <w:lang w:eastAsia="zh-CN"/>
        </w:rPr>
      </w:pPr>
    </w:p>
    <w:p w14:paraId="008F2BA7">
      <w:pPr>
        <w:pStyle w:val="385"/>
        <w:ind w:firstLine="480"/>
        <w:rPr>
          <w:rFonts w:hint="default" w:ascii="宋体" w:hAnsi="宋体"/>
          <w:bCs/>
          <w:color w:val="auto"/>
          <w:highlight w:val="none"/>
          <w:lang w:eastAsia="zh-CN"/>
        </w:rPr>
      </w:pPr>
    </w:p>
    <w:p w14:paraId="40F3E08F">
      <w:pPr>
        <w:pStyle w:val="385"/>
        <w:ind w:firstLine="480"/>
        <w:rPr>
          <w:rFonts w:hint="default" w:ascii="宋体" w:hAnsi="宋体"/>
          <w:bCs/>
          <w:color w:val="auto"/>
          <w:highlight w:val="none"/>
          <w:lang w:eastAsia="zh-CN"/>
        </w:rPr>
      </w:pPr>
    </w:p>
    <w:p w14:paraId="195D420D">
      <w:pPr>
        <w:pStyle w:val="385"/>
        <w:ind w:firstLine="480"/>
        <w:rPr>
          <w:rFonts w:hint="default" w:ascii="宋体" w:hAnsi="宋体"/>
          <w:bCs/>
          <w:color w:val="auto"/>
          <w:highlight w:val="none"/>
          <w:lang w:eastAsia="zh-CN"/>
        </w:rPr>
      </w:pPr>
    </w:p>
    <w:p w14:paraId="2A0FFCF0">
      <w:pPr>
        <w:pStyle w:val="385"/>
        <w:ind w:firstLine="480"/>
        <w:rPr>
          <w:rFonts w:hint="default" w:ascii="宋体" w:hAnsi="宋体"/>
          <w:bCs/>
          <w:color w:val="auto"/>
          <w:highlight w:val="none"/>
          <w:lang w:eastAsia="zh-CN"/>
        </w:rPr>
      </w:pPr>
    </w:p>
    <w:p w14:paraId="6B5DAF53">
      <w:pPr>
        <w:pStyle w:val="385"/>
        <w:ind w:firstLine="480"/>
        <w:rPr>
          <w:rFonts w:hint="default" w:ascii="宋体" w:hAnsi="宋体"/>
          <w:bCs/>
          <w:color w:val="auto"/>
          <w:highlight w:val="none"/>
          <w:lang w:eastAsia="zh-CN"/>
        </w:rPr>
      </w:pPr>
    </w:p>
    <w:p w14:paraId="3C55542A">
      <w:pPr>
        <w:pStyle w:val="385"/>
        <w:ind w:firstLine="480"/>
        <w:rPr>
          <w:rFonts w:hint="default" w:ascii="宋体" w:hAnsi="宋体"/>
          <w:bCs/>
          <w:color w:val="auto"/>
          <w:highlight w:val="none"/>
          <w:lang w:eastAsia="zh-CN"/>
        </w:rPr>
      </w:pPr>
    </w:p>
    <w:p w14:paraId="4BB16387">
      <w:pPr>
        <w:pStyle w:val="385"/>
        <w:ind w:firstLine="480"/>
        <w:rPr>
          <w:rFonts w:hint="default" w:ascii="宋体" w:hAnsi="宋体"/>
          <w:bCs/>
          <w:color w:val="auto"/>
          <w:highlight w:val="none"/>
          <w:lang w:eastAsia="zh-CN"/>
        </w:rPr>
      </w:pPr>
    </w:p>
    <w:p w14:paraId="3FC69E69">
      <w:pPr>
        <w:pStyle w:val="385"/>
        <w:ind w:firstLine="480"/>
        <w:rPr>
          <w:rFonts w:hint="default" w:ascii="宋体" w:hAnsi="宋体"/>
          <w:bCs/>
          <w:color w:val="auto"/>
          <w:highlight w:val="none"/>
          <w:lang w:eastAsia="zh-CN"/>
        </w:rPr>
      </w:pPr>
    </w:p>
    <w:p w14:paraId="63EEECE9">
      <w:pPr>
        <w:pStyle w:val="385"/>
        <w:ind w:firstLine="480"/>
        <w:rPr>
          <w:rFonts w:hint="default" w:ascii="宋体" w:hAnsi="宋体"/>
          <w:bCs/>
          <w:color w:val="auto"/>
          <w:highlight w:val="none"/>
          <w:lang w:eastAsia="zh-CN"/>
        </w:rPr>
      </w:pPr>
    </w:p>
    <w:p w14:paraId="5DB5FE07">
      <w:pPr>
        <w:pStyle w:val="385"/>
        <w:ind w:firstLine="480"/>
        <w:rPr>
          <w:rFonts w:hint="default" w:ascii="宋体" w:hAnsi="宋体"/>
          <w:bCs/>
          <w:color w:val="auto"/>
          <w:highlight w:val="none"/>
          <w:lang w:eastAsia="zh-CN"/>
        </w:rPr>
      </w:pPr>
    </w:p>
    <w:p w14:paraId="5E7A8595">
      <w:pPr>
        <w:pStyle w:val="385"/>
        <w:ind w:firstLine="480"/>
        <w:rPr>
          <w:rFonts w:hint="default" w:ascii="宋体" w:hAnsi="宋体"/>
          <w:bCs/>
          <w:color w:val="auto"/>
          <w:highlight w:val="none"/>
          <w:lang w:eastAsia="zh-CN"/>
        </w:rPr>
      </w:pPr>
    </w:p>
    <w:p w14:paraId="68B6A254">
      <w:pPr>
        <w:pStyle w:val="385"/>
        <w:ind w:firstLine="480"/>
        <w:rPr>
          <w:rFonts w:hint="default" w:ascii="宋体" w:hAnsi="宋体"/>
          <w:bCs/>
          <w:color w:val="auto"/>
          <w:highlight w:val="none"/>
          <w:lang w:eastAsia="zh-CN"/>
        </w:rPr>
      </w:pPr>
    </w:p>
    <w:p w14:paraId="2E5E96A9">
      <w:pPr>
        <w:pStyle w:val="385"/>
        <w:ind w:firstLine="480"/>
        <w:rPr>
          <w:rFonts w:hint="default" w:ascii="宋体" w:hAnsi="宋体"/>
          <w:bCs/>
          <w:color w:val="auto"/>
          <w:highlight w:val="none"/>
          <w:lang w:eastAsia="zh-CN"/>
        </w:rPr>
      </w:pPr>
    </w:p>
    <w:p w14:paraId="42BC786B">
      <w:pPr>
        <w:pStyle w:val="385"/>
        <w:ind w:firstLine="480"/>
        <w:rPr>
          <w:rFonts w:hint="default" w:ascii="宋体" w:hAnsi="宋体"/>
          <w:bCs/>
          <w:color w:val="auto"/>
          <w:highlight w:val="none"/>
          <w:lang w:eastAsia="zh-CN"/>
        </w:rPr>
      </w:pPr>
    </w:p>
    <w:p w14:paraId="170248C1">
      <w:pPr>
        <w:pStyle w:val="385"/>
        <w:ind w:firstLine="480"/>
        <w:rPr>
          <w:rFonts w:hint="default" w:ascii="宋体" w:hAnsi="宋体"/>
          <w:bCs/>
          <w:color w:val="auto"/>
          <w:highlight w:val="none"/>
          <w:lang w:eastAsia="zh-CN"/>
        </w:rPr>
      </w:pPr>
    </w:p>
    <w:p w14:paraId="7BEDDF5D">
      <w:pPr>
        <w:pStyle w:val="385"/>
        <w:ind w:firstLine="480"/>
        <w:rPr>
          <w:rFonts w:hint="default" w:ascii="宋体" w:hAnsi="宋体"/>
          <w:bCs/>
          <w:color w:val="auto"/>
          <w:highlight w:val="none"/>
          <w:lang w:eastAsia="zh-CN"/>
        </w:rPr>
      </w:pPr>
    </w:p>
    <w:p w14:paraId="169EA65E">
      <w:pPr>
        <w:pStyle w:val="385"/>
        <w:ind w:firstLine="480"/>
        <w:rPr>
          <w:rFonts w:hint="default" w:ascii="宋体" w:hAnsi="宋体"/>
          <w:bCs/>
          <w:color w:val="auto"/>
          <w:highlight w:val="none"/>
          <w:lang w:eastAsia="zh-CN"/>
        </w:rPr>
      </w:pPr>
    </w:p>
    <w:p w14:paraId="6B7A0A2E">
      <w:pPr>
        <w:pStyle w:val="385"/>
        <w:ind w:firstLine="480"/>
        <w:rPr>
          <w:rFonts w:hint="default" w:ascii="宋体" w:hAnsi="宋体"/>
          <w:bCs/>
          <w:color w:val="auto"/>
          <w:highlight w:val="none"/>
          <w:lang w:eastAsia="zh-CN"/>
        </w:rPr>
      </w:pPr>
    </w:p>
    <w:p w14:paraId="0615925B">
      <w:pPr>
        <w:pStyle w:val="385"/>
        <w:ind w:firstLine="480"/>
        <w:rPr>
          <w:rFonts w:hint="default" w:ascii="宋体" w:hAnsi="宋体"/>
          <w:bCs/>
          <w:color w:val="auto"/>
          <w:highlight w:val="none"/>
          <w:lang w:eastAsia="zh-CN"/>
        </w:rPr>
      </w:pPr>
    </w:p>
    <w:p w14:paraId="78AE1208">
      <w:pPr>
        <w:pStyle w:val="385"/>
        <w:ind w:firstLine="480"/>
        <w:rPr>
          <w:rFonts w:hint="default" w:ascii="宋体" w:hAnsi="宋体"/>
          <w:bCs/>
          <w:color w:val="auto"/>
          <w:highlight w:val="none"/>
          <w:lang w:eastAsia="zh-CN"/>
        </w:rPr>
      </w:pPr>
    </w:p>
    <w:p w14:paraId="7C85EA23">
      <w:pPr>
        <w:pStyle w:val="385"/>
        <w:ind w:firstLine="480"/>
        <w:rPr>
          <w:rFonts w:hint="default" w:ascii="宋体" w:hAnsi="宋体"/>
          <w:bCs/>
          <w:color w:val="auto"/>
          <w:highlight w:val="none"/>
          <w:lang w:eastAsia="zh-CN"/>
        </w:rPr>
      </w:pPr>
    </w:p>
    <w:p w14:paraId="35E1C64A">
      <w:pPr>
        <w:pStyle w:val="385"/>
        <w:ind w:firstLine="480"/>
        <w:rPr>
          <w:rFonts w:hint="default" w:ascii="宋体" w:hAnsi="宋体"/>
          <w:bCs/>
          <w:color w:val="auto"/>
          <w:highlight w:val="none"/>
          <w:lang w:eastAsia="zh-CN"/>
        </w:rPr>
      </w:pPr>
    </w:p>
    <w:p w14:paraId="181725FB">
      <w:pPr>
        <w:pStyle w:val="385"/>
        <w:ind w:firstLine="480"/>
        <w:rPr>
          <w:rFonts w:hint="default" w:ascii="宋体" w:hAnsi="宋体"/>
          <w:bCs/>
          <w:color w:val="auto"/>
          <w:highlight w:val="none"/>
          <w:lang w:eastAsia="zh-CN"/>
        </w:rPr>
      </w:pPr>
    </w:p>
    <w:p w14:paraId="426532D7">
      <w:pPr>
        <w:pStyle w:val="385"/>
        <w:ind w:firstLine="480"/>
        <w:rPr>
          <w:rFonts w:hint="default" w:ascii="宋体" w:hAnsi="宋体"/>
          <w:bCs/>
          <w:color w:val="auto"/>
          <w:highlight w:val="none"/>
          <w:lang w:eastAsia="zh-CN"/>
        </w:rPr>
      </w:pPr>
    </w:p>
    <w:p w14:paraId="17CC5A04">
      <w:pPr>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注：</w:t>
      </w:r>
      <w:r>
        <w:rPr>
          <w:rFonts w:ascii="宋体" w:hAnsi="宋体" w:eastAsia="宋体" w:cs="宋体"/>
          <w:bCs/>
          <w:color w:val="auto"/>
          <w:szCs w:val="21"/>
          <w:highlight w:val="none"/>
        </w:rPr>
        <w:t>1</w:t>
      </w:r>
      <w:r>
        <w:rPr>
          <w:rFonts w:hint="eastAsia" w:ascii="宋体" w:hAnsi="宋体" w:eastAsia="宋体" w:cs="宋体"/>
          <w:bCs/>
          <w:color w:val="auto"/>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B15E88D">
      <w:pPr>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2</w:t>
      </w:r>
      <w:r>
        <w:rPr>
          <w:rFonts w:hint="eastAsia" w:ascii="宋体" w:hAnsi="宋体" w:eastAsia="宋体" w:cs="宋体"/>
          <w:bCs/>
          <w:color w:val="auto"/>
          <w:szCs w:val="21"/>
          <w:highlight w:val="none"/>
        </w:rPr>
        <w:t>、监狱企业参与投标的，需提供由省级以上监狱管理局、戒毒管理局（含新疆生产建设兵团）出具的属于监狱企业的证明文件。</w:t>
      </w:r>
      <w:r>
        <w:rPr>
          <w:rFonts w:hint="eastAsia" w:ascii="宋体" w:hAnsi="宋体" w:eastAsia="宋体" w:cs="宋体"/>
          <w:b/>
          <w:color w:val="auto"/>
          <w:szCs w:val="21"/>
          <w:highlight w:val="none"/>
        </w:rPr>
        <w:t>监狱企业视同小微企业，无需再提供《中小企业声明函》。</w:t>
      </w:r>
    </w:p>
    <w:p w14:paraId="3F971649">
      <w:pPr>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3</w:t>
      </w:r>
      <w:r>
        <w:rPr>
          <w:rFonts w:hint="eastAsia" w:ascii="宋体" w:hAnsi="宋体" w:eastAsia="宋体" w:cs="宋体"/>
          <w:bCs/>
          <w:color w:val="auto"/>
          <w:szCs w:val="21"/>
          <w:highlight w:val="none"/>
        </w:rPr>
        <w:t>、如非监狱企业，不需要提供证明文件。</w:t>
      </w:r>
    </w:p>
    <w:p w14:paraId="567365F5">
      <w:pPr>
        <w:widowControl/>
        <w:jc w:val="left"/>
        <w:rPr>
          <w:rFonts w:ascii="宋体" w:hAnsi="宋体" w:eastAsia="宋体" w:cs="宋体"/>
          <w:color w:val="auto"/>
          <w:szCs w:val="21"/>
          <w:highlight w:val="none"/>
        </w:rPr>
      </w:pPr>
    </w:p>
    <w:p w14:paraId="07D894F6">
      <w:pPr>
        <w:pStyle w:val="7"/>
        <w:widowControl/>
        <w:jc w:val="left"/>
        <w:rPr>
          <w:color w:val="auto"/>
          <w:highlight w:val="none"/>
        </w:rPr>
      </w:pPr>
      <w:r>
        <w:rPr>
          <w:rFonts w:hint="eastAsia"/>
          <w:color w:val="auto"/>
          <w:highlight w:val="none"/>
        </w:rPr>
        <w:br w:type="page"/>
      </w:r>
    </w:p>
    <w:p w14:paraId="3CA0D58A">
      <w:pPr>
        <w:topLinePunct/>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残疾人福利性单位声明函（如有）</w:t>
      </w:r>
    </w:p>
    <w:p w14:paraId="617BF50F">
      <w:pPr>
        <w:pStyle w:val="385"/>
        <w:spacing w:line="360" w:lineRule="auto"/>
        <w:ind w:firstLine="480" w:firstLineChars="200"/>
        <w:rPr>
          <w:rFonts w:hint="default" w:ascii="宋体" w:hAnsi="宋体" w:cs="宋体"/>
          <w:color w:val="auto"/>
          <w:sz w:val="24"/>
          <w:highlight w:val="none"/>
        </w:rPr>
      </w:pPr>
    </w:p>
    <w:p w14:paraId="66EC8180">
      <w:pPr>
        <w:pStyle w:val="385"/>
        <w:spacing w:line="360" w:lineRule="auto"/>
        <w:rPr>
          <w:rFonts w:hint="default" w:ascii="宋体" w:hAnsi="宋体"/>
          <w:color w:val="auto"/>
          <w:highlight w:val="none"/>
        </w:rPr>
      </w:pPr>
      <w:r>
        <w:rPr>
          <w:rFonts w:ascii="宋体" w:hAnsi="宋体" w:cs="宋体"/>
          <w:color w:val="auto"/>
          <w:sz w:val="24"/>
          <w:highlight w:val="none"/>
        </w:rPr>
        <w:t>致：</w:t>
      </w:r>
      <w:r>
        <w:rPr>
          <w:rFonts w:hint="default" w:ascii="宋体" w:hAnsi="宋体" w:cs="宋体"/>
          <w:color w:val="auto"/>
          <w:sz w:val="24"/>
          <w:highlight w:val="none"/>
          <w:u w:val="single"/>
        </w:rPr>
        <w:t xml:space="preserve">        </w:t>
      </w:r>
      <w:r>
        <w:rPr>
          <w:rFonts w:ascii="宋体" w:hAnsi="宋体" w:cs="宋体"/>
          <w:color w:val="auto"/>
          <w:sz w:val="24"/>
          <w:highlight w:val="none"/>
          <w:u w:val="single"/>
        </w:rPr>
        <w:t>（招标人）</w:t>
      </w:r>
      <w:r>
        <w:rPr>
          <w:rFonts w:hint="default" w:ascii="宋体" w:hAnsi="宋体" w:cs="宋体"/>
          <w:color w:val="auto"/>
          <w:sz w:val="24"/>
          <w:highlight w:val="none"/>
          <w:u w:val="single"/>
          <w:lang w:eastAsia="zh-CN"/>
        </w:rPr>
        <w:t xml:space="preserve">         </w:t>
      </w:r>
    </w:p>
    <w:p w14:paraId="47AD0A20">
      <w:pPr>
        <w:pStyle w:val="385"/>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本单位郑重声明，根据《财政部</w:t>
      </w:r>
      <w:r>
        <w:rPr>
          <w:rFonts w:hint="default" w:ascii="宋体" w:hAnsi="宋体" w:cs="宋体"/>
          <w:color w:val="auto"/>
          <w:sz w:val="24"/>
          <w:szCs w:val="24"/>
          <w:highlight w:val="none"/>
        </w:rPr>
        <w:t xml:space="preserve"> </w:t>
      </w:r>
      <w:r>
        <w:rPr>
          <w:rFonts w:ascii="宋体" w:hAnsi="宋体" w:cs="宋体"/>
          <w:color w:val="auto"/>
          <w:sz w:val="24"/>
          <w:szCs w:val="24"/>
          <w:highlight w:val="none"/>
        </w:rPr>
        <w:t>民政部</w:t>
      </w:r>
      <w:r>
        <w:rPr>
          <w:rFonts w:hint="default" w:ascii="宋体" w:hAnsi="宋体" w:cs="宋体"/>
          <w:color w:val="auto"/>
          <w:sz w:val="24"/>
          <w:szCs w:val="24"/>
          <w:highlight w:val="none"/>
        </w:rPr>
        <w:t xml:space="preserve"> </w:t>
      </w:r>
      <w:r>
        <w:rPr>
          <w:rFonts w:ascii="宋体" w:hAnsi="宋体" w:cs="宋体"/>
          <w:color w:val="auto"/>
          <w:sz w:val="24"/>
          <w:szCs w:val="24"/>
          <w:highlight w:val="none"/>
        </w:rPr>
        <w:t>中国残疾人联合会关于促进残疾人就业政府采购政策的通知》（财库〔</w:t>
      </w:r>
      <w:r>
        <w:rPr>
          <w:rFonts w:hint="default" w:ascii="宋体" w:hAnsi="宋体" w:cs="宋体"/>
          <w:color w:val="auto"/>
          <w:sz w:val="24"/>
          <w:szCs w:val="24"/>
          <w:highlight w:val="none"/>
        </w:rPr>
        <w:t>2017</w:t>
      </w:r>
      <w:r>
        <w:rPr>
          <w:rFonts w:ascii="宋体" w:hAnsi="宋体" w:cs="宋体"/>
          <w:color w:val="auto"/>
          <w:sz w:val="24"/>
          <w:szCs w:val="24"/>
          <w:highlight w:val="none"/>
        </w:rPr>
        <w:t>〕</w:t>
      </w:r>
      <w:r>
        <w:rPr>
          <w:rFonts w:hint="default" w:ascii="宋体" w:hAnsi="宋体" w:cs="宋体"/>
          <w:color w:val="auto"/>
          <w:sz w:val="24"/>
          <w:szCs w:val="24"/>
          <w:highlight w:val="none"/>
        </w:rPr>
        <w:t>141</w:t>
      </w:r>
      <w:r>
        <w:rPr>
          <w:rFonts w:ascii="宋体" w:hAnsi="宋体" w:cs="宋体"/>
          <w:color w:val="auto"/>
          <w:sz w:val="24"/>
          <w:szCs w:val="24"/>
          <w:highlight w:val="none"/>
        </w:rPr>
        <w:t>号）的规定，本单位为符合条件的残疾人福利性单位，且本单位参加</w:t>
      </w:r>
      <w:r>
        <w:rPr>
          <w:rFonts w:hint="default" w:ascii="宋体" w:hAnsi="宋体" w:cs="宋体"/>
          <w:color w:val="auto"/>
          <w:sz w:val="24"/>
          <w:highlight w:val="none"/>
          <w:u w:val="single"/>
        </w:rPr>
        <w:t xml:space="preserve">        </w:t>
      </w:r>
      <w:r>
        <w:rPr>
          <w:rFonts w:ascii="宋体" w:hAnsi="宋体" w:cs="宋体"/>
          <w:color w:val="auto"/>
          <w:sz w:val="24"/>
          <w:highlight w:val="none"/>
          <w:u w:val="single"/>
        </w:rPr>
        <w:t>（招标人）</w:t>
      </w:r>
      <w:r>
        <w:rPr>
          <w:rFonts w:hint="default" w:ascii="宋体" w:hAnsi="宋体" w:cs="宋体"/>
          <w:color w:val="auto"/>
          <w:sz w:val="24"/>
          <w:highlight w:val="none"/>
          <w:u w:val="single"/>
          <w:lang w:eastAsia="zh-CN"/>
        </w:rPr>
        <w:t xml:space="preserve">         </w:t>
      </w:r>
      <w:r>
        <w:rPr>
          <w:rFonts w:ascii="宋体" w:hAnsi="宋体" w:cs="宋体"/>
          <w:color w:val="auto"/>
          <w:sz w:val="24"/>
          <w:szCs w:val="24"/>
          <w:highlight w:val="none"/>
        </w:rPr>
        <w:t>单位的</w:t>
      </w:r>
      <w:r>
        <w:rPr>
          <w:rFonts w:hint="default" w:ascii="宋体" w:hAnsi="宋体" w:cs="宋体"/>
          <w:color w:val="auto"/>
          <w:sz w:val="24"/>
          <w:highlight w:val="none"/>
          <w:u w:val="single"/>
        </w:rPr>
        <w:t xml:space="preserve">        </w:t>
      </w:r>
      <w:r>
        <w:rPr>
          <w:rFonts w:ascii="宋体" w:hAnsi="宋体" w:cs="宋体"/>
          <w:color w:val="auto"/>
          <w:sz w:val="24"/>
          <w:highlight w:val="none"/>
          <w:u w:val="single"/>
        </w:rPr>
        <w:t>（</w:t>
      </w:r>
      <w:r>
        <w:rPr>
          <w:rFonts w:ascii="宋体" w:hAnsi="宋体" w:cs="宋体"/>
          <w:color w:val="auto"/>
          <w:sz w:val="24"/>
          <w:highlight w:val="none"/>
          <w:u w:val="single"/>
          <w:lang w:eastAsia="zh-CN"/>
        </w:rPr>
        <w:t>项目名称</w:t>
      </w:r>
      <w:r>
        <w:rPr>
          <w:rFonts w:ascii="宋体" w:hAnsi="宋体" w:cs="宋体"/>
          <w:color w:val="auto"/>
          <w:sz w:val="24"/>
          <w:highlight w:val="none"/>
          <w:u w:val="single"/>
        </w:rPr>
        <w:t>）</w:t>
      </w:r>
      <w:r>
        <w:rPr>
          <w:rFonts w:hint="default" w:ascii="宋体" w:hAnsi="宋体" w:cs="宋体"/>
          <w:color w:val="auto"/>
          <w:sz w:val="24"/>
          <w:highlight w:val="none"/>
          <w:u w:val="single"/>
          <w:lang w:eastAsia="zh-CN"/>
        </w:rPr>
        <w:t xml:space="preserve">         </w:t>
      </w:r>
      <w:r>
        <w:rPr>
          <w:rFonts w:ascii="宋体" w:hAnsi="宋体" w:cs="宋体"/>
          <w:color w:val="auto"/>
          <w:sz w:val="24"/>
          <w:highlight w:val="none"/>
          <w:lang w:eastAsia="zh-CN"/>
        </w:rPr>
        <w:t>项目</w:t>
      </w:r>
      <w:r>
        <w:rPr>
          <w:rFonts w:ascii="宋体" w:hAnsi="宋体" w:cs="宋体"/>
          <w:color w:val="auto"/>
          <w:sz w:val="24"/>
          <w:szCs w:val="24"/>
          <w:highlight w:val="none"/>
          <w:lang w:eastAsia="zh-CN"/>
        </w:rPr>
        <w:t>招标</w:t>
      </w:r>
      <w:r>
        <w:rPr>
          <w:rFonts w:ascii="宋体" w:hAnsi="宋体" w:cs="宋体"/>
          <w:color w:val="auto"/>
          <w:sz w:val="24"/>
          <w:szCs w:val="24"/>
          <w:highlight w:val="none"/>
        </w:rPr>
        <w:t>活动</w:t>
      </w:r>
      <w:r>
        <w:rPr>
          <w:rFonts w:ascii="宋体" w:hAnsi="宋体" w:cs="宋体"/>
          <w:color w:val="auto"/>
          <w:sz w:val="24"/>
          <w:szCs w:val="24"/>
          <w:highlight w:val="none"/>
          <w:lang w:eastAsia="zh-CN"/>
        </w:rPr>
        <w:t>，</w:t>
      </w:r>
      <w:r>
        <w:rPr>
          <w:rFonts w:ascii="宋体" w:hAnsi="宋体" w:cs="宋体"/>
          <w:color w:val="auto"/>
          <w:sz w:val="24"/>
          <w:szCs w:val="24"/>
          <w:highlight w:val="none"/>
        </w:rPr>
        <w:t>由本单位承担工程。</w:t>
      </w:r>
    </w:p>
    <w:p w14:paraId="795780B4">
      <w:pPr>
        <w:pStyle w:val="385"/>
        <w:spacing w:line="360" w:lineRule="auto"/>
        <w:ind w:firstLine="480" w:firstLineChars="200"/>
        <w:rPr>
          <w:rFonts w:hint="default" w:ascii="宋体" w:hAnsi="宋体"/>
          <w:color w:val="auto"/>
          <w:highlight w:val="none"/>
        </w:rPr>
      </w:pPr>
      <w:r>
        <w:rPr>
          <w:rFonts w:ascii="宋体" w:hAnsi="宋体" w:cs="宋体"/>
          <w:color w:val="auto"/>
          <w:sz w:val="24"/>
          <w:szCs w:val="24"/>
          <w:highlight w:val="none"/>
        </w:rPr>
        <w:t>本单位对上述声明的真实性负责。如有虚假，将依法承担相应责任。</w:t>
      </w:r>
    </w:p>
    <w:p w14:paraId="2D691EED">
      <w:pPr>
        <w:spacing w:line="360" w:lineRule="auto"/>
        <w:ind w:firstLine="5040" w:firstLineChars="2100"/>
        <w:rPr>
          <w:rFonts w:ascii="宋体" w:hAnsi="宋体" w:eastAsia="宋体" w:cs="宋体"/>
          <w:color w:val="auto"/>
          <w:sz w:val="24"/>
          <w:szCs w:val="20"/>
          <w:highlight w:val="none"/>
        </w:rPr>
      </w:pPr>
    </w:p>
    <w:p w14:paraId="712CA5E3">
      <w:pPr>
        <w:spacing w:line="360" w:lineRule="auto"/>
        <w:ind w:firstLine="5040" w:firstLineChars="2100"/>
        <w:rPr>
          <w:rFonts w:ascii="宋体" w:hAnsi="宋体" w:eastAsia="宋体" w:cs="宋体"/>
          <w:color w:val="auto"/>
          <w:sz w:val="24"/>
          <w:szCs w:val="20"/>
          <w:highlight w:val="none"/>
        </w:rPr>
      </w:pPr>
    </w:p>
    <w:p w14:paraId="1B8D89F3">
      <w:pPr>
        <w:pStyle w:val="24"/>
        <w:rPr>
          <w:rFonts w:hAnsi="宋体" w:cs="宋体"/>
          <w:color w:val="auto"/>
          <w:sz w:val="24"/>
          <w:highlight w:val="none"/>
        </w:rPr>
      </w:pPr>
    </w:p>
    <w:p w14:paraId="0BBCD83D">
      <w:pPr>
        <w:pStyle w:val="24"/>
        <w:rPr>
          <w:rFonts w:hAnsi="宋体" w:cs="宋体"/>
          <w:color w:val="auto"/>
          <w:sz w:val="24"/>
          <w:highlight w:val="none"/>
        </w:rPr>
      </w:pPr>
    </w:p>
    <w:p w14:paraId="0ACD13B4">
      <w:pPr>
        <w:spacing w:line="360" w:lineRule="auto"/>
        <w:ind w:firstLine="4080" w:firstLineChars="170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声明单位名称（盖章或电子印章）：</w:t>
      </w:r>
    </w:p>
    <w:p w14:paraId="7C851FAD">
      <w:pPr>
        <w:spacing w:line="360" w:lineRule="auto"/>
        <w:ind w:firstLine="5040" w:firstLineChars="2100"/>
        <w:rPr>
          <w:rFonts w:ascii="宋体" w:hAnsi="宋体" w:eastAsia="宋体"/>
          <w:color w:val="auto"/>
          <w:highlight w:val="none"/>
        </w:rPr>
      </w:pPr>
      <w:r>
        <w:rPr>
          <w:rFonts w:hint="eastAsia" w:ascii="宋体" w:hAnsi="宋体" w:eastAsia="宋体" w:cs="宋体"/>
          <w:color w:val="auto"/>
          <w:sz w:val="24"/>
          <w:szCs w:val="20"/>
          <w:highlight w:val="none"/>
        </w:rPr>
        <w:t>日</w:t>
      </w:r>
      <w:r>
        <w:rPr>
          <w:rFonts w:ascii="宋体" w:hAnsi="宋体" w:eastAsia="宋体" w:cs="宋体"/>
          <w:color w:val="auto"/>
          <w:sz w:val="24"/>
          <w:szCs w:val="20"/>
          <w:highlight w:val="none"/>
        </w:rPr>
        <w:t xml:space="preserve">   </w:t>
      </w:r>
      <w:r>
        <w:rPr>
          <w:rFonts w:hint="eastAsia" w:ascii="宋体" w:hAnsi="宋体" w:eastAsia="宋体" w:cs="宋体"/>
          <w:color w:val="auto"/>
          <w:sz w:val="24"/>
          <w:szCs w:val="20"/>
          <w:highlight w:val="none"/>
        </w:rPr>
        <w:t>期：</w:t>
      </w:r>
      <w:r>
        <w:rPr>
          <w:rFonts w:ascii="宋体" w:hAnsi="宋体" w:eastAsia="宋体" w:cs="宋体"/>
          <w:color w:val="auto"/>
          <w:sz w:val="24"/>
          <w:szCs w:val="20"/>
          <w:highlight w:val="none"/>
        </w:rPr>
        <w:t xml:space="preserve">     </w:t>
      </w:r>
      <w:r>
        <w:rPr>
          <w:rFonts w:hint="eastAsia" w:ascii="宋体" w:hAnsi="宋体" w:eastAsia="宋体" w:cs="宋体"/>
          <w:color w:val="auto"/>
          <w:sz w:val="24"/>
          <w:szCs w:val="20"/>
          <w:highlight w:val="none"/>
        </w:rPr>
        <w:t>年</w:t>
      </w:r>
      <w:r>
        <w:rPr>
          <w:rFonts w:ascii="宋体" w:hAnsi="宋体" w:eastAsia="宋体" w:cs="宋体"/>
          <w:color w:val="auto"/>
          <w:sz w:val="24"/>
          <w:szCs w:val="20"/>
          <w:highlight w:val="none"/>
        </w:rPr>
        <w:t xml:space="preserve">   </w:t>
      </w:r>
      <w:r>
        <w:rPr>
          <w:rFonts w:hint="eastAsia" w:ascii="宋体" w:hAnsi="宋体" w:eastAsia="宋体" w:cs="宋体"/>
          <w:color w:val="auto"/>
          <w:sz w:val="24"/>
          <w:szCs w:val="20"/>
          <w:highlight w:val="none"/>
        </w:rPr>
        <w:t>月</w:t>
      </w:r>
      <w:r>
        <w:rPr>
          <w:rFonts w:ascii="宋体" w:hAnsi="宋体" w:eastAsia="宋体" w:cs="宋体"/>
          <w:color w:val="auto"/>
          <w:sz w:val="24"/>
          <w:szCs w:val="20"/>
          <w:highlight w:val="none"/>
        </w:rPr>
        <w:t xml:space="preserve">   </w:t>
      </w:r>
      <w:r>
        <w:rPr>
          <w:rFonts w:hint="eastAsia" w:ascii="宋体" w:hAnsi="宋体" w:eastAsia="宋体" w:cs="宋体"/>
          <w:color w:val="auto"/>
          <w:sz w:val="24"/>
          <w:szCs w:val="20"/>
          <w:highlight w:val="none"/>
        </w:rPr>
        <w:t>日</w:t>
      </w:r>
    </w:p>
    <w:p w14:paraId="4BED97CF">
      <w:pPr>
        <w:pStyle w:val="290"/>
        <w:spacing w:line="360" w:lineRule="auto"/>
        <w:jc w:val="left"/>
        <w:rPr>
          <w:rFonts w:ascii="宋体" w:hAnsi="宋体"/>
          <w:color w:val="auto"/>
          <w:sz w:val="24"/>
          <w:szCs w:val="24"/>
          <w:highlight w:val="none"/>
        </w:rPr>
      </w:pPr>
    </w:p>
    <w:p w14:paraId="4D9841A8">
      <w:pPr>
        <w:pStyle w:val="290"/>
        <w:spacing w:line="360" w:lineRule="auto"/>
        <w:jc w:val="left"/>
        <w:rPr>
          <w:rFonts w:ascii="宋体" w:hAnsi="宋体"/>
          <w:color w:val="auto"/>
          <w:sz w:val="24"/>
          <w:szCs w:val="24"/>
          <w:highlight w:val="none"/>
        </w:rPr>
      </w:pPr>
    </w:p>
    <w:p w14:paraId="54FD3E14">
      <w:pPr>
        <w:pStyle w:val="290"/>
        <w:spacing w:line="360" w:lineRule="auto"/>
        <w:jc w:val="left"/>
        <w:rPr>
          <w:rFonts w:ascii="宋体" w:hAnsi="宋体"/>
          <w:color w:val="auto"/>
          <w:sz w:val="24"/>
          <w:szCs w:val="24"/>
          <w:highlight w:val="none"/>
        </w:rPr>
      </w:pPr>
    </w:p>
    <w:p w14:paraId="7E67890C">
      <w:pPr>
        <w:pStyle w:val="290"/>
        <w:spacing w:line="360" w:lineRule="auto"/>
        <w:jc w:val="left"/>
        <w:rPr>
          <w:rFonts w:ascii="宋体" w:hAnsi="宋体"/>
          <w:color w:val="auto"/>
          <w:sz w:val="24"/>
          <w:szCs w:val="24"/>
          <w:highlight w:val="none"/>
        </w:rPr>
      </w:pPr>
    </w:p>
    <w:p w14:paraId="67855E2F">
      <w:pPr>
        <w:pStyle w:val="290"/>
        <w:spacing w:line="360" w:lineRule="auto"/>
        <w:jc w:val="left"/>
        <w:rPr>
          <w:rFonts w:ascii="宋体" w:hAnsi="宋体"/>
          <w:color w:val="auto"/>
          <w:sz w:val="24"/>
          <w:szCs w:val="24"/>
          <w:highlight w:val="none"/>
        </w:rPr>
      </w:pPr>
    </w:p>
    <w:p w14:paraId="01C578B3">
      <w:pPr>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注：</w:t>
      </w:r>
      <w:r>
        <w:rPr>
          <w:rFonts w:ascii="宋体" w:hAnsi="宋体" w:eastAsia="宋体" w:cs="宋体"/>
          <w:color w:val="auto"/>
          <w:szCs w:val="21"/>
          <w:highlight w:val="none"/>
        </w:rPr>
        <w:t>1</w:t>
      </w:r>
      <w:r>
        <w:rPr>
          <w:rFonts w:hint="eastAsia" w:ascii="宋体" w:hAnsi="宋体" w:eastAsia="宋体" w:cs="宋体"/>
          <w:color w:val="auto"/>
          <w:szCs w:val="21"/>
          <w:highlight w:val="none"/>
        </w:rPr>
        <w:t>、残疾人福利性单位声明函（如有）适用于残疾人福利性单位参加招投标活动的。本函未填写的视作未做声明。</w:t>
      </w:r>
      <w:r>
        <w:rPr>
          <w:rFonts w:hint="eastAsia" w:ascii="宋体" w:hAnsi="宋体" w:eastAsia="宋体" w:cs="Times New Roman"/>
          <w:color w:val="auto"/>
          <w:szCs w:val="21"/>
          <w:highlight w:val="none"/>
        </w:rPr>
        <w:t>如不适用，本格式不需要提供。</w:t>
      </w:r>
    </w:p>
    <w:p w14:paraId="347092E7">
      <w:pPr>
        <w:ind w:firstLine="424" w:firstLineChars="202"/>
        <w:rPr>
          <w:rFonts w:ascii="宋体" w:hAnsi="宋体" w:eastAsia="宋体" w:cs="宋体"/>
          <w:b/>
          <w:bCs/>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残疾人福利性单位视同小微企业，无需再提供《中小企业声明函》。</w:t>
      </w:r>
    </w:p>
    <w:p w14:paraId="0D74A52F">
      <w:pPr>
        <w:widowControl/>
        <w:jc w:val="left"/>
        <w:rPr>
          <w:rFonts w:ascii="宋体" w:hAnsi="宋体" w:eastAsia="宋体" w:cs="宋体"/>
          <w:color w:val="auto"/>
          <w:szCs w:val="21"/>
          <w:highlight w:val="none"/>
        </w:rPr>
      </w:pPr>
      <w:r>
        <w:rPr>
          <w:rFonts w:ascii="宋体" w:hAnsi="宋体" w:eastAsia="宋体" w:cs="宋体"/>
          <w:color w:val="auto"/>
          <w:szCs w:val="21"/>
          <w:highlight w:val="none"/>
        </w:rPr>
        <w:br w:type="page"/>
      </w:r>
    </w:p>
    <w:p w14:paraId="0FE64CD6">
      <w:pPr>
        <w:pStyle w:val="4"/>
        <w:rPr>
          <w:color w:val="auto"/>
          <w:highlight w:val="none"/>
        </w:rPr>
      </w:pPr>
      <w:r>
        <w:rPr>
          <w:rFonts w:hint="eastAsia"/>
          <w:color w:val="auto"/>
          <w:highlight w:val="none"/>
        </w:rPr>
        <w:t>格式</w:t>
      </w:r>
      <w:r>
        <w:rPr>
          <w:rFonts w:hint="eastAsia"/>
          <w:color w:val="auto"/>
          <w:highlight w:val="none"/>
          <w:lang w:val="en-US" w:eastAsia="zh-CN"/>
        </w:rPr>
        <w:t>九</w:t>
      </w:r>
      <w:r>
        <w:rPr>
          <w:rFonts w:hint="eastAsia"/>
          <w:color w:val="auto"/>
          <w:highlight w:val="none"/>
        </w:rPr>
        <w:t>：</w:t>
      </w:r>
    </w:p>
    <w:p w14:paraId="33298B4B">
      <w:pPr>
        <w:widowControl/>
        <w:spacing w:line="360" w:lineRule="auto"/>
        <w:jc w:val="left"/>
        <w:rPr>
          <w:rFonts w:ascii="宋体" w:hAnsi="宋体" w:eastAsia="宋体" w:cs="宋体"/>
          <w:b/>
          <w:color w:val="auto"/>
          <w:kern w:val="0"/>
          <w:sz w:val="20"/>
          <w:szCs w:val="20"/>
          <w:highlight w:val="none"/>
          <w:lang w:eastAsia="zh-Hans"/>
        </w:rPr>
      </w:pPr>
      <w:r>
        <w:rPr>
          <w:rFonts w:ascii="宋体" w:hAnsi="宋体" w:eastAsia="宋体" w:cs="宋体"/>
          <w:b/>
          <w:color w:val="auto"/>
          <w:kern w:val="0"/>
          <w:sz w:val="20"/>
          <w:szCs w:val="20"/>
          <w:highlight w:val="none"/>
          <w:lang w:eastAsia="zh-Hans"/>
        </w:rPr>
        <w:t>（以下格式文件由</w:t>
      </w:r>
      <w:r>
        <w:rPr>
          <w:rFonts w:hint="eastAsia" w:ascii="宋体" w:hAnsi="宋体" w:eastAsia="宋体" w:cs="宋体"/>
          <w:b/>
          <w:color w:val="auto"/>
          <w:kern w:val="0"/>
          <w:sz w:val="20"/>
          <w:szCs w:val="20"/>
          <w:highlight w:val="none"/>
        </w:rPr>
        <w:t>投标人</w:t>
      </w:r>
      <w:r>
        <w:rPr>
          <w:rFonts w:ascii="宋体" w:hAnsi="宋体" w:eastAsia="宋体" w:cs="宋体"/>
          <w:b/>
          <w:color w:val="auto"/>
          <w:kern w:val="0"/>
          <w:sz w:val="20"/>
          <w:szCs w:val="20"/>
          <w:highlight w:val="none"/>
          <w:lang w:eastAsia="zh-Hans"/>
        </w:rPr>
        <w:t>根据需要选用）</w:t>
      </w:r>
    </w:p>
    <w:p w14:paraId="3DA9A14A">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分包意向协议书（如有）</w:t>
      </w:r>
    </w:p>
    <w:p w14:paraId="6771528D">
      <w:pPr>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kern w:val="10"/>
          <w:szCs w:val="21"/>
          <w:highlight w:val="none"/>
        </w:rPr>
        <w:t>立约方：</w:t>
      </w:r>
      <w:r>
        <w:rPr>
          <w:rFonts w:hint="eastAsia" w:ascii="宋体" w:hAnsi="宋体" w:eastAsia="宋体" w:cs="宋体"/>
          <w:color w:val="auto"/>
          <w:szCs w:val="21"/>
          <w:highlight w:val="none"/>
          <w:u w:val="single"/>
        </w:rPr>
        <w:t>（甲公司全称）</w:t>
      </w:r>
    </w:p>
    <w:p w14:paraId="4E62967A">
      <w:pPr>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（乙公司全称）</w:t>
      </w:r>
    </w:p>
    <w:p w14:paraId="2ECCBC08">
      <w:pPr>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（……公司全称）</w:t>
      </w:r>
    </w:p>
    <w:p w14:paraId="16909B6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rPr>
        <w:t>（甲公司全称）</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（乙公司全称）</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（……公司全称）</w:t>
      </w:r>
      <w:r>
        <w:rPr>
          <w:rFonts w:hint="eastAsia" w:ascii="宋体" w:hAnsi="宋体" w:eastAsia="宋体" w:cs="宋体"/>
          <w:color w:val="auto"/>
          <w:kern w:val="0"/>
          <w:szCs w:val="21"/>
          <w:highlight w:val="none"/>
        </w:rPr>
        <w:t>自愿达成分包意向，参加</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kern w:val="0"/>
          <w:szCs w:val="21"/>
          <w:highlight w:val="none"/>
        </w:rPr>
        <w:t>的投标活动。</w:t>
      </w:r>
      <w:r>
        <w:rPr>
          <w:rFonts w:hint="eastAsia" w:ascii="宋体" w:hAnsi="宋体" w:eastAsia="宋体" w:cs="宋体"/>
          <w:color w:val="auto"/>
          <w:szCs w:val="21"/>
          <w:highlight w:val="none"/>
        </w:rPr>
        <w:t>经各方充分协商一致，就</w:t>
      </w:r>
      <w:r>
        <w:rPr>
          <w:rFonts w:hint="eastAsia" w:ascii="宋体" w:hAnsi="宋体" w:eastAsia="宋体" w:cs="宋体"/>
          <w:color w:val="auto"/>
          <w:kern w:val="10"/>
          <w:szCs w:val="21"/>
          <w:highlight w:val="none"/>
        </w:rPr>
        <w:t>项目的</w:t>
      </w:r>
      <w:r>
        <w:rPr>
          <w:rFonts w:hint="eastAsia" w:ascii="宋体" w:hAnsi="宋体" w:eastAsia="宋体" w:cs="宋体"/>
          <w:color w:val="auto"/>
          <w:kern w:val="0"/>
          <w:szCs w:val="21"/>
          <w:highlight w:val="none"/>
        </w:rPr>
        <w:t>投标</w:t>
      </w:r>
      <w:r>
        <w:rPr>
          <w:rFonts w:hint="eastAsia" w:ascii="宋体" w:hAnsi="宋体" w:eastAsia="宋体" w:cs="宋体"/>
          <w:color w:val="auto"/>
          <w:kern w:val="10"/>
          <w:szCs w:val="21"/>
          <w:highlight w:val="none"/>
        </w:rPr>
        <w:t>和合同实施阶段的有关事务协商一致</w:t>
      </w:r>
      <w:r>
        <w:rPr>
          <w:rFonts w:hint="eastAsia" w:ascii="宋体" w:hAnsi="宋体" w:eastAsia="宋体" w:cs="宋体"/>
          <w:color w:val="auto"/>
          <w:kern w:val="0"/>
          <w:szCs w:val="21"/>
          <w:highlight w:val="none"/>
        </w:rPr>
        <w:t>订立意向如下</w:t>
      </w:r>
      <w:r>
        <w:rPr>
          <w:rFonts w:hint="eastAsia" w:ascii="宋体" w:hAnsi="宋体" w:eastAsia="宋体" w:cs="宋体"/>
          <w:color w:val="auto"/>
          <w:szCs w:val="21"/>
          <w:highlight w:val="none"/>
        </w:rPr>
        <w:t>：</w:t>
      </w:r>
    </w:p>
    <w:p w14:paraId="2DAEA2C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一、分包意向各方关系</w:t>
      </w:r>
    </w:p>
    <w:p w14:paraId="33722D7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rPr>
        <w:t>（甲公司全称）为投标人</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（乙公司全称）</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（……公司全称）</w:t>
      </w:r>
      <w:r>
        <w:rPr>
          <w:rFonts w:hint="eastAsia" w:ascii="宋体" w:hAnsi="宋体" w:eastAsia="宋体" w:cs="宋体"/>
          <w:color w:val="auto"/>
          <w:szCs w:val="21"/>
          <w:highlight w:val="none"/>
        </w:rPr>
        <w:t>为分包意向单位，</w:t>
      </w:r>
      <w:r>
        <w:rPr>
          <w:rFonts w:hint="eastAsia" w:ascii="宋体" w:hAnsi="宋体" w:eastAsia="宋体" w:cs="宋体"/>
          <w:color w:val="auto"/>
          <w:kern w:val="0"/>
          <w:szCs w:val="21"/>
          <w:highlight w:val="none"/>
          <w:u w:val="single"/>
        </w:rPr>
        <w:t>（甲公司全称）</w:t>
      </w:r>
      <w:r>
        <w:rPr>
          <w:rFonts w:hint="eastAsia" w:ascii="宋体" w:hAnsi="宋体" w:eastAsia="宋体" w:cs="宋体"/>
          <w:color w:val="auto"/>
          <w:szCs w:val="21"/>
          <w:highlight w:val="none"/>
        </w:rPr>
        <w:t>以投标人的身份参加本项目的</w:t>
      </w:r>
      <w:r>
        <w:rPr>
          <w:rFonts w:hint="eastAsia" w:ascii="宋体" w:hAnsi="宋体" w:eastAsia="宋体" w:cs="宋体"/>
          <w:color w:val="auto"/>
          <w:kern w:val="0"/>
          <w:szCs w:val="21"/>
          <w:highlight w:val="none"/>
        </w:rPr>
        <w:t>投标</w:t>
      </w:r>
      <w:r>
        <w:rPr>
          <w:rFonts w:hint="eastAsia" w:ascii="宋体" w:hAnsi="宋体" w:eastAsia="宋体" w:cs="宋体"/>
          <w:color w:val="auto"/>
          <w:szCs w:val="21"/>
          <w:highlight w:val="none"/>
        </w:rPr>
        <w:t>。若中标，</w:t>
      </w:r>
      <w:r>
        <w:rPr>
          <w:rFonts w:hint="eastAsia" w:ascii="宋体" w:hAnsi="宋体" w:eastAsia="宋体" w:cs="宋体"/>
          <w:color w:val="auto"/>
          <w:kern w:val="0"/>
          <w:szCs w:val="21"/>
          <w:highlight w:val="none"/>
          <w:u w:val="single"/>
        </w:rPr>
        <w:t>（甲公司全称）与</w:t>
      </w:r>
      <w:r>
        <w:rPr>
          <w:rFonts w:hint="eastAsia" w:ascii="宋体" w:hAnsi="宋体" w:eastAsia="宋体" w:cs="宋体"/>
          <w:color w:val="auto"/>
          <w:szCs w:val="21"/>
          <w:highlight w:val="none"/>
          <w:u w:val="single"/>
        </w:rPr>
        <w:t>招标人</w:t>
      </w:r>
      <w:r>
        <w:rPr>
          <w:rFonts w:hint="eastAsia" w:ascii="宋体" w:hAnsi="宋体" w:eastAsia="宋体" w:cs="宋体"/>
          <w:color w:val="auto"/>
          <w:szCs w:val="21"/>
          <w:highlight w:val="none"/>
        </w:rPr>
        <w:t>签订建设工程施工合同。承接分包意向的各单位与</w:t>
      </w:r>
      <w:r>
        <w:rPr>
          <w:rFonts w:hint="eastAsia" w:ascii="宋体" w:hAnsi="宋体" w:eastAsia="宋体" w:cs="宋体"/>
          <w:color w:val="auto"/>
          <w:szCs w:val="21"/>
          <w:highlight w:val="none"/>
          <w:u w:val="single"/>
        </w:rPr>
        <w:t>（</w:t>
      </w:r>
      <w:r>
        <w:rPr>
          <w:rFonts w:hint="eastAsia" w:ascii="宋体" w:hAnsi="宋体" w:eastAsia="宋体" w:cs="宋体"/>
          <w:color w:val="auto"/>
          <w:kern w:val="0"/>
          <w:szCs w:val="21"/>
          <w:highlight w:val="none"/>
          <w:u w:val="single"/>
        </w:rPr>
        <w:t>甲公司全称</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签订分包合同。</w:t>
      </w:r>
      <w:r>
        <w:rPr>
          <w:rFonts w:hint="eastAsia" w:ascii="宋体" w:hAnsi="宋体" w:eastAsia="宋体" w:cs="宋体"/>
          <w:color w:val="auto"/>
          <w:kern w:val="0"/>
          <w:szCs w:val="21"/>
          <w:highlight w:val="none"/>
          <w:u w:val="single"/>
        </w:rPr>
        <w:t>（甲公司全称）</w:t>
      </w:r>
      <w:r>
        <w:rPr>
          <w:rFonts w:hint="eastAsia" w:ascii="宋体" w:hAnsi="宋体" w:eastAsia="宋体" w:cs="宋体"/>
          <w:color w:val="auto"/>
          <w:szCs w:val="21"/>
          <w:highlight w:val="none"/>
        </w:rPr>
        <w:t>就招标项目和分包项目向招标人负责，分包单位就分包项目承担责任。</w:t>
      </w:r>
    </w:p>
    <w:p w14:paraId="19E187E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二、有关事项约定如下：</w:t>
      </w:r>
    </w:p>
    <w:p w14:paraId="08DCFEF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1.如中标，分包单位分别与</w:t>
      </w:r>
      <w:r>
        <w:rPr>
          <w:rFonts w:hint="eastAsia" w:ascii="宋体" w:hAnsi="宋体" w:eastAsia="宋体" w:cs="宋体"/>
          <w:color w:val="auto"/>
          <w:szCs w:val="21"/>
          <w:highlight w:val="none"/>
          <w:u w:val="single"/>
        </w:rPr>
        <w:t>（</w:t>
      </w:r>
      <w:r>
        <w:rPr>
          <w:rFonts w:hint="eastAsia" w:ascii="宋体" w:hAnsi="宋体" w:eastAsia="宋体" w:cs="宋体"/>
          <w:color w:val="auto"/>
          <w:kern w:val="0"/>
          <w:szCs w:val="21"/>
          <w:highlight w:val="none"/>
          <w:u w:val="single"/>
        </w:rPr>
        <w:t>甲公司全称</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签订合同书，并就中标项目分包部分承担法律责任；</w:t>
      </w:r>
    </w:p>
    <w:p w14:paraId="2074F3F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2.分包意向单位1</w:t>
      </w:r>
      <w:r>
        <w:rPr>
          <w:rFonts w:hint="eastAsia" w:ascii="宋体" w:hAnsi="宋体" w:eastAsia="宋体" w:cs="宋体"/>
          <w:color w:val="auto"/>
          <w:szCs w:val="21"/>
          <w:highlight w:val="none"/>
          <w:u w:val="single"/>
        </w:rPr>
        <w:t>　（</w:t>
      </w:r>
      <w:r>
        <w:rPr>
          <w:rFonts w:hint="eastAsia" w:ascii="宋体" w:hAnsi="宋体" w:eastAsia="宋体" w:cs="宋体"/>
          <w:color w:val="auto"/>
          <w:kern w:val="0"/>
          <w:szCs w:val="21"/>
          <w:highlight w:val="none"/>
          <w:u w:val="single"/>
        </w:rPr>
        <w:t>乙</w:t>
      </w:r>
      <w:r>
        <w:rPr>
          <w:rFonts w:hint="eastAsia" w:ascii="宋体" w:hAnsi="宋体" w:eastAsia="宋体" w:cs="宋体"/>
          <w:color w:val="auto"/>
          <w:szCs w:val="21"/>
          <w:highlight w:val="none"/>
          <w:u w:val="single"/>
        </w:rPr>
        <w:t>公司全称）　</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u w:val="single"/>
        </w:rPr>
        <w:t>（请填写：小型、微型）</w:t>
      </w:r>
      <w:r>
        <w:rPr>
          <w:rFonts w:hint="eastAsia" w:ascii="宋体" w:hAnsi="宋体" w:eastAsia="宋体" w:cs="宋体"/>
          <w:color w:val="auto"/>
          <w:szCs w:val="21"/>
          <w:highlight w:val="none"/>
        </w:rPr>
        <w:t>企业，将承担适宜分包部分</w:t>
      </w:r>
      <w:r>
        <w:rPr>
          <w:rFonts w:hint="eastAsia" w:ascii="宋体" w:hAnsi="宋体" w:eastAsia="宋体" w:cs="宋体"/>
          <w:color w:val="auto"/>
          <w:szCs w:val="21"/>
          <w:highlight w:val="none"/>
          <w:u w:val="single"/>
        </w:rPr>
        <w:t xml:space="preserve"> （具体分包内容）</w:t>
      </w:r>
      <w:r>
        <w:rPr>
          <w:rFonts w:hint="eastAsia" w:ascii="宋体" w:hAnsi="宋体" w:eastAsia="宋体" w:cs="宋体"/>
          <w:color w:val="auto"/>
          <w:szCs w:val="21"/>
          <w:highlight w:val="none"/>
        </w:rPr>
        <w:t>占合同总金额</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%的工作内容。</w:t>
      </w:r>
    </w:p>
    <w:p w14:paraId="385477D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3.分包意向单位2</w:t>
      </w:r>
      <w:r>
        <w:rPr>
          <w:rFonts w:hint="eastAsia" w:ascii="宋体" w:hAnsi="宋体" w:eastAsia="宋体" w:cs="宋体"/>
          <w:color w:val="auto"/>
          <w:szCs w:val="21"/>
          <w:highlight w:val="none"/>
          <w:u w:val="single"/>
        </w:rPr>
        <w:t>　（</w:t>
      </w:r>
      <w:r>
        <w:rPr>
          <w:rFonts w:hint="eastAsia" w:ascii="宋体" w:hAnsi="宋体" w:eastAsia="宋体" w:cs="宋体"/>
          <w:color w:val="auto"/>
          <w:kern w:val="0"/>
          <w:szCs w:val="21"/>
          <w:highlight w:val="none"/>
          <w:u w:val="single"/>
        </w:rPr>
        <w:t>……</w:t>
      </w:r>
      <w:r>
        <w:rPr>
          <w:rFonts w:hint="eastAsia" w:ascii="宋体" w:hAnsi="宋体" w:eastAsia="宋体" w:cs="宋体"/>
          <w:color w:val="auto"/>
          <w:szCs w:val="21"/>
          <w:highlight w:val="none"/>
          <w:u w:val="single"/>
        </w:rPr>
        <w:t>公司全称）</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u w:val="single"/>
        </w:rPr>
        <w:t>（请填写：小型、微型）</w:t>
      </w:r>
      <w:r>
        <w:rPr>
          <w:rFonts w:hint="eastAsia" w:ascii="宋体" w:hAnsi="宋体" w:eastAsia="宋体" w:cs="宋体"/>
          <w:color w:val="auto"/>
          <w:szCs w:val="21"/>
          <w:highlight w:val="none"/>
        </w:rPr>
        <w:t>企业，将承担适宜分包部分</w:t>
      </w:r>
      <w:r>
        <w:rPr>
          <w:rFonts w:hint="eastAsia" w:ascii="宋体" w:hAnsi="宋体" w:eastAsia="宋体" w:cs="宋体"/>
          <w:color w:val="auto"/>
          <w:szCs w:val="21"/>
          <w:highlight w:val="none"/>
          <w:u w:val="single"/>
        </w:rPr>
        <w:t>（具体分包内容）占</w:t>
      </w:r>
      <w:r>
        <w:rPr>
          <w:rFonts w:hint="eastAsia" w:ascii="宋体" w:hAnsi="宋体" w:eastAsia="宋体" w:cs="宋体"/>
          <w:color w:val="auto"/>
          <w:szCs w:val="21"/>
          <w:highlight w:val="none"/>
        </w:rPr>
        <w:t>合同总金额</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%的工作内容。</w:t>
      </w:r>
    </w:p>
    <w:p w14:paraId="186DE77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w:t>
      </w:r>
    </w:p>
    <w:p w14:paraId="1F1018A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三、接受分包的企业与投标人之间的关系：</w:t>
      </w:r>
    </w:p>
    <w:p w14:paraId="5D2770D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1.分包意向单位1</w:t>
      </w:r>
      <w:r>
        <w:rPr>
          <w:rFonts w:hint="eastAsia" w:ascii="宋体" w:hAnsi="宋体" w:eastAsia="宋体" w:cs="宋体"/>
          <w:color w:val="auto"/>
          <w:szCs w:val="21"/>
          <w:highlight w:val="none"/>
          <w:u w:val="single"/>
        </w:rPr>
        <w:t>　（公司全称）</w:t>
      </w:r>
      <w:r>
        <w:rPr>
          <w:rFonts w:hint="eastAsia" w:ascii="宋体" w:hAnsi="宋体" w:eastAsia="宋体" w:cs="宋体"/>
          <w:color w:val="auto"/>
          <w:szCs w:val="21"/>
          <w:highlight w:val="none"/>
        </w:rPr>
        <w:t>与投标人之间</w:t>
      </w:r>
      <w:r>
        <w:rPr>
          <w:rFonts w:hint="eastAsia" w:ascii="宋体" w:hAnsi="宋体" w:eastAsia="宋体" w:cs="宋体"/>
          <w:color w:val="auto"/>
          <w:szCs w:val="21"/>
          <w:highlight w:val="none"/>
          <w:u w:val="single"/>
        </w:rPr>
        <w:t>（请填写：是否存在）</w:t>
      </w:r>
      <w:r>
        <w:rPr>
          <w:rFonts w:hint="eastAsia" w:ascii="宋体" w:hAnsi="宋体" w:eastAsia="宋体" w:cs="宋体"/>
          <w:color w:val="auto"/>
          <w:szCs w:val="21"/>
          <w:highlight w:val="none"/>
        </w:rPr>
        <w:t>直接控股、管理关系的情形。</w:t>
      </w:r>
    </w:p>
    <w:p w14:paraId="40FCCA1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2.分包意向单位2</w:t>
      </w:r>
      <w:r>
        <w:rPr>
          <w:rFonts w:hint="eastAsia" w:ascii="宋体" w:hAnsi="宋体" w:eastAsia="宋体" w:cs="宋体"/>
          <w:color w:val="auto"/>
          <w:szCs w:val="21"/>
          <w:highlight w:val="none"/>
          <w:u w:val="single"/>
        </w:rPr>
        <w:t>　（公司全称）</w:t>
      </w:r>
      <w:r>
        <w:rPr>
          <w:rFonts w:hint="eastAsia" w:ascii="宋体" w:hAnsi="宋体" w:eastAsia="宋体" w:cs="宋体"/>
          <w:color w:val="auto"/>
          <w:szCs w:val="21"/>
          <w:highlight w:val="none"/>
        </w:rPr>
        <w:t>与投标人之间</w:t>
      </w:r>
      <w:r>
        <w:rPr>
          <w:rFonts w:hint="eastAsia" w:ascii="宋体" w:hAnsi="宋体" w:eastAsia="宋体" w:cs="宋体"/>
          <w:color w:val="auto"/>
          <w:szCs w:val="21"/>
          <w:highlight w:val="none"/>
          <w:u w:val="single"/>
        </w:rPr>
        <w:t>（请填写：是否存在）</w:t>
      </w:r>
      <w:r>
        <w:rPr>
          <w:rFonts w:hint="eastAsia" w:ascii="宋体" w:hAnsi="宋体" w:eastAsia="宋体" w:cs="宋体"/>
          <w:color w:val="auto"/>
          <w:szCs w:val="21"/>
          <w:highlight w:val="none"/>
        </w:rPr>
        <w:t>直接控股、管理关系的情形。</w:t>
      </w:r>
    </w:p>
    <w:p w14:paraId="5C0B6E0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w:t>
      </w:r>
    </w:p>
    <w:p w14:paraId="0EFC68E6">
      <w:pPr>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四、如因违约过失责任而导致招标人经济损失或被索赔时，</w:t>
      </w:r>
      <w:r>
        <w:rPr>
          <w:rFonts w:hint="eastAsia" w:ascii="宋体" w:hAnsi="宋体" w:eastAsia="宋体" w:cs="宋体"/>
          <w:color w:val="auto"/>
          <w:szCs w:val="21"/>
          <w:highlight w:val="none"/>
          <w:u w:val="single"/>
        </w:rPr>
        <w:t>（</w:t>
      </w:r>
      <w:r>
        <w:rPr>
          <w:rFonts w:hint="eastAsia" w:ascii="宋体" w:hAnsi="宋体" w:eastAsia="宋体" w:cs="宋体"/>
          <w:color w:val="auto"/>
          <w:kern w:val="0"/>
          <w:szCs w:val="21"/>
          <w:highlight w:val="none"/>
          <w:u w:val="single"/>
        </w:rPr>
        <w:t>甲公司全称</w:t>
      </w:r>
      <w:r>
        <w:rPr>
          <w:rFonts w:hint="eastAsia" w:ascii="宋体" w:hAnsi="宋体" w:eastAsia="宋体" w:cs="宋体"/>
          <w:color w:val="auto"/>
          <w:szCs w:val="21"/>
          <w:highlight w:val="none"/>
          <w:u w:val="single"/>
        </w:rPr>
        <w:t>）</w:t>
      </w:r>
      <w:r>
        <w:rPr>
          <w:rFonts w:hint="eastAsia" w:ascii="宋体" w:hAnsi="宋体" w:eastAsia="宋体" w:cs="宋体"/>
          <w:color w:val="auto"/>
          <w:kern w:val="0"/>
          <w:szCs w:val="21"/>
          <w:highlight w:val="none"/>
        </w:rPr>
        <w:t>同意无条件优先清偿招标人的一切债务和经济赔偿。</w:t>
      </w:r>
    </w:p>
    <w:p w14:paraId="0B97111B">
      <w:pPr>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五、如中标，分包意向单位不得以任何理由提出终止本意向协议。</w:t>
      </w:r>
    </w:p>
    <w:p w14:paraId="69F4C30C">
      <w:pPr>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六、如中标，分包意向单位确定后，不得擅自变更。</w:t>
      </w:r>
    </w:p>
    <w:p w14:paraId="755C5962">
      <w:pPr>
        <w:spacing w:line="360" w:lineRule="auto"/>
        <w:ind w:left="23" w:leftChars="11" w:firstLine="424" w:firstLineChars="202"/>
        <w:rPr>
          <w:rFonts w:ascii="宋体" w:hAnsi="宋体" w:eastAsia="宋体" w:cs="宋体"/>
          <w:color w:val="auto"/>
          <w:szCs w:val="21"/>
          <w:highlight w:val="none"/>
        </w:rPr>
      </w:pPr>
      <w:r>
        <w:rPr>
          <w:rFonts w:hint="eastAsia" w:ascii="宋体" w:hAnsi="宋体" w:eastAsia="宋体" w:cs="宋体"/>
          <w:color w:val="auto"/>
          <w:kern w:val="0"/>
          <w:szCs w:val="21"/>
          <w:highlight w:val="none"/>
        </w:rPr>
        <w:t>七、</w:t>
      </w:r>
      <w:r>
        <w:rPr>
          <w:rFonts w:hint="eastAsia" w:ascii="宋体" w:hAnsi="宋体" w:eastAsia="宋体" w:cs="宋体"/>
          <w:color w:val="auto"/>
          <w:szCs w:val="21"/>
          <w:highlight w:val="none"/>
        </w:rPr>
        <w:t>本意向书在</w:t>
      </w:r>
      <w:r>
        <w:rPr>
          <w:rFonts w:hint="eastAsia" w:ascii="宋体" w:hAnsi="宋体" w:eastAsia="宋体" w:cs="宋体"/>
          <w:color w:val="auto"/>
          <w:kern w:val="0"/>
          <w:szCs w:val="21"/>
          <w:highlight w:val="none"/>
        </w:rPr>
        <w:t>自签署之日起生效，</w:t>
      </w:r>
      <w:r>
        <w:rPr>
          <w:rFonts w:hint="eastAsia" w:ascii="宋体" w:hAnsi="宋体" w:eastAsia="宋体" w:cs="宋体"/>
          <w:color w:val="auto"/>
          <w:szCs w:val="21"/>
          <w:highlight w:val="none"/>
        </w:rPr>
        <w:t>有效期内有效，如获中标资格，有效期延续至合同履行完毕之日。</w:t>
      </w:r>
    </w:p>
    <w:p w14:paraId="3EF58F60">
      <w:pPr>
        <w:widowControl/>
        <w:tabs>
          <w:tab w:val="left" w:pos="2977"/>
          <w:tab w:val="left" w:pos="5954"/>
        </w:tabs>
        <w:spacing w:line="360" w:lineRule="auto"/>
        <w:ind w:firstLine="424" w:firstLineChars="202"/>
        <w:jc w:val="left"/>
        <w:rPr>
          <w:rFonts w:ascii="宋体" w:hAnsi="宋体" w:eastAsia="宋体" w:cs="宋体"/>
          <w:color w:val="auto"/>
          <w:kern w:val="0"/>
          <w:szCs w:val="21"/>
          <w:highlight w:val="none"/>
        </w:rPr>
      </w:pPr>
    </w:p>
    <w:p w14:paraId="3395C4C4">
      <w:pPr>
        <w:widowControl/>
        <w:tabs>
          <w:tab w:val="left" w:pos="2977"/>
          <w:tab w:val="left" w:pos="5954"/>
        </w:tabs>
        <w:spacing w:line="360" w:lineRule="auto"/>
        <w:ind w:firstLine="424" w:firstLineChars="202"/>
        <w:jc w:val="left"/>
        <w:rPr>
          <w:rFonts w:ascii="宋体" w:hAnsi="宋体" w:eastAsia="宋体" w:cs="宋体"/>
          <w:color w:val="auto"/>
          <w:kern w:val="0"/>
          <w:szCs w:val="21"/>
          <w:highlight w:val="none"/>
        </w:rPr>
      </w:pPr>
    </w:p>
    <w:p w14:paraId="5B279681">
      <w:pPr>
        <w:widowControl/>
        <w:tabs>
          <w:tab w:val="left" w:pos="2977"/>
          <w:tab w:val="left" w:pos="5954"/>
        </w:tabs>
        <w:spacing w:line="360" w:lineRule="auto"/>
        <w:ind w:firstLine="424" w:firstLineChars="202"/>
        <w:jc w:val="left"/>
        <w:rPr>
          <w:rFonts w:ascii="宋体" w:hAnsi="宋体" w:eastAsia="宋体" w:cs="宋体"/>
          <w:color w:val="auto"/>
          <w:kern w:val="0"/>
          <w:szCs w:val="21"/>
          <w:highlight w:val="none"/>
        </w:rPr>
      </w:pPr>
    </w:p>
    <w:p w14:paraId="24D982C2">
      <w:pPr>
        <w:widowControl/>
        <w:tabs>
          <w:tab w:val="left" w:pos="2977"/>
          <w:tab w:val="left" w:pos="5954"/>
        </w:tabs>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甲公司全称：（盖章） </w:t>
      </w:r>
      <w:r>
        <w:rPr>
          <w:rFonts w:hint="eastAsia" w:ascii="宋体" w:hAnsi="宋体" w:eastAsia="宋体" w:cs="宋体"/>
          <w:color w:val="auto"/>
          <w:kern w:val="0"/>
          <w:szCs w:val="21"/>
          <w:highlight w:val="none"/>
        </w:rPr>
        <w:tab/>
      </w:r>
    </w:p>
    <w:p w14:paraId="0C215B10">
      <w:pPr>
        <w:widowControl/>
        <w:tabs>
          <w:tab w:val="left" w:pos="2977"/>
          <w:tab w:val="left" w:pos="5954"/>
        </w:tabs>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法定代表人（签字或</w:t>
      </w:r>
      <w:r>
        <w:rPr>
          <w:rFonts w:hint="eastAsia" w:ascii="宋体" w:hAnsi="宋体" w:eastAsia="宋体" w:cs="宋体"/>
          <w:color w:val="auto"/>
          <w:szCs w:val="21"/>
          <w:highlight w:val="none"/>
        </w:rPr>
        <w:t>盖章</w:t>
      </w:r>
      <w:r>
        <w:rPr>
          <w:rFonts w:hint="eastAsia" w:ascii="宋体" w:hAnsi="宋体" w:eastAsia="宋体" w:cs="宋体"/>
          <w:color w:val="auto"/>
          <w:kern w:val="0"/>
          <w:szCs w:val="21"/>
          <w:highlight w:val="none"/>
        </w:rPr>
        <w:t>）</w:t>
      </w:r>
    </w:p>
    <w:p w14:paraId="28E9AD5E">
      <w:pPr>
        <w:widowControl/>
        <w:tabs>
          <w:tab w:val="left" w:pos="2977"/>
          <w:tab w:val="left" w:pos="5954"/>
        </w:tabs>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r>
        <w:rPr>
          <w:rFonts w:hint="eastAsia" w:ascii="宋体" w:hAnsi="宋体" w:eastAsia="宋体" w:cs="宋体"/>
          <w:color w:val="auto"/>
          <w:kern w:val="0"/>
          <w:szCs w:val="21"/>
          <w:highlight w:val="none"/>
        </w:rPr>
        <w:tab/>
      </w:r>
    </w:p>
    <w:p w14:paraId="7A9A11D8">
      <w:pPr>
        <w:widowControl/>
        <w:tabs>
          <w:tab w:val="left" w:pos="2977"/>
          <w:tab w:val="left" w:pos="5954"/>
        </w:tabs>
        <w:spacing w:line="360" w:lineRule="auto"/>
        <w:ind w:firstLine="424" w:firstLineChars="202"/>
        <w:jc w:val="left"/>
        <w:rPr>
          <w:rFonts w:ascii="宋体" w:hAnsi="宋体" w:eastAsia="宋体" w:cs="宋体"/>
          <w:color w:val="auto"/>
          <w:kern w:val="0"/>
          <w:szCs w:val="21"/>
          <w:highlight w:val="none"/>
        </w:rPr>
      </w:pPr>
    </w:p>
    <w:p w14:paraId="570491CC">
      <w:pPr>
        <w:widowControl/>
        <w:tabs>
          <w:tab w:val="left" w:pos="2977"/>
          <w:tab w:val="left" w:pos="5954"/>
        </w:tabs>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乙公司全称：（盖章）</w:t>
      </w:r>
      <w:r>
        <w:rPr>
          <w:rFonts w:hint="eastAsia" w:ascii="宋体" w:hAnsi="宋体" w:eastAsia="宋体" w:cs="宋体"/>
          <w:color w:val="auto"/>
          <w:kern w:val="0"/>
          <w:szCs w:val="21"/>
          <w:highlight w:val="none"/>
        </w:rPr>
        <w:tab/>
      </w:r>
    </w:p>
    <w:p w14:paraId="2B7C7D7F">
      <w:pPr>
        <w:spacing w:line="360" w:lineRule="auto"/>
        <w:ind w:firstLine="424" w:firstLineChars="202"/>
        <w:rPr>
          <w:rFonts w:ascii="宋体" w:hAnsi="宋体" w:eastAsia="宋体" w:cs="宋体"/>
          <w:b/>
          <w:color w:val="auto"/>
          <w:szCs w:val="21"/>
          <w:highlight w:val="none"/>
        </w:rPr>
      </w:pPr>
      <w:r>
        <w:rPr>
          <w:rFonts w:hint="eastAsia" w:ascii="宋体" w:hAnsi="宋体" w:eastAsia="宋体" w:cs="宋体"/>
          <w:color w:val="auto"/>
          <w:kern w:val="0"/>
          <w:szCs w:val="21"/>
          <w:highlight w:val="none"/>
        </w:rPr>
        <w:t>法定代表人（签字或</w:t>
      </w:r>
      <w:r>
        <w:rPr>
          <w:rFonts w:hint="eastAsia" w:ascii="宋体" w:hAnsi="宋体" w:eastAsia="宋体" w:cs="宋体"/>
          <w:color w:val="auto"/>
          <w:szCs w:val="21"/>
          <w:highlight w:val="none"/>
        </w:rPr>
        <w:t>盖章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ab/>
      </w:r>
    </w:p>
    <w:p w14:paraId="24DA93DF">
      <w:pPr>
        <w:widowControl/>
        <w:tabs>
          <w:tab w:val="left" w:pos="2977"/>
          <w:tab w:val="left" w:pos="5954"/>
        </w:tabs>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r>
        <w:rPr>
          <w:rFonts w:hint="eastAsia" w:ascii="宋体" w:hAnsi="宋体" w:eastAsia="宋体" w:cs="宋体"/>
          <w:color w:val="auto"/>
          <w:kern w:val="0"/>
          <w:szCs w:val="21"/>
          <w:highlight w:val="none"/>
        </w:rPr>
        <w:tab/>
      </w:r>
    </w:p>
    <w:p w14:paraId="123FBCB2">
      <w:pPr>
        <w:widowControl/>
        <w:tabs>
          <w:tab w:val="left" w:pos="2977"/>
          <w:tab w:val="left" w:pos="5954"/>
        </w:tabs>
        <w:spacing w:line="360" w:lineRule="auto"/>
        <w:ind w:firstLine="424" w:firstLineChars="202"/>
        <w:jc w:val="left"/>
        <w:rPr>
          <w:rFonts w:ascii="宋体" w:hAnsi="宋体" w:eastAsia="宋体" w:cs="宋体"/>
          <w:color w:val="auto"/>
          <w:kern w:val="0"/>
          <w:szCs w:val="21"/>
          <w:highlight w:val="none"/>
        </w:rPr>
      </w:pPr>
    </w:p>
    <w:p w14:paraId="69E23A51">
      <w:pPr>
        <w:widowControl/>
        <w:tabs>
          <w:tab w:val="left" w:pos="2977"/>
          <w:tab w:val="left" w:pos="5954"/>
        </w:tabs>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……公司全称（盖章）</w:t>
      </w:r>
    </w:p>
    <w:p w14:paraId="570DDB86">
      <w:pPr>
        <w:spacing w:line="360" w:lineRule="auto"/>
        <w:ind w:firstLine="424" w:firstLine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法定代表人：（签字或</w:t>
      </w:r>
      <w:r>
        <w:rPr>
          <w:rFonts w:hint="eastAsia" w:ascii="宋体" w:hAnsi="宋体" w:eastAsia="宋体" w:cs="宋体"/>
          <w:color w:val="auto"/>
          <w:szCs w:val="21"/>
          <w:highlight w:val="none"/>
        </w:rPr>
        <w:t>盖章</w:t>
      </w:r>
      <w:r>
        <w:rPr>
          <w:rFonts w:hint="eastAsia" w:ascii="宋体" w:hAnsi="宋体" w:eastAsia="宋体" w:cs="宋体"/>
          <w:color w:val="auto"/>
          <w:kern w:val="0"/>
          <w:szCs w:val="21"/>
          <w:highlight w:val="none"/>
        </w:rPr>
        <w:t>）</w:t>
      </w:r>
    </w:p>
    <w:p w14:paraId="573D21C5">
      <w:pPr>
        <w:spacing w:line="360" w:lineRule="auto"/>
        <w:ind w:firstLine="424" w:firstLineChars="202"/>
        <w:rPr>
          <w:rFonts w:ascii="宋体" w:hAnsi="宋体" w:eastAsia="宋体" w:cs="宋体"/>
          <w:b/>
          <w:color w:val="auto"/>
          <w:szCs w:val="21"/>
          <w:highlight w:val="none"/>
        </w:rPr>
      </w:pPr>
      <w:r>
        <w:rPr>
          <w:rFonts w:hint="eastAsia" w:ascii="宋体" w:hAnsi="宋体" w:eastAsia="宋体" w:cs="宋体"/>
          <w:color w:val="auto"/>
          <w:kern w:val="0"/>
          <w:szCs w:val="21"/>
          <w:highlight w:val="none"/>
        </w:rPr>
        <w:t>年　　月　　日</w:t>
      </w:r>
    </w:p>
    <w:p w14:paraId="1F9CA3F8">
      <w:pPr>
        <w:spacing w:line="360" w:lineRule="auto"/>
        <w:ind w:left="620" w:hanging="620" w:hangingChars="294"/>
        <w:rPr>
          <w:rFonts w:ascii="宋体" w:hAnsi="宋体" w:eastAsia="宋体" w:cs="宋体"/>
          <w:b/>
          <w:color w:val="auto"/>
          <w:szCs w:val="21"/>
          <w:highlight w:val="none"/>
        </w:rPr>
      </w:pPr>
    </w:p>
    <w:p w14:paraId="5187B91A">
      <w:pPr>
        <w:spacing w:line="276" w:lineRule="auto"/>
        <w:ind w:left="617" w:hanging="617" w:hangingChars="294"/>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注：1．各方成员应在本意向书上共同盖章确认。</w:t>
      </w:r>
    </w:p>
    <w:p w14:paraId="5DF27FA8">
      <w:pPr>
        <w:spacing w:line="276" w:lineRule="auto"/>
        <w:rPr>
          <w:rFonts w:ascii="宋体" w:hAnsi="宋体" w:eastAsia="宋体" w:cs="宋体"/>
          <w:bCs/>
          <w:color w:val="auto"/>
          <w:sz w:val="27"/>
          <w:szCs w:val="27"/>
          <w:highlight w:val="none"/>
          <w:u w:val="single"/>
        </w:rPr>
      </w:pPr>
      <w:r>
        <w:rPr>
          <w:rFonts w:hint="eastAsia" w:ascii="宋体" w:hAnsi="宋体" w:eastAsia="宋体" w:cs="宋体"/>
          <w:color w:val="auto"/>
          <w:szCs w:val="21"/>
          <w:highlight w:val="none"/>
          <w:u w:val="single"/>
        </w:rPr>
        <w:t>2．本意向书内容将作为签订合同的附件之一。</w:t>
      </w:r>
    </w:p>
    <w:p w14:paraId="6339C1EA">
      <w:pPr>
        <w:widowControl/>
        <w:jc w:val="left"/>
        <w:rPr>
          <w:rFonts w:ascii="宋体" w:hAnsi="宋体" w:eastAsia="宋体" w:cs="Times New Roman"/>
          <w:color w:val="auto"/>
          <w:kern w:val="0"/>
          <w:sz w:val="24"/>
          <w:szCs w:val="24"/>
          <w:highlight w:val="none"/>
        </w:rPr>
      </w:pPr>
      <w:r>
        <w:rPr>
          <w:rFonts w:ascii="宋体" w:hAnsi="宋体" w:eastAsia="宋体"/>
          <w:color w:val="auto"/>
          <w:highlight w:val="none"/>
        </w:rPr>
        <w:br w:type="page"/>
      </w:r>
    </w:p>
    <w:p w14:paraId="63A50779">
      <w:pPr>
        <w:pStyle w:val="4"/>
        <w:rPr>
          <w:color w:val="auto"/>
          <w:highlight w:val="none"/>
        </w:rPr>
      </w:pPr>
      <w:r>
        <w:rPr>
          <w:rFonts w:hint="eastAsia"/>
          <w:color w:val="auto"/>
          <w:highlight w:val="none"/>
        </w:rPr>
        <w:t>格式十：</w:t>
      </w:r>
      <w:bookmarkEnd w:id="72"/>
      <w:bookmarkEnd w:id="73"/>
    </w:p>
    <w:p w14:paraId="633C6A21">
      <w:pPr>
        <w:topLinePunct/>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参与编制技术标投标文件人员名单</w:t>
      </w: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1494"/>
        <w:gridCol w:w="3244"/>
        <w:gridCol w:w="2459"/>
        <w:gridCol w:w="1480"/>
      </w:tblGrid>
      <w:tr w14:paraId="4078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5F503DAB">
            <w:pPr>
              <w:tabs>
                <w:tab w:val="left" w:pos="720"/>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投标单位名称</w:t>
            </w:r>
          </w:p>
        </w:tc>
      </w:tr>
      <w:tr w14:paraId="7083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45" w:type="pct"/>
            <w:tcBorders>
              <w:top w:val="single" w:color="auto" w:sz="4" w:space="0"/>
              <w:left w:val="single" w:color="auto" w:sz="4" w:space="0"/>
              <w:bottom w:val="single" w:color="auto" w:sz="4" w:space="0"/>
              <w:right w:val="single" w:color="auto" w:sz="4" w:space="0"/>
            </w:tcBorders>
            <w:vAlign w:val="center"/>
          </w:tcPr>
          <w:p w14:paraId="3D44A48C">
            <w:pPr>
              <w:tabs>
                <w:tab w:val="left" w:pos="720"/>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750" w:type="pct"/>
            <w:tcBorders>
              <w:top w:val="single" w:color="auto" w:sz="4" w:space="0"/>
              <w:left w:val="single" w:color="auto" w:sz="4" w:space="0"/>
              <w:bottom w:val="single" w:color="auto" w:sz="4" w:space="0"/>
              <w:right w:val="single" w:color="auto" w:sz="4" w:space="0"/>
            </w:tcBorders>
            <w:vAlign w:val="center"/>
          </w:tcPr>
          <w:p w14:paraId="13E04435">
            <w:pPr>
              <w:tabs>
                <w:tab w:val="left" w:pos="720"/>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628" w:type="pct"/>
            <w:tcBorders>
              <w:top w:val="single" w:color="auto" w:sz="4" w:space="0"/>
              <w:left w:val="single" w:color="auto" w:sz="4" w:space="0"/>
              <w:bottom w:val="single" w:color="auto" w:sz="4" w:space="0"/>
              <w:right w:val="single" w:color="auto" w:sz="4" w:space="0"/>
            </w:tcBorders>
            <w:vAlign w:val="center"/>
          </w:tcPr>
          <w:p w14:paraId="718D796C">
            <w:pPr>
              <w:tabs>
                <w:tab w:val="left" w:pos="720"/>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所承担工作</w:t>
            </w:r>
          </w:p>
        </w:tc>
        <w:tc>
          <w:tcPr>
            <w:tcW w:w="1234" w:type="pct"/>
            <w:tcBorders>
              <w:top w:val="single" w:color="auto" w:sz="4" w:space="0"/>
              <w:left w:val="single" w:color="auto" w:sz="4" w:space="0"/>
              <w:bottom w:val="single" w:color="auto" w:sz="4" w:space="0"/>
              <w:right w:val="single" w:color="auto" w:sz="4" w:space="0"/>
            </w:tcBorders>
            <w:vAlign w:val="center"/>
          </w:tcPr>
          <w:p w14:paraId="1359CD46">
            <w:pPr>
              <w:tabs>
                <w:tab w:val="left" w:pos="720"/>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p>
        </w:tc>
        <w:tc>
          <w:tcPr>
            <w:tcW w:w="741" w:type="pct"/>
            <w:tcBorders>
              <w:top w:val="single" w:color="auto" w:sz="4" w:space="0"/>
              <w:left w:val="single" w:color="auto" w:sz="4" w:space="0"/>
              <w:bottom w:val="single" w:color="auto" w:sz="4" w:space="0"/>
              <w:right w:val="single" w:color="auto" w:sz="4" w:space="0"/>
            </w:tcBorders>
            <w:vAlign w:val="center"/>
          </w:tcPr>
          <w:p w14:paraId="0D875DE6">
            <w:pPr>
              <w:tabs>
                <w:tab w:val="left" w:pos="720"/>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本人签名栏</w:t>
            </w:r>
          </w:p>
        </w:tc>
      </w:tr>
      <w:tr w14:paraId="10D9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5" w:type="pct"/>
            <w:tcBorders>
              <w:top w:val="single" w:color="auto" w:sz="4" w:space="0"/>
              <w:left w:val="single" w:color="auto" w:sz="4" w:space="0"/>
              <w:bottom w:val="single" w:color="auto" w:sz="4" w:space="0"/>
              <w:right w:val="single" w:color="auto" w:sz="4" w:space="0"/>
            </w:tcBorders>
            <w:vAlign w:val="center"/>
          </w:tcPr>
          <w:p w14:paraId="1904FB24">
            <w:pPr>
              <w:tabs>
                <w:tab w:val="left" w:pos="720"/>
              </w:tabs>
              <w:jc w:val="center"/>
              <w:rPr>
                <w:rFonts w:ascii="宋体" w:hAnsi="宋体" w:eastAsia="宋体" w:cs="宋体"/>
                <w:color w:val="auto"/>
                <w:szCs w:val="21"/>
                <w:highlight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571BADBF">
            <w:pPr>
              <w:tabs>
                <w:tab w:val="left" w:pos="720"/>
              </w:tabs>
              <w:jc w:val="center"/>
              <w:rPr>
                <w:rFonts w:ascii="宋体" w:hAnsi="宋体" w:eastAsia="宋体" w:cs="宋体"/>
                <w:color w:val="auto"/>
                <w:szCs w:val="21"/>
                <w:highlight w:val="none"/>
              </w:rPr>
            </w:pPr>
          </w:p>
        </w:tc>
        <w:tc>
          <w:tcPr>
            <w:tcW w:w="1628" w:type="pct"/>
            <w:tcBorders>
              <w:top w:val="single" w:color="auto" w:sz="4" w:space="0"/>
              <w:left w:val="single" w:color="auto" w:sz="4" w:space="0"/>
              <w:bottom w:val="single" w:color="auto" w:sz="4" w:space="0"/>
              <w:right w:val="single" w:color="auto" w:sz="4" w:space="0"/>
            </w:tcBorders>
            <w:vAlign w:val="center"/>
          </w:tcPr>
          <w:p w14:paraId="4AD923C6">
            <w:pPr>
              <w:tabs>
                <w:tab w:val="left" w:pos="720"/>
              </w:tabs>
              <w:jc w:val="center"/>
              <w:rPr>
                <w:rFonts w:ascii="宋体" w:hAnsi="宋体" w:eastAsia="宋体" w:cs="宋体"/>
                <w:color w:val="auto"/>
                <w:szCs w:val="21"/>
                <w:highlight w:val="none"/>
              </w:rPr>
            </w:pPr>
          </w:p>
        </w:tc>
        <w:tc>
          <w:tcPr>
            <w:tcW w:w="1234" w:type="pct"/>
            <w:tcBorders>
              <w:top w:val="single" w:color="auto" w:sz="4" w:space="0"/>
              <w:left w:val="single" w:color="auto" w:sz="4" w:space="0"/>
              <w:bottom w:val="single" w:color="auto" w:sz="4" w:space="0"/>
              <w:right w:val="single" w:color="auto" w:sz="4" w:space="0"/>
            </w:tcBorders>
            <w:vAlign w:val="center"/>
          </w:tcPr>
          <w:p w14:paraId="3DB0A35A">
            <w:pPr>
              <w:tabs>
                <w:tab w:val="left" w:pos="720"/>
              </w:tabs>
              <w:jc w:val="center"/>
              <w:rPr>
                <w:rFonts w:ascii="宋体" w:hAnsi="宋体" w:eastAsia="宋体" w:cs="宋体"/>
                <w:color w:val="auto"/>
                <w:szCs w:val="21"/>
                <w:highlight w:val="none"/>
              </w:rPr>
            </w:pPr>
          </w:p>
        </w:tc>
        <w:tc>
          <w:tcPr>
            <w:tcW w:w="741" w:type="pct"/>
            <w:tcBorders>
              <w:top w:val="single" w:color="auto" w:sz="4" w:space="0"/>
              <w:left w:val="single" w:color="auto" w:sz="4" w:space="0"/>
              <w:bottom w:val="single" w:color="auto" w:sz="4" w:space="0"/>
              <w:right w:val="single" w:color="auto" w:sz="4" w:space="0"/>
            </w:tcBorders>
            <w:vAlign w:val="center"/>
          </w:tcPr>
          <w:p w14:paraId="0683102B">
            <w:pPr>
              <w:tabs>
                <w:tab w:val="left" w:pos="720"/>
              </w:tabs>
              <w:jc w:val="center"/>
              <w:rPr>
                <w:rFonts w:ascii="宋体" w:hAnsi="宋体" w:eastAsia="宋体" w:cs="宋体"/>
                <w:color w:val="auto"/>
                <w:szCs w:val="21"/>
                <w:highlight w:val="none"/>
              </w:rPr>
            </w:pPr>
          </w:p>
        </w:tc>
      </w:tr>
      <w:tr w14:paraId="0CB6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45" w:type="pct"/>
            <w:tcBorders>
              <w:top w:val="single" w:color="auto" w:sz="4" w:space="0"/>
              <w:left w:val="single" w:color="auto" w:sz="4" w:space="0"/>
              <w:bottom w:val="single" w:color="auto" w:sz="4" w:space="0"/>
              <w:right w:val="single" w:color="auto" w:sz="4" w:space="0"/>
            </w:tcBorders>
            <w:vAlign w:val="center"/>
          </w:tcPr>
          <w:p w14:paraId="7695B71F">
            <w:pPr>
              <w:tabs>
                <w:tab w:val="left" w:pos="720"/>
              </w:tabs>
              <w:jc w:val="center"/>
              <w:rPr>
                <w:rFonts w:ascii="宋体" w:hAnsi="宋体" w:eastAsia="宋体" w:cs="宋体"/>
                <w:color w:val="auto"/>
                <w:szCs w:val="21"/>
                <w:highlight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1EB7E581">
            <w:pPr>
              <w:tabs>
                <w:tab w:val="left" w:pos="720"/>
              </w:tabs>
              <w:jc w:val="center"/>
              <w:rPr>
                <w:rFonts w:ascii="宋体" w:hAnsi="宋体" w:eastAsia="宋体" w:cs="宋体"/>
                <w:color w:val="auto"/>
                <w:szCs w:val="21"/>
                <w:highlight w:val="none"/>
              </w:rPr>
            </w:pPr>
          </w:p>
        </w:tc>
        <w:tc>
          <w:tcPr>
            <w:tcW w:w="1628" w:type="pct"/>
            <w:tcBorders>
              <w:top w:val="single" w:color="auto" w:sz="4" w:space="0"/>
              <w:left w:val="single" w:color="auto" w:sz="4" w:space="0"/>
              <w:bottom w:val="single" w:color="auto" w:sz="4" w:space="0"/>
              <w:right w:val="single" w:color="auto" w:sz="4" w:space="0"/>
            </w:tcBorders>
            <w:vAlign w:val="center"/>
          </w:tcPr>
          <w:p w14:paraId="2BC054F2">
            <w:pPr>
              <w:tabs>
                <w:tab w:val="left" w:pos="720"/>
              </w:tabs>
              <w:jc w:val="center"/>
              <w:rPr>
                <w:rFonts w:ascii="宋体" w:hAnsi="宋体" w:eastAsia="宋体" w:cs="宋体"/>
                <w:color w:val="auto"/>
                <w:szCs w:val="21"/>
                <w:highlight w:val="none"/>
              </w:rPr>
            </w:pPr>
          </w:p>
        </w:tc>
        <w:tc>
          <w:tcPr>
            <w:tcW w:w="1234" w:type="pct"/>
            <w:tcBorders>
              <w:top w:val="single" w:color="auto" w:sz="4" w:space="0"/>
              <w:left w:val="single" w:color="auto" w:sz="4" w:space="0"/>
              <w:bottom w:val="single" w:color="auto" w:sz="4" w:space="0"/>
              <w:right w:val="single" w:color="auto" w:sz="4" w:space="0"/>
            </w:tcBorders>
            <w:vAlign w:val="center"/>
          </w:tcPr>
          <w:p w14:paraId="0163E0AF">
            <w:pPr>
              <w:tabs>
                <w:tab w:val="left" w:pos="720"/>
              </w:tabs>
              <w:jc w:val="center"/>
              <w:rPr>
                <w:rFonts w:ascii="宋体" w:hAnsi="宋体" w:eastAsia="宋体" w:cs="宋体"/>
                <w:color w:val="auto"/>
                <w:szCs w:val="21"/>
                <w:highlight w:val="none"/>
              </w:rPr>
            </w:pPr>
          </w:p>
        </w:tc>
        <w:tc>
          <w:tcPr>
            <w:tcW w:w="741" w:type="pct"/>
            <w:tcBorders>
              <w:top w:val="single" w:color="auto" w:sz="4" w:space="0"/>
              <w:left w:val="single" w:color="auto" w:sz="4" w:space="0"/>
              <w:bottom w:val="single" w:color="auto" w:sz="4" w:space="0"/>
              <w:right w:val="single" w:color="auto" w:sz="4" w:space="0"/>
            </w:tcBorders>
            <w:vAlign w:val="center"/>
          </w:tcPr>
          <w:p w14:paraId="1D90676A">
            <w:pPr>
              <w:tabs>
                <w:tab w:val="left" w:pos="720"/>
              </w:tabs>
              <w:jc w:val="center"/>
              <w:rPr>
                <w:rFonts w:ascii="宋体" w:hAnsi="宋体" w:eastAsia="宋体" w:cs="宋体"/>
                <w:color w:val="auto"/>
                <w:szCs w:val="21"/>
                <w:highlight w:val="none"/>
              </w:rPr>
            </w:pPr>
          </w:p>
        </w:tc>
      </w:tr>
      <w:tr w14:paraId="06C7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45" w:type="pct"/>
            <w:tcBorders>
              <w:top w:val="single" w:color="auto" w:sz="4" w:space="0"/>
              <w:left w:val="single" w:color="auto" w:sz="4" w:space="0"/>
              <w:bottom w:val="single" w:color="auto" w:sz="4" w:space="0"/>
              <w:right w:val="single" w:color="auto" w:sz="4" w:space="0"/>
            </w:tcBorders>
            <w:vAlign w:val="center"/>
          </w:tcPr>
          <w:p w14:paraId="31D08727">
            <w:pPr>
              <w:tabs>
                <w:tab w:val="left" w:pos="720"/>
              </w:tabs>
              <w:jc w:val="center"/>
              <w:rPr>
                <w:rFonts w:ascii="宋体" w:hAnsi="宋体" w:eastAsia="宋体" w:cs="宋体"/>
                <w:color w:val="auto"/>
                <w:szCs w:val="21"/>
                <w:highlight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7B57E58A">
            <w:pPr>
              <w:tabs>
                <w:tab w:val="left" w:pos="720"/>
              </w:tabs>
              <w:jc w:val="center"/>
              <w:rPr>
                <w:rFonts w:ascii="宋体" w:hAnsi="宋体" w:eastAsia="宋体" w:cs="宋体"/>
                <w:color w:val="auto"/>
                <w:szCs w:val="21"/>
                <w:highlight w:val="none"/>
              </w:rPr>
            </w:pPr>
          </w:p>
        </w:tc>
        <w:tc>
          <w:tcPr>
            <w:tcW w:w="1628" w:type="pct"/>
            <w:tcBorders>
              <w:top w:val="single" w:color="auto" w:sz="4" w:space="0"/>
              <w:left w:val="single" w:color="auto" w:sz="4" w:space="0"/>
              <w:bottom w:val="single" w:color="auto" w:sz="4" w:space="0"/>
              <w:right w:val="single" w:color="auto" w:sz="4" w:space="0"/>
            </w:tcBorders>
            <w:vAlign w:val="center"/>
          </w:tcPr>
          <w:p w14:paraId="45992B34">
            <w:pPr>
              <w:tabs>
                <w:tab w:val="left" w:pos="720"/>
              </w:tabs>
              <w:jc w:val="center"/>
              <w:rPr>
                <w:rFonts w:ascii="宋体" w:hAnsi="宋体" w:eastAsia="宋体" w:cs="宋体"/>
                <w:color w:val="auto"/>
                <w:szCs w:val="21"/>
                <w:highlight w:val="none"/>
              </w:rPr>
            </w:pPr>
          </w:p>
        </w:tc>
        <w:tc>
          <w:tcPr>
            <w:tcW w:w="1234" w:type="pct"/>
            <w:tcBorders>
              <w:top w:val="single" w:color="auto" w:sz="4" w:space="0"/>
              <w:left w:val="single" w:color="auto" w:sz="4" w:space="0"/>
              <w:bottom w:val="single" w:color="auto" w:sz="4" w:space="0"/>
              <w:right w:val="single" w:color="auto" w:sz="4" w:space="0"/>
            </w:tcBorders>
            <w:vAlign w:val="center"/>
          </w:tcPr>
          <w:p w14:paraId="19FEF79F">
            <w:pPr>
              <w:tabs>
                <w:tab w:val="left" w:pos="720"/>
              </w:tabs>
              <w:jc w:val="center"/>
              <w:rPr>
                <w:rFonts w:ascii="宋体" w:hAnsi="宋体" w:eastAsia="宋体" w:cs="宋体"/>
                <w:color w:val="auto"/>
                <w:szCs w:val="21"/>
                <w:highlight w:val="none"/>
              </w:rPr>
            </w:pPr>
          </w:p>
        </w:tc>
        <w:tc>
          <w:tcPr>
            <w:tcW w:w="741" w:type="pct"/>
            <w:tcBorders>
              <w:top w:val="single" w:color="auto" w:sz="4" w:space="0"/>
              <w:left w:val="single" w:color="auto" w:sz="4" w:space="0"/>
              <w:bottom w:val="single" w:color="auto" w:sz="4" w:space="0"/>
              <w:right w:val="single" w:color="auto" w:sz="4" w:space="0"/>
            </w:tcBorders>
            <w:vAlign w:val="center"/>
          </w:tcPr>
          <w:p w14:paraId="70F51EBF">
            <w:pPr>
              <w:tabs>
                <w:tab w:val="left" w:pos="720"/>
              </w:tabs>
              <w:jc w:val="center"/>
              <w:rPr>
                <w:rFonts w:ascii="宋体" w:hAnsi="宋体" w:eastAsia="宋体" w:cs="宋体"/>
                <w:color w:val="auto"/>
                <w:szCs w:val="21"/>
                <w:highlight w:val="none"/>
              </w:rPr>
            </w:pPr>
          </w:p>
        </w:tc>
      </w:tr>
      <w:tr w14:paraId="6615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45" w:type="pct"/>
            <w:tcBorders>
              <w:top w:val="single" w:color="auto" w:sz="4" w:space="0"/>
              <w:left w:val="single" w:color="auto" w:sz="4" w:space="0"/>
              <w:bottom w:val="single" w:color="auto" w:sz="4" w:space="0"/>
              <w:right w:val="single" w:color="auto" w:sz="4" w:space="0"/>
            </w:tcBorders>
            <w:vAlign w:val="center"/>
          </w:tcPr>
          <w:p w14:paraId="22154DAB">
            <w:pPr>
              <w:tabs>
                <w:tab w:val="left" w:pos="720"/>
              </w:tabs>
              <w:jc w:val="center"/>
              <w:rPr>
                <w:rFonts w:ascii="宋体" w:hAnsi="宋体" w:eastAsia="宋体" w:cs="宋体"/>
                <w:color w:val="auto"/>
                <w:szCs w:val="21"/>
                <w:highlight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757510E2">
            <w:pPr>
              <w:tabs>
                <w:tab w:val="left" w:pos="720"/>
              </w:tabs>
              <w:jc w:val="center"/>
              <w:rPr>
                <w:rFonts w:ascii="宋体" w:hAnsi="宋体" w:eastAsia="宋体" w:cs="宋体"/>
                <w:color w:val="auto"/>
                <w:szCs w:val="21"/>
                <w:highlight w:val="none"/>
              </w:rPr>
            </w:pPr>
          </w:p>
        </w:tc>
        <w:tc>
          <w:tcPr>
            <w:tcW w:w="1628" w:type="pct"/>
            <w:tcBorders>
              <w:top w:val="single" w:color="auto" w:sz="4" w:space="0"/>
              <w:left w:val="single" w:color="auto" w:sz="4" w:space="0"/>
              <w:bottom w:val="single" w:color="auto" w:sz="4" w:space="0"/>
              <w:right w:val="single" w:color="auto" w:sz="4" w:space="0"/>
            </w:tcBorders>
            <w:vAlign w:val="center"/>
          </w:tcPr>
          <w:p w14:paraId="080AC07D">
            <w:pPr>
              <w:tabs>
                <w:tab w:val="left" w:pos="720"/>
              </w:tabs>
              <w:jc w:val="center"/>
              <w:rPr>
                <w:rFonts w:ascii="宋体" w:hAnsi="宋体" w:eastAsia="宋体" w:cs="宋体"/>
                <w:color w:val="auto"/>
                <w:szCs w:val="21"/>
                <w:highlight w:val="none"/>
              </w:rPr>
            </w:pPr>
          </w:p>
        </w:tc>
        <w:tc>
          <w:tcPr>
            <w:tcW w:w="1234" w:type="pct"/>
            <w:tcBorders>
              <w:top w:val="single" w:color="auto" w:sz="4" w:space="0"/>
              <w:left w:val="single" w:color="auto" w:sz="4" w:space="0"/>
              <w:bottom w:val="single" w:color="auto" w:sz="4" w:space="0"/>
              <w:right w:val="single" w:color="auto" w:sz="4" w:space="0"/>
            </w:tcBorders>
            <w:vAlign w:val="center"/>
          </w:tcPr>
          <w:p w14:paraId="38805324">
            <w:pPr>
              <w:tabs>
                <w:tab w:val="left" w:pos="720"/>
              </w:tabs>
              <w:jc w:val="center"/>
              <w:rPr>
                <w:rFonts w:ascii="宋体" w:hAnsi="宋体" w:eastAsia="宋体" w:cs="宋体"/>
                <w:color w:val="auto"/>
                <w:szCs w:val="21"/>
                <w:highlight w:val="none"/>
              </w:rPr>
            </w:pPr>
          </w:p>
        </w:tc>
        <w:tc>
          <w:tcPr>
            <w:tcW w:w="741" w:type="pct"/>
            <w:tcBorders>
              <w:top w:val="single" w:color="auto" w:sz="4" w:space="0"/>
              <w:left w:val="single" w:color="auto" w:sz="4" w:space="0"/>
              <w:bottom w:val="single" w:color="auto" w:sz="4" w:space="0"/>
              <w:right w:val="single" w:color="auto" w:sz="4" w:space="0"/>
            </w:tcBorders>
            <w:vAlign w:val="center"/>
          </w:tcPr>
          <w:p w14:paraId="54C57B96">
            <w:pPr>
              <w:tabs>
                <w:tab w:val="left" w:pos="720"/>
              </w:tabs>
              <w:jc w:val="center"/>
              <w:rPr>
                <w:rFonts w:ascii="宋体" w:hAnsi="宋体" w:eastAsia="宋体" w:cs="宋体"/>
                <w:color w:val="auto"/>
                <w:szCs w:val="21"/>
                <w:highlight w:val="none"/>
              </w:rPr>
            </w:pPr>
          </w:p>
        </w:tc>
      </w:tr>
      <w:tr w14:paraId="2D9C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45" w:type="pct"/>
            <w:tcBorders>
              <w:top w:val="single" w:color="auto" w:sz="4" w:space="0"/>
              <w:left w:val="single" w:color="auto" w:sz="4" w:space="0"/>
              <w:bottom w:val="single" w:color="auto" w:sz="4" w:space="0"/>
              <w:right w:val="single" w:color="auto" w:sz="4" w:space="0"/>
            </w:tcBorders>
            <w:vAlign w:val="center"/>
          </w:tcPr>
          <w:p w14:paraId="36508C44">
            <w:pPr>
              <w:tabs>
                <w:tab w:val="left" w:pos="720"/>
              </w:tabs>
              <w:jc w:val="center"/>
              <w:rPr>
                <w:rFonts w:ascii="宋体" w:hAnsi="宋体" w:eastAsia="宋体" w:cs="宋体"/>
                <w:color w:val="auto"/>
                <w:szCs w:val="21"/>
                <w:highlight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099B90BD">
            <w:pPr>
              <w:tabs>
                <w:tab w:val="left" w:pos="720"/>
              </w:tabs>
              <w:jc w:val="center"/>
              <w:rPr>
                <w:rFonts w:ascii="宋体" w:hAnsi="宋体" w:eastAsia="宋体" w:cs="宋体"/>
                <w:color w:val="auto"/>
                <w:szCs w:val="21"/>
                <w:highlight w:val="none"/>
              </w:rPr>
            </w:pPr>
          </w:p>
        </w:tc>
        <w:tc>
          <w:tcPr>
            <w:tcW w:w="1628" w:type="pct"/>
            <w:tcBorders>
              <w:top w:val="single" w:color="auto" w:sz="4" w:space="0"/>
              <w:left w:val="single" w:color="auto" w:sz="4" w:space="0"/>
              <w:bottom w:val="single" w:color="auto" w:sz="4" w:space="0"/>
              <w:right w:val="single" w:color="auto" w:sz="4" w:space="0"/>
            </w:tcBorders>
            <w:vAlign w:val="center"/>
          </w:tcPr>
          <w:p w14:paraId="11081A04">
            <w:pPr>
              <w:tabs>
                <w:tab w:val="left" w:pos="720"/>
              </w:tabs>
              <w:jc w:val="center"/>
              <w:rPr>
                <w:rFonts w:ascii="宋体" w:hAnsi="宋体" w:eastAsia="宋体" w:cs="宋体"/>
                <w:color w:val="auto"/>
                <w:szCs w:val="21"/>
                <w:highlight w:val="none"/>
              </w:rPr>
            </w:pPr>
          </w:p>
        </w:tc>
        <w:tc>
          <w:tcPr>
            <w:tcW w:w="1234" w:type="pct"/>
            <w:tcBorders>
              <w:top w:val="single" w:color="auto" w:sz="4" w:space="0"/>
              <w:left w:val="single" w:color="auto" w:sz="4" w:space="0"/>
              <w:bottom w:val="single" w:color="auto" w:sz="4" w:space="0"/>
              <w:right w:val="single" w:color="auto" w:sz="4" w:space="0"/>
            </w:tcBorders>
            <w:vAlign w:val="center"/>
          </w:tcPr>
          <w:p w14:paraId="562AD479">
            <w:pPr>
              <w:tabs>
                <w:tab w:val="left" w:pos="720"/>
              </w:tabs>
              <w:jc w:val="center"/>
              <w:rPr>
                <w:rFonts w:ascii="宋体" w:hAnsi="宋体" w:eastAsia="宋体" w:cs="宋体"/>
                <w:color w:val="auto"/>
                <w:szCs w:val="21"/>
                <w:highlight w:val="none"/>
              </w:rPr>
            </w:pPr>
          </w:p>
        </w:tc>
        <w:tc>
          <w:tcPr>
            <w:tcW w:w="741" w:type="pct"/>
            <w:tcBorders>
              <w:top w:val="single" w:color="auto" w:sz="4" w:space="0"/>
              <w:left w:val="single" w:color="auto" w:sz="4" w:space="0"/>
              <w:bottom w:val="single" w:color="auto" w:sz="4" w:space="0"/>
              <w:right w:val="single" w:color="auto" w:sz="4" w:space="0"/>
            </w:tcBorders>
            <w:vAlign w:val="center"/>
          </w:tcPr>
          <w:p w14:paraId="03DC660F">
            <w:pPr>
              <w:tabs>
                <w:tab w:val="left" w:pos="720"/>
              </w:tabs>
              <w:jc w:val="center"/>
              <w:rPr>
                <w:rFonts w:ascii="宋体" w:hAnsi="宋体" w:eastAsia="宋体" w:cs="宋体"/>
                <w:color w:val="auto"/>
                <w:szCs w:val="21"/>
                <w:highlight w:val="none"/>
              </w:rPr>
            </w:pPr>
          </w:p>
        </w:tc>
      </w:tr>
      <w:tr w14:paraId="583E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45" w:type="pct"/>
            <w:tcBorders>
              <w:top w:val="single" w:color="auto" w:sz="4" w:space="0"/>
              <w:left w:val="single" w:color="auto" w:sz="4" w:space="0"/>
              <w:bottom w:val="single" w:color="auto" w:sz="4" w:space="0"/>
              <w:right w:val="single" w:color="auto" w:sz="4" w:space="0"/>
            </w:tcBorders>
            <w:vAlign w:val="center"/>
          </w:tcPr>
          <w:p w14:paraId="12B4507C">
            <w:pPr>
              <w:tabs>
                <w:tab w:val="left" w:pos="720"/>
              </w:tabs>
              <w:jc w:val="center"/>
              <w:rPr>
                <w:rFonts w:ascii="宋体" w:hAnsi="宋体" w:eastAsia="宋体" w:cs="宋体"/>
                <w:color w:val="auto"/>
                <w:szCs w:val="21"/>
                <w:highlight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04816CF9">
            <w:pPr>
              <w:tabs>
                <w:tab w:val="left" w:pos="720"/>
              </w:tabs>
              <w:jc w:val="center"/>
              <w:rPr>
                <w:rFonts w:ascii="宋体" w:hAnsi="宋体" w:eastAsia="宋体" w:cs="宋体"/>
                <w:color w:val="auto"/>
                <w:szCs w:val="21"/>
                <w:highlight w:val="none"/>
              </w:rPr>
            </w:pPr>
          </w:p>
        </w:tc>
        <w:tc>
          <w:tcPr>
            <w:tcW w:w="1628" w:type="pct"/>
            <w:tcBorders>
              <w:top w:val="single" w:color="auto" w:sz="4" w:space="0"/>
              <w:left w:val="single" w:color="auto" w:sz="4" w:space="0"/>
              <w:bottom w:val="single" w:color="auto" w:sz="4" w:space="0"/>
              <w:right w:val="single" w:color="auto" w:sz="4" w:space="0"/>
            </w:tcBorders>
            <w:vAlign w:val="center"/>
          </w:tcPr>
          <w:p w14:paraId="6A7BA8ED">
            <w:pPr>
              <w:tabs>
                <w:tab w:val="left" w:pos="720"/>
              </w:tabs>
              <w:jc w:val="center"/>
              <w:rPr>
                <w:rFonts w:ascii="宋体" w:hAnsi="宋体" w:eastAsia="宋体" w:cs="宋体"/>
                <w:color w:val="auto"/>
                <w:szCs w:val="21"/>
                <w:highlight w:val="none"/>
              </w:rPr>
            </w:pPr>
          </w:p>
        </w:tc>
        <w:tc>
          <w:tcPr>
            <w:tcW w:w="1234" w:type="pct"/>
            <w:tcBorders>
              <w:top w:val="single" w:color="auto" w:sz="4" w:space="0"/>
              <w:left w:val="single" w:color="auto" w:sz="4" w:space="0"/>
              <w:bottom w:val="single" w:color="auto" w:sz="4" w:space="0"/>
              <w:right w:val="single" w:color="auto" w:sz="4" w:space="0"/>
            </w:tcBorders>
            <w:vAlign w:val="center"/>
          </w:tcPr>
          <w:p w14:paraId="156184FB">
            <w:pPr>
              <w:tabs>
                <w:tab w:val="left" w:pos="720"/>
              </w:tabs>
              <w:jc w:val="center"/>
              <w:rPr>
                <w:rFonts w:ascii="宋体" w:hAnsi="宋体" w:eastAsia="宋体" w:cs="宋体"/>
                <w:color w:val="auto"/>
                <w:szCs w:val="21"/>
                <w:highlight w:val="none"/>
              </w:rPr>
            </w:pPr>
          </w:p>
        </w:tc>
        <w:tc>
          <w:tcPr>
            <w:tcW w:w="741" w:type="pct"/>
            <w:tcBorders>
              <w:top w:val="single" w:color="auto" w:sz="4" w:space="0"/>
              <w:left w:val="single" w:color="auto" w:sz="4" w:space="0"/>
              <w:bottom w:val="single" w:color="auto" w:sz="4" w:space="0"/>
              <w:right w:val="single" w:color="auto" w:sz="4" w:space="0"/>
            </w:tcBorders>
            <w:vAlign w:val="center"/>
          </w:tcPr>
          <w:p w14:paraId="3BDA7821">
            <w:pPr>
              <w:tabs>
                <w:tab w:val="left" w:pos="720"/>
              </w:tabs>
              <w:jc w:val="center"/>
              <w:rPr>
                <w:rFonts w:ascii="宋体" w:hAnsi="宋体" w:eastAsia="宋体" w:cs="宋体"/>
                <w:color w:val="auto"/>
                <w:szCs w:val="21"/>
                <w:highlight w:val="none"/>
              </w:rPr>
            </w:pPr>
          </w:p>
        </w:tc>
      </w:tr>
      <w:tr w14:paraId="595D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45" w:type="pct"/>
            <w:tcBorders>
              <w:top w:val="single" w:color="auto" w:sz="4" w:space="0"/>
              <w:left w:val="single" w:color="auto" w:sz="4" w:space="0"/>
              <w:bottom w:val="single" w:color="auto" w:sz="4" w:space="0"/>
              <w:right w:val="single" w:color="auto" w:sz="4" w:space="0"/>
            </w:tcBorders>
            <w:vAlign w:val="center"/>
          </w:tcPr>
          <w:p w14:paraId="248ED498">
            <w:pPr>
              <w:tabs>
                <w:tab w:val="left" w:pos="720"/>
              </w:tabs>
              <w:jc w:val="center"/>
              <w:rPr>
                <w:rFonts w:ascii="宋体" w:hAnsi="宋体" w:eastAsia="宋体" w:cs="宋体"/>
                <w:color w:val="auto"/>
                <w:szCs w:val="21"/>
                <w:highlight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49BBA98B">
            <w:pPr>
              <w:tabs>
                <w:tab w:val="left" w:pos="720"/>
              </w:tabs>
              <w:jc w:val="center"/>
              <w:rPr>
                <w:rFonts w:ascii="宋体" w:hAnsi="宋体" w:eastAsia="宋体" w:cs="宋体"/>
                <w:color w:val="auto"/>
                <w:szCs w:val="21"/>
                <w:highlight w:val="none"/>
              </w:rPr>
            </w:pPr>
          </w:p>
        </w:tc>
        <w:tc>
          <w:tcPr>
            <w:tcW w:w="1628" w:type="pct"/>
            <w:tcBorders>
              <w:top w:val="single" w:color="auto" w:sz="4" w:space="0"/>
              <w:left w:val="single" w:color="auto" w:sz="4" w:space="0"/>
              <w:bottom w:val="single" w:color="auto" w:sz="4" w:space="0"/>
              <w:right w:val="single" w:color="auto" w:sz="4" w:space="0"/>
            </w:tcBorders>
            <w:vAlign w:val="center"/>
          </w:tcPr>
          <w:p w14:paraId="1EE23EEE">
            <w:pPr>
              <w:tabs>
                <w:tab w:val="left" w:pos="720"/>
              </w:tabs>
              <w:jc w:val="center"/>
              <w:rPr>
                <w:rFonts w:ascii="宋体" w:hAnsi="宋体" w:eastAsia="宋体" w:cs="宋体"/>
                <w:color w:val="auto"/>
                <w:szCs w:val="21"/>
                <w:highlight w:val="none"/>
              </w:rPr>
            </w:pPr>
          </w:p>
        </w:tc>
        <w:tc>
          <w:tcPr>
            <w:tcW w:w="1234" w:type="pct"/>
            <w:tcBorders>
              <w:top w:val="single" w:color="auto" w:sz="4" w:space="0"/>
              <w:left w:val="single" w:color="auto" w:sz="4" w:space="0"/>
              <w:bottom w:val="single" w:color="auto" w:sz="4" w:space="0"/>
              <w:right w:val="single" w:color="auto" w:sz="4" w:space="0"/>
            </w:tcBorders>
            <w:vAlign w:val="center"/>
          </w:tcPr>
          <w:p w14:paraId="543DC470">
            <w:pPr>
              <w:tabs>
                <w:tab w:val="left" w:pos="720"/>
              </w:tabs>
              <w:jc w:val="center"/>
              <w:rPr>
                <w:rFonts w:ascii="宋体" w:hAnsi="宋体" w:eastAsia="宋体" w:cs="宋体"/>
                <w:color w:val="auto"/>
                <w:szCs w:val="21"/>
                <w:highlight w:val="none"/>
              </w:rPr>
            </w:pPr>
          </w:p>
        </w:tc>
        <w:tc>
          <w:tcPr>
            <w:tcW w:w="741" w:type="pct"/>
            <w:tcBorders>
              <w:top w:val="single" w:color="auto" w:sz="4" w:space="0"/>
              <w:left w:val="single" w:color="auto" w:sz="4" w:space="0"/>
              <w:bottom w:val="single" w:color="auto" w:sz="4" w:space="0"/>
              <w:right w:val="single" w:color="auto" w:sz="4" w:space="0"/>
            </w:tcBorders>
            <w:vAlign w:val="center"/>
          </w:tcPr>
          <w:p w14:paraId="44542D21">
            <w:pPr>
              <w:tabs>
                <w:tab w:val="left" w:pos="720"/>
              </w:tabs>
              <w:jc w:val="center"/>
              <w:rPr>
                <w:rFonts w:ascii="宋体" w:hAnsi="宋体" w:eastAsia="宋体" w:cs="宋体"/>
                <w:color w:val="auto"/>
                <w:szCs w:val="21"/>
                <w:highlight w:val="none"/>
              </w:rPr>
            </w:pPr>
          </w:p>
        </w:tc>
      </w:tr>
      <w:tr w14:paraId="5A08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45" w:type="pct"/>
            <w:tcBorders>
              <w:top w:val="single" w:color="auto" w:sz="4" w:space="0"/>
              <w:left w:val="single" w:color="auto" w:sz="4" w:space="0"/>
              <w:bottom w:val="single" w:color="auto" w:sz="4" w:space="0"/>
              <w:right w:val="single" w:color="auto" w:sz="4" w:space="0"/>
            </w:tcBorders>
            <w:vAlign w:val="center"/>
          </w:tcPr>
          <w:p w14:paraId="21AE549A">
            <w:pPr>
              <w:tabs>
                <w:tab w:val="left" w:pos="720"/>
              </w:tabs>
              <w:jc w:val="center"/>
              <w:rPr>
                <w:rFonts w:ascii="宋体" w:hAnsi="宋体" w:eastAsia="宋体" w:cs="宋体"/>
                <w:color w:val="auto"/>
                <w:szCs w:val="21"/>
                <w:highlight w:val="none"/>
              </w:rPr>
            </w:pPr>
          </w:p>
        </w:tc>
        <w:tc>
          <w:tcPr>
            <w:tcW w:w="750" w:type="pct"/>
            <w:tcBorders>
              <w:top w:val="single" w:color="auto" w:sz="4" w:space="0"/>
              <w:left w:val="single" w:color="auto" w:sz="4" w:space="0"/>
              <w:bottom w:val="single" w:color="auto" w:sz="4" w:space="0"/>
              <w:right w:val="single" w:color="auto" w:sz="4" w:space="0"/>
            </w:tcBorders>
            <w:vAlign w:val="center"/>
          </w:tcPr>
          <w:p w14:paraId="785B9BB7">
            <w:pPr>
              <w:tabs>
                <w:tab w:val="left" w:pos="720"/>
              </w:tabs>
              <w:jc w:val="center"/>
              <w:rPr>
                <w:rFonts w:ascii="宋体" w:hAnsi="宋体" w:eastAsia="宋体" w:cs="宋体"/>
                <w:color w:val="auto"/>
                <w:szCs w:val="21"/>
                <w:highlight w:val="none"/>
              </w:rPr>
            </w:pPr>
          </w:p>
        </w:tc>
        <w:tc>
          <w:tcPr>
            <w:tcW w:w="1628" w:type="pct"/>
            <w:tcBorders>
              <w:top w:val="single" w:color="auto" w:sz="4" w:space="0"/>
              <w:left w:val="single" w:color="auto" w:sz="4" w:space="0"/>
              <w:bottom w:val="single" w:color="auto" w:sz="4" w:space="0"/>
              <w:right w:val="single" w:color="auto" w:sz="4" w:space="0"/>
            </w:tcBorders>
            <w:vAlign w:val="center"/>
          </w:tcPr>
          <w:p w14:paraId="0F1544EF">
            <w:pPr>
              <w:tabs>
                <w:tab w:val="left" w:pos="720"/>
              </w:tabs>
              <w:jc w:val="center"/>
              <w:rPr>
                <w:rFonts w:ascii="宋体" w:hAnsi="宋体" w:eastAsia="宋体" w:cs="宋体"/>
                <w:color w:val="auto"/>
                <w:szCs w:val="21"/>
                <w:highlight w:val="none"/>
              </w:rPr>
            </w:pPr>
          </w:p>
        </w:tc>
        <w:tc>
          <w:tcPr>
            <w:tcW w:w="1234" w:type="pct"/>
            <w:tcBorders>
              <w:top w:val="single" w:color="auto" w:sz="4" w:space="0"/>
              <w:left w:val="single" w:color="auto" w:sz="4" w:space="0"/>
              <w:bottom w:val="single" w:color="auto" w:sz="4" w:space="0"/>
              <w:right w:val="single" w:color="auto" w:sz="4" w:space="0"/>
            </w:tcBorders>
            <w:vAlign w:val="center"/>
          </w:tcPr>
          <w:p w14:paraId="09BE4C05">
            <w:pPr>
              <w:tabs>
                <w:tab w:val="left" w:pos="720"/>
              </w:tabs>
              <w:jc w:val="center"/>
              <w:rPr>
                <w:rFonts w:ascii="宋体" w:hAnsi="宋体" w:eastAsia="宋体" w:cs="宋体"/>
                <w:color w:val="auto"/>
                <w:szCs w:val="21"/>
                <w:highlight w:val="none"/>
              </w:rPr>
            </w:pPr>
          </w:p>
        </w:tc>
        <w:tc>
          <w:tcPr>
            <w:tcW w:w="741" w:type="pct"/>
            <w:tcBorders>
              <w:top w:val="single" w:color="auto" w:sz="4" w:space="0"/>
              <w:left w:val="single" w:color="auto" w:sz="4" w:space="0"/>
              <w:bottom w:val="single" w:color="auto" w:sz="4" w:space="0"/>
              <w:right w:val="single" w:color="auto" w:sz="4" w:space="0"/>
            </w:tcBorders>
            <w:vAlign w:val="center"/>
          </w:tcPr>
          <w:p w14:paraId="7B48A4EC">
            <w:pPr>
              <w:tabs>
                <w:tab w:val="left" w:pos="720"/>
              </w:tabs>
              <w:jc w:val="center"/>
              <w:rPr>
                <w:rFonts w:ascii="宋体" w:hAnsi="宋体" w:eastAsia="宋体" w:cs="宋体"/>
                <w:color w:val="auto"/>
                <w:szCs w:val="21"/>
                <w:highlight w:val="none"/>
              </w:rPr>
            </w:pPr>
          </w:p>
        </w:tc>
      </w:tr>
    </w:tbl>
    <w:p w14:paraId="7E1A27D2">
      <w:pPr>
        <w:autoSpaceDE w:val="0"/>
        <w:autoSpaceDN w:val="0"/>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注：1</w:t>
      </w:r>
      <w:r>
        <w:rPr>
          <w:rFonts w:hint="eastAsia" w:ascii="宋体" w:hAnsi="宋体" w:eastAsia="宋体" w:cs="宋体"/>
          <w:color w:val="auto"/>
          <w:kern w:val="0"/>
          <w:sz w:val="24"/>
          <w:szCs w:val="24"/>
          <w:highlight w:val="none"/>
        </w:rPr>
        <w:t>.</w:t>
      </w:r>
      <w:r>
        <w:rPr>
          <w:rFonts w:hint="eastAsia" w:ascii="宋体" w:hAnsi="宋体" w:eastAsia="宋体" w:cs="宋体"/>
          <w:color w:val="auto"/>
          <w:szCs w:val="21"/>
          <w:highlight w:val="none"/>
        </w:rPr>
        <w:t>参与编制技术标书所有人员名单应包括如编制技术投标方案、负责清样校对、负责打印及复印等所有人员在内的人员名单。</w:t>
      </w:r>
    </w:p>
    <w:p w14:paraId="3D399D90">
      <w:pPr>
        <w:autoSpaceDE w:val="0"/>
        <w:autoSpaceDN w:val="0"/>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kern w:val="0"/>
          <w:sz w:val="24"/>
          <w:szCs w:val="24"/>
          <w:highlight w:val="none"/>
        </w:rPr>
        <w:t>.</w:t>
      </w:r>
      <w:r>
        <w:rPr>
          <w:rFonts w:hint="eastAsia" w:ascii="宋体" w:hAnsi="宋体" w:eastAsia="宋体" w:cs="宋体"/>
          <w:color w:val="auto"/>
          <w:szCs w:val="21"/>
          <w:highlight w:val="none"/>
        </w:rPr>
        <w:t>提供表中人员离投标截止时间最近的至少1个月(</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月或2026年</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月</w:t>
      </w:r>
      <w:r>
        <w:rPr>
          <w:rFonts w:hint="eastAsia" w:ascii="宋体" w:hAnsi="宋体" w:eastAsia="宋体" w:cs="宋体"/>
          <w:color w:val="auto"/>
          <w:szCs w:val="21"/>
          <w:highlight w:val="none"/>
        </w:rPr>
        <w:t>)在本单位缴纳的社保证明文件。</w:t>
      </w:r>
    </w:p>
    <w:p w14:paraId="6EF248B5">
      <w:pPr>
        <w:rPr>
          <w:rFonts w:ascii="宋体" w:hAnsi="宋体" w:eastAsia="宋体"/>
          <w:color w:val="auto"/>
          <w:highlight w:val="none"/>
        </w:rPr>
      </w:pPr>
    </w:p>
    <w:p w14:paraId="26C36378">
      <w:pPr>
        <w:pStyle w:val="4"/>
        <w:rPr>
          <w:bCs/>
          <w:color w:val="auto"/>
          <w:highlight w:val="none"/>
          <w:lang w:val="zh-CN"/>
        </w:rPr>
      </w:pPr>
      <w:r>
        <w:rPr>
          <w:rFonts w:hint="eastAsia"/>
          <w:bCs/>
          <w:color w:val="auto"/>
          <w:highlight w:val="none"/>
        </w:rPr>
        <w:br w:type="page"/>
      </w:r>
      <w:bookmarkStart w:id="74" w:name="_Toc202907314"/>
      <w:bookmarkStart w:id="75" w:name="_Toc152532529"/>
      <w:r>
        <w:rPr>
          <w:rFonts w:hint="eastAsia"/>
          <w:color w:val="auto"/>
          <w:highlight w:val="none"/>
        </w:rPr>
        <w:t>格式十</w:t>
      </w:r>
      <w:r>
        <w:rPr>
          <w:rFonts w:hint="eastAsia"/>
          <w:color w:val="auto"/>
          <w:highlight w:val="none"/>
          <w:lang w:val="en-US" w:eastAsia="zh-CN"/>
        </w:rPr>
        <w:t>一</w:t>
      </w:r>
      <w:r>
        <w:rPr>
          <w:rFonts w:hint="eastAsia"/>
          <w:color w:val="auto"/>
          <w:highlight w:val="none"/>
        </w:rPr>
        <w:t>：</w:t>
      </w:r>
      <w:bookmarkEnd w:id="74"/>
      <w:bookmarkEnd w:id="75"/>
    </w:p>
    <w:p w14:paraId="526B81F2">
      <w:pPr>
        <w:topLinePunct/>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第三方评价汇总表</w:t>
      </w:r>
    </w:p>
    <w:tbl>
      <w:tblPr>
        <w:tblStyle w:val="50"/>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850"/>
        <w:gridCol w:w="1134"/>
        <w:gridCol w:w="1559"/>
        <w:gridCol w:w="1269"/>
        <w:gridCol w:w="1774"/>
        <w:gridCol w:w="1380"/>
      </w:tblGrid>
      <w:tr w14:paraId="3416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97" w:type="dxa"/>
            <w:vAlign w:val="center"/>
          </w:tcPr>
          <w:p w14:paraId="731E50E8">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850" w:type="dxa"/>
            <w:vAlign w:val="center"/>
          </w:tcPr>
          <w:p w14:paraId="69C34C52">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信用评价名称</w:t>
            </w:r>
          </w:p>
        </w:tc>
        <w:tc>
          <w:tcPr>
            <w:tcW w:w="1134" w:type="dxa"/>
            <w:vAlign w:val="center"/>
          </w:tcPr>
          <w:p w14:paraId="7C8F582F">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颁发机构</w:t>
            </w:r>
          </w:p>
        </w:tc>
        <w:tc>
          <w:tcPr>
            <w:tcW w:w="1559" w:type="dxa"/>
            <w:vAlign w:val="center"/>
          </w:tcPr>
          <w:p w14:paraId="7ADB2E65">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信用评价类别</w:t>
            </w:r>
          </w:p>
        </w:tc>
        <w:tc>
          <w:tcPr>
            <w:tcW w:w="1269" w:type="dxa"/>
            <w:vAlign w:val="center"/>
          </w:tcPr>
          <w:p w14:paraId="12D6D2C1">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获得日期</w:t>
            </w:r>
          </w:p>
        </w:tc>
        <w:tc>
          <w:tcPr>
            <w:tcW w:w="1774" w:type="dxa"/>
            <w:vAlign w:val="center"/>
          </w:tcPr>
          <w:p w14:paraId="175C287E">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提交证明材料内容</w:t>
            </w:r>
          </w:p>
        </w:tc>
        <w:tc>
          <w:tcPr>
            <w:tcW w:w="1380" w:type="dxa"/>
            <w:vAlign w:val="center"/>
          </w:tcPr>
          <w:p w14:paraId="6268BCE5">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在投标文件的位置</w:t>
            </w:r>
          </w:p>
        </w:tc>
      </w:tr>
      <w:tr w14:paraId="115C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697" w:type="dxa"/>
            <w:vAlign w:val="center"/>
          </w:tcPr>
          <w:p w14:paraId="09DA60C6">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850" w:type="dxa"/>
            <w:vAlign w:val="center"/>
          </w:tcPr>
          <w:p w14:paraId="50FC7740">
            <w:pPr>
              <w:spacing w:line="276" w:lineRule="auto"/>
              <w:jc w:val="center"/>
              <w:rPr>
                <w:rFonts w:hint="eastAsia" w:ascii="宋体" w:hAnsi="宋体" w:eastAsia="宋体" w:cs="宋体"/>
                <w:color w:val="auto"/>
                <w:szCs w:val="21"/>
                <w:highlight w:val="none"/>
              </w:rPr>
            </w:pPr>
          </w:p>
        </w:tc>
        <w:tc>
          <w:tcPr>
            <w:tcW w:w="1134" w:type="dxa"/>
            <w:vAlign w:val="center"/>
          </w:tcPr>
          <w:p w14:paraId="661CA8A5">
            <w:pPr>
              <w:spacing w:line="276" w:lineRule="auto"/>
              <w:jc w:val="center"/>
              <w:rPr>
                <w:rFonts w:hint="eastAsia" w:ascii="宋体" w:hAnsi="宋体" w:eastAsia="宋体" w:cs="宋体"/>
                <w:color w:val="auto"/>
                <w:szCs w:val="21"/>
                <w:highlight w:val="none"/>
              </w:rPr>
            </w:pPr>
          </w:p>
        </w:tc>
        <w:tc>
          <w:tcPr>
            <w:tcW w:w="1559" w:type="dxa"/>
            <w:vAlign w:val="center"/>
          </w:tcPr>
          <w:p w14:paraId="09062ADF">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例如：“纳税信用A级纳税人”等</w:t>
            </w:r>
          </w:p>
        </w:tc>
        <w:tc>
          <w:tcPr>
            <w:tcW w:w="1269" w:type="dxa"/>
            <w:vAlign w:val="center"/>
          </w:tcPr>
          <w:p w14:paraId="4D7F435B">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例如：X年X月X日</w:t>
            </w:r>
          </w:p>
        </w:tc>
        <w:tc>
          <w:tcPr>
            <w:tcW w:w="1774" w:type="dxa"/>
            <w:vAlign w:val="center"/>
          </w:tcPr>
          <w:p w14:paraId="02FA3E08">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例如：如网页信息查询截图等</w:t>
            </w:r>
          </w:p>
        </w:tc>
        <w:tc>
          <w:tcPr>
            <w:tcW w:w="1380" w:type="dxa"/>
            <w:vAlign w:val="center"/>
          </w:tcPr>
          <w:p w14:paraId="55CFFDAF">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例如：投标文件第X页</w:t>
            </w:r>
          </w:p>
        </w:tc>
      </w:tr>
      <w:tr w14:paraId="2823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97" w:type="dxa"/>
            <w:vAlign w:val="center"/>
          </w:tcPr>
          <w:p w14:paraId="405B5A9D">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850" w:type="dxa"/>
            <w:vAlign w:val="center"/>
          </w:tcPr>
          <w:p w14:paraId="0A24CAB0">
            <w:pPr>
              <w:spacing w:line="276" w:lineRule="auto"/>
              <w:jc w:val="center"/>
              <w:rPr>
                <w:rFonts w:hint="eastAsia" w:ascii="宋体" w:hAnsi="宋体" w:eastAsia="宋体" w:cs="宋体"/>
                <w:color w:val="auto"/>
                <w:szCs w:val="21"/>
                <w:highlight w:val="none"/>
              </w:rPr>
            </w:pPr>
          </w:p>
        </w:tc>
        <w:tc>
          <w:tcPr>
            <w:tcW w:w="1134" w:type="dxa"/>
            <w:vAlign w:val="center"/>
          </w:tcPr>
          <w:p w14:paraId="69169053">
            <w:pPr>
              <w:spacing w:line="276" w:lineRule="auto"/>
              <w:jc w:val="center"/>
              <w:rPr>
                <w:rFonts w:hint="eastAsia" w:ascii="宋体" w:hAnsi="宋体" w:eastAsia="宋体" w:cs="宋体"/>
                <w:color w:val="auto"/>
                <w:szCs w:val="21"/>
                <w:highlight w:val="none"/>
              </w:rPr>
            </w:pPr>
          </w:p>
        </w:tc>
        <w:tc>
          <w:tcPr>
            <w:tcW w:w="1559" w:type="dxa"/>
            <w:vAlign w:val="center"/>
          </w:tcPr>
          <w:p w14:paraId="771C0C4B">
            <w:pPr>
              <w:spacing w:line="276" w:lineRule="auto"/>
              <w:jc w:val="center"/>
              <w:rPr>
                <w:rFonts w:hint="eastAsia" w:ascii="宋体" w:hAnsi="宋体" w:eastAsia="宋体" w:cs="宋体"/>
                <w:color w:val="auto"/>
                <w:szCs w:val="21"/>
                <w:highlight w:val="none"/>
              </w:rPr>
            </w:pPr>
          </w:p>
        </w:tc>
        <w:tc>
          <w:tcPr>
            <w:tcW w:w="1269" w:type="dxa"/>
            <w:vAlign w:val="center"/>
          </w:tcPr>
          <w:p w14:paraId="23683F1B">
            <w:pPr>
              <w:spacing w:line="276" w:lineRule="auto"/>
              <w:jc w:val="center"/>
              <w:rPr>
                <w:rFonts w:hint="eastAsia" w:ascii="宋体" w:hAnsi="宋体" w:eastAsia="宋体" w:cs="宋体"/>
                <w:color w:val="auto"/>
                <w:szCs w:val="21"/>
                <w:highlight w:val="none"/>
              </w:rPr>
            </w:pPr>
          </w:p>
        </w:tc>
        <w:tc>
          <w:tcPr>
            <w:tcW w:w="1774" w:type="dxa"/>
            <w:vAlign w:val="center"/>
          </w:tcPr>
          <w:p w14:paraId="492D1E55">
            <w:pPr>
              <w:spacing w:line="276" w:lineRule="auto"/>
              <w:jc w:val="center"/>
              <w:rPr>
                <w:rFonts w:hint="eastAsia" w:ascii="宋体" w:hAnsi="宋体" w:eastAsia="宋体" w:cs="宋体"/>
                <w:color w:val="auto"/>
                <w:szCs w:val="21"/>
                <w:highlight w:val="none"/>
              </w:rPr>
            </w:pPr>
          </w:p>
        </w:tc>
        <w:tc>
          <w:tcPr>
            <w:tcW w:w="1380" w:type="dxa"/>
            <w:vAlign w:val="center"/>
          </w:tcPr>
          <w:p w14:paraId="42BC1823">
            <w:pPr>
              <w:spacing w:line="276" w:lineRule="auto"/>
              <w:jc w:val="center"/>
              <w:rPr>
                <w:rFonts w:hint="eastAsia" w:ascii="宋体" w:hAnsi="宋体" w:eastAsia="宋体" w:cs="宋体"/>
                <w:color w:val="auto"/>
                <w:szCs w:val="21"/>
                <w:highlight w:val="none"/>
              </w:rPr>
            </w:pPr>
          </w:p>
        </w:tc>
      </w:tr>
      <w:tr w14:paraId="1C8E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97" w:type="dxa"/>
            <w:vAlign w:val="center"/>
          </w:tcPr>
          <w:p w14:paraId="78BDCB69">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50" w:type="dxa"/>
            <w:vAlign w:val="center"/>
          </w:tcPr>
          <w:p w14:paraId="252F5D63">
            <w:pPr>
              <w:spacing w:line="276" w:lineRule="auto"/>
              <w:jc w:val="center"/>
              <w:rPr>
                <w:rFonts w:hint="eastAsia" w:ascii="宋体" w:hAnsi="宋体" w:eastAsia="宋体" w:cs="宋体"/>
                <w:color w:val="auto"/>
                <w:szCs w:val="21"/>
                <w:highlight w:val="none"/>
              </w:rPr>
            </w:pPr>
          </w:p>
        </w:tc>
        <w:tc>
          <w:tcPr>
            <w:tcW w:w="1134" w:type="dxa"/>
            <w:vAlign w:val="center"/>
          </w:tcPr>
          <w:p w14:paraId="48347F07">
            <w:pPr>
              <w:spacing w:line="276" w:lineRule="auto"/>
              <w:jc w:val="center"/>
              <w:rPr>
                <w:rFonts w:hint="eastAsia" w:ascii="宋体" w:hAnsi="宋体" w:eastAsia="宋体" w:cs="宋体"/>
                <w:color w:val="auto"/>
                <w:szCs w:val="21"/>
                <w:highlight w:val="none"/>
              </w:rPr>
            </w:pPr>
          </w:p>
        </w:tc>
        <w:tc>
          <w:tcPr>
            <w:tcW w:w="1559" w:type="dxa"/>
            <w:vAlign w:val="center"/>
          </w:tcPr>
          <w:p w14:paraId="5AAE8D88">
            <w:pPr>
              <w:spacing w:line="276" w:lineRule="auto"/>
              <w:jc w:val="center"/>
              <w:rPr>
                <w:rFonts w:hint="eastAsia" w:ascii="宋体" w:hAnsi="宋体" w:eastAsia="宋体" w:cs="宋体"/>
                <w:color w:val="auto"/>
                <w:szCs w:val="21"/>
                <w:highlight w:val="none"/>
              </w:rPr>
            </w:pPr>
          </w:p>
        </w:tc>
        <w:tc>
          <w:tcPr>
            <w:tcW w:w="1269" w:type="dxa"/>
            <w:vAlign w:val="center"/>
          </w:tcPr>
          <w:p w14:paraId="1ACD5615">
            <w:pPr>
              <w:spacing w:line="276" w:lineRule="auto"/>
              <w:jc w:val="center"/>
              <w:rPr>
                <w:rFonts w:hint="eastAsia" w:ascii="宋体" w:hAnsi="宋体" w:eastAsia="宋体" w:cs="宋体"/>
                <w:color w:val="auto"/>
                <w:szCs w:val="21"/>
                <w:highlight w:val="none"/>
              </w:rPr>
            </w:pPr>
          </w:p>
        </w:tc>
        <w:tc>
          <w:tcPr>
            <w:tcW w:w="1774" w:type="dxa"/>
            <w:vAlign w:val="center"/>
          </w:tcPr>
          <w:p w14:paraId="0E157D39">
            <w:pPr>
              <w:spacing w:line="276" w:lineRule="auto"/>
              <w:jc w:val="center"/>
              <w:rPr>
                <w:rFonts w:hint="eastAsia" w:ascii="宋体" w:hAnsi="宋体" w:eastAsia="宋体" w:cs="宋体"/>
                <w:color w:val="auto"/>
                <w:szCs w:val="21"/>
                <w:highlight w:val="none"/>
              </w:rPr>
            </w:pPr>
          </w:p>
        </w:tc>
        <w:tc>
          <w:tcPr>
            <w:tcW w:w="1380" w:type="dxa"/>
            <w:vAlign w:val="center"/>
          </w:tcPr>
          <w:p w14:paraId="48290ED4">
            <w:pPr>
              <w:spacing w:line="276" w:lineRule="auto"/>
              <w:jc w:val="center"/>
              <w:rPr>
                <w:rFonts w:hint="eastAsia" w:ascii="宋体" w:hAnsi="宋体" w:eastAsia="宋体" w:cs="宋体"/>
                <w:color w:val="auto"/>
                <w:szCs w:val="21"/>
                <w:highlight w:val="none"/>
              </w:rPr>
            </w:pPr>
          </w:p>
        </w:tc>
      </w:tr>
    </w:tbl>
    <w:p w14:paraId="4A8F375E">
      <w:pPr>
        <w:autoSpaceDE w:val="0"/>
        <w:autoSpaceDN w:val="0"/>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备注：1.结合评标办法提供。</w:t>
      </w:r>
    </w:p>
    <w:p w14:paraId="75005E1F">
      <w:pPr>
        <w:autoSpaceDE w:val="0"/>
        <w:autoSpaceDN w:val="0"/>
        <w:spacing w:line="360" w:lineRule="auto"/>
        <w:jc w:val="center"/>
        <w:rPr>
          <w:rFonts w:hint="eastAsia" w:ascii="宋体" w:hAnsi="宋体" w:eastAsia="宋体" w:cs="宋体"/>
          <w:color w:val="auto"/>
          <w:szCs w:val="21"/>
          <w:highlight w:val="none"/>
        </w:rPr>
        <w:sectPr>
          <w:pgSz w:w="11906" w:h="16838"/>
          <w:pgMar w:top="1440" w:right="1080" w:bottom="1440" w:left="1080" w:header="850" w:footer="992" w:gutter="0"/>
          <w:pgNumType w:fmt="decimal"/>
          <w:cols w:space="720" w:num="1"/>
          <w:titlePg/>
          <w:docGrid w:type="lines" w:linePitch="318" w:charSpace="0"/>
        </w:sectPr>
      </w:pPr>
      <w:r>
        <w:rPr>
          <w:rFonts w:hint="eastAsia" w:ascii="宋体" w:hAnsi="宋体" w:eastAsia="宋体" w:cs="宋体"/>
          <w:color w:val="auto"/>
          <w:szCs w:val="21"/>
          <w:highlight w:val="none"/>
        </w:rPr>
        <w:t>2.表中一个序号只能填报一个第三方评价，投标人需按照序号从小到大开始逐一填写。</w:t>
      </w:r>
    </w:p>
    <w:p w14:paraId="467E6158">
      <w:pPr>
        <w:pStyle w:val="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格式</w:t>
      </w:r>
      <w:r>
        <w:rPr>
          <w:rFonts w:hint="eastAsia"/>
          <w:color w:val="000000" w:themeColor="text1"/>
          <w:highlight w:val="none"/>
          <w:lang w:val="en-US" w:eastAsia="zh-CN"/>
          <w14:textFill>
            <w14:solidFill>
              <w14:schemeClr w14:val="tx1"/>
            </w14:solidFill>
          </w14:textFill>
        </w:rPr>
        <w:t>十二</w:t>
      </w:r>
      <w:r>
        <w:rPr>
          <w:rFonts w:hint="eastAsia"/>
          <w:color w:val="000000" w:themeColor="text1"/>
          <w:highlight w:val="none"/>
          <w14:textFill>
            <w14:solidFill>
              <w14:schemeClr w14:val="tx1"/>
            </w14:solidFill>
          </w14:textFill>
        </w:rPr>
        <w:t>：</w:t>
      </w:r>
    </w:p>
    <w:p w14:paraId="760DD654">
      <w:pPr>
        <w:topLinePunct/>
        <w:spacing w:line="360" w:lineRule="auto"/>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企业工程获奖情况表</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1513"/>
        <w:gridCol w:w="1383"/>
        <w:gridCol w:w="1409"/>
        <w:gridCol w:w="1570"/>
        <w:gridCol w:w="1291"/>
        <w:gridCol w:w="1329"/>
      </w:tblGrid>
      <w:tr w14:paraId="052A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33" w:type="pct"/>
            <w:tcBorders>
              <w:top w:val="single" w:color="auto" w:sz="4" w:space="0"/>
              <w:left w:val="single" w:color="auto" w:sz="4" w:space="0"/>
              <w:bottom w:val="single" w:color="auto" w:sz="4" w:space="0"/>
              <w:right w:val="single" w:color="auto" w:sz="4" w:space="0"/>
            </w:tcBorders>
            <w:vAlign w:val="center"/>
          </w:tcPr>
          <w:p w14:paraId="3C2FE87C">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p>
        </w:tc>
        <w:tc>
          <w:tcPr>
            <w:tcW w:w="759" w:type="pct"/>
            <w:tcBorders>
              <w:top w:val="single" w:color="auto" w:sz="4" w:space="0"/>
              <w:left w:val="single" w:color="auto" w:sz="4" w:space="0"/>
              <w:bottom w:val="single" w:color="auto" w:sz="4" w:space="0"/>
              <w:right w:val="single" w:color="auto" w:sz="4" w:space="0"/>
            </w:tcBorders>
            <w:vAlign w:val="center"/>
          </w:tcPr>
          <w:p w14:paraId="14F6A97A">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项目概况</w:t>
            </w:r>
          </w:p>
        </w:tc>
        <w:tc>
          <w:tcPr>
            <w:tcW w:w="694" w:type="pct"/>
            <w:tcBorders>
              <w:top w:val="single" w:color="auto" w:sz="4" w:space="0"/>
              <w:left w:val="single" w:color="auto" w:sz="4" w:space="0"/>
              <w:bottom w:val="single" w:color="auto" w:sz="4" w:space="0"/>
              <w:right w:val="single" w:color="auto" w:sz="4" w:space="0"/>
            </w:tcBorders>
            <w:vAlign w:val="center"/>
          </w:tcPr>
          <w:p w14:paraId="55D06B49">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业主单位</w:t>
            </w:r>
          </w:p>
        </w:tc>
        <w:tc>
          <w:tcPr>
            <w:tcW w:w="707" w:type="pct"/>
            <w:tcBorders>
              <w:top w:val="single" w:color="auto" w:sz="4" w:space="0"/>
              <w:left w:val="single" w:color="auto" w:sz="4" w:space="0"/>
              <w:bottom w:val="single" w:color="auto" w:sz="4" w:space="0"/>
              <w:right w:val="single" w:color="auto" w:sz="4" w:space="0"/>
            </w:tcBorders>
            <w:vAlign w:val="center"/>
          </w:tcPr>
          <w:p w14:paraId="37B0B1AD">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完成情况</w:t>
            </w:r>
          </w:p>
        </w:tc>
        <w:tc>
          <w:tcPr>
            <w:tcW w:w="788" w:type="pct"/>
            <w:tcBorders>
              <w:top w:val="single" w:color="auto" w:sz="4" w:space="0"/>
              <w:left w:val="single" w:color="auto" w:sz="4" w:space="0"/>
              <w:bottom w:val="single" w:color="auto" w:sz="4" w:space="0"/>
              <w:right w:val="single" w:color="auto" w:sz="4" w:space="0"/>
            </w:tcBorders>
            <w:vAlign w:val="center"/>
          </w:tcPr>
          <w:p w14:paraId="109D11BE">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颁发单位</w:t>
            </w:r>
          </w:p>
        </w:tc>
        <w:tc>
          <w:tcPr>
            <w:tcW w:w="648" w:type="pct"/>
            <w:tcBorders>
              <w:top w:val="single" w:color="auto" w:sz="4" w:space="0"/>
              <w:left w:val="single" w:color="auto" w:sz="4" w:space="0"/>
              <w:bottom w:val="single" w:color="auto" w:sz="4" w:space="0"/>
              <w:right w:val="single" w:color="auto" w:sz="4" w:space="0"/>
            </w:tcBorders>
            <w:vAlign w:val="center"/>
          </w:tcPr>
          <w:p w14:paraId="74BE5BF8">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获奖奖项</w:t>
            </w:r>
          </w:p>
        </w:tc>
        <w:tc>
          <w:tcPr>
            <w:tcW w:w="667" w:type="pct"/>
            <w:tcBorders>
              <w:top w:val="single" w:color="auto" w:sz="4" w:space="0"/>
              <w:left w:val="single" w:color="auto" w:sz="4" w:space="0"/>
              <w:bottom w:val="single" w:color="auto" w:sz="4" w:space="0"/>
              <w:right w:val="single" w:color="auto" w:sz="4" w:space="0"/>
            </w:tcBorders>
            <w:vAlign w:val="center"/>
          </w:tcPr>
          <w:p w14:paraId="45DB30E7">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获奖时间</w:t>
            </w:r>
          </w:p>
        </w:tc>
      </w:tr>
      <w:tr w14:paraId="4EF1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33" w:type="pct"/>
            <w:tcBorders>
              <w:top w:val="single" w:color="auto" w:sz="4" w:space="0"/>
              <w:left w:val="single" w:color="auto" w:sz="4" w:space="0"/>
              <w:bottom w:val="single" w:color="auto" w:sz="4" w:space="0"/>
              <w:right w:val="single" w:color="auto" w:sz="4" w:space="0"/>
            </w:tcBorders>
            <w:vAlign w:val="center"/>
          </w:tcPr>
          <w:p w14:paraId="3EC00D44">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59" w:type="pct"/>
            <w:tcBorders>
              <w:top w:val="single" w:color="auto" w:sz="4" w:space="0"/>
              <w:left w:val="single" w:color="auto" w:sz="4" w:space="0"/>
              <w:bottom w:val="single" w:color="auto" w:sz="4" w:space="0"/>
              <w:right w:val="single" w:color="auto" w:sz="4" w:space="0"/>
            </w:tcBorders>
            <w:vAlign w:val="center"/>
          </w:tcPr>
          <w:p w14:paraId="68C9C09E">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694" w:type="pct"/>
            <w:tcBorders>
              <w:top w:val="single" w:color="auto" w:sz="4" w:space="0"/>
              <w:left w:val="single" w:color="auto" w:sz="4" w:space="0"/>
              <w:bottom w:val="single" w:color="auto" w:sz="4" w:space="0"/>
              <w:right w:val="single" w:color="auto" w:sz="4" w:space="0"/>
            </w:tcBorders>
            <w:vAlign w:val="center"/>
          </w:tcPr>
          <w:p w14:paraId="1EEF6237">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7" w:type="pct"/>
            <w:tcBorders>
              <w:top w:val="single" w:color="auto" w:sz="4" w:space="0"/>
              <w:left w:val="single" w:color="auto" w:sz="4" w:space="0"/>
              <w:bottom w:val="single" w:color="auto" w:sz="4" w:space="0"/>
              <w:right w:val="single" w:color="auto" w:sz="4" w:space="0"/>
            </w:tcBorders>
            <w:vAlign w:val="center"/>
          </w:tcPr>
          <w:p w14:paraId="60979246">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88" w:type="pct"/>
            <w:tcBorders>
              <w:top w:val="single" w:color="auto" w:sz="4" w:space="0"/>
              <w:left w:val="single" w:color="auto" w:sz="4" w:space="0"/>
              <w:bottom w:val="single" w:color="auto" w:sz="4" w:space="0"/>
              <w:right w:val="single" w:color="auto" w:sz="4" w:space="0"/>
            </w:tcBorders>
            <w:vAlign w:val="center"/>
          </w:tcPr>
          <w:p w14:paraId="31D36D69">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648" w:type="pct"/>
            <w:tcBorders>
              <w:top w:val="single" w:color="auto" w:sz="4" w:space="0"/>
              <w:left w:val="single" w:color="auto" w:sz="4" w:space="0"/>
              <w:bottom w:val="single" w:color="auto" w:sz="4" w:space="0"/>
              <w:right w:val="single" w:color="auto" w:sz="4" w:space="0"/>
            </w:tcBorders>
            <w:vAlign w:val="center"/>
          </w:tcPr>
          <w:p w14:paraId="171910CA">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667" w:type="pct"/>
            <w:tcBorders>
              <w:top w:val="single" w:color="auto" w:sz="4" w:space="0"/>
              <w:left w:val="single" w:color="auto" w:sz="4" w:space="0"/>
              <w:bottom w:val="single" w:color="auto" w:sz="4" w:space="0"/>
              <w:right w:val="single" w:color="auto" w:sz="4" w:space="0"/>
            </w:tcBorders>
            <w:vAlign w:val="center"/>
          </w:tcPr>
          <w:p w14:paraId="37A5DF56">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38C6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33" w:type="pct"/>
            <w:tcBorders>
              <w:top w:val="single" w:color="auto" w:sz="4" w:space="0"/>
              <w:left w:val="single" w:color="auto" w:sz="4" w:space="0"/>
              <w:bottom w:val="single" w:color="auto" w:sz="4" w:space="0"/>
              <w:right w:val="single" w:color="auto" w:sz="4" w:space="0"/>
            </w:tcBorders>
            <w:vAlign w:val="center"/>
          </w:tcPr>
          <w:p w14:paraId="2C1804CE">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59" w:type="pct"/>
            <w:tcBorders>
              <w:top w:val="single" w:color="auto" w:sz="4" w:space="0"/>
              <w:left w:val="single" w:color="auto" w:sz="4" w:space="0"/>
              <w:bottom w:val="single" w:color="auto" w:sz="4" w:space="0"/>
              <w:right w:val="single" w:color="auto" w:sz="4" w:space="0"/>
            </w:tcBorders>
            <w:vAlign w:val="center"/>
          </w:tcPr>
          <w:p w14:paraId="307D10E1">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694" w:type="pct"/>
            <w:tcBorders>
              <w:top w:val="single" w:color="auto" w:sz="4" w:space="0"/>
              <w:left w:val="single" w:color="auto" w:sz="4" w:space="0"/>
              <w:bottom w:val="single" w:color="auto" w:sz="4" w:space="0"/>
              <w:right w:val="single" w:color="auto" w:sz="4" w:space="0"/>
            </w:tcBorders>
            <w:vAlign w:val="center"/>
          </w:tcPr>
          <w:p w14:paraId="48FD4A80">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7" w:type="pct"/>
            <w:tcBorders>
              <w:top w:val="single" w:color="auto" w:sz="4" w:space="0"/>
              <w:left w:val="single" w:color="auto" w:sz="4" w:space="0"/>
              <w:bottom w:val="single" w:color="auto" w:sz="4" w:space="0"/>
              <w:right w:val="single" w:color="auto" w:sz="4" w:space="0"/>
            </w:tcBorders>
            <w:vAlign w:val="center"/>
          </w:tcPr>
          <w:p w14:paraId="381FE445">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88" w:type="pct"/>
            <w:tcBorders>
              <w:top w:val="single" w:color="auto" w:sz="4" w:space="0"/>
              <w:left w:val="single" w:color="auto" w:sz="4" w:space="0"/>
              <w:bottom w:val="single" w:color="auto" w:sz="4" w:space="0"/>
              <w:right w:val="single" w:color="auto" w:sz="4" w:space="0"/>
            </w:tcBorders>
            <w:vAlign w:val="center"/>
          </w:tcPr>
          <w:p w14:paraId="3A8507C1">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648" w:type="pct"/>
            <w:tcBorders>
              <w:top w:val="single" w:color="auto" w:sz="4" w:space="0"/>
              <w:left w:val="single" w:color="auto" w:sz="4" w:space="0"/>
              <w:bottom w:val="single" w:color="auto" w:sz="4" w:space="0"/>
              <w:right w:val="single" w:color="auto" w:sz="4" w:space="0"/>
            </w:tcBorders>
            <w:vAlign w:val="center"/>
          </w:tcPr>
          <w:p w14:paraId="1C87450B">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667" w:type="pct"/>
            <w:tcBorders>
              <w:top w:val="single" w:color="auto" w:sz="4" w:space="0"/>
              <w:left w:val="single" w:color="auto" w:sz="4" w:space="0"/>
              <w:bottom w:val="single" w:color="auto" w:sz="4" w:space="0"/>
              <w:right w:val="single" w:color="auto" w:sz="4" w:space="0"/>
            </w:tcBorders>
            <w:vAlign w:val="center"/>
          </w:tcPr>
          <w:p w14:paraId="0C7066E1">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7831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33" w:type="pct"/>
            <w:tcBorders>
              <w:top w:val="single" w:color="auto" w:sz="4" w:space="0"/>
              <w:left w:val="single" w:color="auto" w:sz="4" w:space="0"/>
              <w:bottom w:val="single" w:color="auto" w:sz="4" w:space="0"/>
              <w:right w:val="single" w:color="auto" w:sz="4" w:space="0"/>
            </w:tcBorders>
            <w:vAlign w:val="center"/>
          </w:tcPr>
          <w:p w14:paraId="36F9CE3B">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59" w:type="pct"/>
            <w:tcBorders>
              <w:top w:val="single" w:color="auto" w:sz="4" w:space="0"/>
              <w:left w:val="single" w:color="auto" w:sz="4" w:space="0"/>
              <w:bottom w:val="single" w:color="auto" w:sz="4" w:space="0"/>
              <w:right w:val="single" w:color="auto" w:sz="4" w:space="0"/>
            </w:tcBorders>
            <w:vAlign w:val="center"/>
          </w:tcPr>
          <w:p w14:paraId="286988C6">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694" w:type="pct"/>
            <w:tcBorders>
              <w:top w:val="single" w:color="auto" w:sz="4" w:space="0"/>
              <w:left w:val="single" w:color="auto" w:sz="4" w:space="0"/>
              <w:bottom w:val="single" w:color="auto" w:sz="4" w:space="0"/>
              <w:right w:val="single" w:color="auto" w:sz="4" w:space="0"/>
            </w:tcBorders>
            <w:vAlign w:val="center"/>
          </w:tcPr>
          <w:p w14:paraId="73B0D783">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7" w:type="pct"/>
            <w:tcBorders>
              <w:top w:val="single" w:color="auto" w:sz="4" w:space="0"/>
              <w:left w:val="single" w:color="auto" w:sz="4" w:space="0"/>
              <w:bottom w:val="single" w:color="auto" w:sz="4" w:space="0"/>
              <w:right w:val="single" w:color="auto" w:sz="4" w:space="0"/>
            </w:tcBorders>
            <w:vAlign w:val="center"/>
          </w:tcPr>
          <w:p w14:paraId="6248B6A5">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88" w:type="pct"/>
            <w:tcBorders>
              <w:top w:val="single" w:color="auto" w:sz="4" w:space="0"/>
              <w:left w:val="single" w:color="auto" w:sz="4" w:space="0"/>
              <w:bottom w:val="single" w:color="auto" w:sz="4" w:space="0"/>
              <w:right w:val="single" w:color="auto" w:sz="4" w:space="0"/>
            </w:tcBorders>
            <w:vAlign w:val="center"/>
          </w:tcPr>
          <w:p w14:paraId="1A93D41A">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648" w:type="pct"/>
            <w:tcBorders>
              <w:top w:val="single" w:color="auto" w:sz="4" w:space="0"/>
              <w:left w:val="single" w:color="auto" w:sz="4" w:space="0"/>
              <w:bottom w:val="single" w:color="auto" w:sz="4" w:space="0"/>
              <w:right w:val="single" w:color="auto" w:sz="4" w:space="0"/>
            </w:tcBorders>
            <w:vAlign w:val="center"/>
          </w:tcPr>
          <w:p w14:paraId="343C9C19">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667" w:type="pct"/>
            <w:tcBorders>
              <w:top w:val="single" w:color="auto" w:sz="4" w:space="0"/>
              <w:left w:val="single" w:color="auto" w:sz="4" w:space="0"/>
              <w:bottom w:val="single" w:color="auto" w:sz="4" w:space="0"/>
              <w:right w:val="single" w:color="auto" w:sz="4" w:space="0"/>
            </w:tcBorders>
            <w:vAlign w:val="center"/>
          </w:tcPr>
          <w:p w14:paraId="143D3CD5">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6E35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33" w:type="pct"/>
            <w:tcBorders>
              <w:top w:val="single" w:color="auto" w:sz="4" w:space="0"/>
              <w:left w:val="single" w:color="auto" w:sz="4" w:space="0"/>
              <w:bottom w:val="single" w:color="auto" w:sz="4" w:space="0"/>
              <w:right w:val="single" w:color="auto" w:sz="4" w:space="0"/>
            </w:tcBorders>
            <w:vAlign w:val="center"/>
          </w:tcPr>
          <w:p w14:paraId="138A1E50">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59" w:type="pct"/>
            <w:tcBorders>
              <w:top w:val="single" w:color="auto" w:sz="4" w:space="0"/>
              <w:left w:val="single" w:color="auto" w:sz="4" w:space="0"/>
              <w:bottom w:val="single" w:color="auto" w:sz="4" w:space="0"/>
              <w:right w:val="single" w:color="auto" w:sz="4" w:space="0"/>
            </w:tcBorders>
            <w:vAlign w:val="center"/>
          </w:tcPr>
          <w:p w14:paraId="34B9AB85">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694" w:type="pct"/>
            <w:tcBorders>
              <w:top w:val="single" w:color="auto" w:sz="4" w:space="0"/>
              <w:left w:val="single" w:color="auto" w:sz="4" w:space="0"/>
              <w:bottom w:val="single" w:color="auto" w:sz="4" w:space="0"/>
              <w:right w:val="single" w:color="auto" w:sz="4" w:space="0"/>
            </w:tcBorders>
            <w:vAlign w:val="center"/>
          </w:tcPr>
          <w:p w14:paraId="51F5D998">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7" w:type="pct"/>
            <w:tcBorders>
              <w:top w:val="single" w:color="auto" w:sz="4" w:space="0"/>
              <w:left w:val="single" w:color="auto" w:sz="4" w:space="0"/>
              <w:bottom w:val="single" w:color="auto" w:sz="4" w:space="0"/>
              <w:right w:val="single" w:color="auto" w:sz="4" w:space="0"/>
            </w:tcBorders>
            <w:vAlign w:val="center"/>
          </w:tcPr>
          <w:p w14:paraId="5FA9729C">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88" w:type="pct"/>
            <w:tcBorders>
              <w:top w:val="single" w:color="auto" w:sz="4" w:space="0"/>
              <w:left w:val="single" w:color="auto" w:sz="4" w:space="0"/>
              <w:bottom w:val="single" w:color="auto" w:sz="4" w:space="0"/>
              <w:right w:val="single" w:color="auto" w:sz="4" w:space="0"/>
            </w:tcBorders>
            <w:vAlign w:val="center"/>
          </w:tcPr>
          <w:p w14:paraId="029EB513">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648" w:type="pct"/>
            <w:tcBorders>
              <w:top w:val="single" w:color="auto" w:sz="4" w:space="0"/>
              <w:left w:val="single" w:color="auto" w:sz="4" w:space="0"/>
              <w:bottom w:val="single" w:color="auto" w:sz="4" w:space="0"/>
              <w:right w:val="single" w:color="auto" w:sz="4" w:space="0"/>
            </w:tcBorders>
            <w:vAlign w:val="center"/>
          </w:tcPr>
          <w:p w14:paraId="1D954AAF">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667" w:type="pct"/>
            <w:tcBorders>
              <w:top w:val="single" w:color="auto" w:sz="4" w:space="0"/>
              <w:left w:val="single" w:color="auto" w:sz="4" w:space="0"/>
              <w:bottom w:val="single" w:color="auto" w:sz="4" w:space="0"/>
              <w:right w:val="single" w:color="auto" w:sz="4" w:space="0"/>
            </w:tcBorders>
            <w:vAlign w:val="center"/>
          </w:tcPr>
          <w:p w14:paraId="035ED892">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59A9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33" w:type="pct"/>
            <w:tcBorders>
              <w:top w:val="single" w:color="auto" w:sz="4" w:space="0"/>
              <w:left w:val="single" w:color="auto" w:sz="4" w:space="0"/>
              <w:bottom w:val="single" w:color="auto" w:sz="4" w:space="0"/>
              <w:right w:val="single" w:color="auto" w:sz="4" w:space="0"/>
            </w:tcBorders>
            <w:vAlign w:val="center"/>
          </w:tcPr>
          <w:p w14:paraId="1DCD350B">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59" w:type="pct"/>
            <w:tcBorders>
              <w:top w:val="single" w:color="auto" w:sz="4" w:space="0"/>
              <w:left w:val="single" w:color="auto" w:sz="4" w:space="0"/>
              <w:bottom w:val="single" w:color="auto" w:sz="4" w:space="0"/>
              <w:right w:val="single" w:color="auto" w:sz="4" w:space="0"/>
            </w:tcBorders>
            <w:vAlign w:val="center"/>
          </w:tcPr>
          <w:p w14:paraId="64789992">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694" w:type="pct"/>
            <w:tcBorders>
              <w:top w:val="single" w:color="auto" w:sz="4" w:space="0"/>
              <w:left w:val="single" w:color="auto" w:sz="4" w:space="0"/>
              <w:bottom w:val="single" w:color="auto" w:sz="4" w:space="0"/>
              <w:right w:val="single" w:color="auto" w:sz="4" w:space="0"/>
            </w:tcBorders>
            <w:vAlign w:val="center"/>
          </w:tcPr>
          <w:p w14:paraId="01A8672F">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7" w:type="pct"/>
            <w:tcBorders>
              <w:top w:val="single" w:color="auto" w:sz="4" w:space="0"/>
              <w:left w:val="single" w:color="auto" w:sz="4" w:space="0"/>
              <w:bottom w:val="single" w:color="auto" w:sz="4" w:space="0"/>
              <w:right w:val="single" w:color="auto" w:sz="4" w:space="0"/>
            </w:tcBorders>
            <w:vAlign w:val="center"/>
          </w:tcPr>
          <w:p w14:paraId="348B3431">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88" w:type="pct"/>
            <w:tcBorders>
              <w:top w:val="single" w:color="auto" w:sz="4" w:space="0"/>
              <w:left w:val="single" w:color="auto" w:sz="4" w:space="0"/>
              <w:bottom w:val="single" w:color="auto" w:sz="4" w:space="0"/>
              <w:right w:val="single" w:color="auto" w:sz="4" w:space="0"/>
            </w:tcBorders>
            <w:vAlign w:val="center"/>
          </w:tcPr>
          <w:p w14:paraId="5B5E0588">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648" w:type="pct"/>
            <w:tcBorders>
              <w:top w:val="single" w:color="auto" w:sz="4" w:space="0"/>
              <w:left w:val="single" w:color="auto" w:sz="4" w:space="0"/>
              <w:bottom w:val="single" w:color="auto" w:sz="4" w:space="0"/>
              <w:right w:val="single" w:color="auto" w:sz="4" w:space="0"/>
            </w:tcBorders>
            <w:vAlign w:val="center"/>
          </w:tcPr>
          <w:p w14:paraId="41070D8F">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667" w:type="pct"/>
            <w:tcBorders>
              <w:top w:val="single" w:color="auto" w:sz="4" w:space="0"/>
              <w:left w:val="single" w:color="auto" w:sz="4" w:space="0"/>
              <w:bottom w:val="single" w:color="auto" w:sz="4" w:space="0"/>
              <w:right w:val="single" w:color="auto" w:sz="4" w:space="0"/>
            </w:tcBorders>
            <w:vAlign w:val="center"/>
          </w:tcPr>
          <w:p w14:paraId="469FEC55">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608B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33" w:type="pct"/>
            <w:tcBorders>
              <w:top w:val="single" w:color="auto" w:sz="4" w:space="0"/>
              <w:left w:val="single" w:color="auto" w:sz="4" w:space="0"/>
              <w:bottom w:val="single" w:color="auto" w:sz="4" w:space="0"/>
              <w:right w:val="single" w:color="auto" w:sz="4" w:space="0"/>
            </w:tcBorders>
            <w:vAlign w:val="center"/>
          </w:tcPr>
          <w:p w14:paraId="52078831">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59" w:type="pct"/>
            <w:tcBorders>
              <w:top w:val="single" w:color="auto" w:sz="4" w:space="0"/>
              <w:left w:val="single" w:color="auto" w:sz="4" w:space="0"/>
              <w:bottom w:val="single" w:color="auto" w:sz="4" w:space="0"/>
              <w:right w:val="single" w:color="auto" w:sz="4" w:space="0"/>
            </w:tcBorders>
            <w:vAlign w:val="center"/>
          </w:tcPr>
          <w:p w14:paraId="06009C44">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694" w:type="pct"/>
            <w:tcBorders>
              <w:top w:val="single" w:color="auto" w:sz="4" w:space="0"/>
              <w:left w:val="single" w:color="auto" w:sz="4" w:space="0"/>
              <w:bottom w:val="single" w:color="auto" w:sz="4" w:space="0"/>
              <w:right w:val="single" w:color="auto" w:sz="4" w:space="0"/>
            </w:tcBorders>
            <w:vAlign w:val="center"/>
          </w:tcPr>
          <w:p w14:paraId="607795B9">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7" w:type="pct"/>
            <w:tcBorders>
              <w:top w:val="single" w:color="auto" w:sz="4" w:space="0"/>
              <w:left w:val="single" w:color="auto" w:sz="4" w:space="0"/>
              <w:bottom w:val="single" w:color="auto" w:sz="4" w:space="0"/>
              <w:right w:val="single" w:color="auto" w:sz="4" w:space="0"/>
            </w:tcBorders>
            <w:vAlign w:val="center"/>
          </w:tcPr>
          <w:p w14:paraId="66B7BCD0">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88" w:type="pct"/>
            <w:tcBorders>
              <w:top w:val="single" w:color="auto" w:sz="4" w:space="0"/>
              <w:left w:val="single" w:color="auto" w:sz="4" w:space="0"/>
              <w:bottom w:val="single" w:color="auto" w:sz="4" w:space="0"/>
              <w:right w:val="single" w:color="auto" w:sz="4" w:space="0"/>
            </w:tcBorders>
            <w:vAlign w:val="center"/>
          </w:tcPr>
          <w:p w14:paraId="31D352E7">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648" w:type="pct"/>
            <w:tcBorders>
              <w:top w:val="single" w:color="auto" w:sz="4" w:space="0"/>
              <w:left w:val="single" w:color="auto" w:sz="4" w:space="0"/>
              <w:bottom w:val="single" w:color="auto" w:sz="4" w:space="0"/>
              <w:right w:val="single" w:color="auto" w:sz="4" w:space="0"/>
            </w:tcBorders>
            <w:vAlign w:val="center"/>
          </w:tcPr>
          <w:p w14:paraId="13202B82">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667" w:type="pct"/>
            <w:tcBorders>
              <w:top w:val="single" w:color="auto" w:sz="4" w:space="0"/>
              <w:left w:val="single" w:color="auto" w:sz="4" w:space="0"/>
              <w:bottom w:val="single" w:color="auto" w:sz="4" w:space="0"/>
              <w:right w:val="single" w:color="auto" w:sz="4" w:space="0"/>
            </w:tcBorders>
            <w:vAlign w:val="center"/>
          </w:tcPr>
          <w:p w14:paraId="5431C78F">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4046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33" w:type="pct"/>
            <w:tcBorders>
              <w:top w:val="single" w:color="auto" w:sz="4" w:space="0"/>
              <w:left w:val="single" w:color="auto" w:sz="4" w:space="0"/>
              <w:bottom w:val="single" w:color="auto" w:sz="4" w:space="0"/>
              <w:right w:val="single" w:color="auto" w:sz="4" w:space="0"/>
            </w:tcBorders>
            <w:vAlign w:val="center"/>
          </w:tcPr>
          <w:p w14:paraId="50C52F7D">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59" w:type="pct"/>
            <w:tcBorders>
              <w:top w:val="single" w:color="auto" w:sz="4" w:space="0"/>
              <w:left w:val="single" w:color="auto" w:sz="4" w:space="0"/>
              <w:bottom w:val="single" w:color="auto" w:sz="4" w:space="0"/>
              <w:right w:val="single" w:color="auto" w:sz="4" w:space="0"/>
            </w:tcBorders>
            <w:vAlign w:val="center"/>
          </w:tcPr>
          <w:p w14:paraId="37BBAE65">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694" w:type="pct"/>
            <w:tcBorders>
              <w:top w:val="single" w:color="auto" w:sz="4" w:space="0"/>
              <w:left w:val="single" w:color="auto" w:sz="4" w:space="0"/>
              <w:bottom w:val="single" w:color="auto" w:sz="4" w:space="0"/>
              <w:right w:val="single" w:color="auto" w:sz="4" w:space="0"/>
            </w:tcBorders>
            <w:vAlign w:val="center"/>
          </w:tcPr>
          <w:p w14:paraId="361E2651">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07" w:type="pct"/>
            <w:tcBorders>
              <w:top w:val="single" w:color="auto" w:sz="4" w:space="0"/>
              <w:left w:val="single" w:color="auto" w:sz="4" w:space="0"/>
              <w:bottom w:val="single" w:color="auto" w:sz="4" w:space="0"/>
              <w:right w:val="single" w:color="auto" w:sz="4" w:space="0"/>
            </w:tcBorders>
            <w:vAlign w:val="center"/>
          </w:tcPr>
          <w:p w14:paraId="3DB0D229">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88" w:type="pct"/>
            <w:tcBorders>
              <w:top w:val="single" w:color="auto" w:sz="4" w:space="0"/>
              <w:left w:val="single" w:color="auto" w:sz="4" w:space="0"/>
              <w:bottom w:val="single" w:color="auto" w:sz="4" w:space="0"/>
              <w:right w:val="single" w:color="auto" w:sz="4" w:space="0"/>
            </w:tcBorders>
            <w:vAlign w:val="center"/>
          </w:tcPr>
          <w:p w14:paraId="437B357A">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648" w:type="pct"/>
            <w:tcBorders>
              <w:top w:val="single" w:color="auto" w:sz="4" w:space="0"/>
              <w:left w:val="single" w:color="auto" w:sz="4" w:space="0"/>
              <w:bottom w:val="single" w:color="auto" w:sz="4" w:space="0"/>
              <w:right w:val="single" w:color="auto" w:sz="4" w:space="0"/>
            </w:tcBorders>
            <w:vAlign w:val="center"/>
          </w:tcPr>
          <w:p w14:paraId="68BF6734">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667" w:type="pct"/>
            <w:tcBorders>
              <w:top w:val="single" w:color="auto" w:sz="4" w:space="0"/>
              <w:left w:val="single" w:color="auto" w:sz="4" w:space="0"/>
              <w:bottom w:val="single" w:color="auto" w:sz="4" w:space="0"/>
              <w:right w:val="single" w:color="auto" w:sz="4" w:space="0"/>
            </w:tcBorders>
            <w:vAlign w:val="center"/>
          </w:tcPr>
          <w:p w14:paraId="11E72696">
            <w:pPr>
              <w:topLinePunct/>
              <w:spacing w:line="276" w:lineRule="auto"/>
              <w:jc w:val="center"/>
              <w:rPr>
                <w:rFonts w:hint="eastAsia" w:ascii="宋体" w:hAnsi="宋体" w:eastAsia="宋体" w:cs="宋体"/>
                <w:color w:val="000000" w:themeColor="text1"/>
                <w:szCs w:val="21"/>
                <w:highlight w:val="none"/>
                <w14:textFill>
                  <w14:solidFill>
                    <w14:schemeClr w14:val="tx1"/>
                  </w14:solidFill>
                </w14:textFill>
              </w:rPr>
            </w:pPr>
          </w:p>
        </w:tc>
      </w:tr>
    </w:tbl>
    <w:p w14:paraId="46D6CC2A">
      <w:pPr>
        <w:autoSpaceDE w:val="0"/>
        <w:autoSpaceDN w:val="0"/>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注：由投标人按评审要求填写本表，并按《技术标详细审查评分表》要求附相关证明材料。</w:t>
      </w:r>
    </w:p>
    <w:p w14:paraId="3963340F">
      <w:pPr>
        <w:tabs>
          <w:tab w:val="left" w:pos="720"/>
        </w:tabs>
        <w:spacing w:line="336" w:lineRule="auto"/>
        <w:ind w:firstLine="4578" w:firstLineChars="2100"/>
        <w:jc w:val="left"/>
        <w:rPr>
          <w:rFonts w:hint="eastAsia" w:ascii="宋体" w:hAnsi="宋体" w:eastAsia="宋体" w:cs="宋体"/>
          <w:color w:val="000000" w:themeColor="text1"/>
          <w:spacing w:val="4"/>
          <w:kern w:val="0"/>
          <w:szCs w:val="21"/>
          <w:highlight w:val="none"/>
          <w14:textFill>
            <w14:solidFill>
              <w14:schemeClr w14:val="tx1"/>
            </w14:solidFill>
          </w14:textFill>
        </w:rPr>
      </w:pPr>
    </w:p>
    <w:p w14:paraId="2DD10442">
      <w:pPr>
        <w:tabs>
          <w:tab w:val="left" w:pos="720"/>
        </w:tabs>
        <w:spacing w:line="336" w:lineRule="auto"/>
        <w:ind w:firstLine="4578" w:firstLineChars="2100"/>
        <w:jc w:val="left"/>
        <w:rPr>
          <w:rFonts w:hint="eastAsia" w:ascii="宋体" w:hAnsi="宋体" w:eastAsia="宋体" w:cs="宋体"/>
          <w:color w:val="000000" w:themeColor="text1"/>
          <w:spacing w:val="4"/>
          <w:kern w:val="0"/>
          <w:szCs w:val="21"/>
          <w:highlight w:val="none"/>
          <w14:textFill>
            <w14:solidFill>
              <w14:schemeClr w14:val="tx1"/>
            </w14:solidFill>
          </w14:textFill>
        </w:rPr>
      </w:pPr>
      <w:r>
        <w:rPr>
          <w:rFonts w:hint="eastAsia" w:ascii="宋体" w:hAnsi="宋体" w:eastAsia="宋体" w:cs="宋体"/>
          <w:color w:val="000000" w:themeColor="text1"/>
          <w:spacing w:val="4"/>
          <w:kern w:val="0"/>
          <w:szCs w:val="21"/>
          <w:highlight w:val="none"/>
          <w14:textFill>
            <w14:solidFill>
              <w14:schemeClr w14:val="tx1"/>
            </w14:solidFill>
          </w14:textFill>
        </w:rPr>
        <w:t>投标人：</w:t>
      </w:r>
      <w:r>
        <w:rPr>
          <w:rFonts w:hint="eastAsia" w:ascii="宋体" w:hAnsi="宋体" w:eastAsia="宋体" w:cs="宋体"/>
          <w:color w:val="000000" w:themeColor="text1"/>
          <w:spacing w:val="4"/>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4"/>
          <w:kern w:val="0"/>
          <w:szCs w:val="21"/>
          <w:highlight w:val="none"/>
          <w14:textFill>
            <w14:solidFill>
              <w14:schemeClr w14:val="tx1"/>
            </w14:solidFill>
          </w14:textFill>
        </w:rPr>
        <w:t xml:space="preserve"> （盖章）</w:t>
      </w:r>
    </w:p>
    <w:p w14:paraId="469D2587">
      <w:pPr>
        <w:topLinePunct/>
        <w:spacing w:line="276" w:lineRule="auto"/>
        <w:ind w:firstLine="4578" w:firstLineChars="2100"/>
        <w:rPr>
          <w:rFonts w:hint="eastAsia" w:ascii="宋体" w:hAnsi="宋体" w:eastAsia="宋体" w:cs="宋体"/>
          <w:color w:val="000000" w:themeColor="text1"/>
          <w:spacing w:val="4"/>
          <w:kern w:val="0"/>
          <w:szCs w:val="21"/>
          <w:highlight w:val="none"/>
          <w14:textFill>
            <w14:solidFill>
              <w14:schemeClr w14:val="tx1"/>
            </w14:solidFill>
          </w14:textFill>
        </w:rPr>
      </w:pPr>
      <w:r>
        <w:rPr>
          <w:rFonts w:hint="eastAsia" w:ascii="宋体" w:hAnsi="宋体" w:eastAsia="宋体" w:cs="宋体"/>
          <w:color w:val="000000" w:themeColor="text1"/>
          <w:spacing w:val="4"/>
          <w:kern w:val="0"/>
          <w:szCs w:val="21"/>
          <w:highlight w:val="none"/>
          <w14:textFill>
            <w14:solidFill>
              <w14:schemeClr w14:val="tx1"/>
            </w14:solidFill>
          </w14:textFill>
        </w:rPr>
        <w:t>日期：</w:t>
      </w:r>
      <w:r>
        <w:rPr>
          <w:rFonts w:hint="eastAsia" w:ascii="宋体" w:hAnsi="宋体" w:eastAsia="宋体" w:cs="宋体"/>
          <w:color w:val="000000" w:themeColor="text1"/>
          <w:spacing w:val="4"/>
          <w:kern w:val="0"/>
          <w:szCs w:val="21"/>
          <w:highlight w:val="none"/>
          <w:u w:val="single"/>
          <w14:textFill>
            <w14:solidFill>
              <w14:schemeClr w14:val="tx1"/>
            </w14:solidFill>
          </w14:textFill>
        </w:rPr>
        <w:t xml:space="preserve">                                    </w:t>
      </w:r>
    </w:p>
    <w:p w14:paraId="3FB9C946">
      <w:pPr>
        <w:pStyle w:val="41"/>
        <w:rPr>
          <w:color w:val="000000" w:themeColor="text1"/>
          <w:highlight w:val="none"/>
          <w14:textFill>
            <w14:solidFill>
              <w14:schemeClr w14:val="tx1"/>
            </w14:solidFill>
          </w14:textFill>
        </w:rPr>
      </w:pPr>
    </w:p>
    <w:p w14:paraId="0C0B9AA2">
      <w:pPr>
        <w:pStyle w:val="7"/>
        <w:ind w:firstLine="0"/>
        <w:rPr>
          <w:rFonts w:hint="eastAsia"/>
        </w:rPr>
        <w:sectPr>
          <w:pgSz w:w="11906" w:h="16838"/>
          <w:pgMar w:top="1440" w:right="1080" w:bottom="1440" w:left="1080" w:header="850" w:footer="992" w:gutter="0"/>
          <w:pgNumType w:fmt="decimal"/>
          <w:cols w:space="720" w:num="1"/>
          <w:titlePg/>
          <w:docGrid w:type="lines" w:linePitch="318" w:charSpace="0"/>
        </w:sectPr>
      </w:pPr>
    </w:p>
    <w:p w14:paraId="5AD5D326">
      <w:pPr>
        <w:pStyle w:val="4"/>
        <w:autoSpaceDE w:val="0"/>
        <w:autoSpaceDN w:val="0"/>
        <w:jc w:val="both"/>
        <w:rPr>
          <w:rFonts w:hint="eastAsia" w:ascii="宋体" w:hAnsi="宋体" w:eastAsia="宋体" w:cs="Times New Roman"/>
          <w:b w:val="0"/>
          <w:color w:val="auto"/>
          <w:sz w:val="24"/>
          <w:szCs w:val="24"/>
          <w:highlight w:val="none"/>
          <w:lang w:val="en-US" w:eastAsia="zh-CN"/>
        </w:rPr>
      </w:pPr>
      <w:r>
        <w:rPr>
          <w:rFonts w:hint="eastAsia" w:ascii="宋体" w:hAnsi="宋体" w:eastAsia="宋体" w:cs="Times New Roman"/>
          <w:b w:val="0"/>
          <w:color w:val="auto"/>
          <w:sz w:val="24"/>
          <w:szCs w:val="24"/>
          <w:highlight w:val="none"/>
          <w:lang w:val="en-US" w:eastAsia="zh-CN"/>
        </w:rPr>
        <w:t>格式十</w:t>
      </w:r>
      <w:r>
        <w:rPr>
          <w:rFonts w:hint="eastAsia" w:cs="Times New Roman"/>
          <w:b w:val="0"/>
          <w:color w:val="auto"/>
          <w:sz w:val="24"/>
          <w:szCs w:val="24"/>
          <w:highlight w:val="none"/>
          <w:lang w:val="en-US" w:eastAsia="zh-CN"/>
        </w:rPr>
        <w:t>三</w:t>
      </w:r>
      <w:r>
        <w:rPr>
          <w:rFonts w:hint="eastAsia" w:ascii="宋体" w:hAnsi="宋体" w:eastAsia="宋体" w:cs="Times New Roman"/>
          <w:b w:val="0"/>
          <w:color w:val="auto"/>
          <w:sz w:val="24"/>
          <w:szCs w:val="24"/>
          <w:highlight w:val="none"/>
          <w:lang w:val="en-US" w:eastAsia="zh-CN"/>
        </w:rPr>
        <w:t>：</w:t>
      </w:r>
    </w:p>
    <w:p w14:paraId="0E2A4A82">
      <w:pPr>
        <w:autoSpaceDE w:val="0"/>
        <w:autoSpaceDN w:val="0"/>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拟投入本工程施工的主要机械设备配备表</w:t>
      </w:r>
    </w:p>
    <w:tbl>
      <w:tblPr>
        <w:tblStyle w:val="50"/>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07"/>
        <w:gridCol w:w="2943"/>
        <w:gridCol w:w="2086"/>
        <w:gridCol w:w="2130"/>
        <w:gridCol w:w="1592"/>
      </w:tblGrid>
      <w:tr w14:paraId="3901ED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57B8C096">
            <w:pPr>
              <w:spacing w:line="360"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77" w:type="pct"/>
            <w:tcBorders>
              <w:top w:val="single" w:color="auto" w:sz="4" w:space="0"/>
              <w:left w:val="single" w:color="auto" w:sz="4" w:space="0"/>
              <w:bottom w:val="single" w:color="auto" w:sz="4" w:space="0"/>
              <w:right w:val="single" w:color="auto" w:sz="4" w:space="0"/>
            </w:tcBorders>
            <w:vAlign w:val="center"/>
          </w:tcPr>
          <w:p w14:paraId="5C1C49E3">
            <w:pPr>
              <w:spacing w:line="360"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设备名称</w:t>
            </w:r>
          </w:p>
        </w:tc>
        <w:tc>
          <w:tcPr>
            <w:tcW w:w="1047" w:type="pct"/>
            <w:tcBorders>
              <w:top w:val="single" w:color="auto" w:sz="4" w:space="0"/>
              <w:left w:val="single" w:color="auto" w:sz="4" w:space="0"/>
              <w:bottom w:val="single" w:color="auto" w:sz="4" w:space="0"/>
              <w:right w:val="single" w:color="auto" w:sz="4" w:space="0"/>
            </w:tcBorders>
            <w:vAlign w:val="center"/>
          </w:tcPr>
          <w:p w14:paraId="080BBE7A">
            <w:pPr>
              <w:spacing w:line="360"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投入总数量</w:t>
            </w:r>
          </w:p>
        </w:tc>
        <w:tc>
          <w:tcPr>
            <w:tcW w:w="1069" w:type="pct"/>
            <w:tcBorders>
              <w:top w:val="single" w:color="auto" w:sz="4" w:space="0"/>
              <w:left w:val="single" w:color="auto" w:sz="4" w:space="0"/>
              <w:bottom w:val="single" w:color="auto" w:sz="4" w:space="0"/>
              <w:right w:val="single" w:color="auto" w:sz="4" w:space="0"/>
            </w:tcBorders>
            <w:vAlign w:val="center"/>
          </w:tcPr>
          <w:p w14:paraId="7991BB0D">
            <w:pPr>
              <w:spacing w:line="360"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来源(自有/租赁)</w:t>
            </w:r>
          </w:p>
        </w:tc>
        <w:tc>
          <w:tcPr>
            <w:tcW w:w="799" w:type="pct"/>
            <w:tcBorders>
              <w:top w:val="single" w:color="auto" w:sz="4" w:space="0"/>
              <w:left w:val="single" w:color="auto" w:sz="4" w:space="0"/>
              <w:bottom w:val="single" w:color="auto" w:sz="4" w:space="0"/>
              <w:right w:val="single" w:color="auto" w:sz="4" w:space="0"/>
            </w:tcBorders>
            <w:vAlign w:val="center"/>
          </w:tcPr>
          <w:p w14:paraId="6CDA2EBA">
            <w:pPr>
              <w:spacing w:line="360" w:lineRule="auto"/>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21E7B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759CDC30">
            <w:pPr>
              <w:spacing w:line="360" w:lineRule="auto"/>
              <w:jc w:val="center"/>
              <w:textAlignment w:val="center"/>
              <w:rPr>
                <w:rFonts w:ascii="宋体" w:hAnsi="宋体" w:eastAsia="宋体" w:cs="宋体"/>
                <w:color w:val="auto"/>
                <w:sz w:val="24"/>
                <w:szCs w:val="24"/>
                <w:highlight w:val="none"/>
              </w:rPr>
            </w:pPr>
          </w:p>
        </w:tc>
        <w:tc>
          <w:tcPr>
            <w:tcW w:w="1477" w:type="pct"/>
            <w:tcBorders>
              <w:top w:val="single" w:color="auto" w:sz="4" w:space="0"/>
              <w:left w:val="single" w:color="auto" w:sz="4" w:space="0"/>
              <w:bottom w:val="single" w:color="auto" w:sz="4" w:space="0"/>
              <w:right w:val="single" w:color="auto" w:sz="4" w:space="0"/>
            </w:tcBorders>
            <w:vAlign w:val="center"/>
          </w:tcPr>
          <w:p w14:paraId="3C2DC97B">
            <w:pPr>
              <w:spacing w:line="360" w:lineRule="auto"/>
              <w:jc w:val="center"/>
              <w:textAlignment w:val="center"/>
              <w:rPr>
                <w:rFonts w:ascii="宋体" w:hAnsi="宋体" w:eastAsia="宋体" w:cs="宋体"/>
                <w:color w:val="auto"/>
                <w:sz w:val="24"/>
                <w:szCs w:val="24"/>
                <w:highlight w:val="none"/>
              </w:rPr>
            </w:pPr>
          </w:p>
        </w:tc>
        <w:tc>
          <w:tcPr>
            <w:tcW w:w="1047" w:type="pct"/>
            <w:tcBorders>
              <w:top w:val="single" w:color="auto" w:sz="4" w:space="0"/>
              <w:left w:val="single" w:color="auto" w:sz="4" w:space="0"/>
              <w:bottom w:val="single" w:color="auto" w:sz="4" w:space="0"/>
              <w:right w:val="single" w:color="auto" w:sz="4" w:space="0"/>
            </w:tcBorders>
            <w:vAlign w:val="center"/>
          </w:tcPr>
          <w:p w14:paraId="1090F35D">
            <w:pPr>
              <w:spacing w:line="360" w:lineRule="auto"/>
              <w:jc w:val="center"/>
              <w:textAlignment w:val="center"/>
              <w:rPr>
                <w:rFonts w:ascii="宋体" w:hAnsi="宋体" w:eastAsia="宋体" w:cs="宋体"/>
                <w:color w:val="auto"/>
                <w:sz w:val="24"/>
                <w:szCs w:val="24"/>
                <w:highlight w:val="none"/>
              </w:rPr>
            </w:pPr>
          </w:p>
        </w:tc>
        <w:tc>
          <w:tcPr>
            <w:tcW w:w="1069" w:type="pct"/>
            <w:tcBorders>
              <w:top w:val="single" w:color="auto" w:sz="4" w:space="0"/>
              <w:left w:val="single" w:color="auto" w:sz="4" w:space="0"/>
              <w:bottom w:val="single" w:color="auto" w:sz="4" w:space="0"/>
              <w:right w:val="single" w:color="auto" w:sz="4" w:space="0"/>
            </w:tcBorders>
            <w:vAlign w:val="center"/>
          </w:tcPr>
          <w:p w14:paraId="3EBECA12">
            <w:pPr>
              <w:spacing w:line="360" w:lineRule="auto"/>
              <w:jc w:val="center"/>
              <w:textAlignment w:val="center"/>
              <w:rPr>
                <w:rFonts w:ascii="宋体" w:hAnsi="宋体" w:eastAsia="宋体" w:cs="宋体"/>
                <w:color w:val="auto"/>
                <w:sz w:val="24"/>
                <w:szCs w:val="24"/>
                <w:highlight w:val="none"/>
              </w:rPr>
            </w:pPr>
          </w:p>
        </w:tc>
        <w:tc>
          <w:tcPr>
            <w:tcW w:w="799" w:type="pct"/>
            <w:tcBorders>
              <w:top w:val="single" w:color="auto" w:sz="4" w:space="0"/>
              <w:left w:val="single" w:color="auto" w:sz="4" w:space="0"/>
              <w:bottom w:val="single" w:color="auto" w:sz="4" w:space="0"/>
              <w:right w:val="single" w:color="auto" w:sz="4" w:space="0"/>
            </w:tcBorders>
            <w:vAlign w:val="center"/>
          </w:tcPr>
          <w:p w14:paraId="190A63B8">
            <w:pPr>
              <w:spacing w:line="360" w:lineRule="auto"/>
              <w:jc w:val="center"/>
              <w:textAlignment w:val="center"/>
              <w:rPr>
                <w:rFonts w:ascii="宋体" w:hAnsi="宋体" w:eastAsia="宋体" w:cs="宋体"/>
                <w:color w:val="auto"/>
                <w:sz w:val="24"/>
                <w:szCs w:val="24"/>
                <w:highlight w:val="none"/>
              </w:rPr>
            </w:pPr>
          </w:p>
        </w:tc>
      </w:tr>
      <w:tr w14:paraId="3E858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0E2E4601">
            <w:pPr>
              <w:spacing w:line="360" w:lineRule="auto"/>
              <w:jc w:val="center"/>
              <w:textAlignment w:val="center"/>
              <w:rPr>
                <w:rFonts w:ascii="宋体" w:hAnsi="宋体" w:eastAsia="宋体" w:cs="宋体"/>
                <w:color w:val="auto"/>
                <w:sz w:val="24"/>
                <w:szCs w:val="24"/>
                <w:highlight w:val="none"/>
              </w:rPr>
            </w:pPr>
          </w:p>
        </w:tc>
        <w:tc>
          <w:tcPr>
            <w:tcW w:w="1477" w:type="pct"/>
            <w:tcBorders>
              <w:top w:val="single" w:color="auto" w:sz="4" w:space="0"/>
              <w:left w:val="single" w:color="auto" w:sz="4" w:space="0"/>
              <w:bottom w:val="single" w:color="auto" w:sz="4" w:space="0"/>
              <w:right w:val="single" w:color="auto" w:sz="4" w:space="0"/>
            </w:tcBorders>
            <w:vAlign w:val="center"/>
          </w:tcPr>
          <w:p w14:paraId="5ECDA6C9">
            <w:pPr>
              <w:spacing w:line="360" w:lineRule="auto"/>
              <w:jc w:val="center"/>
              <w:textAlignment w:val="center"/>
              <w:rPr>
                <w:rFonts w:ascii="宋体" w:hAnsi="宋体" w:eastAsia="宋体" w:cs="宋体"/>
                <w:color w:val="auto"/>
                <w:sz w:val="24"/>
                <w:szCs w:val="24"/>
                <w:highlight w:val="none"/>
              </w:rPr>
            </w:pPr>
          </w:p>
        </w:tc>
        <w:tc>
          <w:tcPr>
            <w:tcW w:w="1047" w:type="pct"/>
            <w:tcBorders>
              <w:top w:val="single" w:color="auto" w:sz="4" w:space="0"/>
              <w:left w:val="single" w:color="auto" w:sz="4" w:space="0"/>
              <w:bottom w:val="single" w:color="auto" w:sz="4" w:space="0"/>
              <w:right w:val="single" w:color="auto" w:sz="4" w:space="0"/>
            </w:tcBorders>
            <w:vAlign w:val="center"/>
          </w:tcPr>
          <w:p w14:paraId="5FE4B862">
            <w:pPr>
              <w:spacing w:line="360" w:lineRule="auto"/>
              <w:jc w:val="center"/>
              <w:textAlignment w:val="center"/>
              <w:rPr>
                <w:rFonts w:ascii="宋体" w:hAnsi="宋体" w:eastAsia="宋体" w:cs="宋体"/>
                <w:color w:val="auto"/>
                <w:sz w:val="24"/>
                <w:szCs w:val="24"/>
                <w:highlight w:val="none"/>
              </w:rPr>
            </w:pPr>
          </w:p>
        </w:tc>
        <w:tc>
          <w:tcPr>
            <w:tcW w:w="1069" w:type="pct"/>
            <w:tcBorders>
              <w:top w:val="single" w:color="auto" w:sz="4" w:space="0"/>
              <w:left w:val="single" w:color="auto" w:sz="4" w:space="0"/>
              <w:bottom w:val="single" w:color="auto" w:sz="4" w:space="0"/>
              <w:right w:val="single" w:color="auto" w:sz="4" w:space="0"/>
            </w:tcBorders>
            <w:vAlign w:val="center"/>
          </w:tcPr>
          <w:p w14:paraId="2A98E80A">
            <w:pPr>
              <w:spacing w:line="360" w:lineRule="auto"/>
              <w:jc w:val="center"/>
              <w:textAlignment w:val="center"/>
              <w:rPr>
                <w:rFonts w:ascii="宋体" w:hAnsi="宋体" w:eastAsia="宋体" w:cs="宋体"/>
                <w:color w:val="auto"/>
                <w:sz w:val="24"/>
                <w:szCs w:val="24"/>
                <w:highlight w:val="none"/>
              </w:rPr>
            </w:pPr>
          </w:p>
        </w:tc>
        <w:tc>
          <w:tcPr>
            <w:tcW w:w="799" w:type="pct"/>
            <w:tcBorders>
              <w:top w:val="single" w:color="auto" w:sz="4" w:space="0"/>
              <w:left w:val="single" w:color="auto" w:sz="4" w:space="0"/>
              <w:bottom w:val="single" w:color="auto" w:sz="4" w:space="0"/>
              <w:right w:val="single" w:color="auto" w:sz="4" w:space="0"/>
            </w:tcBorders>
            <w:vAlign w:val="center"/>
          </w:tcPr>
          <w:p w14:paraId="7BF02A44">
            <w:pPr>
              <w:spacing w:line="360" w:lineRule="auto"/>
              <w:jc w:val="center"/>
              <w:textAlignment w:val="center"/>
              <w:rPr>
                <w:rFonts w:ascii="宋体" w:hAnsi="宋体" w:eastAsia="宋体" w:cs="宋体"/>
                <w:color w:val="auto"/>
                <w:sz w:val="24"/>
                <w:szCs w:val="24"/>
                <w:highlight w:val="none"/>
              </w:rPr>
            </w:pPr>
          </w:p>
        </w:tc>
      </w:tr>
      <w:tr w14:paraId="5C801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005B4327">
            <w:pPr>
              <w:spacing w:line="360" w:lineRule="auto"/>
              <w:jc w:val="center"/>
              <w:textAlignment w:val="center"/>
              <w:rPr>
                <w:rFonts w:ascii="宋体" w:hAnsi="宋体" w:eastAsia="宋体" w:cs="宋体"/>
                <w:color w:val="auto"/>
                <w:sz w:val="24"/>
                <w:szCs w:val="24"/>
                <w:highlight w:val="none"/>
              </w:rPr>
            </w:pPr>
          </w:p>
        </w:tc>
        <w:tc>
          <w:tcPr>
            <w:tcW w:w="1477" w:type="pct"/>
            <w:tcBorders>
              <w:top w:val="single" w:color="auto" w:sz="4" w:space="0"/>
              <w:left w:val="single" w:color="auto" w:sz="4" w:space="0"/>
              <w:bottom w:val="single" w:color="auto" w:sz="4" w:space="0"/>
              <w:right w:val="single" w:color="auto" w:sz="4" w:space="0"/>
            </w:tcBorders>
            <w:vAlign w:val="center"/>
          </w:tcPr>
          <w:p w14:paraId="4E335637">
            <w:pPr>
              <w:spacing w:line="360" w:lineRule="auto"/>
              <w:jc w:val="center"/>
              <w:textAlignment w:val="center"/>
              <w:rPr>
                <w:rFonts w:ascii="宋体" w:hAnsi="宋体" w:eastAsia="宋体" w:cs="宋体"/>
                <w:color w:val="auto"/>
                <w:sz w:val="24"/>
                <w:szCs w:val="24"/>
                <w:highlight w:val="none"/>
              </w:rPr>
            </w:pPr>
          </w:p>
        </w:tc>
        <w:tc>
          <w:tcPr>
            <w:tcW w:w="1047" w:type="pct"/>
            <w:tcBorders>
              <w:top w:val="single" w:color="auto" w:sz="4" w:space="0"/>
              <w:left w:val="single" w:color="auto" w:sz="4" w:space="0"/>
              <w:bottom w:val="single" w:color="auto" w:sz="4" w:space="0"/>
              <w:right w:val="single" w:color="auto" w:sz="4" w:space="0"/>
            </w:tcBorders>
            <w:vAlign w:val="center"/>
          </w:tcPr>
          <w:p w14:paraId="4CC17D06">
            <w:pPr>
              <w:spacing w:line="360" w:lineRule="auto"/>
              <w:jc w:val="center"/>
              <w:textAlignment w:val="center"/>
              <w:rPr>
                <w:rFonts w:ascii="宋体" w:hAnsi="宋体" w:eastAsia="宋体" w:cs="宋体"/>
                <w:color w:val="auto"/>
                <w:sz w:val="24"/>
                <w:szCs w:val="24"/>
                <w:highlight w:val="none"/>
              </w:rPr>
            </w:pPr>
          </w:p>
        </w:tc>
        <w:tc>
          <w:tcPr>
            <w:tcW w:w="1069" w:type="pct"/>
            <w:tcBorders>
              <w:top w:val="single" w:color="auto" w:sz="4" w:space="0"/>
              <w:left w:val="single" w:color="auto" w:sz="4" w:space="0"/>
              <w:bottom w:val="single" w:color="auto" w:sz="4" w:space="0"/>
              <w:right w:val="single" w:color="auto" w:sz="4" w:space="0"/>
            </w:tcBorders>
            <w:vAlign w:val="center"/>
          </w:tcPr>
          <w:p w14:paraId="7833C82D">
            <w:pPr>
              <w:spacing w:line="360" w:lineRule="auto"/>
              <w:jc w:val="center"/>
              <w:textAlignment w:val="center"/>
              <w:rPr>
                <w:rFonts w:ascii="宋体" w:hAnsi="宋体" w:eastAsia="宋体" w:cs="宋体"/>
                <w:color w:val="auto"/>
                <w:sz w:val="24"/>
                <w:szCs w:val="24"/>
                <w:highlight w:val="none"/>
              </w:rPr>
            </w:pPr>
          </w:p>
        </w:tc>
        <w:tc>
          <w:tcPr>
            <w:tcW w:w="799" w:type="pct"/>
            <w:tcBorders>
              <w:top w:val="single" w:color="auto" w:sz="4" w:space="0"/>
              <w:left w:val="single" w:color="auto" w:sz="4" w:space="0"/>
              <w:bottom w:val="single" w:color="auto" w:sz="4" w:space="0"/>
              <w:right w:val="single" w:color="auto" w:sz="4" w:space="0"/>
            </w:tcBorders>
            <w:vAlign w:val="center"/>
          </w:tcPr>
          <w:p w14:paraId="75E30F24">
            <w:pPr>
              <w:spacing w:line="360" w:lineRule="auto"/>
              <w:jc w:val="center"/>
              <w:textAlignment w:val="center"/>
              <w:rPr>
                <w:rFonts w:ascii="宋体" w:hAnsi="宋体" w:eastAsia="宋体" w:cs="宋体"/>
                <w:color w:val="auto"/>
                <w:sz w:val="24"/>
                <w:szCs w:val="24"/>
                <w:highlight w:val="none"/>
              </w:rPr>
            </w:pPr>
          </w:p>
        </w:tc>
      </w:tr>
      <w:tr w14:paraId="40B084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59380C32">
            <w:pPr>
              <w:spacing w:line="360" w:lineRule="auto"/>
              <w:jc w:val="center"/>
              <w:textAlignment w:val="center"/>
              <w:rPr>
                <w:rFonts w:ascii="宋体" w:hAnsi="宋体" w:eastAsia="宋体" w:cs="宋体"/>
                <w:color w:val="auto"/>
                <w:sz w:val="24"/>
                <w:szCs w:val="24"/>
                <w:highlight w:val="none"/>
              </w:rPr>
            </w:pPr>
          </w:p>
        </w:tc>
        <w:tc>
          <w:tcPr>
            <w:tcW w:w="1477" w:type="pct"/>
            <w:tcBorders>
              <w:top w:val="single" w:color="auto" w:sz="4" w:space="0"/>
              <w:left w:val="single" w:color="auto" w:sz="4" w:space="0"/>
              <w:bottom w:val="single" w:color="auto" w:sz="4" w:space="0"/>
              <w:right w:val="single" w:color="auto" w:sz="4" w:space="0"/>
            </w:tcBorders>
            <w:vAlign w:val="center"/>
          </w:tcPr>
          <w:p w14:paraId="5848E530">
            <w:pPr>
              <w:spacing w:line="360" w:lineRule="auto"/>
              <w:jc w:val="center"/>
              <w:textAlignment w:val="center"/>
              <w:rPr>
                <w:rFonts w:ascii="宋体" w:hAnsi="宋体" w:eastAsia="宋体" w:cs="宋体"/>
                <w:color w:val="auto"/>
                <w:sz w:val="24"/>
                <w:szCs w:val="24"/>
                <w:highlight w:val="none"/>
              </w:rPr>
            </w:pPr>
          </w:p>
        </w:tc>
        <w:tc>
          <w:tcPr>
            <w:tcW w:w="1047" w:type="pct"/>
            <w:tcBorders>
              <w:top w:val="single" w:color="auto" w:sz="4" w:space="0"/>
              <w:left w:val="single" w:color="auto" w:sz="4" w:space="0"/>
              <w:bottom w:val="single" w:color="auto" w:sz="4" w:space="0"/>
              <w:right w:val="single" w:color="auto" w:sz="4" w:space="0"/>
            </w:tcBorders>
            <w:vAlign w:val="center"/>
          </w:tcPr>
          <w:p w14:paraId="1E0C36DE">
            <w:pPr>
              <w:spacing w:line="360" w:lineRule="auto"/>
              <w:jc w:val="center"/>
              <w:textAlignment w:val="center"/>
              <w:rPr>
                <w:rFonts w:ascii="宋体" w:hAnsi="宋体" w:eastAsia="宋体" w:cs="宋体"/>
                <w:color w:val="auto"/>
                <w:sz w:val="24"/>
                <w:szCs w:val="24"/>
                <w:highlight w:val="none"/>
              </w:rPr>
            </w:pPr>
          </w:p>
        </w:tc>
        <w:tc>
          <w:tcPr>
            <w:tcW w:w="1069" w:type="pct"/>
            <w:tcBorders>
              <w:top w:val="single" w:color="auto" w:sz="4" w:space="0"/>
              <w:left w:val="single" w:color="auto" w:sz="4" w:space="0"/>
              <w:bottom w:val="single" w:color="auto" w:sz="4" w:space="0"/>
              <w:right w:val="single" w:color="auto" w:sz="4" w:space="0"/>
            </w:tcBorders>
            <w:vAlign w:val="center"/>
          </w:tcPr>
          <w:p w14:paraId="13BACB4D">
            <w:pPr>
              <w:spacing w:line="360" w:lineRule="auto"/>
              <w:jc w:val="center"/>
              <w:textAlignment w:val="center"/>
              <w:rPr>
                <w:rFonts w:ascii="宋体" w:hAnsi="宋体" w:eastAsia="宋体" w:cs="宋体"/>
                <w:color w:val="auto"/>
                <w:sz w:val="24"/>
                <w:szCs w:val="24"/>
                <w:highlight w:val="none"/>
              </w:rPr>
            </w:pPr>
          </w:p>
        </w:tc>
        <w:tc>
          <w:tcPr>
            <w:tcW w:w="799" w:type="pct"/>
            <w:tcBorders>
              <w:top w:val="single" w:color="auto" w:sz="4" w:space="0"/>
              <w:left w:val="single" w:color="auto" w:sz="4" w:space="0"/>
              <w:bottom w:val="single" w:color="auto" w:sz="4" w:space="0"/>
              <w:right w:val="single" w:color="auto" w:sz="4" w:space="0"/>
            </w:tcBorders>
            <w:vAlign w:val="center"/>
          </w:tcPr>
          <w:p w14:paraId="5F70947D">
            <w:pPr>
              <w:spacing w:line="360" w:lineRule="auto"/>
              <w:jc w:val="center"/>
              <w:textAlignment w:val="center"/>
              <w:rPr>
                <w:rFonts w:ascii="宋体" w:hAnsi="宋体" w:eastAsia="宋体" w:cs="宋体"/>
                <w:color w:val="auto"/>
                <w:sz w:val="24"/>
                <w:szCs w:val="24"/>
                <w:highlight w:val="none"/>
              </w:rPr>
            </w:pPr>
          </w:p>
        </w:tc>
      </w:tr>
      <w:tr w14:paraId="09CAD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231EB6E6">
            <w:pPr>
              <w:spacing w:line="360" w:lineRule="auto"/>
              <w:jc w:val="center"/>
              <w:textAlignment w:val="center"/>
              <w:rPr>
                <w:rFonts w:ascii="宋体" w:hAnsi="宋体" w:eastAsia="宋体" w:cs="宋体"/>
                <w:color w:val="auto"/>
                <w:sz w:val="24"/>
                <w:szCs w:val="24"/>
                <w:highlight w:val="none"/>
              </w:rPr>
            </w:pPr>
          </w:p>
        </w:tc>
        <w:tc>
          <w:tcPr>
            <w:tcW w:w="1477" w:type="pct"/>
            <w:tcBorders>
              <w:top w:val="single" w:color="auto" w:sz="4" w:space="0"/>
              <w:left w:val="single" w:color="auto" w:sz="4" w:space="0"/>
              <w:bottom w:val="single" w:color="auto" w:sz="4" w:space="0"/>
              <w:right w:val="single" w:color="auto" w:sz="4" w:space="0"/>
            </w:tcBorders>
            <w:vAlign w:val="center"/>
          </w:tcPr>
          <w:p w14:paraId="3CDE8F48">
            <w:pPr>
              <w:spacing w:line="360" w:lineRule="auto"/>
              <w:jc w:val="center"/>
              <w:textAlignment w:val="center"/>
              <w:rPr>
                <w:rFonts w:ascii="宋体" w:hAnsi="宋体" w:eastAsia="宋体" w:cs="宋体"/>
                <w:color w:val="auto"/>
                <w:sz w:val="24"/>
                <w:szCs w:val="24"/>
                <w:highlight w:val="none"/>
              </w:rPr>
            </w:pPr>
          </w:p>
        </w:tc>
        <w:tc>
          <w:tcPr>
            <w:tcW w:w="1047" w:type="pct"/>
            <w:tcBorders>
              <w:top w:val="single" w:color="auto" w:sz="4" w:space="0"/>
              <w:left w:val="single" w:color="auto" w:sz="4" w:space="0"/>
              <w:bottom w:val="single" w:color="auto" w:sz="4" w:space="0"/>
              <w:right w:val="single" w:color="auto" w:sz="4" w:space="0"/>
            </w:tcBorders>
            <w:vAlign w:val="center"/>
          </w:tcPr>
          <w:p w14:paraId="4CA6D871">
            <w:pPr>
              <w:spacing w:line="360" w:lineRule="auto"/>
              <w:jc w:val="center"/>
              <w:textAlignment w:val="center"/>
              <w:rPr>
                <w:rFonts w:ascii="宋体" w:hAnsi="宋体" w:eastAsia="宋体" w:cs="宋体"/>
                <w:color w:val="auto"/>
                <w:sz w:val="24"/>
                <w:szCs w:val="24"/>
                <w:highlight w:val="none"/>
              </w:rPr>
            </w:pPr>
          </w:p>
        </w:tc>
        <w:tc>
          <w:tcPr>
            <w:tcW w:w="1069" w:type="pct"/>
            <w:tcBorders>
              <w:top w:val="single" w:color="auto" w:sz="4" w:space="0"/>
              <w:left w:val="single" w:color="auto" w:sz="4" w:space="0"/>
              <w:bottom w:val="single" w:color="auto" w:sz="4" w:space="0"/>
              <w:right w:val="single" w:color="auto" w:sz="4" w:space="0"/>
            </w:tcBorders>
            <w:vAlign w:val="center"/>
          </w:tcPr>
          <w:p w14:paraId="6FC74946">
            <w:pPr>
              <w:spacing w:line="360" w:lineRule="auto"/>
              <w:jc w:val="center"/>
              <w:textAlignment w:val="center"/>
              <w:rPr>
                <w:rFonts w:ascii="宋体" w:hAnsi="宋体" w:eastAsia="宋体" w:cs="宋体"/>
                <w:color w:val="auto"/>
                <w:sz w:val="24"/>
                <w:szCs w:val="24"/>
                <w:highlight w:val="none"/>
              </w:rPr>
            </w:pPr>
          </w:p>
        </w:tc>
        <w:tc>
          <w:tcPr>
            <w:tcW w:w="799" w:type="pct"/>
            <w:tcBorders>
              <w:top w:val="single" w:color="auto" w:sz="4" w:space="0"/>
              <w:left w:val="single" w:color="auto" w:sz="4" w:space="0"/>
              <w:right w:val="single" w:color="auto" w:sz="4" w:space="0"/>
            </w:tcBorders>
            <w:vAlign w:val="center"/>
          </w:tcPr>
          <w:p w14:paraId="5527EE8C">
            <w:pPr>
              <w:spacing w:line="360" w:lineRule="auto"/>
              <w:jc w:val="center"/>
              <w:textAlignment w:val="center"/>
              <w:rPr>
                <w:rFonts w:ascii="宋体" w:hAnsi="宋体" w:eastAsia="宋体" w:cs="宋体"/>
                <w:color w:val="auto"/>
                <w:sz w:val="24"/>
                <w:szCs w:val="24"/>
                <w:highlight w:val="none"/>
              </w:rPr>
            </w:pPr>
          </w:p>
        </w:tc>
      </w:tr>
    </w:tbl>
    <w:p w14:paraId="1C20799B">
      <w:pPr>
        <w:tabs>
          <w:tab w:val="left" w:pos="720"/>
        </w:tabs>
        <w:rPr>
          <w:rFonts w:ascii="宋体" w:hAnsi="宋体" w:eastAsia="宋体" w:cs="宋体"/>
          <w:color w:val="auto"/>
          <w:highlight w:val="none"/>
        </w:rPr>
      </w:pPr>
      <w:r>
        <w:rPr>
          <w:rFonts w:hint="eastAsia" w:ascii="宋体" w:hAnsi="宋体" w:eastAsia="宋体" w:cs="宋体"/>
          <w:color w:val="auto"/>
          <w:highlight w:val="none"/>
        </w:rPr>
        <w:t>注：</w:t>
      </w:r>
    </w:p>
    <w:p w14:paraId="03299550">
      <w:pPr>
        <w:tabs>
          <w:tab w:val="left" w:pos="720"/>
        </w:tabs>
        <w:spacing w:line="360" w:lineRule="auto"/>
        <w:rPr>
          <w:rFonts w:ascii="宋体" w:hAnsi="宋体" w:eastAsia="宋体" w:cs="宋体"/>
          <w:color w:val="auto"/>
          <w:highlight w:val="none"/>
        </w:rPr>
      </w:pPr>
      <w:r>
        <w:rPr>
          <w:rFonts w:hint="eastAsia" w:ascii="宋体" w:hAnsi="宋体" w:eastAsia="宋体" w:cs="宋体"/>
          <w:color w:val="auto"/>
          <w:highlight w:val="none"/>
        </w:rPr>
        <w:t>1.设备名称及要求数量由投标人视本工程具体情况结合招标人对本工程的具体要求自行配备，一旦中标，必须全部到位，否则按合同相关约定执行。</w:t>
      </w:r>
    </w:p>
    <w:p w14:paraId="54103105">
      <w:pPr>
        <w:tabs>
          <w:tab w:val="left" w:pos="720"/>
        </w:tabs>
        <w:spacing w:line="360" w:lineRule="auto"/>
        <w:rPr>
          <w:rFonts w:ascii="宋体" w:hAnsi="宋体" w:eastAsia="宋体" w:cs="宋体"/>
          <w:color w:val="auto"/>
          <w:highlight w:val="none"/>
        </w:rPr>
      </w:pPr>
      <w:r>
        <w:rPr>
          <w:rFonts w:hint="eastAsia" w:ascii="宋体" w:hAnsi="宋体" w:eastAsia="宋体" w:cs="宋体"/>
          <w:color w:val="auto"/>
          <w:highlight w:val="none"/>
        </w:rPr>
        <w:t>2.为贯彻绿色发展理念，本项目应积极使用燃料电池汽车等新能源工程车，要求投标人投入的新能源工程车占投入的建筑垃圾自卸车（渣土车）总数比例不低于40%。一旦中标，必须全部到位，否则按合同违约处理。</w:t>
      </w:r>
    </w:p>
    <w:p w14:paraId="075CC122">
      <w:pPr>
        <w:topLinePunct/>
        <w:spacing w:line="360" w:lineRule="auto"/>
        <w:ind w:firstLine="3161" w:firstLineChars="1450"/>
        <w:rPr>
          <w:rFonts w:ascii="宋体" w:hAnsi="宋体" w:eastAsia="宋体" w:cs="宋体"/>
          <w:snapToGrid w:val="0"/>
          <w:color w:val="auto"/>
          <w:spacing w:val="4"/>
          <w:kern w:val="0"/>
          <w:szCs w:val="21"/>
          <w:highlight w:val="none"/>
        </w:rPr>
      </w:pPr>
    </w:p>
    <w:p w14:paraId="6902879C">
      <w:pPr>
        <w:topLinePunct/>
        <w:spacing w:line="360" w:lineRule="auto"/>
        <w:ind w:firstLine="496" w:firstLineChars="200"/>
        <w:rPr>
          <w:rFonts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投标人：</w:t>
      </w:r>
      <w:r>
        <w:rPr>
          <w:rFonts w:hint="eastAsia" w:ascii="宋体" w:hAnsi="宋体" w:eastAsia="宋体" w:cs="宋体"/>
          <w:snapToGrid w:val="0"/>
          <w:color w:val="auto"/>
          <w:spacing w:val="4"/>
          <w:kern w:val="0"/>
          <w:sz w:val="24"/>
          <w:szCs w:val="24"/>
          <w:highlight w:val="none"/>
          <w:u w:val="single"/>
        </w:rPr>
        <w:t xml:space="preserve">                          </w:t>
      </w:r>
      <w:r>
        <w:rPr>
          <w:rFonts w:hint="eastAsia" w:ascii="宋体" w:hAnsi="宋体" w:eastAsia="宋体" w:cs="宋体"/>
          <w:snapToGrid w:val="0"/>
          <w:color w:val="auto"/>
          <w:spacing w:val="4"/>
          <w:kern w:val="0"/>
          <w:sz w:val="24"/>
          <w:szCs w:val="24"/>
          <w:highlight w:val="none"/>
        </w:rPr>
        <w:t>（盖章）</w:t>
      </w:r>
    </w:p>
    <w:p w14:paraId="203FF5A0">
      <w:pPr>
        <w:topLinePunct/>
        <w:spacing w:line="360" w:lineRule="auto"/>
        <w:ind w:firstLine="496" w:firstLineChars="200"/>
        <w:rPr>
          <w:rFonts w:ascii="宋体" w:hAnsi="宋体" w:eastAsia="宋体" w:cs="宋体"/>
          <w:b/>
          <w:color w:val="auto"/>
          <w:sz w:val="24"/>
          <w:szCs w:val="24"/>
          <w:highlight w:val="none"/>
        </w:rPr>
      </w:pPr>
      <w:r>
        <w:rPr>
          <w:rFonts w:hint="eastAsia" w:ascii="宋体" w:hAnsi="宋体" w:eastAsia="宋体" w:cs="宋体"/>
          <w:snapToGrid w:val="0"/>
          <w:color w:val="auto"/>
          <w:spacing w:val="4"/>
          <w:kern w:val="0"/>
          <w:sz w:val="24"/>
          <w:szCs w:val="24"/>
          <w:highlight w:val="none"/>
        </w:rPr>
        <w:t>日期：</w:t>
      </w:r>
      <w:r>
        <w:rPr>
          <w:rFonts w:hint="eastAsia" w:ascii="宋体" w:hAnsi="宋体" w:eastAsia="宋体" w:cs="宋体"/>
          <w:snapToGrid w:val="0"/>
          <w:color w:val="auto"/>
          <w:spacing w:val="4"/>
          <w:kern w:val="0"/>
          <w:sz w:val="24"/>
          <w:szCs w:val="24"/>
          <w:highlight w:val="none"/>
          <w:u w:val="single"/>
        </w:rPr>
        <w:t xml:space="preserve">                                    </w:t>
      </w:r>
    </w:p>
    <w:p w14:paraId="3678221F">
      <w:pPr>
        <w:pStyle w:val="4"/>
        <w:rPr>
          <w:rFonts w:hint="eastAsia"/>
          <w:snapToGrid w:val="0"/>
          <w:color w:val="auto"/>
          <w:spacing w:val="4"/>
          <w:szCs w:val="21"/>
          <w:highlight w:val="none"/>
        </w:rPr>
        <w:sectPr>
          <w:pgSz w:w="11906" w:h="16838"/>
          <w:pgMar w:top="1440" w:right="1080" w:bottom="1440" w:left="1080" w:header="850" w:footer="992" w:gutter="0"/>
          <w:pgNumType w:fmt="decimal"/>
          <w:cols w:space="720" w:num="1"/>
          <w:titlePg/>
          <w:docGrid w:type="lines" w:linePitch="318" w:charSpace="0"/>
        </w:sectPr>
      </w:pPr>
      <w:r>
        <w:rPr>
          <w:rFonts w:hint="eastAsia"/>
          <w:snapToGrid w:val="0"/>
          <w:color w:val="auto"/>
          <w:spacing w:val="4"/>
          <w:szCs w:val="21"/>
          <w:highlight w:val="none"/>
        </w:rPr>
        <w:br w:type="page"/>
      </w:r>
      <w:bookmarkStart w:id="76" w:name="_Toc202907315"/>
      <w:bookmarkStart w:id="77" w:name="_Toc152532530"/>
    </w:p>
    <w:p w14:paraId="0C5516DA">
      <w:pPr>
        <w:pStyle w:val="4"/>
        <w:rPr>
          <w:rFonts w:hint="eastAsia" w:cs="宋体"/>
          <w:b/>
          <w:bCs/>
          <w:color w:val="auto"/>
          <w:sz w:val="28"/>
          <w:szCs w:val="28"/>
          <w:highlight w:val="none"/>
        </w:rPr>
      </w:pPr>
      <w:r>
        <w:rPr>
          <w:rFonts w:hint="eastAsia"/>
          <w:snapToGrid w:val="0"/>
          <w:color w:val="auto"/>
          <w:highlight w:val="none"/>
        </w:rPr>
        <w:t>格式十</w:t>
      </w:r>
      <w:r>
        <w:rPr>
          <w:rFonts w:hint="eastAsia"/>
          <w:snapToGrid w:val="0"/>
          <w:color w:val="auto"/>
          <w:highlight w:val="none"/>
          <w:lang w:val="en-US" w:eastAsia="zh-CN"/>
        </w:rPr>
        <w:t>四</w:t>
      </w:r>
      <w:r>
        <w:rPr>
          <w:rFonts w:hint="eastAsia"/>
          <w:snapToGrid w:val="0"/>
          <w:color w:val="auto"/>
          <w:highlight w:val="none"/>
        </w:rPr>
        <w:t>：</w:t>
      </w:r>
    </w:p>
    <w:p w14:paraId="375A6BE2">
      <w:pPr>
        <w:autoSpaceDE w:val="0"/>
        <w:autoSpaceDN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响应招标文件所附施工组织设计要点承诺书</w:t>
      </w:r>
    </w:p>
    <w:p w14:paraId="22E989E8">
      <w:pPr>
        <w:pStyle w:val="7"/>
        <w:snapToGrid w:val="0"/>
        <w:jc w:val="center"/>
        <w:rPr>
          <w:rFonts w:hint="eastAsia" w:ascii="宋体" w:hAnsi="宋体" w:cs="宋体"/>
          <w:b/>
          <w:color w:val="auto"/>
          <w:sz w:val="36"/>
          <w:szCs w:val="36"/>
          <w:highlight w:val="none"/>
        </w:rPr>
      </w:pPr>
    </w:p>
    <w:p w14:paraId="745C43B9">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u w:val="single"/>
        </w:rPr>
        <w:t>中新广州知识城财政投资建设项目管理中心</w:t>
      </w:r>
      <w:r>
        <w:rPr>
          <w:rFonts w:hint="eastAsia" w:ascii="宋体" w:hAnsi="宋体" w:eastAsia="宋体" w:cs="宋体"/>
          <w:color w:val="auto"/>
          <w:sz w:val="24"/>
          <w:highlight w:val="none"/>
        </w:rPr>
        <w:t>：</w:t>
      </w:r>
    </w:p>
    <w:p w14:paraId="129F0420">
      <w:pPr>
        <w:snapToGrid w:val="0"/>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我方承诺，如中标承建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，将按招标文件所附的本工程</w:t>
      </w:r>
      <w:r>
        <w:rPr>
          <w:rFonts w:hint="eastAsia" w:ascii="宋体" w:hAnsi="宋体" w:eastAsia="宋体" w:cs="宋体"/>
          <w:color w:val="auto"/>
          <w:sz w:val="24"/>
          <w:highlight w:val="none"/>
          <w:u w:val="single"/>
        </w:rPr>
        <w:t>施工组织设计要点</w:t>
      </w:r>
      <w:r>
        <w:rPr>
          <w:rFonts w:hint="eastAsia" w:ascii="宋体" w:hAnsi="宋体" w:eastAsia="宋体" w:cs="宋体"/>
          <w:color w:val="auto"/>
          <w:sz w:val="24"/>
          <w:highlight w:val="none"/>
        </w:rPr>
        <w:t>进行响应的基础上自行组织施工。并承诺在中标后按招标文件所附的</w:t>
      </w:r>
      <w:r>
        <w:rPr>
          <w:rFonts w:hint="eastAsia" w:ascii="宋体" w:hAnsi="宋体" w:eastAsia="宋体" w:cs="宋体"/>
          <w:color w:val="auto"/>
          <w:sz w:val="24"/>
          <w:highlight w:val="none"/>
          <w:u w:val="single"/>
        </w:rPr>
        <w:t>施工组织设计要点</w:t>
      </w:r>
      <w:r>
        <w:rPr>
          <w:rFonts w:hint="eastAsia" w:ascii="宋体" w:hAnsi="宋体" w:eastAsia="宋体" w:cs="宋体"/>
          <w:color w:val="auto"/>
          <w:sz w:val="24"/>
          <w:highlight w:val="none"/>
        </w:rPr>
        <w:t>基础上编制详细的施工组织设计，并报经监理单位和建设单位审批后实施。</w:t>
      </w:r>
    </w:p>
    <w:p w14:paraId="796DF319">
      <w:pPr>
        <w:snapToGrid w:val="0"/>
        <w:spacing w:line="360" w:lineRule="auto"/>
        <w:ind w:firstLine="435"/>
        <w:rPr>
          <w:rFonts w:hint="eastAsia" w:ascii="宋体" w:hAnsi="宋体" w:eastAsia="宋体" w:cs="宋体"/>
          <w:color w:val="auto"/>
          <w:sz w:val="24"/>
          <w:szCs w:val="20"/>
          <w:highlight w:val="none"/>
        </w:rPr>
      </w:pPr>
    </w:p>
    <w:p w14:paraId="0A13FE1F">
      <w:pPr>
        <w:snapToGrid w:val="0"/>
        <w:spacing w:line="360" w:lineRule="auto"/>
        <w:ind w:firstLine="435"/>
        <w:rPr>
          <w:rFonts w:hint="eastAsia" w:ascii="宋体" w:hAnsi="宋体" w:eastAsia="宋体" w:cs="宋体"/>
          <w:color w:val="auto"/>
          <w:sz w:val="24"/>
          <w:szCs w:val="20"/>
          <w:highlight w:val="none"/>
        </w:rPr>
      </w:pPr>
    </w:p>
    <w:p w14:paraId="3C089E70">
      <w:pPr>
        <w:topLinePunct/>
        <w:spacing w:line="360" w:lineRule="auto"/>
        <w:ind w:firstLine="496" w:firstLineChars="2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投标人：</w:t>
      </w:r>
      <w:r>
        <w:rPr>
          <w:rFonts w:hint="eastAsia" w:ascii="宋体" w:hAnsi="宋体" w:eastAsia="宋体" w:cs="宋体"/>
          <w:snapToGrid w:val="0"/>
          <w:color w:val="auto"/>
          <w:spacing w:val="4"/>
          <w:kern w:val="0"/>
          <w:sz w:val="24"/>
          <w:szCs w:val="24"/>
          <w:highlight w:val="none"/>
          <w:u w:val="single"/>
        </w:rPr>
        <w:t xml:space="preserve">                          </w:t>
      </w:r>
      <w:r>
        <w:rPr>
          <w:rFonts w:hint="eastAsia" w:ascii="宋体" w:hAnsi="宋体" w:eastAsia="宋体" w:cs="宋体"/>
          <w:snapToGrid w:val="0"/>
          <w:color w:val="auto"/>
          <w:spacing w:val="4"/>
          <w:kern w:val="0"/>
          <w:sz w:val="24"/>
          <w:szCs w:val="24"/>
          <w:highlight w:val="none"/>
        </w:rPr>
        <w:t>（盖章）</w:t>
      </w:r>
    </w:p>
    <w:p w14:paraId="31B30ADA">
      <w:pPr>
        <w:topLinePunct/>
        <w:spacing w:line="360" w:lineRule="auto"/>
        <w:ind w:firstLine="496" w:firstLineChars="200"/>
        <w:rPr>
          <w:rFonts w:hint="eastAsia" w:ascii="宋体" w:hAnsi="宋体" w:eastAsia="宋体" w:cs="宋体"/>
          <w:b/>
          <w:color w:val="auto"/>
          <w:sz w:val="24"/>
          <w:szCs w:val="24"/>
          <w:highlight w:val="none"/>
        </w:rPr>
      </w:pPr>
      <w:r>
        <w:rPr>
          <w:rFonts w:hint="eastAsia" w:ascii="宋体" w:hAnsi="宋体" w:eastAsia="宋体" w:cs="宋体"/>
          <w:snapToGrid w:val="0"/>
          <w:color w:val="auto"/>
          <w:spacing w:val="4"/>
          <w:kern w:val="0"/>
          <w:sz w:val="24"/>
          <w:szCs w:val="24"/>
          <w:highlight w:val="none"/>
        </w:rPr>
        <w:t>日期：</w:t>
      </w:r>
      <w:r>
        <w:rPr>
          <w:rFonts w:hint="eastAsia" w:ascii="宋体" w:hAnsi="宋体" w:eastAsia="宋体" w:cs="宋体"/>
          <w:snapToGrid w:val="0"/>
          <w:color w:val="auto"/>
          <w:spacing w:val="4"/>
          <w:kern w:val="0"/>
          <w:sz w:val="24"/>
          <w:szCs w:val="24"/>
          <w:highlight w:val="none"/>
          <w:u w:val="single"/>
        </w:rPr>
        <w:t xml:space="preserve">                                    </w:t>
      </w:r>
    </w:p>
    <w:p w14:paraId="689E9823">
      <w:pPr>
        <w:pStyle w:val="4"/>
        <w:rPr>
          <w:rFonts w:hint="eastAsia"/>
          <w:color w:val="auto"/>
          <w:highlight w:val="none"/>
        </w:rPr>
        <w:sectPr>
          <w:pgSz w:w="11906" w:h="16838"/>
          <w:pgMar w:top="1440" w:right="1080" w:bottom="1440" w:left="1080" w:header="850" w:footer="992" w:gutter="0"/>
          <w:pgNumType w:fmt="decimal"/>
          <w:cols w:space="720" w:num="1"/>
          <w:titlePg/>
          <w:docGrid w:type="lines" w:linePitch="318" w:charSpace="0"/>
        </w:sectPr>
      </w:pPr>
    </w:p>
    <w:p w14:paraId="74F8558D">
      <w:pPr>
        <w:pStyle w:val="4"/>
        <w:rPr>
          <w:color w:val="auto"/>
          <w:highlight w:val="none"/>
        </w:rPr>
      </w:pPr>
      <w:r>
        <w:rPr>
          <w:rFonts w:hint="eastAsia"/>
          <w:color w:val="auto"/>
          <w:highlight w:val="none"/>
        </w:rPr>
        <w:t>格式十</w:t>
      </w:r>
      <w:r>
        <w:rPr>
          <w:rFonts w:hint="eastAsia"/>
          <w:color w:val="auto"/>
          <w:highlight w:val="none"/>
          <w:lang w:val="en-US" w:eastAsia="zh-CN"/>
        </w:rPr>
        <w:t>五</w:t>
      </w:r>
      <w:r>
        <w:rPr>
          <w:rFonts w:hint="eastAsia"/>
          <w:color w:val="auto"/>
          <w:highlight w:val="none"/>
        </w:rPr>
        <w:t>：</w:t>
      </w:r>
      <w:bookmarkEnd w:id="76"/>
      <w:bookmarkEnd w:id="77"/>
    </w:p>
    <w:p w14:paraId="0E41396B">
      <w:pPr>
        <w:ind w:right="-130" w:rightChars="-62"/>
        <w:jc w:val="center"/>
        <w:rPr>
          <w:rFonts w:ascii="宋体" w:hAnsi="宋体" w:cs="宋体"/>
          <w:b/>
          <w:color w:val="auto"/>
          <w:sz w:val="36"/>
          <w:szCs w:val="36"/>
          <w:highlight w:val="none"/>
        </w:rPr>
      </w:pPr>
      <w:r>
        <w:rPr>
          <w:rFonts w:hint="eastAsia" w:ascii="宋体" w:hAnsi="宋体" w:cs="宋体"/>
          <w:b/>
          <w:color w:val="auto"/>
          <w:sz w:val="36"/>
          <w:szCs w:val="36"/>
          <w:highlight w:val="none"/>
        </w:rPr>
        <w:t>危险性较大的分部分项工程安全管理措施</w:t>
      </w:r>
    </w:p>
    <w:p w14:paraId="59889DF8">
      <w:pPr>
        <w:numPr>
          <w:ilvl w:val="0"/>
          <w:numId w:val="18"/>
        </w:numPr>
        <w:autoSpaceDE w:val="0"/>
        <w:autoSpaceDN w:val="0"/>
        <w:spacing w:line="360" w:lineRule="auto"/>
        <w:jc w:val="left"/>
        <w:rPr>
          <w:rFonts w:ascii="宋体" w:hAnsi="宋体" w:cs="宋体"/>
          <w:snapToGrid w:val="0"/>
          <w:color w:val="auto"/>
          <w:spacing w:val="4"/>
          <w:kern w:val="0"/>
          <w:sz w:val="24"/>
          <w:szCs w:val="24"/>
          <w:highlight w:val="none"/>
        </w:rPr>
      </w:pPr>
      <w:r>
        <w:rPr>
          <w:rFonts w:hint="eastAsia" w:ascii="宋体" w:hAnsi="宋体" w:cs="宋体"/>
          <w:color w:val="auto"/>
          <w:sz w:val="24"/>
          <w:szCs w:val="28"/>
          <w:highlight w:val="none"/>
        </w:rPr>
        <w:t>根据中华人民共和国住房和城乡建设部令第37号《危险性较大的分部分项工程安全管理规定》（以下简称“37号文”），投标人在投标时须补充完善危大工程清单并</w:t>
      </w:r>
      <w:r>
        <w:rPr>
          <w:rFonts w:hint="eastAsia" w:ascii="宋体" w:hAnsi="宋体" w:cs="宋体"/>
          <w:snapToGrid w:val="0"/>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14:paraId="25390C18">
      <w:pPr>
        <w:numPr>
          <w:ilvl w:val="0"/>
          <w:numId w:val="18"/>
        </w:numPr>
        <w:autoSpaceDE w:val="0"/>
        <w:autoSpaceDN w:val="0"/>
        <w:spacing w:line="360" w:lineRule="auto"/>
        <w:jc w:val="left"/>
        <w:rPr>
          <w:rFonts w:ascii="宋体" w:hAnsi="宋体" w:cs="宋体"/>
          <w:color w:val="auto"/>
          <w:sz w:val="24"/>
          <w:szCs w:val="28"/>
          <w:highlight w:val="none"/>
        </w:rPr>
      </w:pPr>
      <w:r>
        <w:rPr>
          <w:rFonts w:hint="eastAsia" w:ascii="宋体" w:hAnsi="宋体" w:cs="宋体"/>
          <w:color w:val="auto"/>
          <w:sz w:val="24"/>
          <w:szCs w:val="28"/>
          <w:highlight w:val="none"/>
        </w:rPr>
        <w:t>招标人根据设计文件的要求及37号文的规定列出“危险性较大的分部分项工程清单及超过一定规模的危险性较大的分部分项工程清单”中与本招标项目相关的清单项，具体详第5点“打</w:t>
      </w:r>
      <w:r>
        <w:rPr>
          <w:rFonts w:hint="eastAsia" w:ascii="宋体" w:hAnsi="宋体" w:cs="宋体"/>
          <w:color w:val="auto"/>
          <w:sz w:val="24"/>
          <w:szCs w:val="36"/>
          <w:highlight w:val="none"/>
        </w:rPr>
        <w:t>√”标识。</w:t>
      </w:r>
    </w:p>
    <w:p w14:paraId="3AA24F5C">
      <w:pPr>
        <w:numPr>
          <w:ilvl w:val="0"/>
          <w:numId w:val="19"/>
        </w:numPr>
        <w:autoSpaceDE w:val="0"/>
        <w:autoSpaceDN w:val="0"/>
        <w:spacing w:line="360" w:lineRule="auto"/>
        <w:jc w:val="left"/>
        <w:rPr>
          <w:rFonts w:ascii="宋体" w:hAnsi="宋体" w:cs="宋体"/>
          <w:b/>
          <w:bCs/>
          <w:color w:val="auto"/>
          <w:sz w:val="24"/>
          <w:szCs w:val="36"/>
          <w:highlight w:val="none"/>
        </w:rPr>
      </w:pPr>
      <w:r>
        <w:rPr>
          <w:rFonts w:hint="eastAsia" w:ascii="宋体" w:hAnsi="宋体" w:cs="宋体"/>
          <w:b/>
          <w:bCs/>
          <w:color w:val="auto"/>
          <w:sz w:val="24"/>
          <w:szCs w:val="28"/>
          <w:highlight w:val="none"/>
        </w:rPr>
        <w:t>投标单位同意建设单位在清单中标识的该项请在对应项打“</w:t>
      </w:r>
      <w:r>
        <w:rPr>
          <w:rFonts w:hint="eastAsia" w:ascii="宋体" w:hAnsi="宋体" w:cs="宋体"/>
          <w:b/>
          <w:bCs/>
          <w:color w:val="auto"/>
          <w:sz w:val="24"/>
          <w:szCs w:val="36"/>
          <w:highlight w:val="none"/>
        </w:rPr>
        <w:t>√”标识，并在</w:t>
      </w:r>
      <w:r>
        <w:rPr>
          <w:rFonts w:hint="eastAsia" w:ascii="宋体" w:hAnsi="宋体" w:cs="宋体"/>
          <w:b/>
          <w:bCs/>
          <w:snapToGrid w:val="0"/>
          <w:color w:val="auto"/>
          <w:spacing w:val="4"/>
          <w:kern w:val="0"/>
          <w:szCs w:val="21"/>
          <w:highlight w:val="none"/>
        </w:rPr>
        <w:t>技术标</w:t>
      </w:r>
      <w:r>
        <w:rPr>
          <w:rFonts w:hint="eastAsia" w:ascii="宋体" w:hAnsi="宋体" w:cs="宋体"/>
          <w:b/>
          <w:bCs/>
          <w:color w:val="auto"/>
          <w:sz w:val="24"/>
          <w:szCs w:val="36"/>
          <w:highlight w:val="none"/>
        </w:rPr>
        <w:t>投标文件中提供相应的安全管理措施。</w:t>
      </w:r>
    </w:p>
    <w:p w14:paraId="7D632C2A">
      <w:pPr>
        <w:numPr>
          <w:ilvl w:val="0"/>
          <w:numId w:val="19"/>
        </w:numPr>
        <w:autoSpaceDE w:val="0"/>
        <w:autoSpaceDN w:val="0"/>
        <w:spacing w:line="360" w:lineRule="auto"/>
        <w:jc w:val="left"/>
        <w:rPr>
          <w:rFonts w:ascii="宋体" w:hAnsi="宋体" w:cs="宋体"/>
          <w:color w:val="auto"/>
          <w:sz w:val="24"/>
          <w:szCs w:val="36"/>
          <w:highlight w:val="none"/>
        </w:rPr>
      </w:pPr>
      <w:r>
        <w:rPr>
          <w:rFonts w:hint="eastAsia" w:ascii="宋体" w:hAnsi="宋体" w:cs="宋体"/>
          <w:b/>
          <w:bCs/>
          <w:color w:val="auto"/>
          <w:sz w:val="24"/>
          <w:szCs w:val="28"/>
          <w:highlight w:val="none"/>
        </w:rPr>
        <w:t>投标单位对清单中认为需要补充的该项请在对应项打“</w:t>
      </w:r>
      <w:r>
        <w:rPr>
          <w:rFonts w:hint="eastAsia" w:ascii="宋体" w:hAnsi="宋体" w:cs="宋体"/>
          <w:b/>
          <w:bCs/>
          <w:color w:val="auto"/>
          <w:sz w:val="24"/>
          <w:szCs w:val="36"/>
          <w:highlight w:val="none"/>
        </w:rPr>
        <w:t>√”标识，并在</w:t>
      </w:r>
      <w:r>
        <w:rPr>
          <w:rFonts w:hint="eastAsia" w:ascii="宋体" w:hAnsi="宋体" w:cs="宋体"/>
          <w:b/>
          <w:bCs/>
          <w:snapToGrid w:val="0"/>
          <w:color w:val="auto"/>
          <w:spacing w:val="4"/>
          <w:kern w:val="0"/>
          <w:szCs w:val="21"/>
          <w:highlight w:val="none"/>
        </w:rPr>
        <w:t>技术标</w:t>
      </w:r>
      <w:r>
        <w:rPr>
          <w:rFonts w:hint="eastAsia" w:ascii="宋体" w:hAnsi="宋体" w:cs="宋体"/>
          <w:b/>
          <w:bCs/>
          <w:color w:val="auto"/>
          <w:sz w:val="24"/>
          <w:szCs w:val="36"/>
          <w:highlight w:val="none"/>
        </w:rPr>
        <w:t>投标文件中提供相应的安全管理措施。</w:t>
      </w:r>
    </w:p>
    <w:p w14:paraId="5E4968DC">
      <w:pPr>
        <w:numPr>
          <w:ilvl w:val="0"/>
          <w:numId w:val="19"/>
        </w:numPr>
        <w:autoSpaceDE w:val="0"/>
        <w:autoSpaceDN w:val="0"/>
        <w:spacing w:line="360" w:lineRule="auto"/>
        <w:jc w:val="left"/>
        <w:rPr>
          <w:rFonts w:ascii="宋体" w:hAnsi="宋体" w:cs="宋体"/>
          <w:color w:val="auto"/>
          <w:sz w:val="24"/>
          <w:szCs w:val="28"/>
          <w:highlight w:val="none"/>
        </w:rPr>
      </w:pPr>
      <w:r>
        <w:rPr>
          <w:rFonts w:hint="eastAsia" w:ascii="宋体" w:hAnsi="宋体" w:cs="宋体"/>
          <w:color w:val="auto"/>
          <w:sz w:val="24"/>
          <w:szCs w:val="36"/>
          <w:highlight w:val="none"/>
        </w:rPr>
        <w:t>投标单位不同意建设单位</w:t>
      </w:r>
      <w:r>
        <w:rPr>
          <w:rFonts w:hint="eastAsia" w:ascii="宋体" w:hAnsi="宋体" w:cs="宋体"/>
          <w:color w:val="auto"/>
          <w:sz w:val="24"/>
          <w:szCs w:val="28"/>
          <w:highlight w:val="none"/>
        </w:rPr>
        <w:t>在清单中标识的该项</w:t>
      </w:r>
      <w:r>
        <w:rPr>
          <w:rFonts w:hint="eastAsia" w:ascii="宋体" w:hAnsi="宋体" w:cs="宋体"/>
          <w:color w:val="auto"/>
          <w:sz w:val="24"/>
          <w:szCs w:val="36"/>
          <w:highlight w:val="none"/>
        </w:rPr>
        <w:t>请在对应项打“×”标识，并在备注栏填上相关说明。</w:t>
      </w:r>
    </w:p>
    <w:p w14:paraId="76D9F029">
      <w:pPr>
        <w:numPr>
          <w:ilvl w:val="0"/>
          <w:numId w:val="18"/>
        </w:numPr>
        <w:autoSpaceDE w:val="0"/>
        <w:autoSpaceDN w:val="0"/>
        <w:spacing w:line="360" w:lineRule="auto"/>
        <w:jc w:val="left"/>
        <w:rPr>
          <w:rFonts w:ascii="宋体" w:hAnsi="宋体" w:cs="宋体"/>
          <w:color w:val="auto"/>
          <w:sz w:val="24"/>
          <w:szCs w:val="28"/>
          <w:highlight w:val="none"/>
        </w:rPr>
      </w:pPr>
      <w:r>
        <w:rPr>
          <w:rFonts w:hint="eastAsia" w:ascii="宋体" w:hAnsi="宋体" w:cs="宋体"/>
          <w:b/>
          <w:bCs/>
          <w:color w:val="auto"/>
          <w:sz w:val="24"/>
          <w:szCs w:val="28"/>
          <w:highlight w:val="none"/>
        </w:rPr>
        <w:t>投标单位应当在投标时根据招标人提供的下述第5点清单，在投标文件中编制专项施工方案。</w:t>
      </w:r>
    </w:p>
    <w:p w14:paraId="73599A27">
      <w:pPr>
        <w:numPr>
          <w:ilvl w:val="0"/>
          <w:numId w:val="18"/>
        </w:numPr>
        <w:autoSpaceDE w:val="0"/>
        <w:autoSpaceDN w:val="0"/>
        <w:spacing w:line="360" w:lineRule="auto"/>
        <w:jc w:val="left"/>
        <w:rPr>
          <w:rFonts w:ascii="宋体" w:hAnsi="宋体" w:cs="宋体"/>
          <w:color w:val="auto"/>
          <w:sz w:val="24"/>
          <w:szCs w:val="28"/>
          <w:highlight w:val="none"/>
        </w:rPr>
      </w:pPr>
      <w:r>
        <w:rPr>
          <w:rFonts w:hint="eastAsia" w:ascii="宋体" w:hAnsi="宋体" w:cs="宋体"/>
          <w:color w:val="auto"/>
          <w:sz w:val="24"/>
          <w:szCs w:val="28"/>
          <w:highlight w:val="none"/>
        </w:rPr>
        <w:t>对于超过一定规模的</w:t>
      </w:r>
      <w:bookmarkStart w:id="93" w:name="_GoBack"/>
      <w:r>
        <w:rPr>
          <w:rFonts w:hint="eastAsia" w:ascii="宋体" w:hAnsi="宋体" w:cs="宋体"/>
          <w:color w:val="auto"/>
          <w:sz w:val="24"/>
          <w:szCs w:val="28"/>
          <w:highlight w:val="none"/>
        </w:rPr>
        <w:t>危大</w:t>
      </w:r>
      <w:bookmarkEnd w:id="93"/>
      <w:r>
        <w:rPr>
          <w:rFonts w:hint="eastAsia" w:ascii="宋体" w:hAnsi="宋体" w:cs="宋体"/>
          <w:color w:val="auto"/>
          <w:sz w:val="24"/>
          <w:szCs w:val="28"/>
          <w:highlight w:val="none"/>
        </w:rPr>
        <w:t>工程，中标单位应当组织召开专家论证会对专项施工方案进行论证。实行施工总承包的，由施工总承包单位组织召开专家论证会。专家论证前专项施工方案应当通过施工总承包单位审核和总监理工程师审查。</w:t>
      </w:r>
    </w:p>
    <w:p w14:paraId="77D72016">
      <w:pPr>
        <w:numPr>
          <w:ilvl w:val="0"/>
          <w:numId w:val="18"/>
        </w:numPr>
        <w:autoSpaceDE w:val="0"/>
        <w:autoSpaceDN w:val="0"/>
        <w:spacing w:line="360" w:lineRule="auto"/>
        <w:jc w:val="left"/>
        <w:rPr>
          <w:rFonts w:ascii="宋体" w:hAnsi="宋体" w:cs="宋体"/>
          <w:color w:val="auto"/>
          <w:sz w:val="24"/>
          <w:szCs w:val="28"/>
          <w:highlight w:val="none"/>
        </w:rPr>
      </w:pPr>
      <w:r>
        <w:rPr>
          <w:rFonts w:hint="eastAsia" w:ascii="宋体" w:hAnsi="宋体" w:cs="宋体"/>
          <w:color w:val="auto"/>
          <w:sz w:val="24"/>
          <w:szCs w:val="28"/>
          <w:highlight w:val="none"/>
        </w:rPr>
        <w:t>危险性较大的分部分项工程清单及超过一定规模的危险性较大的分部分项工程清单：</w:t>
      </w:r>
    </w:p>
    <w:tbl>
      <w:tblPr>
        <w:tblStyle w:val="50"/>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7"/>
        <w:gridCol w:w="1454"/>
        <w:gridCol w:w="1456"/>
        <w:gridCol w:w="1145"/>
      </w:tblGrid>
      <w:tr w14:paraId="4A96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961" w:type="pct"/>
            <w:tcBorders>
              <w:top w:val="single" w:color="auto" w:sz="4" w:space="0"/>
              <w:left w:val="single" w:color="auto" w:sz="4" w:space="0"/>
              <w:bottom w:val="single" w:color="auto" w:sz="4" w:space="0"/>
              <w:right w:val="single" w:color="auto" w:sz="4" w:space="0"/>
            </w:tcBorders>
            <w:shd w:val="clear" w:color="auto" w:fill="D8D8D8"/>
            <w:noWrap w:val="0"/>
            <w:vAlign w:val="center"/>
          </w:tcPr>
          <w:p w14:paraId="7D540D7F">
            <w:pPr>
              <w:jc w:val="center"/>
              <w:rPr>
                <w:rFonts w:ascii="宋体" w:hAnsi="宋体" w:cs="宋体"/>
                <w:b/>
                <w:color w:val="auto"/>
                <w:highlight w:val="none"/>
              </w:rPr>
            </w:pPr>
            <w:r>
              <w:rPr>
                <w:rFonts w:hint="eastAsia" w:ascii="宋体" w:hAnsi="宋体" w:cs="宋体"/>
                <w:b/>
                <w:color w:val="auto"/>
                <w:highlight w:val="none"/>
              </w:rPr>
              <w:t>危险性较大的分部分项工程清单</w:t>
            </w:r>
          </w:p>
        </w:tc>
        <w:tc>
          <w:tcPr>
            <w:tcW w:w="731" w:type="pct"/>
            <w:tcBorders>
              <w:top w:val="single" w:color="auto" w:sz="4" w:space="0"/>
              <w:left w:val="nil"/>
              <w:bottom w:val="single" w:color="auto" w:sz="4" w:space="0"/>
              <w:right w:val="single" w:color="auto" w:sz="4" w:space="0"/>
            </w:tcBorders>
            <w:shd w:val="clear" w:color="auto" w:fill="D8D8D8"/>
            <w:noWrap w:val="0"/>
            <w:vAlign w:val="center"/>
          </w:tcPr>
          <w:p w14:paraId="0045B83C">
            <w:pPr>
              <w:jc w:val="center"/>
              <w:rPr>
                <w:rFonts w:ascii="宋体" w:hAnsi="宋体" w:cs="宋体"/>
                <w:b/>
                <w:color w:val="auto"/>
                <w:highlight w:val="none"/>
              </w:rPr>
            </w:pPr>
            <w:r>
              <w:rPr>
                <w:rFonts w:hint="eastAsia" w:ascii="宋体" w:hAnsi="宋体" w:cs="宋体"/>
                <w:b/>
                <w:color w:val="auto"/>
                <w:highlight w:val="none"/>
              </w:rPr>
              <w:t>招标人</w:t>
            </w:r>
          </w:p>
        </w:tc>
        <w:tc>
          <w:tcPr>
            <w:tcW w:w="732" w:type="pct"/>
            <w:tcBorders>
              <w:top w:val="single" w:color="auto" w:sz="4" w:space="0"/>
              <w:left w:val="nil"/>
              <w:bottom w:val="single" w:color="auto" w:sz="4" w:space="0"/>
              <w:right w:val="single" w:color="auto" w:sz="4" w:space="0"/>
            </w:tcBorders>
            <w:shd w:val="clear" w:color="auto" w:fill="D8D8D8"/>
            <w:noWrap w:val="0"/>
            <w:vAlign w:val="center"/>
          </w:tcPr>
          <w:p w14:paraId="37271426">
            <w:pPr>
              <w:jc w:val="center"/>
              <w:rPr>
                <w:rFonts w:ascii="宋体" w:hAnsi="宋体" w:cs="宋体"/>
                <w:b/>
                <w:color w:val="auto"/>
                <w:highlight w:val="none"/>
              </w:rPr>
            </w:pPr>
            <w:r>
              <w:rPr>
                <w:rFonts w:hint="eastAsia" w:ascii="宋体" w:hAnsi="宋体" w:cs="宋体"/>
                <w:b/>
                <w:color w:val="auto"/>
                <w:highlight w:val="none"/>
              </w:rPr>
              <w:t>投标单位</w:t>
            </w:r>
          </w:p>
        </w:tc>
        <w:tc>
          <w:tcPr>
            <w:tcW w:w="577" w:type="pct"/>
            <w:tcBorders>
              <w:top w:val="single" w:color="auto" w:sz="4" w:space="0"/>
              <w:left w:val="nil"/>
              <w:bottom w:val="single" w:color="auto" w:sz="4" w:space="0"/>
              <w:right w:val="single" w:color="auto" w:sz="4" w:space="0"/>
            </w:tcBorders>
            <w:shd w:val="clear" w:color="auto" w:fill="D8D8D8"/>
            <w:noWrap w:val="0"/>
            <w:vAlign w:val="center"/>
          </w:tcPr>
          <w:p w14:paraId="701E70D2">
            <w:pPr>
              <w:jc w:val="center"/>
              <w:rPr>
                <w:rFonts w:ascii="宋体" w:hAnsi="宋体" w:cs="宋体"/>
                <w:b/>
                <w:color w:val="auto"/>
                <w:highlight w:val="none"/>
              </w:rPr>
            </w:pPr>
            <w:r>
              <w:rPr>
                <w:rFonts w:hint="eastAsia" w:ascii="宋体" w:hAnsi="宋体" w:cs="宋体"/>
                <w:b/>
                <w:color w:val="auto"/>
                <w:highlight w:val="none"/>
              </w:rPr>
              <w:t>备注</w:t>
            </w:r>
          </w:p>
        </w:tc>
      </w:tr>
      <w:tr w14:paraId="3963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7AAE85BD">
            <w:pPr>
              <w:rPr>
                <w:rFonts w:ascii="宋体" w:hAnsi="宋体" w:cs="宋体"/>
                <w:b/>
                <w:color w:val="auto"/>
                <w:highlight w:val="none"/>
              </w:rPr>
            </w:pPr>
            <w:r>
              <w:rPr>
                <w:rFonts w:hint="eastAsia" w:ascii="宋体" w:hAnsi="宋体" w:cs="宋体"/>
                <w:b/>
                <w:color w:val="auto"/>
                <w:highlight w:val="none"/>
              </w:rPr>
              <w:t>一、基坑支护</w:t>
            </w:r>
          </w:p>
        </w:tc>
      </w:tr>
      <w:tr w14:paraId="1731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3E4673E9">
            <w:pPr>
              <w:rPr>
                <w:rFonts w:ascii="宋体" w:hAnsi="宋体" w:cs="宋体"/>
                <w:color w:val="auto"/>
                <w:highlight w:val="none"/>
              </w:rPr>
            </w:pPr>
            <w:r>
              <w:rPr>
                <w:rFonts w:hint="eastAsia" w:ascii="宋体" w:hAnsi="宋体" w:cs="宋体"/>
                <w:color w:val="auto"/>
                <w:highlight w:val="none"/>
              </w:rPr>
              <w:t>（一）开挖深度超过3m（含3m）的基坑（槽）的土方开挖、支护、降水工程。</w:t>
            </w:r>
          </w:p>
        </w:tc>
        <w:tc>
          <w:tcPr>
            <w:tcW w:w="731" w:type="pct"/>
            <w:tcBorders>
              <w:top w:val="single" w:color="auto" w:sz="4" w:space="0"/>
              <w:left w:val="nil"/>
              <w:bottom w:val="single" w:color="auto" w:sz="4" w:space="0"/>
              <w:right w:val="single" w:color="auto" w:sz="4" w:space="0"/>
            </w:tcBorders>
            <w:noWrap w:val="0"/>
            <w:vAlign w:val="center"/>
          </w:tcPr>
          <w:p w14:paraId="39590685">
            <w:pPr>
              <w:jc w:val="center"/>
              <w:rPr>
                <w:rFonts w:hint="eastAsia" w:ascii="宋体" w:hAnsi="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696351F7">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7478B02C">
            <w:pPr>
              <w:jc w:val="center"/>
              <w:rPr>
                <w:rFonts w:ascii="宋体" w:hAnsi="宋体" w:cs="宋体"/>
                <w:color w:val="auto"/>
                <w:highlight w:val="none"/>
              </w:rPr>
            </w:pPr>
          </w:p>
        </w:tc>
      </w:tr>
      <w:tr w14:paraId="3946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4B01E2E7">
            <w:pPr>
              <w:rPr>
                <w:rFonts w:ascii="宋体" w:hAnsi="宋体" w:cs="宋体"/>
                <w:color w:val="auto"/>
                <w:highlight w:val="none"/>
              </w:rPr>
            </w:pPr>
            <w:r>
              <w:rPr>
                <w:rFonts w:hint="eastAsia" w:ascii="宋体" w:hAnsi="宋体" w:cs="宋体"/>
                <w:color w:val="auto"/>
                <w:highlight w:val="none"/>
              </w:rPr>
              <w:t>（二）开挖深度虽未超过3m，但地质条件、周围环境和地下管线复杂，或影响毗邻建、构筑物安全的基坑（槽）的土方开挖、支护、降水工程。</w:t>
            </w:r>
          </w:p>
        </w:tc>
        <w:tc>
          <w:tcPr>
            <w:tcW w:w="731" w:type="pct"/>
            <w:tcBorders>
              <w:top w:val="single" w:color="auto" w:sz="4" w:space="0"/>
              <w:left w:val="nil"/>
              <w:bottom w:val="single" w:color="auto" w:sz="4" w:space="0"/>
              <w:right w:val="single" w:color="auto" w:sz="4" w:space="0"/>
            </w:tcBorders>
            <w:noWrap w:val="0"/>
            <w:vAlign w:val="center"/>
          </w:tcPr>
          <w:p w14:paraId="74FB0158">
            <w:pPr>
              <w:jc w:val="center"/>
              <w:rPr>
                <w:rFonts w:ascii="宋体" w:hAnsi="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0B818952">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0C9A064C">
            <w:pPr>
              <w:jc w:val="center"/>
              <w:rPr>
                <w:rFonts w:ascii="宋体" w:hAnsi="宋体" w:cs="宋体"/>
                <w:color w:val="auto"/>
                <w:highlight w:val="none"/>
              </w:rPr>
            </w:pPr>
          </w:p>
        </w:tc>
      </w:tr>
      <w:tr w14:paraId="3862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79267E52">
            <w:pPr>
              <w:rPr>
                <w:rFonts w:ascii="宋体" w:hAnsi="宋体" w:cs="宋体"/>
                <w:color w:val="auto"/>
                <w:highlight w:val="none"/>
              </w:rPr>
            </w:pPr>
            <w:r>
              <w:rPr>
                <w:rFonts w:hint="eastAsia" w:ascii="宋体" w:hAnsi="宋体" w:cs="宋体"/>
                <w:b/>
                <w:color w:val="auto"/>
                <w:highlight w:val="none"/>
              </w:rPr>
              <w:t>二、模板工程及支撑体系</w:t>
            </w:r>
          </w:p>
        </w:tc>
      </w:tr>
      <w:tr w14:paraId="3DA3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5DB5C2DB">
            <w:pPr>
              <w:rPr>
                <w:rFonts w:ascii="宋体" w:hAnsi="宋体" w:cs="宋体"/>
                <w:color w:val="auto"/>
                <w:highlight w:val="none"/>
              </w:rPr>
            </w:pPr>
            <w:r>
              <w:rPr>
                <w:rFonts w:hint="eastAsia" w:ascii="宋体" w:hAnsi="宋体" w:cs="宋体"/>
                <w:color w:val="auto"/>
                <w:highlight w:val="none"/>
              </w:rPr>
              <w:t>（一）各类工具式模板工程：包括滑模、爬模、飞模、隧道模等工程。</w:t>
            </w:r>
          </w:p>
        </w:tc>
        <w:tc>
          <w:tcPr>
            <w:tcW w:w="731" w:type="pct"/>
            <w:tcBorders>
              <w:top w:val="single" w:color="auto" w:sz="4" w:space="0"/>
              <w:left w:val="nil"/>
              <w:bottom w:val="single" w:color="auto" w:sz="4" w:space="0"/>
              <w:right w:val="single" w:color="auto" w:sz="4" w:space="0"/>
            </w:tcBorders>
            <w:noWrap w:val="0"/>
            <w:vAlign w:val="center"/>
          </w:tcPr>
          <w:p w14:paraId="0044D1D6">
            <w:pPr>
              <w:jc w:val="center"/>
              <w:rPr>
                <w:rFonts w:ascii="宋体" w:hAnsi="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15BA530B">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57A208E0">
            <w:pPr>
              <w:jc w:val="center"/>
              <w:rPr>
                <w:rFonts w:ascii="宋体" w:hAnsi="宋体" w:cs="宋体"/>
                <w:color w:val="auto"/>
                <w:highlight w:val="none"/>
              </w:rPr>
            </w:pPr>
          </w:p>
        </w:tc>
      </w:tr>
      <w:tr w14:paraId="2FCF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79307B92">
            <w:pPr>
              <w:rPr>
                <w:rFonts w:ascii="宋体" w:hAnsi="宋体" w:cs="宋体"/>
                <w:color w:val="auto"/>
                <w:highlight w:val="none"/>
              </w:rPr>
            </w:pPr>
            <w:r>
              <w:rPr>
                <w:rFonts w:hint="eastAsia" w:ascii="宋体" w:hAnsi="宋体" w:cs="宋体"/>
                <w:color w:val="auto"/>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731" w:type="pct"/>
            <w:tcBorders>
              <w:top w:val="single" w:color="auto" w:sz="4" w:space="0"/>
              <w:left w:val="nil"/>
              <w:bottom w:val="single" w:color="auto" w:sz="4" w:space="0"/>
              <w:right w:val="single" w:color="auto" w:sz="4" w:space="0"/>
            </w:tcBorders>
            <w:noWrap w:val="0"/>
            <w:vAlign w:val="center"/>
          </w:tcPr>
          <w:p w14:paraId="331BF181">
            <w:pPr>
              <w:jc w:val="center"/>
              <w:rPr>
                <w:rFonts w:ascii="宋体" w:hAnsi="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6A5D2989">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42874C27">
            <w:pPr>
              <w:jc w:val="center"/>
              <w:rPr>
                <w:rFonts w:ascii="宋体" w:hAnsi="宋体" w:cs="宋体"/>
                <w:color w:val="auto"/>
                <w:highlight w:val="none"/>
              </w:rPr>
            </w:pPr>
          </w:p>
        </w:tc>
      </w:tr>
      <w:tr w14:paraId="54A2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4A35241B">
            <w:pPr>
              <w:widowControl/>
              <w:rPr>
                <w:rFonts w:ascii="宋体" w:hAnsi="宋体" w:cs="宋体"/>
                <w:color w:val="auto"/>
                <w:highlight w:val="none"/>
              </w:rPr>
            </w:pPr>
            <w:r>
              <w:rPr>
                <w:rFonts w:hint="eastAsia" w:ascii="宋体" w:hAnsi="宋体" w:cs="宋体"/>
                <w:color w:val="auto"/>
                <w:highlight w:val="none"/>
              </w:rPr>
              <w:t>（三）承重支撑体系：用于钢结构安装等满堂支撑体系。</w:t>
            </w:r>
          </w:p>
        </w:tc>
        <w:tc>
          <w:tcPr>
            <w:tcW w:w="731" w:type="pct"/>
            <w:tcBorders>
              <w:top w:val="single" w:color="auto" w:sz="4" w:space="0"/>
              <w:left w:val="nil"/>
              <w:bottom w:val="single" w:color="auto" w:sz="4" w:space="0"/>
              <w:right w:val="single" w:color="auto" w:sz="4" w:space="0"/>
            </w:tcBorders>
            <w:noWrap w:val="0"/>
            <w:vAlign w:val="center"/>
          </w:tcPr>
          <w:p w14:paraId="37FBBEE3">
            <w:pPr>
              <w:jc w:val="center"/>
              <w:rPr>
                <w:rFonts w:ascii="宋体" w:hAnsi="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21442175">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5704731F">
            <w:pPr>
              <w:jc w:val="center"/>
              <w:rPr>
                <w:rFonts w:ascii="宋体" w:hAnsi="宋体" w:cs="宋体"/>
                <w:color w:val="auto"/>
                <w:highlight w:val="none"/>
              </w:rPr>
            </w:pPr>
          </w:p>
        </w:tc>
      </w:tr>
      <w:tr w14:paraId="063C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6ACD9648">
            <w:pPr>
              <w:rPr>
                <w:rFonts w:ascii="宋体" w:hAnsi="宋体" w:cs="宋体"/>
                <w:color w:val="auto"/>
                <w:highlight w:val="none"/>
              </w:rPr>
            </w:pPr>
            <w:r>
              <w:rPr>
                <w:rFonts w:hint="eastAsia" w:ascii="宋体" w:hAnsi="宋体" w:cs="宋体"/>
                <w:b/>
                <w:color w:val="auto"/>
                <w:highlight w:val="none"/>
              </w:rPr>
              <w:t>三、起重吊装及起重机械安装拆卸工程</w:t>
            </w:r>
          </w:p>
        </w:tc>
      </w:tr>
      <w:tr w14:paraId="5D40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2A8CB68E">
            <w:pPr>
              <w:widowControl/>
              <w:rPr>
                <w:rFonts w:ascii="宋体" w:hAnsi="宋体" w:cs="宋体"/>
                <w:color w:val="auto"/>
                <w:highlight w:val="none"/>
              </w:rPr>
            </w:pPr>
            <w:r>
              <w:rPr>
                <w:rFonts w:hint="eastAsia" w:ascii="宋体" w:hAnsi="宋体" w:cs="宋体"/>
                <w:color w:val="auto"/>
                <w:highlight w:val="none"/>
              </w:rPr>
              <w:t>（一）采用非常规起重设备、方法，且单件起吊重量在10kN及以上的起重吊装工程。</w:t>
            </w:r>
          </w:p>
        </w:tc>
        <w:tc>
          <w:tcPr>
            <w:tcW w:w="731" w:type="pct"/>
            <w:tcBorders>
              <w:top w:val="single" w:color="auto" w:sz="4" w:space="0"/>
              <w:left w:val="nil"/>
              <w:bottom w:val="single" w:color="auto" w:sz="4" w:space="0"/>
              <w:right w:val="single" w:color="auto" w:sz="4" w:space="0"/>
            </w:tcBorders>
            <w:noWrap w:val="0"/>
            <w:vAlign w:val="center"/>
          </w:tcPr>
          <w:p w14:paraId="0F87159A">
            <w:pPr>
              <w:jc w:val="center"/>
              <w:rPr>
                <w:rFonts w:ascii="宋体" w:hAnsi="宋体" w:cs="宋体"/>
                <w:color w:val="auto"/>
                <w:highlight w:val="none"/>
              </w:rPr>
            </w:pPr>
            <w:r>
              <w:rPr>
                <w:rFonts w:hint="eastAsia" w:ascii="宋体" w:hAnsi="宋体" w:cs="宋体"/>
                <w:color w:val="auto"/>
                <w:sz w:val="24"/>
                <w:szCs w:val="36"/>
                <w:highlight w:val="none"/>
              </w:rPr>
              <w:t>√</w:t>
            </w:r>
          </w:p>
        </w:tc>
        <w:tc>
          <w:tcPr>
            <w:tcW w:w="732" w:type="pct"/>
            <w:tcBorders>
              <w:top w:val="single" w:color="auto" w:sz="4" w:space="0"/>
              <w:left w:val="nil"/>
              <w:bottom w:val="single" w:color="auto" w:sz="4" w:space="0"/>
              <w:right w:val="single" w:color="auto" w:sz="4" w:space="0"/>
            </w:tcBorders>
            <w:noWrap w:val="0"/>
            <w:vAlign w:val="center"/>
          </w:tcPr>
          <w:p w14:paraId="7BA4B4AC">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78666BC6">
            <w:pPr>
              <w:jc w:val="center"/>
              <w:rPr>
                <w:rFonts w:ascii="宋体" w:hAnsi="宋体" w:cs="宋体"/>
                <w:color w:val="auto"/>
                <w:sz w:val="18"/>
                <w:szCs w:val="18"/>
                <w:highlight w:val="none"/>
              </w:rPr>
            </w:pPr>
            <w:r>
              <w:rPr>
                <w:rFonts w:hint="eastAsia" w:ascii="宋体" w:hAnsi="宋体" w:cs="宋体"/>
                <w:color w:val="auto"/>
                <w:sz w:val="18"/>
                <w:szCs w:val="18"/>
                <w:highlight w:val="none"/>
              </w:rPr>
              <w:t>钢梁、钢墩、临时支墩</w:t>
            </w:r>
          </w:p>
        </w:tc>
      </w:tr>
      <w:tr w14:paraId="244C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7445561E">
            <w:pPr>
              <w:rPr>
                <w:rFonts w:ascii="宋体" w:hAnsi="宋体" w:cs="宋体"/>
                <w:color w:val="auto"/>
                <w:highlight w:val="none"/>
              </w:rPr>
            </w:pPr>
            <w:r>
              <w:rPr>
                <w:rFonts w:hint="eastAsia" w:ascii="宋体" w:hAnsi="宋体" w:cs="宋体"/>
                <w:color w:val="auto"/>
                <w:highlight w:val="none"/>
              </w:rPr>
              <w:t>（二）采用起重机械进行安装的工程。</w:t>
            </w:r>
          </w:p>
        </w:tc>
        <w:tc>
          <w:tcPr>
            <w:tcW w:w="731" w:type="pct"/>
            <w:tcBorders>
              <w:top w:val="single" w:color="auto" w:sz="4" w:space="0"/>
              <w:left w:val="nil"/>
              <w:bottom w:val="single" w:color="auto" w:sz="4" w:space="0"/>
              <w:right w:val="single" w:color="auto" w:sz="4" w:space="0"/>
            </w:tcBorders>
            <w:noWrap w:val="0"/>
            <w:vAlign w:val="center"/>
          </w:tcPr>
          <w:p w14:paraId="4F5BF071">
            <w:pPr>
              <w:jc w:val="center"/>
              <w:rPr>
                <w:rFonts w:ascii="宋体" w:hAnsi="宋体" w:cs="宋体"/>
                <w:b/>
                <w:color w:val="auto"/>
                <w:highlight w:val="none"/>
              </w:rPr>
            </w:pPr>
            <w:r>
              <w:rPr>
                <w:rFonts w:hint="eastAsia" w:ascii="宋体" w:hAnsi="宋体" w:cs="宋体"/>
                <w:color w:val="auto"/>
                <w:sz w:val="24"/>
                <w:szCs w:val="36"/>
                <w:highlight w:val="none"/>
              </w:rPr>
              <w:t>√</w:t>
            </w:r>
          </w:p>
        </w:tc>
        <w:tc>
          <w:tcPr>
            <w:tcW w:w="732" w:type="pct"/>
            <w:tcBorders>
              <w:top w:val="single" w:color="auto" w:sz="4" w:space="0"/>
              <w:left w:val="nil"/>
              <w:bottom w:val="single" w:color="auto" w:sz="4" w:space="0"/>
              <w:right w:val="single" w:color="auto" w:sz="4" w:space="0"/>
            </w:tcBorders>
            <w:noWrap w:val="0"/>
            <w:vAlign w:val="center"/>
          </w:tcPr>
          <w:p w14:paraId="68FC084A">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7B5FABBE">
            <w:pPr>
              <w:jc w:val="center"/>
              <w:rPr>
                <w:rFonts w:ascii="宋体" w:hAnsi="宋体" w:cs="宋体"/>
                <w:color w:val="auto"/>
                <w:highlight w:val="none"/>
              </w:rPr>
            </w:pPr>
          </w:p>
        </w:tc>
      </w:tr>
      <w:tr w14:paraId="5297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71B8BF74">
            <w:pPr>
              <w:rPr>
                <w:rFonts w:ascii="宋体" w:hAnsi="宋体" w:cs="宋体"/>
                <w:color w:val="auto"/>
                <w:highlight w:val="none"/>
              </w:rPr>
            </w:pPr>
            <w:r>
              <w:rPr>
                <w:rFonts w:hint="eastAsia" w:ascii="宋体" w:hAnsi="宋体" w:cs="宋体"/>
                <w:color w:val="auto"/>
                <w:highlight w:val="none"/>
              </w:rPr>
              <w:t>（三）起重机械安装和拆卸工程。</w:t>
            </w:r>
          </w:p>
        </w:tc>
        <w:tc>
          <w:tcPr>
            <w:tcW w:w="731" w:type="pct"/>
            <w:tcBorders>
              <w:top w:val="single" w:color="auto" w:sz="4" w:space="0"/>
              <w:left w:val="nil"/>
              <w:bottom w:val="single" w:color="auto" w:sz="4" w:space="0"/>
              <w:right w:val="single" w:color="auto" w:sz="4" w:space="0"/>
            </w:tcBorders>
            <w:noWrap w:val="0"/>
            <w:vAlign w:val="center"/>
          </w:tcPr>
          <w:p w14:paraId="4431DB0B">
            <w:pPr>
              <w:jc w:val="center"/>
              <w:rPr>
                <w:rFonts w:ascii="宋体" w:hAnsi="宋体" w:cs="宋体"/>
                <w:color w:val="auto"/>
                <w:highlight w:val="none"/>
              </w:rPr>
            </w:pPr>
            <w:r>
              <w:rPr>
                <w:rFonts w:hint="eastAsia" w:ascii="宋体" w:hAnsi="宋体" w:cs="宋体"/>
                <w:color w:val="auto"/>
                <w:sz w:val="24"/>
                <w:szCs w:val="36"/>
                <w:highlight w:val="none"/>
              </w:rPr>
              <w:t>√</w:t>
            </w:r>
          </w:p>
        </w:tc>
        <w:tc>
          <w:tcPr>
            <w:tcW w:w="732" w:type="pct"/>
            <w:tcBorders>
              <w:top w:val="single" w:color="auto" w:sz="4" w:space="0"/>
              <w:left w:val="nil"/>
              <w:bottom w:val="single" w:color="auto" w:sz="4" w:space="0"/>
              <w:right w:val="single" w:color="auto" w:sz="4" w:space="0"/>
            </w:tcBorders>
            <w:noWrap w:val="0"/>
            <w:vAlign w:val="center"/>
          </w:tcPr>
          <w:p w14:paraId="4FB5DE22">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53060B65">
            <w:pPr>
              <w:jc w:val="center"/>
              <w:rPr>
                <w:rFonts w:ascii="宋体" w:hAnsi="宋体" w:cs="宋体"/>
                <w:color w:val="auto"/>
                <w:highlight w:val="none"/>
              </w:rPr>
            </w:pPr>
          </w:p>
        </w:tc>
      </w:tr>
      <w:tr w14:paraId="453E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642717D6">
            <w:pPr>
              <w:rPr>
                <w:rFonts w:ascii="宋体" w:hAnsi="宋体" w:cs="宋体"/>
                <w:color w:val="auto"/>
                <w:highlight w:val="none"/>
              </w:rPr>
            </w:pPr>
            <w:r>
              <w:rPr>
                <w:rFonts w:hint="eastAsia" w:ascii="宋体" w:hAnsi="宋体" w:cs="宋体"/>
                <w:b/>
                <w:color w:val="auto"/>
                <w:highlight w:val="none"/>
              </w:rPr>
              <w:t>四、脚手架工程</w:t>
            </w:r>
          </w:p>
        </w:tc>
      </w:tr>
      <w:tr w14:paraId="2A12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11FEDEBF">
            <w:pPr>
              <w:rPr>
                <w:rFonts w:ascii="宋体" w:hAnsi="宋体" w:cs="宋体"/>
                <w:color w:val="auto"/>
                <w:highlight w:val="none"/>
              </w:rPr>
            </w:pPr>
            <w:r>
              <w:rPr>
                <w:rFonts w:hint="eastAsia" w:ascii="宋体" w:hAnsi="宋体" w:cs="宋体"/>
                <w:color w:val="auto"/>
                <w:highlight w:val="none"/>
              </w:rPr>
              <w:t>（一）搭设高度24m及以上的落地式钢管脚手架工程（包括采光井、电梯井脚手架）。</w:t>
            </w:r>
          </w:p>
        </w:tc>
        <w:tc>
          <w:tcPr>
            <w:tcW w:w="731" w:type="pct"/>
            <w:tcBorders>
              <w:top w:val="single" w:color="auto" w:sz="4" w:space="0"/>
              <w:left w:val="nil"/>
              <w:bottom w:val="single" w:color="auto" w:sz="4" w:space="0"/>
              <w:right w:val="single" w:color="auto" w:sz="4" w:space="0"/>
            </w:tcBorders>
            <w:noWrap w:val="0"/>
            <w:vAlign w:val="center"/>
          </w:tcPr>
          <w:p w14:paraId="4255ADAD">
            <w:pPr>
              <w:jc w:val="center"/>
              <w:rPr>
                <w:rFonts w:ascii="宋体" w:hAnsi="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6BA16FF7">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763504AC">
            <w:pPr>
              <w:jc w:val="center"/>
              <w:rPr>
                <w:rFonts w:ascii="宋体" w:hAnsi="宋体" w:cs="宋体"/>
                <w:color w:val="auto"/>
                <w:highlight w:val="none"/>
              </w:rPr>
            </w:pPr>
          </w:p>
        </w:tc>
      </w:tr>
      <w:tr w14:paraId="0382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6AF8D03D">
            <w:pPr>
              <w:rPr>
                <w:rFonts w:ascii="宋体" w:hAnsi="宋体" w:cs="宋体"/>
                <w:color w:val="auto"/>
                <w:highlight w:val="none"/>
              </w:rPr>
            </w:pPr>
            <w:r>
              <w:rPr>
                <w:rFonts w:hint="eastAsia" w:ascii="宋体" w:hAnsi="宋体" w:cs="宋体"/>
                <w:color w:val="auto"/>
                <w:highlight w:val="none"/>
              </w:rPr>
              <w:t>（二）附着式升降脚手架工程。</w:t>
            </w:r>
          </w:p>
        </w:tc>
        <w:tc>
          <w:tcPr>
            <w:tcW w:w="731" w:type="pct"/>
            <w:tcBorders>
              <w:top w:val="single" w:color="auto" w:sz="4" w:space="0"/>
              <w:left w:val="nil"/>
              <w:bottom w:val="single" w:color="auto" w:sz="4" w:space="0"/>
              <w:right w:val="single" w:color="auto" w:sz="4" w:space="0"/>
            </w:tcBorders>
            <w:noWrap w:val="0"/>
            <w:vAlign w:val="center"/>
          </w:tcPr>
          <w:p w14:paraId="0D516DD0">
            <w:pPr>
              <w:jc w:val="center"/>
              <w:rPr>
                <w:rFonts w:ascii="宋体" w:hAnsi="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14DACE27">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1AF6E336">
            <w:pPr>
              <w:jc w:val="center"/>
              <w:rPr>
                <w:rFonts w:ascii="宋体" w:hAnsi="宋体" w:cs="宋体"/>
                <w:color w:val="auto"/>
                <w:highlight w:val="none"/>
              </w:rPr>
            </w:pPr>
          </w:p>
        </w:tc>
      </w:tr>
      <w:tr w14:paraId="620D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5EBE9B46">
            <w:pPr>
              <w:rPr>
                <w:rFonts w:ascii="宋体" w:hAnsi="宋体" w:cs="宋体"/>
                <w:color w:val="auto"/>
                <w:highlight w:val="none"/>
              </w:rPr>
            </w:pPr>
            <w:r>
              <w:rPr>
                <w:rFonts w:hint="eastAsia" w:ascii="宋体" w:hAnsi="宋体" w:cs="宋体"/>
                <w:color w:val="auto"/>
                <w:highlight w:val="none"/>
              </w:rPr>
              <w:t>（三）悬挑式脚手架工程。</w:t>
            </w:r>
          </w:p>
        </w:tc>
        <w:tc>
          <w:tcPr>
            <w:tcW w:w="731" w:type="pct"/>
            <w:tcBorders>
              <w:top w:val="single" w:color="auto" w:sz="4" w:space="0"/>
              <w:left w:val="nil"/>
              <w:bottom w:val="single" w:color="auto" w:sz="4" w:space="0"/>
              <w:right w:val="single" w:color="auto" w:sz="4" w:space="0"/>
            </w:tcBorders>
            <w:noWrap w:val="0"/>
            <w:vAlign w:val="center"/>
          </w:tcPr>
          <w:p w14:paraId="503C2B35">
            <w:pPr>
              <w:jc w:val="center"/>
              <w:rPr>
                <w:rFonts w:ascii="宋体" w:hAnsi="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20F8B74D">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18CE3A9B">
            <w:pPr>
              <w:jc w:val="center"/>
              <w:rPr>
                <w:rFonts w:ascii="宋体" w:hAnsi="宋体" w:cs="宋体"/>
                <w:color w:val="auto"/>
                <w:highlight w:val="none"/>
              </w:rPr>
            </w:pPr>
          </w:p>
        </w:tc>
      </w:tr>
      <w:tr w14:paraId="6E61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5A0A4C31">
            <w:pPr>
              <w:rPr>
                <w:rFonts w:ascii="宋体" w:hAnsi="宋体" w:cs="宋体"/>
                <w:color w:val="auto"/>
                <w:highlight w:val="none"/>
              </w:rPr>
            </w:pPr>
            <w:r>
              <w:rPr>
                <w:rFonts w:hint="eastAsia" w:ascii="宋体" w:hAnsi="宋体" w:cs="宋体"/>
                <w:color w:val="auto"/>
                <w:highlight w:val="none"/>
              </w:rPr>
              <w:t>（四）高处作业吊篮。</w:t>
            </w:r>
          </w:p>
        </w:tc>
        <w:tc>
          <w:tcPr>
            <w:tcW w:w="731" w:type="pct"/>
            <w:tcBorders>
              <w:top w:val="single" w:color="auto" w:sz="4" w:space="0"/>
              <w:left w:val="nil"/>
              <w:bottom w:val="single" w:color="auto" w:sz="4" w:space="0"/>
              <w:right w:val="single" w:color="auto" w:sz="4" w:space="0"/>
            </w:tcBorders>
            <w:noWrap w:val="0"/>
            <w:vAlign w:val="center"/>
          </w:tcPr>
          <w:p w14:paraId="5160E2FE">
            <w:pPr>
              <w:jc w:val="center"/>
              <w:rPr>
                <w:rFonts w:ascii="宋体" w:hAnsi="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25C8B5BC">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49C26520">
            <w:pPr>
              <w:jc w:val="center"/>
              <w:rPr>
                <w:rFonts w:ascii="宋体" w:hAnsi="宋体" w:cs="宋体"/>
                <w:color w:val="auto"/>
                <w:highlight w:val="none"/>
              </w:rPr>
            </w:pPr>
          </w:p>
        </w:tc>
      </w:tr>
      <w:tr w14:paraId="7C8D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143B5925">
            <w:pPr>
              <w:rPr>
                <w:rFonts w:ascii="宋体" w:hAnsi="宋体" w:cs="宋体"/>
                <w:color w:val="auto"/>
                <w:highlight w:val="none"/>
              </w:rPr>
            </w:pPr>
            <w:r>
              <w:rPr>
                <w:rFonts w:hint="eastAsia" w:ascii="宋体" w:hAnsi="宋体" w:cs="宋体"/>
                <w:color w:val="auto"/>
                <w:highlight w:val="none"/>
              </w:rPr>
              <w:t>（五）卸料平台、操作平台工程。</w:t>
            </w:r>
          </w:p>
        </w:tc>
        <w:tc>
          <w:tcPr>
            <w:tcW w:w="731" w:type="pct"/>
            <w:tcBorders>
              <w:top w:val="single" w:color="auto" w:sz="4" w:space="0"/>
              <w:left w:val="nil"/>
              <w:bottom w:val="single" w:color="auto" w:sz="4" w:space="0"/>
              <w:right w:val="single" w:color="auto" w:sz="4" w:space="0"/>
            </w:tcBorders>
            <w:noWrap w:val="0"/>
            <w:vAlign w:val="center"/>
          </w:tcPr>
          <w:p w14:paraId="5E36C26B">
            <w:pPr>
              <w:jc w:val="center"/>
              <w:rPr>
                <w:rFonts w:ascii="宋体" w:hAnsi="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3070DDD6">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2A01752B">
            <w:pPr>
              <w:jc w:val="center"/>
              <w:rPr>
                <w:rFonts w:ascii="宋体" w:hAnsi="宋体" w:cs="宋体"/>
                <w:color w:val="auto"/>
                <w:highlight w:val="none"/>
              </w:rPr>
            </w:pPr>
          </w:p>
        </w:tc>
      </w:tr>
      <w:tr w14:paraId="789A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6485BF37">
            <w:pPr>
              <w:rPr>
                <w:rFonts w:ascii="宋体" w:hAnsi="宋体" w:cs="宋体"/>
                <w:color w:val="auto"/>
                <w:highlight w:val="none"/>
              </w:rPr>
            </w:pPr>
            <w:r>
              <w:rPr>
                <w:rFonts w:hint="eastAsia" w:ascii="宋体" w:hAnsi="宋体" w:cs="宋体"/>
                <w:color w:val="auto"/>
                <w:highlight w:val="none"/>
              </w:rPr>
              <w:t>（六）异型脚手架工程。</w:t>
            </w:r>
          </w:p>
        </w:tc>
        <w:tc>
          <w:tcPr>
            <w:tcW w:w="731" w:type="pct"/>
            <w:tcBorders>
              <w:top w:val="single" w:color="auto" w:sz="4" w:space="0"/>
              <w:left w:val="nil"/>
              <w:bottom w:val="single" w:color="auto" w:sz="4" w:space="0"/>
              <w:right w:val="single" w:color="auto" w:sz="4" w:space="0"/>
            </w:tcBorders>
            <w:noWrap w:val="0"/>
            <w:vAlign w:val="center"/>
          </w:tcPr>
          <w:p w14:paraId="53CD75E4">
            <w:pPr>
              <w:jc w:val="center"/>
              <w:rPr>
                <w:rFonts w:ascii="宋体" w:hAnsi="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3C449B71">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1E0F5673">
            <w:pPr>
              <w:jc w:val="center"/>
              <w:rPr>
                <w:rFonts w:ascii="宋体" w:hAnsi="宋体" w:cs="宋体"/>
                <w:color w:val="auto"/>
                <w:highlight w:val="none"/>
              </w:rPr>
            </w:pPr>
          </w:p>
        </w:tc>
      </w:tr>
      <w:tr w14:paraId="79EB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545AF71F">
            <w:pPr>
              <w:rPr>
                <w:rFonts w:ascii="宋体" w:hAnsi="宋体" w:cs="宋体"/>
                <w:color w:val="auto"/>
                <w:highlight w:val="none"/>
              </w:rPr>
            </w:pPr>
            <w:r>
              <w:rPr>
                <w:rFonts w:hint="eastAsia" w:ascii="宋体" w:hAnsi="宋体" w:cs="宋体"/>
                <w:b/>
                <w:color w:val="auto"/>
                <w:highlight w:val="none"/>
              </w:rPr>
              <w:t>五、拆除工程</w:t>
            </w:r>
          </w:p>
        </w:tc>
      </w:tr>
      <w:tr w14:paraId="0256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25E00B98">
            <w:pPr>
              <w:rPr>
                <w:rFonts w:ascii="宋体" w:hAnsi="宋体" w:cs="宋体"/>
                <w:color w:val="auto"/>
                <w:highlight w:val="none"/>
              </w:rPr>
            </w:pPr>
            <w:r>
              <w:rPr>
                <w:rFonts w:hint="eastAsia" w:ascii="宋体" w:hAnsi="宋体" w:cs="宋体"/>
                <w:color w:val="auto"/>
                <w:highlight w:val="none"/>
              </w:rPr>
              <w:t>可能影响行人、交通、电力设施、通讯设施或其它建、构筑物安全的拆除工程。</w:t>
            </w:r>
          </w:p>
        </w:tc>
        <w:tc>
          <w:tcPr>
            <w:tcW w:w="731" w:type="pct"/>
            <w:tcBorders>
              <w:top w:val="single" w:color="auto" w:sz="4" w:space="0"/>
              <w:left w:val="nil"/>
              <w:bottom w:val="single" w:color="auto" w:sz="4" w:space="0"/>
              <w:right w:val="single" w:color="auto" w:sz="4" w:space="0"/>
            </w:tcBorders>
            <w:noWrap w:val="0"/>
            <w:vAlign w:val="center"/>
          </w:tcPr>
          <w:p w14:paraId="54B66B61">
            <w:pPr>
              <w:jc w:val="center"/>
              <w:rPr>
                <w:rFonts w:ascii="宋体" w:hAnsi="宋体" w:cs="宋体"/>
                <w:color w:val="auto"/>
                <w:highlight w:val="none"/>
              </w:rPr>
            </w:pPr>
            <w:r>
              <w:rPr>
                <w:rFonts w:hint="eastAsia" w:ascii="宋体" w:hAnsi="宋体" w:cs="宋体"/>
                <w:color w:val="auto"/>
                <w:sz w:val="24"/>
                <w:szCs w:val="36"/>
                <w:highlight w:val="none"/>
              </w:rPr>
              <w:t>√</w:t>
            </w:r>
          </w:p>
        </w:tc>
        <w:tc>
          <w:tcPr>
            <w:tcW w:w="732" w:type="pct"/>
            <w:tcBorders>
              <w:top w:val="single" w:color="auto" w:sz="4" w:space="0"/>
              <w:left w:val="nil"/>
              <w:bottom w:val="single" w:color="auto" w:sz="4" w:space="0"/>
              <w:right w:val="single" w:color="auto" w:sz="4" w:space="0"/>
            </w:tcBorders>
            <w:noWrap w:val="0"/>
            <w:vAlign w:val="center"/>
          </w:tcPr>
          <w:p w14:paraId="7FB99FD5">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4A1730D7">
            <w:pPr>
              <w:jc w:val="center"/>
              <w:rPr>
                <w:rFonts w:ascii="宋体" w:hAnsi="宋体" w:cs="宋体"/>
                <w:color w:val="auto"/>
                <w:highlight w:val="none"/>
              </w:rPr>
            </w:pPr>
          </w:p>
        </w:tc>
      </w:tr>
      <w:tr w14:paraId="18FB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51F8D6E0">
            <w:pPr>
              <w:rPr>
                <w:rFonts w:ascii="宋体" w:hAnsi="宋体" w:cs="宋体"/>
                <w:color w:val="auto"/>
                <w:highlight w:val="none"/>
              </w:rPr>
            </w:pPr>
            <w:r>
              <w:rPr>
                <w:rFonts w:hint="eastAsia" w:ascii="宋体" w:hAnsi="宋体" w:cs="宋体"/>
                <w:b/>
                <w:color w:val="auto"/>
                <w:highlight w:val="none"/>
              </w:rPr>
              <w:t>六、暗挖工程</w:t>
            </w:r>
          </w:p>
        </w:tc>
      </w:tr>
      <w:tr w14:paraId="7764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61" w:type="pct"/>
            <w:tcBorders>
              <w:top w:val="single" w:color="auto" w:sz="4" w:space="0"/>
              <w:left w:val="single" w:color="auto" w:sz="4" w:space="0"/>
              <w:bottom w:val="single" w:color="auto" w:sz="4" w:space="0"/>
              <w:right w:val="single" w:color="auto" w:sz="4" w:space="0"/>
            </w:tcBorders>
            <w:noWrap w:val="0"/>
            <w:vAlign w:val="center"/>
          </w:tcPr>
          <w:p w14:paraId="43775349">
            <w:pPr>
              <w:rPr>
                <w:rFonts w:ascii="宋体" w:hAnsi="宋体" w:cs="宋体"/>
                <w:color w:val="auto"/>
                <w:highlight w:val="none"/>
              </w:rPr>
            </w:pPr>
            <w:r>
              <w:rPr>
                <w:rFonts w:hint="eastAsia" w:ascii="宋体" w:hAnsi="宋体" w:cs="宋体"/>
                <w:color w:val="auto"/>
                <w:highlight w:val="none"/>
              </w:rPr>
              <w:t>采用矿山法、盾构法、顶管法施工的隧道、洞室工程。</w:t>
            </w:r>
          </w:p>
        </w:tc>
        <w:tc>
          <w:tcPr>
            <w:tcW w:w="731" w:type="pct"/>
            <w:tcBorders>
              <w:top w:val="single" w:color="auto" w:sz="4" w:space="0"/>
              <w:left w:val="nil"/>
              <w:bottom w:val="single" w:color="auto" w:sz="4" w:space="0"/>
              <w:right w:val="single" w:color="auto" w:sz="4" w:space="0"/>
            </w:tcBorders>
            <w:noWrap w:val="0"/>
            <w:vAlign w:val="center"/>
          </w:tcPr>
          <w:p w14:paraId="10F6F85E">
            <w:pPr>
              <w:jc w:val="center"/>
              <w:rPr>
                <w:rFonts w:ascii="宋体" w:hAnsi="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7B41680D">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483B81FB">
            <w:pPr>
              <w:jc w:val="center"/>
              <w:rPr>
                <w:rFonts w:ascii="宋体" w:hAnsi="宋体" w:cs="宋体"/>
                <w:color w:val="auto"/>
                <w:highlight w:val="none"/>
              </w:rPr>
            </w:pPr>
          </w:p>
        </w:tc>
      </w:tr>
      <w:tr w14:paraId="307E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7E8C533B">
            <w:pPr>
              <w:rPr>
                <w:rFonts w:ascii="宋体" w:hAnsi="宋体" w:cs="宋体"/>
                <w:color w:val="auto"/>
                <w:highlight w:val="none"/>
              </w:rPr>
            </w:pPr>
            <w:r>
              <w:rPr>
                <w:rFonts w:hint="eastAsia" w:ascii="宋体" w:hAnsi="宋体" w:cs="宋体"/>
                <w:b/>
                <w:color w:val="auto"/>
                <w:highlight w:val="none"/>
              </w:rPr>
              <w:t>七、其它</w:t>
            </w:r>
          </w:p>
        </w:tc>
      </w:tr>
      <w:tr w14:paraId="3C45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7FB0B98D">
            <w:pPr>
              <w:rPr>
                <w:rFonts w:ascii="宋体" w:hAnsi="宋体" w:cs="宋体"/>
                <w:color w:val="auto"/>
                <w:highlight w:val="none"/>
              </w:rPr>
            </w:pPr>
            <w:r>
              <w:rPr>
                <w:rFonts w:hint="eastAsia" w:ascii="宋体" w:hAnsi="宋体" w:cs="宋体"/>
                <w:color w:val="auto"/>
                <w:highlight w:val="none"/>
              </w:rPr>
              <w:t>（一）建筑幕墙安装工程。</w:t>
            </w:r>
          </w:p>
        </w:tc>
        <w:tc>
          <w:tcPr>
            <w:tcW w:w="731" w:type="pct"/>
            <w:tcBorders>
              <w:top w:val="single" w:color="auto" w:sz="4" w:space="0"/>
              <w:left w:val="nil"/>
              <w:bottom w:val="single" w:color="auto" w:sz="4" w:space="0"/>
              <w:right w:val="single" w:color="auto" w:sz="4" w:space="0"/>
            </w:tcBorders>
            <w:noWrap w:val="0"/>
            <w:vAlign w:val="center"/>
          </w:tcPr>
          <w:p w14:paraId="2B3C8232">
            <w:pPr>
              <w:jc w:val="center"/>
              <w:rPr>
                <w:rFonts w:ascii="宋体" w:hAnsi="宋体" w:cs="宋体"/>
                <w:color w:val="auto"/>
                <w:highlight w:val="none"/>
              </w:rPr>
            </w:pPr>
            <w:r>
              <w:rPr>
                <w:rFonts w:hint="eastAsia" w:ascii="宋体" w:hAnsi="宋体" w:cs="宋体"/>
                <w:color w:val="auto"/>
                <w:sz w:val="24"/>
                <w:szCs w:val="36"/>
                <w:highlight w:val="none"/>
              </w:rPr>
              <w:t>√</w:t>
            </w:r>
          </w:p>
        </w:tc>
        <w:tc>
          <w:tcPr>
            <w:tcW w:w="732" w:type="pct"/>
            <w:tcBorders>
              <w:top w:val="single" w:color="auto" w:sz="4" w:space="0"/>
              <w:left w:val="nil"/>
              <w:bottom w:val="single" w:color="auto" w:sz="4" w:space="0"/>
              <w:right w:val="single" w:color="auto" w:sz="4" w:space="0"/>
            </w:tcBorders>
            <w:noWrap w:val="0"/>
            <w:vAlign w:val="center"/>
          </w:tcPr>
          <w:p w14:paraId="285F7F5B">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586343A6">
            <w:pPr>
              <w:jc w:val="center"/>
              <w:rPr>
                <w:rFonts w:ascii="宋体" w:hAnsi="宋体" w:cs="宋体"/>
                <w:color w:val="auto"/>
                <w:sz w:val="18"/>
                <w:szCs w:val="18"/>
                <w:highlight w:val="none"/>
              </w:rPr>
            </w:pPr>
            <w:r>
              <w:rPr>
                <w:rFonts w:hint="eastAsia" w:ascii="宋体" w:hAnsi="宋体" w:cs="宋体"/>
                <w:color w:val="auto"/>
                <w:sz w:val="18"/>
                <w:szCs w:val="18"/>
                <w:highlight w:val="none"/>
              </w:rPr>
              <w:t>驿站、钢梁装饰</w:t>
            </w:r>
          </w:p>
        </w:tc>
      </w:tr>
      <w:tr w14:paraId="70C9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611C6035">
            <w:pPr>
              <w:rPr>
                <w:rFonts w:ascii="宋体" w:hAnsi="宋体" w:cs="宋体"/>
                <w:color w:val="auto"/>
                <w:highlight w:val="none"/>
              </w:rPr>
            </w:pPr>
            <w:r>
              <w:rPr>
                <w:rFonts w:hint="eastAsia" w:ascii="宋体" w:hAnsi="宋体" w:cs="宋体"/>
                <w:color w:val="auto"/>
                <w:highlight w:val="none"/>
              </w:rPr>
              <w:t>（二）钢结构、网架和索膜结构安装工程。</w:t>
            </w:r>
          </w:p>
        </w:tc>
        <w:tc>
          <w:tcPr>
            <w:tcW w:w="731" w:type="pct"/>
            <w:tcBorders>
              <w:top w:val="single" w:color="auto" w:sz="4" w:space="0"/>
              <w:left w:val="nil"/>
              <w:bottom w:val="single" w:color="auto" w:sz="4" w:space="0"/>
              <w:right w:val="single" w:color="auto" w:sz="4" w:space="0"/>
            </w:tcBorders>
            <w:noWrap w:val="0"/>
            <w:vAlign w:val="center"/>
          </w:tcPr>
          <w:p w14:paraId="7A438C48">
            <w:pPr>
              <w:jc w:val="center"/>
              <w:rPr>
                <w:rFonts w:ascii="宋体" w:hAnsi="宋体" w:cs="宋体"/>
                <w:b/>
                <w:color w:val="auto"/>
                <w:highlight w:val="none"/>
              </w:rPr>
            </w:pPr>
            <w:r>
              <w:rPr>
                <w:rFonts w:hint="eastAsia" w:ascii="宋体" w:hAnsi="宋体" w:cs="宋体"/>
                <w:color w:val="auto"/>
                <w:sz w:val="24"/>
                <w:szCs w:val="36"/>
                <w:highlight w:val="none"/>
              </w:rPr>
              <w:t>√</w:t>
            </w:r>
          </w:p>
        </w:tc>
        <w:tc>
          <w:tcPr>
            <w:tcW w:w="732" w:type="pct"/>
            <w:tcBorders>
              <w:top w:val="single" w:color="auto" w:sz="4" w:space="0"/>
              <w:left w:val="nil"/>
              <w:bottom w:val="single" w:color="auto" w:sz="4" w:space="0"/>
              <w:right w:val="single" w:color="auto" w:sz="4" w:space="0"/>
            </w:tcBorders>
            <w:noWrap w:val="0"/>
            <w:vAlign w:val="center"/>
          </w:tcPr>
          <w:p w14:paraId="1A646DCD">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0C3636FA">
            <w:pPr>
              <w:jc w:val="center"/>
              <w:rPr>
                <w:rFonts w:ascii="宋体" w:hAnsi="宋体" w:cs="宋体"/>
                <w:color w:val="auto"/>
                <w:highlight w:val="none"/>
              </w:rPr>
            </w:pPr>
            <w:r>
              <w:rPr>
                <w:rFonts w:hint="eastAsia" w:ascii="宋体" w:hAnsi="宋体" w:cs="宋体"/>
                <w:color w:val="auto"/>
                <w:sz w:val="18"/>
                <w:szCs w:val="18"/>
                <w:highlight w:val="none"/>
              </w:rPr>
              <w:t>雨棚</w:t>
            </w:r>
          </w:p>
        </w:tc>
      </w:tr>
      <w:tr w14:paraId="2C8D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4B256524">
            <w:pPr>
              <w:rPr>
                <w:rFonts w:ascii="宋体" w:hAnsi="宋体" w:cs="宋体"/>
                <w:color w:val="auto"/>
                <w:highlight w:val="none"/>
              </w:rPr>
            </w:pPr>
            <w:r>
              <w:rPr>
                <w:rFonts w:hint="eastAsia" w:ascii="宋体" w:hAnsi="宋体" w:cs="宋体"/>
                <w:color w:val="auto"/>
                <w:highlight w:val="none"/>
              </w:rPr>
              <w:t>（三）人工挖孔桩工程。</w:t>
            </w:r>
          </w:p>
        </w:tc>
        <w:tc>
          <w:tcPr>
            <w:tcW w:w="731" w:type="pct"/>
            <w:tcBorders>
              <w:top w:val="single" w:color="auto" w:sz="4" w:space="0"/>
              <w:left w:val="nil"/>
              <w:bottom w:val="single" w:color="auto" w:sz="4" w:space="0"/>
              <w:right w:val="single" w:color="auto" w:sz="4" w:space="0"/>
            </w:tcBorders>
            <w:noWrap w:val="0"/>
            <w:vAlign w:val="center"/>
          </w:tcPr>
          <w:p w14:paraId="4C4713B8">
            <w:pPr>
              <w:jc w:val="center"/>
              <w:rPr>
                <w:rFonts w:ascii="宋体" w:hAnsi="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0968CEBA">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3B86729E">
            <w:pPr>
              <w:jc w:val="center"/>
              <w:rPr>
                <w:rFonts w:ascii="宋体" w:hAnsi="宋体" w:cs="宋体"/>
                <w:color w:val="auto"/>
                <w:highlight w:val="none"/>
              </w:rPr>
            </w:pPr>
          </w:p>
        </w:tc>
      </w:tr>
      <w:tr w14:paraId="457A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6100875B">
            <w:pPr>
              <w:rPr>
                <w:rFonts w:ascii="宋体" w:hAnsi="宋体" w:cs="宋体"/>
                <w:color w:val="auto"/>
                <w:highlight w:val="none"/>
              </w:rPr>
            </w:pPr>
            <w:r>
              <w:rPr>
                <w:rFonts w:hint="eastAsia" w:ascii="宋体" w:hAnsi="宋体" w:cs="宋体"/>
                <w:color w:val="auto"/>
                <w:highlight w:val="none"/>
              </w:rPr>
              <w:t>（四）水下作业工程。</w:t>
            </w:r>
          </w:p>
        </w:tc>
        <w:tc>
          <w:tcPr>
            <w:tcW w:w="731" w:type="pct"/>
            <w:tcBorders>
              <w:top w:val="single" w:color="auto" w:sz="4" w:space="0"/>
              <w:left w:val="nil"/>
              <w:bottom w:val="single" w:color="auto" w:sz="4" w:space="0"/>
              <w:right w:val="single" w:color="auto" w:sz="4" w:space="0"/>
            </w:tcBorders>
            <w:noWrap w:val="0"/>
            <w:vAlign w:val="center"/>
          </w:tcPr>
          <w:p w14:paraId="4519D527">
            <w:pPr>
              <w:jc w:val="center"/>
              <w:rPr>
                <w:rFonts w:ascii="宋体" w:hAnsi="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653F60F9">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43605BCB">
            <w:pPr>
              <w:jc w:val="center"/>
              <w:rPr>
                <w:rFonts w:ascii="宋体" w:hAnsi="宋体" w:cs="宋体"/>
                <w:color w:val="auto"/>
                <w:highlight w:val="none"/>
              </w:rPr>
            </w:pPr>
          </w:p>
        </w:tc>
      </w:tr>
      <w:tr w14:paraId="28A1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54013F32">
            <w:pPr>
              <w:rPr>
                <w:rFonts w:ascii="宋体" w:hAnsi="宋体" w:cs="宋体"/>
                <w:color w:val="auto"/>
                <w:highlight w:val="none"/>
              </w:rPr>
            </w:pPr>
            <w:r>
              <w:rPr>
                <w:rFonts w:hint="eastAsia" w:ascii="宋体" w:hAnsi="宋体" w:cs="宋体"/>
                <w:color w:val="auto"/>
                <w:highlight w:val="none"/>
              </w:rPr>
              <w:t>（五）装配式建筑混凝土预制构件安装工程。</w:t>
            </w:r>
          </w:p>
        </w:tc>
        <w:tc>
          <w:tcPr>
            <w:tcW w:w="731" w:type="pct"/>
            <w:tcBorders>
              <w:top w:val="single" w:color="auto" w:sz="4" w:space="0"/>
              <w:left w:val="nil"/>
              <w:bottom w:val="single" w:color="auto" w:sz="4" w:space="0"/>
              <w:right w:val="single" w:color="auto" w:sz="4" w:space="0"/>
            </w:tcBorders>
            <w:noWrap w:val="0"/>
            <w:vAlign w:val="center"/>
          </w:tcPr>
          <w:p w14:paraId="2B0EC3C6">
            <w:pPr>
              <w:jc w:val="center"/>
              <w:rPr>
                <w:rFonts w:ascii="宋体" w:hAnsi="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2742E69D">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28EF0C82">
            <w:pPr>
              <w:jc w:val="center"/>
              <w:rPr>
                <w:rFonts w:ascii="宋体" w:hAnsi="宋体" w:cs="宋体"/>
                <w:color w:val="auto"/>
                <w:highlight w:val="none"/>
              </w:rPr>
            </w:pPr>
          </w:p>
        </w:tc>
      </w:tr>
      <w:tr w14:paraId="3EC3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5DC6822A">
            <w:pPr>
              <w:rPr>
                <w:rFonts w:ascii="宋体" w:hAnsi="宋体" w:cs="宋体"/>
                <w:color w:val="auto"/>
                <w:highlight w:val="none"/>
              </w:rPr>
            </w:pPr>
            <w:r>
              <w:rPr>
                <w:rFonts w:hint="eastAsia" w:ascii="宋体" w:hAnsi="宋体" w:cs="宋体"/>
                <w:color w:val="auto"/>
                <w:highlight w:val="none"/>
              </w:rPr>
              <w:t>（六）采用新技术、新工艺、新材料、新设备可能影响工程施工安全，尚无国家、行业及地方技术标准的分部分项工程。</w:t>
            </w:r>
          </w:p>
        </w:tc>
        <w:tc>
          <w:tcPr>
            <w:tcW w:w="731" w:type="pct"/>
            <w:tcBorders>
              <w:top w:val="single" w:color="auto" w:sz="4" w:space="0"/>
              <w:left w:val="nil"/>
              <w:bottom w:val="single" w:color="auto" w:sz="4" w:space="0"/>
              <w:right w:val="single" w:color="auto" w:sz="4" w:space="0"/>
            </w:tcBorders>
            <w:noWrap w:val="0"/>
            <w:vAlign w:val="center"/>
          </w:tcPr>
          <w:p w14:paraId="58306150">
            <w:pPr>
              <w:jc w:val="center"/>
              <w:rPr>
                <w:rFonts w:ascii="宋体" w:hAnsi="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7BE5167B">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0A2CEC01">
            <w:pPr>
              <w:jc w:val="center"/>
              <w:rPr>
                <w:rFonts w:ascii="宋体" w:hAnsi="宋体" w:cs="宋体"/>
                <w:color w:val="auto"/>
                <w:highlight w:val="none"/>
              </w:rPr>
            </w:pPr>
          </w:p>
        </w:tc>
      </w:tr>
      <w:tr w14:paraId="3FB9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961" w:type="pct"/>
            <w:tcBorders>
              <w:top w:val="single" w:color="auto" w:sz="4" w:space="0"/>
              <w:left w:val="single" w:color="auto" w:sz="4" w:space="0"/>
              <w:bottom w:val="single" w:color="auto" w:sz="4" w:space="0"/>
              <w:right w:val="single" w:color="auto" w:sz="4" w:space="0"/>
            </w:tcBorders>
            <w:shd w:val="clear" w:color="auto" w:fill="D8D8D8"/>
            <w:noWrap w:val="0"/>
            <w:vAlign w:val="center"/>
          </w:tcPr>
          <w:p w14:paraId="300987D4">
            <w:pPr>
              <w:jc w:val="center"/>
              <w:rPr>
                <w:rFonts w:ascii="宋体" w:hAnsi="宋体" w:cs="宋体"/>
                <w:b/>
                <w:color w:val="auto"/>
                <w:highlight w:val="none"/>
              </w:rPr>
            </w:pPr>
            <w:r>
              <w:rPr>
                <w:rFonts w:hint="eastAsia" w:ascii="宋体" w:hAnsi="宋体" w:cs="宋体"/>
                <w:b/>
                <w:color w:val="auto"/>
                <w:highlight w:val="none"/>
              </w:rPr>
              <w:t>超过一定规模的危险性较大的分部分项工程清单</w:t>
            </w:r>
          </w:p>
        </w:tc>
        <w:tc>
          <w:tcPr>
            <w:tcW w:w="731" w:type="pct"/>
            <w:tcBorders>
              <w:top w:val="single" w:color="auto" w:sz="4" w:space="0"/>
              <w:left w:val="nil"/>
              <w:bottom w:val="single" w:color="auto" w:sz="4" w:space="0"/>
              <w:right w:val="single" w:color="auto" w:sz="4" w:space="0"/>
            </w:tcBorders>
            <w:shd w:val="clear" w:color="auto" w:fill="D8D8D8"/>
            <w:noWrap w:val="0"/>
            <w:vAlign w:val="center"/>
          </w:tcPr>
          <w:p w14:paraId="7D555C15">
            <w:pPr>
              <w:jc w:val="center"/>
              <w:rPr>
                <w:rFonts w:ascii="宋体" w:hAnsi="宋体" w:cs="宋体"/>
                <w:b/>
                <w:color w:val="auto"/>
                <w:highlight w:val="none"/>
              </w:rPr>
            </w:pPr>
            <w:r>
              <w:rPr>
                <w:rFonts w:hint="eastAsia" w:ascii="宋体" w:hAnsi="宋体" w:cs="宋体"/>
                <w:b/>
                <w:color w:val="auto"/>
                <w:highlight w:val="none"/>
              </w:rPr>
              <w:t>招标人</w:t>
            </w:r>
          </w:p>
        </w:tc>
        <w:tc>
          <w:tcPr>
            <w:tcW w:w="732" w:type="pct"/>
            <w:tcBorders>
              <w:top w:val="single" w:color="auto" w:sz="4" w:space="0"/>
              <w:left w:val="nil"/>
              <w:bottom w:val="single" w:color="auto" w:sz="4" w:space="0"/>
              <w:right w:val="single" w:color="auto" w:sz="4" w:space="0"/>
            </w:tcBorders>
            <w:shd w:val="clear" w:color="auto" w:fill="D8D8D8"/>
            <w:noWrap w:val="0"/>
            <w:vAlign w:val="center"/>
          </w:tcPr>
          <w:p w14:paraId="0CB136BB">
            <w:pPr>
              <w:jc w:val="center"/>
              <w:rPr>
                <w:rFonts w:ascii="宋体" w:hAnsi="宋体" w:cs="宋体"/>
                <w:b/>
                <w:color w:val="auto"/>
                <w:highlight w:val="none"/>
              </w:rPr>
            </w:pPr>
            <w:r>
              <w:rPr>
                <w:rFonts w:hint="eastAsia" w:ascii="宋体" w:hAnsi="宋体" w:cs="宋体"/>
                <w:b/>
                <w:color w:val="auto"/>
                <w:highlight w:val="none"/>
              </w:rPr>
              <w:t>投标单位</w:t>
            </w:r>
          </w:p>
        </w:tc>
        <w:tc>
          <w:tcPr>
            <w:tcW w:w="577" w:type="pct"/>
            <w:tcBorders>
              <w:top w:val="single" w:color="auto" w:sz="4" w:space="0"/>
              <w:left w:val="nil"/>
              <w:bottom w:val="single" w:color="auto" w:sz="4" w:space="0"/>
              <w:right w:val="single" w:color="auto" w:sz="4" w:space="0"/>
            </w:tcBorders>
            <w:shd w:val="clear" w:color="auto" w:fill="D8D8D8"/>
            <w:noWrap w:val="0"/>
            <w:vAlign w:val="center"/>
          </w:tcPr>
          <w:p w14:paraId="0EC2CE48">
            <w:pPr>
              <w:jc w:val="center"/>
              <w:rPr>
                <w:rFonts w:ascii="宋体" w:hAnsi="宋体" w:cs="宋体"/>
                <w:b/>
                <w:color w:val="auto"/>
                <w:highlight w:val="none"/>
              </w:rPr>
            </w:pPr>
            <w:r>
              <w:rPr>
                <w:rFonts w:hint="eastAsia" w:ascii="宋体" w:hAnsi="宋体" w:cs="宋体"/>
                <w:b/>
                <w:color w:val="auto"/>
                <w:highlight w:val="none"/>
              </w:rPr>
              <w:t>备注</w:t>
            </w:r>
          </w:p>
        </w:tc>
      </w:tr>
      <w:tr w14:paraId="7092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53273737">
            <w:pPr>
              <w:rPr>
                <w:rFonts w:ascii="宋体" w:hAnsi="宋体" w:cs="宋体"/>
                <w:b/>
                <w:color w:val="auto"/>
                <w:highlight w:val="none"/>
              </w:rPr>
            </w:pPr>
            <w:r>
              <w:rPr>
                <w:rFonts w:hint="eastAsia" w:ascii="宋体" w:hAnsi="宋体" w:cs="宋体"/>
                <w:b/>
                <w:color w:val="auto"/>
                <w:highlight w:val="none"/>
              </w:rPr>
              <w:t>一、深基坑工程</w:t>
            </w:r>
          </w:p>
        </w:tc>
      </w:tr>
      <w:tr w14:paraId="236E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63A4DE59">
            <w:pPr>
              <w:rPr>
                <w:rFonts w:ascii="宋体" w:hAnsi="宋体" w:cs="宋体"/>
                <w:color w:val="auto"/>
                <w:highlight w:val="none"/>
              </w:rPr>
            </w:pPr>
            <w:r>
              <w:rPr>
                <w:rFonts w:hint="eastAsia" w:ascii="宋体" w:hAnsi="宋体" w:cs="宋体"/>
                <w:color w:val="auto"/>
                <w:highlight w:val="none"/>
              </w:rPr>
              <w:t>开挖深度超过5m（含5m）的基坑（槽）的土方开挖、支护、降水工程。</w:t>
            </w:r>
          </w:p>
        </w:tc>
        <w:tc>
          <w:tcPr>
            <w:tcW w:w="731" w:type="pct"/>
            <w:tcBorders>
              <w:top w:val="single" w:color="auto" w:sz="4" w:space="0"/>
              <w:left w:val="nil"/>
              <w:bottom w:val="single" w:color="auto" w:sz="4" w:space="0"/>
              <w:right w:val="single" w:color="auto" w:sz="4" w:space="0"/>
            </w:tcBorders>
            <w:noWrap w:val="0"/>
            <w:vAlign w:val="center"/>
          </w:tcPr>
          <w:p w14:paraId="36BD8325">
            <w:pPr>
              <w:jc w:val="center"/>
              <w:rPr>
                <w:rFonts w:ascii="宋体" w:hAnsi="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6C102F67">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037C2112">
            <w:pPr>
              <w:jc w:val="center"/>
              <w:rPr>
                <w:rFonts w:ascii="宋体" w:hAnsi="宋体" w:cs="宋体"/>
                <w:color w:val="auto"/>
                <w:highlight w:val="none"/>
              </w:rPr>
            </w:pPr>
          </w:p>
        </w:tc>
      </w:tr>
      <w:tr w14:paraId="4F08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347D11FB">
            <w:pPr>
              <w:rPr>
                <w:rFonts w:ascii="宋体" w:hAnsi="宋体" w:cs="宋体"/>
                <w:color w:val="auto"/>
                <w:highlight w:val="none"/>
              </w:rPr>
            </w:pPr>
            <w:r>
              <w:rPr>
                <w:rFonts w:hint="eastAsia" w:ascii="宋体" w:hAnsi="宋体" w:cs="宋体"/>
                <w:b/>
                <w:color w:val="auto"/>
                <w:highlight w:val="none"/>
              </w:rPr>
              <w:t>二、模板工程及支撑体系</w:t>
            </w:r>
          </w:p>
        </w:tc>
      </w:tr>
      <w:tr w14:paraId="3A1A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1B43D155">
            <w:pPr>
              <w:rPr>
                <w:rFonts w:ascii="宋体" w:hAnsi="宋体" w:cs="宋体"/>
                <w:color w:val="auto"/>
                <w:highlight w:val="none"/>
              </w:rPr>
            </w:pPr>
            <w:r>
              <w:rPr>
                <w:rFonts w:hint="eastAsia" w:ascii="宋体" w:hAnsi="宋体" w:cs="宋体"/>
                <w:color w:val="auto"/>
                <w:highlight w:val="none"/>
              </w:rPr>
              <w:t>（一）各类工具式模板工程：包括滑模、爬模、飞模、隧道模等工程。</w:t>
            </w:r>
          </w:p>
        </w:tc>
        <w:tc>
          <w:tcPr>
            <w:tcW w:w="731" w:type="pct"/>
            <w:tcBorders>
              <w:top w:val="single" w:color="auto" w:sz="4" w:space="0"/>
              <w:left w:val="nil"/>
              <w:bottom w:val="single" w:color="auto" w:sz="4" w:space="0"/>
              <w:right w:val="single" w:color="auto" w:sz="4" w:space="0"/>
            </w:tcBorders>
            <w:noWrap w:val="0"/>
            <w:vAlign w:val="center"/>
          </w:tcPr>
          <w:p w14:paraId="5F5EB38B">
            <w:pPr>
              <w:jc w:val="center"/>
              <w:rPr>
                <w:rFonts w:ascii="宋体" w:hAnsi="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48CEAE89">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43D47CA5">
            <w:pPr>
              <w:jc w:val="center"/>
              <w:rPr>
                <w:rFonts w:ascii="宋体" w:hAnsi="宋体" w:cs="宋体"/>
                <w:color w:val="auto"/>
                <w:highlight w:val="none"/>
              </w:rPr>
            </w:pPr>
          </w:p>
        </w:tc>
      </w:tr>
      <w:tr w14:paraId="1F59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3987E572">
            <w:pPr>
              <w:rPr>
                <w:rFonts w:ascii="宋体" w:hAnsi="宋体" w:cs="宋体"/>
                <w:color w:val="auto"/>
                <w:highlight w:val="none"/>
              </w:rPr>
            </w:pPr>
            <w:r>
              <w:rPr>
                <w:rFonts w:hint="eastAsia" w:ascii="宋体" w:hAnsi="宋体" w:cs="宋体"/>
                <w:color w:val="auto"/>
                <w:highlight w:val="none"/>
              </w:rPr>
              <w:t>（二）混凝土模板支撑工程：搭设高度8m及以上，或搭设跨度18m及以上，或施工总荷载（设计值）15kN/m2及以上，或集中线荷载（设计值）20kN/m及以上。</w:t>
            </w:r>
          </w:p>
        </w:tc>
        <w:tc>
          <w:tcPr>
            <w:tcW w:w="731" w:type="pct"/>
            <w:tcBorders>
              <w:top w:val="single" w:color="auto" w:sz="4" w:space="0"/>
              <w:left w:val="nil"/>
              <w:bottom w:val="single" w:color="auto" w:sz="4" w:space="0"/>
              <w:right w:val="single" w:color="auto" w:sz="4" w:space="0"/>
            </w:tcBorders>
            <w:noWrap w:val="0"/>
            <w:vAlign w:val="center"/>
          </w:tcPr>
          <w:p w14:paraId="4F9F87CF">
            <w:pPr>
              <w:jc w:val="center"/>
              <w:rPr>
                <w:rFonts w:ascii="宋体" w:hAnsi="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5302AD52">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613C2B9A">
            <w:pPr>
              <w:jc w:val="center"/>
              <w:rPr>
                <w:rFonts w:ascii="宋体" w:hAnsi="宋体" w:cs="宋体"/>
                <w:color w:val="auto"/>
                <w:highlight w:val="none"/>
              </w:rPr>
            </w:pPr>
          </w:p>
        </w:tc>
      </w:tr>
      <w:tr w14:paraId="0ACD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584C2A0A">
            <w:pPr>
              <w:rPr>
                <w:rFonts w:ascii="宋体" w:hAnsi="宋体" w:cs="宋体"/>
                <w:color w:val="auto"/>
                <w:highlight w:val="none"/>
              </w:rPr>
            </w:pPr>
            <w:r>
              <w:rPr>
                <w:rFonts w:hint="eastAsia" w:ascii="宋体" w:hAnsi="宋体" w:cs="宋体"/>
                <w:color w:val="auto"/>
                <w:highlight w:val="none"/>
              </w:rPr>
              <w:t>（三）承重支撑体系：用于钢结构安装等满堂支撑体系，承受单点集中荷载7kN及以上。</w:t>
            </w:r>
          </w:p>
        </w:tc>
        <w:tc>
          <w:tcPr>
            <w:tcW w:w="731" w:type="pct"/>
            <w:tcBorders>
              <w:top w:val="single" w:color="auto" w:sz="4" w:space="0"/>
              <w:left w:val="nil"/>
              <w:bottom w:val="single" w:color="auto" w:sz="4" w:space="0"/>
              <w:right w:val="single" w:color="auto" w:sz="4" w:space="0"/>
            </w:tcBorders>
            <w:noWrap w:val="0"/>
            <w:vAlign w:val="center"/>
          </w:tcPr>
          <w:p w14:paraId="0FC45978">
            <w:pPr>
              <w:jc w:val="center"/>
              <w:rPr>
                <w:rFonts w:ascii="宋体" w:hAnsi="宋体" w:cs="宋体"/>
                <w:b/>
                <w:color w:val="auto"/>
                <w:highlight w:val="none"/>
              </w:rPr>
            </w:pPr>
            <w:r>
              <w:rPr>
                <w:rFonts w:hint="eastAsia" w:ascii="宋体" w:hAnsi="宋体" w:cs="宋体"/>
                <w:color w:val="auto"/>
                <w:sz w:val="24"/>
                <w:szCs w:val="36"/>
                <w:highlight w:val="none"/>
              </w:rPr>
              <w:t>√</w:t>
            </w:r>
          </w:p>
        </w:tc>
        <w:tc>
          <w:tcPr>
            <w:tcW w:w="732" w:type="pct"/>
            <w:tcBorders>
              <w:top w:val="single" w:color="auto" w:sz="4" w:space="0"/>
              <w:left w:val="nil"/>
              <w:bottom w:val="single" w:color="auto" w:sz="4" w:space="0"/>
              <w:right w:val="single" w:color="auto" w:sz="4" w:space="0"/>
            </w:tcBorders>
            <w:noWrap w:val="0"/>
            <w:vAlign w:val="center"/>
          </w:tcPr>
          <w:p w14:paraId="2C0563FD">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11E89D8B">
            <w:pPr>
              <w:jc w:val="center"/>
              <w:rPr>
                <w:rFonts w:ascii="宋体" w:hAnsi="宋体" w:cs="宋体"/>
                <w:color w:val="auto"/>
                <w:highlight w:val="none"/>
              </w:rPr>
            </w:pPr>
            <w:r>
              <w:rPr>
                <w:rFonts w:hint="eastAsia" w:ascii="宋体" w:hAnsi="宋体" w:cs="宋体"/>
                <w:color w:val="auto"/>
                <w:highlight w:val="none"/>
              </w:rPr>
              <w:t>临时墩</w:t>
            </w:r>
          </w:p>
        </w:tc>
      </w:tr>
      <w:tr w14:paraId="5649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21C2139D">
            <w:pPr>
              <w:rPr>
                <w:rFonts w:ascii="宋体" w:hAnsi="宋体" w:cs="宋体"/>
                <w:color w:val="auto"/>
                <w:highlight w:val="none"/>
              </w:rPr>
            </w:pPr>
            <w:r>
              <w:rPr>
                <w:rFonts w:hint="eastAsia" w:ascii="宋体" w:hAnsi="宋体" w:cs="宋体"/>
                <w:b/>
                <w:color w:val="auto"/>
                <w:highlight w:val="none"/>
              </w:rPr>
              <w:t>三、起重吊装及起重机械安装拆卸工程</w:t>
            </w:r>
          </w:p>
        </w:tc>
      </w:tr>
      <w:tr w14:paraId="77AF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7E616378">
            <w:pPr>
              <w:rPr>
                <w:rFonts w:ascii="宋体" w:hAnsi="宋体" w:cs="宋体"/>
                <w:color w:val="auto"/>
                <w:highlight w:val="none"/>
              </w:rPr>
            </w:pPr>
            <w:r>
              <w:rPr>
                <w:rFonts w:hint="eastAsia" w:ascii="宋体" w:hAnsi="宋体" w:cs="宋体"/>
                <w:color w:val="auto"/>
                <w:highlight w:val="none"/>
              </w:rPr>
              <w:t>（一）采用非常规起重设备、方法，且单件起吊重量在100kN及以上的起重吊装工程。</w:t>
            </w:r>
          </w:p>
        </w:tc>
        <w:tc>
          <w:tcPr>
            <w:tcW w:w="731" w:type="pct"/>
            <w:tcBorders>
              <w:top w:val="single" w:color="auto" w:sz="4" w:space="0"/>
              <w:left w:val="nil"/>
              <w:bottom w:val="single" w:color="auto" w:sz="4" w:space="0"/>
              <w:right w:val="single" w:color="auto" w:sz="4" w:space="0"/>
            </w:tcBorders>
            <w:noWrap w:val="0"/>
            <w:vAlign w:val="center"/>
          </w:tcPr>
          <w:p w14:paraId="710978F9">
            <w:pPr>
              <w:jc w:val="center"/>
              <w:rPr>
                <w:rFonts w:ascii="宋体" w:hAnsi="宋体" w:cs="宋体"/>
                <w:color w:val="auto"/>
                <w:highlight w:val="none"/>
              </w:rPr>
            </w:pPr>
            <w:r>
              <w:rPr>
                <w:rFonts w:hint="eastAsia" w:ascii="宋体" w:hAnsi="宋体" w:cs="宋体"/>
                <w:color w:val="auto"/>
                <w:sz w:val="24"/>
                <w:szCs w:val="36"/>
                <w:highlight w:val="none"/>
              </w:rPr>
              <w:t>√</w:t>
            </w:r>
          </w:p>
        </w:tc>
        <w:tc>
          <w:tcPr>
            <w:tcW w:w="732" w:type="pct"/>
            <w:tcBorders>
              <w:top w:val="single" w:color="auto" w:sz="4" w:space="0"/>
              <w:left w:val="nil"/>
              <w:bottom w:val="single" w:color="auto" w:sz="4" w:space="0"/>
              <w:right w:val="single" w:color="auto" w:sz="4" w:space="0"/>
            </w:tcBorders>
            <w:noWrap w:val="0"/>
            <w:vAlign w:val="center"/>
          </w:tcPr>
          <w:p w14:paraId="47333051">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5C446695">
            <w:pPr>
              <w:jc w:val="center"/>
              <w:rPr>
                <w:rFonts w:ascii="宋体" w:hAnsi="宋体" w:cs="宋体"/>
                <w:color w:val="auto"/>
                <w:sz w:val="18"/>
                <w:szCs w:val="18"/>
                <w:highlight w:val="none"/>
              </w:rPr>
            </w:pPr>
            <w:r>
              <w:rPr>
                <w:rFonts w:hint="eastAsia" w:ascii="宋体" w:hAnsi="宋体" w:cs="宋体"/>
                <w:color w:val="auto"/>
                <w:sz w:val="18"/>
                <w:szCs w:val="18"/>
                <w:highlight w:val="none"/>
              </w:rPr>
              <w:t>钢梁、钢墩</w:t>
            </w:r>
          </w:p>
        </w:tc>
      </w:tr>
      <w:tr w14:paraId="2498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5DEDE4C3">
            <w:pPr>
              <w:rPr>
                <w:rFonts w:ascii="宋体" w:hAnsi="宋体" w:cs="宋体"/>
                <w:color w:val="auto"/>
                <w:highlight w:val="none"/>
              </w:rPr>
            </w:pPr>
            <w:r>
              <w:rPr>
                <w:rFonts w:hint="eastAsia" w:ascii="宋体" w:hAnsi="宋体" w:cs="宋体"/>
                <w:color w:val="auto"/>
                <w:highlight w:val="none"/>
              </w:rPr>
              <w:t>（二）起重量300kN及以上，或搭设总高度200m及以上，或搭设基础标高在200m及以上的起重机械安装和拆卸工程。</w:t>
            </w:r>
          </w:p>
        </w:tc>
        <w:tc>
          <w:tcPr>
            <w:tcW w:w="731" w:type="pct"/>
            <w:tcBorders>
              <w:top w:val="single" w:color="auto" w:sz="4" w:space="0"/>
              <w:left w:val="nil"/>
              <w:bottom w:val="single" w:color="auto" w:sz="4" w:space="0"/>
              <w:right w:val="single" w:color="auto" w:sz="4" w:space="0"/>
            </w:tcBorders>
            <w:noWrap w:val="0"/>
            <w:vAlign w:val="center"/>
          </w:tcPr>
          <w:p w14:paraId="7B380604">
            <w:pPr>
              <w:jc w:val="center"/>
              <w:rPr>
                <w:rFonts w:ascii="宋体" w:hAnsi="宋体" w:cs="宋体"/>
                <w:color w:val="auto"/>
                <w:highlight w:val="none"/>
              </w:rPr>
            </w:pPr>
            <w:r>
              <w:rPr>
                <w:rFonts w:hint="eastAsia" w:ascii="宋体" w:hAnsi="宋体" w:cs="宋体"/>
                <w:color w:val="auto"/>
                <w:sz w:val="24"/>
                <w:szCs w:val="36"/>
                <w:highlight w:val="none"/>
              </w:rPr>
              <w:t>√</w:t>
            </w:r>
          </w:p>
        </w:tc>
        <w:tc>
          <w:tcPr>
            <w:tcW w:w="732" w:type="pct"/>
            <w:tcBorders>
              <w:top w:val="single" w:color="auto" w:sz="4" w:space="0"/>
              <w:left w:val="nil"/>
              <w:bottom w:val="single" w:color="auto" w:sz="4" w:space="0"/>
              <w:right w:val="single" w:color="auto" w:sz="4" w:space="0"/>
            </w:tcBorders>
            <w:noWrap w:val="0"/>
            <w:vAlign w:val="center"/>
          </w:tcPr>
          <w:p w14:paraId="377A21A8">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3FFDB882">
            <w:pPr>
              <w:jc w:val="center"/>
              <w:rPr>
                <w:rFonts w:ascii="宋体" w:hAnsi="宋体" w:cs="宋体"/>
                <w:color w:val="auto"/>
                <w:highlight w:val="none"/>
              </w:rPr>
            </w:pPr>
            <w:r>
              <w:rPr>
                <w:rFonts w:hint="eastAsia" w:ascii="宋体" w:hAnsi="宋体" w:cs="宋体"/>
                <w:color w:val="auto"/>
                <w:sz w:val="18"/>
                <w:szCs w:val="18"/>
                <w:highlight w:val="none"/>
              </w:rPr>
              <w:t>钢梁、钢墩</w:t>
            </w:r>
          </w:p>
        </w:tc>
      </w:tr>
      <w:tr w14:paraId="6058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5A3D7CF3">
            <w:pPr>
              <w:rPr>
                <w:rFonts w:ascii="宋体" w:hAnsi="宋体" w:cs="宋体"/>
                <w:b/>
                <w:color w:val="auto"/>
                <w:highlight w:val="none"/>
              </w:rPr>
            </w:pPr>
            <w:r>
              <w:rPr>
                <w:rFonts w:hint="eastAsia" w:ascii="宋体" w:hAnsi="宋体" w:cs="宋体"/>
                <w:b/>
                <w:color w:val="auto"/>
                <w:highlight w:val="none"/>
              </w:rPr>
              <w:t>四、脚手架工程</w:t>
            </w:r>
          </w:p>
        </w:tc>
      </w:tr>
      <w:tr w14:paraId="6118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62F99052">
            <w:pPr>
              <w:rPr>
                <w:rFonts w:ascii="宋体" w:hAnsi="宋体" w:cs="宋体"/>
                <w:color w:val="auto"/>
                <w:highlight w:val="none"/>
              </w:rPr>
            </w:pPr>
            <w:r>
              <w:rPr>
                <w:rFonts w:hint="eastAsia" w:ascii="宋体" w:hAnsi="宋体" w:cs="宋体"/>
                <w:color w:val="auto"/>
                <w:highlight w:val="none"/>
              </w:rPr>
              <w:t>（一）搭设高度50m及以上的落地式钢管脚手架工程。</w:t>
            </w:r>
          </w:p>
        </w:tc>
        <w:tc>
          <w:tcPr>
            <w:tcW w:w="731" w:type="pct"/>
            <w:tcBorders>
              <w:top w:val="single" w:color="auto" w:sz="4" w:space="0"/>
              <w:left w:val="nil"/>
              <w:bottom w:val="single" w:color="auto" w:sz="4" w:space="0"/>
              <w:right w:val="single" w:color="auto" w:sz="4" w:space="0"/>
            </w:tcBorders>
            <w:noWrap w:val="0"/>
            <w:vAlign w:val="center"/>
          </w:tcPr>
          <w:p w14:paraId="2D9EEDF6">
            <w:pPr>
              <w:jc w:val="center"/>
              <w:rPr>
                <w:rFonts w:ascii="宋体" w:hAnsi="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68750B5E">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6E0C8560">
            <w:pPr>
              <w:jc w:val="center"/>
              <w:rPr>
                <w:rFonts w:ascii="宋体" w:hAnsi="宋体" w:cs="宋体"/>
                <w:color w:val="auto"/>
                <w:highlight w:val="none"/>
              </w:rPr>
            </w:pPr>
          </w:p>
        </w:tc>
      </w:tr>
      <w:tr w14:paraId="57F8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25FB2537">
            <w:pPr>
              <w:rPr>
                <w:rFonts w:ascii="宋体" w:hAnsi="宋体" w:cs="宋体"/>
                <w:color w:val="auto"/>
                <w:highlight w:val="none"/>
              </w:rPr>
            </w:pPr>
            <w:r>
              <w:rPr>
                <w:rFonts w:hint="eastAsia" w:ascii="宋体" w:hAnsi="宋体" w:cs="宋体"/>
                <w:color w:val="auto"/>
                <w:highlight w:val="none"/>
              </w:rPr>
              <w:t>（二）提升高度在150m及以上的附着式升降脚手架工程或附着式升降操作平台工程。</w:t>
            </w:r>
          </w:p>
        </w:tc>
        <w:tc>
          <w:tcPr>
            <w:tcW w:w="731" w:type="pct"/>
            <w:tcBorders>
              <w:top w:val="single" w:color="auto" w:sz="4" w:space="0"/>
              <w:left w:val="nil"/>
              <w:bottom w:val="single" w:color="auto" w:sz="4" w:space="0"/>
              <w:right w:val="single" w:color="auto" w:sz="4" w:space="0"/>
            </w:tcBorders>
            <w:noWrap w:val="0"/>
            <w:vAlign w:val="center"/>
          </w:tcPr>
          <w:p w14:paraId="5A7A83E0">
            <w:pPr>
              <w:jc w:val="center"/>
              <w:rPr>
                <w:rFonts w:ascii="宋体" w:hAnsi="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00A3C0C9">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6D4C2594">
            <w:pPr>
              <w:jc w:val="center"/>
              <w:rPr>
                <w:rFonts w:ascii="宋体" w:hAnsi="宋体" w:cs="宋体"/>
                <w:color w:val="auto"/>
                <w:highlight w:val="none"/>
              </w:rPr>
            </w:pPr>
          </w:p>
        </w:tc>
      </w:tr>
      <w:tr w14:paraId="5204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49DB2636">
            <w:pPr>
              <w:rPr>
                <w:rFonts w:ascii="宋体" w:hAnsi="宋体" w:cs="宋体"/>
                <w:color w:val="auto"/>
                <w:highlight w:val="none"/>
              </w:rPr>
            </w:pPr>
            <w:r>
              <w:rPr>
                <w:rFonts w:hint="eastAsia" w:ascii="宋体" w:hAnsi="宋体" w:cs="宋体"/>
                <w:color w:val="auto"/>
                <w:highlight w:val="none"/>
              </w:rPr>
              <w:t>（三）分段架体搭设高度20m及以上的悬挑式脚手架工程。</w:t>
            </w:r>
          </w:p>
        </w:tc>
        <w:tc>
          <w:tcPr>
            <w:tcW w:w="731" w:type="pct"/>
            <w:tcBorders>
              <w:top w:val="single" w:color="auto" w:sz="4" w:space="0"/>
              <w:left w:val="nil"/>
              <w:bottom w:val="single" w:color="auto" w:sz="4" w:space="0"/>
              <w:right w:val="single" w:color="auto" w:sz="4" w:space="0"/>
            </w:tcBorders>
            <w:noWrap w:val="0"/>
            <w:vAlign w:val="center"/>
          </w:tcPr>
          <w:p w14:paraId="3E9EF527">
            <w:pPr>
              <w:jc w:val="center"/>
              <w:rPr>
                <w:rFonts w:ascii="宋体" w:hAnsi="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67C41B80">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6E59CF2C">
            <w:pPr>
              <w:jc w:val="center"/>
              <w:rPr>
                <w:rFonts w:ascii="宋体" w:hAnsi="宋体" w:cs="宋体"/>
                <w:color w:val="auto"/>
                <w:highlight w:val="none"/>
              </w:rPr>
            </w:pPr>
          </w:p>
        </w:tc>
      </w:tr>
      <w:tr w14:paraId="3A0C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610DEC29">
            <w:pPr>
              <w:rPr>
                <w:rFonts w:ascii="宋体" w:hAnsi="宋体" w:cs="宋体"/>
                <w:b/>
                <w:color w:val="auto"/>
                <w:highlight w:val="none"/>
              </w:rPr>
            </w:pPr>
            <w:r>
              <w:rPr>
                <w:rFonts w:hint="eastAsia" w:ascii="宋体" w:hAnsi="宋体" w:cs="宋体"/>
                <w:b/>
                <w:color w:val="auto"/>
                <w:highlight w:val="none"/>
              </w:rPr>
              <w:t>五、拆除工程</w:t>
            </w:r>
          </w:p>
        </w:tc>
      </w:tr>
      <w:tr w14:paraId="4AD8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48E83815">
            <w:pPr>
              <w:rPr>
                <w:rFonts w:ascii="宋体" w:hAnsi="宋体" w:cs="宋体"/>
                <w:color w:val="auto"/>
                <w:highlight w:val="none"/>
              </w:rPr>
            </w:pPr>
            <w:r>
              <w:rPr>
                <w:rFonts w:hint="eastAsia" w:ascii="宋体" w:hAnsi="宋体" w:cs="宋体"/>
                <w:color w:val="auto"/>
                <w:highlight w:val="none"/>
              </w:rPr>
              <w:t>（一）码头、桥梁、高架、烟囱、水塔或拆除中容易引起有毒有害气（液）体或粉尘扩散、易燃易爆事故发生的特殊建、构筑物的拆除工程。</w:t>
            </w:r>
          </w:p>
        </w:tc>
        <w:tc>
          <w:tcPr>
            <w:tcW w:w="731" w:type="pct"/>
            <w:tcBorders>
              <w:top w:val="single" w:color="auto" w:sz="4" w:space="0"/>
              <w:left w:val="nil"/>
              <w:bottom w:val="single" w:color="auto" w:sz="4" w:space="0"/>
              <w:right w:val="single" w:color="auto" w:sz="4" w:space="0"/>
            </w:tcBorders>
            <w:noWrap w:val="0"/>
            <w:vAlign w:val="center"/>
          </w:tcPr>
          <w:p w14:paraId="6773517E">
            <w:pPr>
              <w:jc w:val="center"/>
              <w:rPr>
                <w:rFonts w:ascii="宋体" w:hAnsi="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76CF11D7">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6781532A">
            <w:pPr>
              <w:jc w:val="center"/>
              <w:rPr>
                <w:rFonts w:ascii="宋体" w:hAnsi="宋体" w:cs="宋体"/>
                <w:color w:val="auto"/>
                <w:highlight w:val="none"/>
              </w:rPr>
            </w:pPr>
          </w:p>
        </w:tc>
      </w:tr>
      <w:tr w14:paraId="63E0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6E1203BC">
            <w:pPr>
              <w:rPr>
                <w:rFonts w:ascii="宋体" w:hAnsi="宋体" w:cs="宋体"/>
                <w:color w:val="auto"/>
                <w:highlight w:val="none"/>
              </w:rPr>
            </w:pPr>
            <w:r>
              <w:rPr>
                <w:rFonts w:hint="eastAsia" w:ascii="宋体" w:hAnsi="宋体" w:cs="宋体"/>
                <w:color w:val="auto"/>
                <w:highlight w:val="none"/>
              </w:rPr>
              <w:t>（二）文物保护建筑、优秀历史建筑或历史文化风貌区影响范围内的拆除工程。</w:t>
            </w:r>
          </w:p>
        </w:tc>
        <w:tc>
          <w:tcPr>
            <w:tcW w:w="731" w:type="pct"/>
            <w:tcBorders>
              <w:top w:val="single" w:color="auto" w:sz="4" w:space="0"/>
              <w:left w:val="nil"/>
              <w:bottom w:val="single" w:color="auto" w:sz="4" w:space="0"/>
              <w:right w:val="single" w:color="auto" w:sz="4" w:space="0"/>
            </w:tcBorders>
            <w:noWrap w:val="0"/>
            <w:vAlign w:val="center"/>
          </w:tcPr>
          <w:p w14:paraId="3615AA3E">
            <w:pPr>
              <w:jc w:val="center"/>
              <w:rPr>
                <w:rFonts w:ascii="宋体" w:hAnsi="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53070068">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696FAFC0">
            <w:pPr>
              <w:jc w:val="center"/>
              <w:rPr>
                <w:rFonts w:ascii="宋体" w:hAnsi="宋体" w:cs="宋体"/>
                <w:color w:val="auto"/>
                <w:highlight w:val="none"/>
              </w:rPr>
            </w:pPr>
          </w:p>
        </w:tc>
      </w:tr>
      <w:tr w14:paraId="69DB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313CA2AF">
            <w:pPr>
              <w:rPr>
                <w:rFonts w:ascii="宋体" w:hAnsi="宋体" w:cs="宋体"/>
                <w:b/>
                <w:color w:val="auto"/>
                <w:highlight w:val="none"/>
              </w:rPr>
            </w:pPr>
            <w:r>
              <w:rPr>
                <w:rFonts w:hint="eastAsia" w:ascii="宋体" w:hAnsi="宋体" w:cs="宋体"/>
                <w:b/>
                <w:color w:val="auto"/>
                <w:highlight w:val="none"/>
              </w:rPr>
              <w:t>六、暗挖工程</w:t>
            </w:r>
          </w:p>
        </w:tc>
      </w:tr>
      <w:tr w14:paraId="0DB5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0F1CF5EC">
            <w:pPr>
              <w:rPr>
                <w:rFonts w:ascii="宋体" w:hAnsi="宋体" w:cs="宋体"/>
                <w:color w:val="auto"/>
                <w:highlight w:val="none"/>
              </w:rPr>
            </w:pPr>
            <w:r>
              <w:rPr>
                <w:rFonts w:hint="eastAsia" w:ascii="宋体" w:hAnsi="宋体" w:cs="宋体"/>
                <w:color w:val="auto"/>
                <w:highlight w:val="none"/>
              </w:rPr>
              <w:t>采用矿山法、盾构法、顶管法施工的隧道、洞室工程。</w:t>
            </w:r>
          </w:p>
        </w:tc>
        <w:tc>
          <w:tcPr>
            <w:tcW w:w="731" w:type="pct"/>
            <w:tcBorders>
              <w:top w:val="single" w:color="auto" w:sz="4" w:space="0"/>
              <w:left w:val="nil"/>
              <w:bottom w:val="single" w:color="auto" w:sz="4" w:space="0"/>
              <w:right w:val="single" w:color="auto" w:sz="4" w:space="0"/>
            </w:tcBorders>
            <w:noWrap w:val="0"/>
            <w:vAlign w:val="center"/>
          </w:tcPr>
          <w:p w14:paraId="2566B11C">
            <w:pPr>
              <w:jc w:val="center"/>
              <w:rPr>
                <w:rFonts w:ascii="宋体" w:hAnsi="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3624CA4B">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412A741C">
            <w:pPr>
              <w:jc w:val="center"/>
              <w:rPr>
                <w:rFonts w:ascii="宋体" w:hAnsi="宋体" w:cs="宋体"/>
                <w:color w:val="auto"/>
                <w:highlight w:val="none"/>
              </w:rPr>
            </w:pPr>
          </w:p>
        </w:tc>
      </w:tr>
      <w:tr w14:paraId="6CD4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0E826546">
            <w:pPr>
              <w:rPr>
                <w:rFonts w:ascii="宋体" w:hAnsi="宋体" w:cs="宋体"/>
                <w:b/>
                <w:color w:val="auto"/>
                <w:highlight w:val="none"/>
              </w:rPr>
            </w:pPr>
            <w:r>
              <w:rPr>
                <w:rFonts w:hint="eastAsia" w:ascii="宋体" w:hAnsi="宋体" w:cs="宋体"/>
                <w:b/>
                <w:color w:val="auto"/>
                <w:highlight w:val="none"/>
              </w:rPr>
              <w:t>七、其它</w:t>
            </w:r>
          </w:p>
        </w:tc>
      </w:tr>
      <w:tr w14:paraId="3A79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7F373FAF">
            <w:pPr>
              <w:rPr>
                <w:rFonts w:ascii="宋体" w:hAnsi="宋体" w:cs="宋体"/>
                <w:color w:val="auto"/>
                <w:highlight w:val="none"/>
              </w:rPr>
            </w:pPr>
            <w:r>
              <w:rPr>
                <w:rFonts w:hint="eastAsia" w:ascii="宋体" w:hAnsi="宋体" w:cs="宋体"/>
                <w:color w:val="auto"/>
                <w:highlight w:val="none"/>
              </w:rPr>
              <w:t>（一）施工高度50m及以上的建筑幕墙安装工程。</w:t>
            </w:r>
          </w:p>
        </w:tc>
        <w:tc>
          <w:tcPr>
            <w:tcW w:w="731" w:type="pct"/>
            <w:tcBorders>
              <w:top w:val="single" w:color="auto" w:sz="4" w:space="0"/>
              <w:left w:val="nil"/>
              <w:bottom w:val="single" w:color="auto" w:sz="4" w:space="0"/>
              <w:right w:val="single" w:color="auto" w:sz="4" w:space="0"/>
            </w:tcBorders>
            <w:noWrap w:val="0"/>
            <w:vAlign w:val="center"/>
          </w:tcPr>
          <w:p w14:paraId="68598D6A">
            <w:pPr>
              <w:jc w:val="center"/>
              <w:rPr>
                <w:rFonts w:ascii="宋体" w:hAnsi="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5FA0E76D">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0EB3B745">
            <w:pPr>
              <w:jc w:val="center"/>
              <w:rPr>
                <w:rFonts w:ascii="宋体" w:hAnsi="宋体" w:cs="宋体"/>
                <w:color w:val="auto"/>
                <w:highlight w:val="none"/>
              </w:rPr>
            </w:pPr>
          </w:p>
        </w:tc>
      </w:tr>
      <w:tr w14:paraId="37BE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02D0D7B9">
            <w:pPr>
              <w:rPr>
                <w:rFonts w:ascii="宋体" w:hAnsi="宋体" w:cs="宋体"/>
                <w:color w:val="auto"/>
                <w:highlight w:val="none"/>
              </w:rPr>
            </w:pPr>
            <w:r>
              <w:rPr>
                <w:rFonts w:hint="eastAsia" w:ascii="宋体" w:hAnsi="宋体" w:cs="宋体"/>
                <w:color w:val="auto"/>
                <w:highlight w:val="none"/>
              </w:rPr>
              <w:t>（二）跨度36m及以上的钢结构安装工程，或跨度60m及以上的网架和索膜结构安装工程。</w:t>
            </w:r>
          </w:p>
        </w:tc>
        <w:tc>
          <w:tcPr>
            <w:tcW w:w="731" w:type="pct"/>
            <w:tcBorders>
              <w:top w:val="single" w:color="auto" w:sz="4" w:space="0"/>
              <w:left w:val="nil"/>
              <w:bottom w:val="single" w:color="auto" w:sz="4" w:space="0"/>
              <w:right w:val="single" w:color="auto" w:sz="4" w:space="0"/>
            </w:tcBorders>
            <w:noWrap w:val="0"/>
            <w:vAlign w:val="center"/>
          </w:tcPr>
          <w:p w14:paraId="02A094BD">
            <w:pPr>
              <w:jc w:val="center"/>
              <w:rPr>
                <w:rFonts w:ascii="宋体" w:hAnsi="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734BA6BC">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3F90F250">
            <w:pPr>
              <w:jc w:val="center"/>
              <w:rPr>
                <w:rFonts w:ascii="宋体" w:hAnsi="宋体" w:cs="宋体"/>
                <w:color w:val="auto"/>
                <w:highlight w:val="none"/>
              </w:rPr>
            </w:pPr>
          </w:p>
        </w:tc>
      </w:tr>
      <w:tr w14:paraId="5B89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1436A8C9">
            <w:pPr>
              <w:rPr>
                <w:rFonts w:ascii="宋体" w:hAnsi="宋体" w:cs="宋体"/>
                <w:color w:val="auto"/>
                <w:highlight w:val="none"/>
              </w:rPr>
            </w:pPr>
            <w:r>
              <w:rPr>
                <w:rFonts w:hint="eastAsia" w:ascii="宋体" w:hAnsi="宋体" w:cs="宋体"/>
                <w:color w:val="auto"/>
                <w:highlight w:val="none"/>
              </w:rPr>
              <w:t>（三）开挖深度16m及以上的人工挖孔桩工程。</w:t>
            </w:r>
          </w:p>
        </w:tc>
        <w:tc>
          <w:tcPr>
            <w:tcW w:w="731" w:type="pct"/>
            <w:tcBorders>
              <w:top w:val="single" w:color="auto" w:sz="4" w:space="0"/>
              <w:left w:val="nil"/>
              <w:bottom w:val="single" w:color="auto" w:sz="4" w:space="0"/>
              <w:right w:val="single" w:color="auto" w:sz="4" w:space="0"/>
            </w:tcBorders>
            <w:noWrap w:val="0"/>
            <w:vAlign w:val="center"/>
          </w:tcPr>
          <w:p w14:paraId="4C056FCF">
            <w:pPr>
              <w:jc w:val="center"/>
              <w:rPr>
                <w:rFonts w:ascii="宋体" w:hAnsi="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2ABA1A6C">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62E2F5B0">
            <w:pPr>
              <w:jc w:val="center"/>
              <w:rPr>
                <w:rFonts w:ascii="宋体" w:hAnsi="宋体" w:cs="宋体"/>
                <w:color w:val="auto"/>
                <w:highlight w:val="none"/>
              </w:rPr>
            </w:pPr>
          </w:p>
        </w:tc>
      </w:tr>
      <w:tr w14:paraId="69F7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17A79F6F">
            <w:pPr>
              <w:rPr>
                <w:rFonts w:ascii="宋体" w:hAnsi="宋体" w:cs="宋体"/>
                <w:color w:val="auto"/>
                <w:highlight w:val="none"/>
              </w:rPr>
            </w:pPr>
            <w:r>
              <w:rPr>
                <w:rFonts w:hint="eastAsia" w:ascii="宋体" w:hAnsi="宋体" w:cs="宋体"/>
                <w:color w:val="auto"/>
                <w:highlight w:val="none"/>
              </w:rPr>
              <w:t>（四）水下作业工程。</w:t>
            </w:r>
          </w:p>
        </w:tc>
        <w:tc>
          <w:tcPr>
            <w:tcW w:w="731" w:type="pct"/>
            <w:tcBorders>
              <w:top w:val="single" w:color="auto" w:sz="4" w:space="0"/>
              <w:left w:val="nil"/>
              <w:bottom w:val="single" w:color="auto" w:sz="4" w:space="0"/>
              <w:right w:val="single" w:color="auto" w:sz="4" w:space="0"/>
            </w:tcBorders>
            <w:noWrap w:val="0"/>
            <w:vAlign w:val="center"/>
          </w:tcPr>
          <w:p w14:paraId="671B6A9A">
            <w:pPr>
              <w:jc w:val="center"/>
              <w:rPr>
                <w:rFonts w:ascii="宋体" w:hAnsi="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28E342C9">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38368E7D">
            <w:pPr>
              <w:jc w:val="center"/>
              <w:rPr>
                <w:rFonts w:ascii="宋体" w:hAnsi="宋体" w:cs="宋体"/>
                <w:color w:val="auto"/>
                <w:highlight w:val="none"/>
              </w:rPr>
            </w:pPr>
          </w:p>
        </w:tc>
      </w:tr>
      <w:tr w14:paraId="41E2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7FF5DC77">
            <w:pPr>
              <w:rPr>
                <w:rFonts w:ascii="宋体" w:hAnsi="宋体" w:cs="宋体"/>
                <w:color w:val="auto"/>
                <w:highlight w:val="none"/>
              </w:rPr>
            </w:pPr>
            <w:r>
              <w:rPr>
                <w:rFonts w:hint="eastAsia" w:ascii="宋体" w:hAnsi="宋体" w:cs="宋体"/>
                <w:color w:val="auto"/>
                <w:highlight w:val="none"/>
              </w:rPr>
              <w:t>（五）重量1000kN及以上的大型结构整体顶升、平移、转体等施工工艺。</w:t>
            </w:r>
          </w:p>
        </w:tc>
        <w:tc>
          <w:tcPr>
            <w:tcW w:w="731" w:type="pct"/>
            <w:tcBorders>
              <w:top w:val="single" w:color="auto" w:sz="4" w:space="0"/>
              <w:left w:val="nil"/>
              <w:bottom w:val="single" w:color="auto" w:sz="4" w:space="0"/>
              <w:right w:val="single" w:color="auto" w:sz="4" w:space="0"/>
            </w:tcBorders>
            <w:noWrap w:val="0"/>
            <w:vAlign w:val="center"/>
          </w:tcPr>
          <w:p w14:paraId="60D45338">
            <w:pPr>
              <w:jc w:val="center"/>
              <w:rPr>
                <w:rFonts w:ascii="宋体" w:hAnsi="宋体" w:cs="宋体"/>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6417B02C">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666232E8">
            <w:pPr>
              <w:jc w:val="center"/>
              <w:rPr>
                <w:rFonts w:ascii="宋体" w:hAnsi="宋体" w:cs="宋体"/>
                <w:color w:val="auto"/>
                <w:highlight w:val="none"/>
              </w:rPr>
            </w:pPr>
          </w:p>
        </w:tc>
      </w:tr>
      <w:tr w14:paraId="129F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50330B55">
            <w:pPr>
              <w:rPr>
                <w:rFonts w:ascii="宋体" w:hAnsi="宋体" w:cs="宋体"/>
                <w:color w:val="auto"/>
                <w:highlight w:val="none"/>
              </w:rPr>
            </w:pPr>
            <w:r>
              <w:rPr>
                <w:rFonts w:hint="eastAsia" w:ascii="宋体" w:hAnsi="宋体" w:cs="宋体"/>
                <w:color w:val="auto"/>
                <w:highlight w:val="none"/>
              </w:rPr>
              <w:t>（六）采用新技术、新工艺、新材料、新设备可能影响工程施工安全，尚无国家、行业及地方技术标准的分部分项工程。</w:t>
            </w:r>
          </w:p>
        </w:tc>
        <w:tc>
          <w:tcPr>
            <w:tcW w:w="731" w:type="pct"/>
            <w:tcBorders>
              <w:top w:val="single" w:color="auto" w:sz="4" w:space="0"/>
              <w:left w:val="nil"/>
              <w:bottom w:val="single" w:color="auto" w:sz="4" w:space="0"/>
              <w:right w:val="single" w:color="auto" w:sz="4" w:space="0"/>
            </w:tcBorders>
            <w:noWrap w:val="0"/>
            <w:vAlign w:val="center"/>
          </w:tcPr>
          <w:p w14:paraId="14E43F27">
            <w:pPr>
              <w:jc w:val="center"/>
              <w:rPr>
                <w:rFonts w:ascii="宋体" w:hAnsi="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0376F747">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4C7058F6">
            <w:pPr>
              <w:jc w:val="center"/>
              <w:rPr>
                <w:rFonts w:ascii="宋体" w:hAnsi="宋体" w:cs="宋体"/>
                <w:color w:val="auto"/>
                <w:highlight w:val="none"/>
              </w:rPr>
            </w:pPr>
          </w:p>
        </w:tc>
      </w:tr>
      <w:tr w14:paraId="67C3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215AC5F8">
            <w:pPr>
              <w:rPr>
                <w:rFonts w:ascii="宋体" w:hAnsi="宋体" w:cs="宋体"/>
                <w:color w:val="auto"/>
                <w:highlight w:val="none"/>
              </w:rPr>
            </w:pPr>
            <w:r>
              <w:rPr>
                <w:rFonts w:hint="eastAsia" w:ascii="宋体" w:hAnsi="宋体" w:cs="宋体"/>
                <w:color w:val="auto"/>
                <w:highlight w:val="none"/>
              </w:rPr>
              <w:t>（七）高边坡</w:t>
            </w:r>
          </w:p>
        </w:tc>
        <w:tc>
          <w:tcPr>
            <w:tcW w:w="731" w:type="pct"/>
            <w:tcBorders>
              <w:top w:val="single" w:color="auto" w:sz="4" w:space="0"/>
              <w:left w:val="nil"/>
              <w:bottom w:val="single" w:color="auto" w:sz="4" w:space="0"/>
              <w:right w:val="single" w:color="auto" w:sz="4" w:space="0"/>
            </w:tcBorders>
            <w:noWrap w:val="0"/>
            <w:vAlign w:val="center"/>
          </w:tcPr>
          <w:p w14:paraId="147CFF92">
            <w:pPr>
              <w:jc w:val="center"/>
              <w:rPr>
                <w:rFonts w:ascii="宋体" w:hAnsi="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46DD2DFF">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54C409B8">
            <w:pPr>
              <w:jc w:val="center"/>
              <w:rPr>
                <w:rFonts w:ascii="宋体" w:hAnsi="宋体" w:cs="宋体"/>
                <w:color w:val="auto"/>
                <w:highlight w:val="none"/>
              </w:rPr>
            </w:pPr>
          </w:p>
        </w:tc>
      </w:tr>
      <w:tr w14:paraId="3161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pct"/>
            <w:tcBorders>
              <w:top w:val="single" w:color="auto" w:sz="4" w:space="0"/>
              <w:left w:val="single" w:color="auto" w:sz="4" w:space="0"/>
              <w:bottom w:val="single" w:color="auto" w:sz="4" w:space="0"/>
              <w:right w:val="single" w:color="auto" w:sz="4" w:space="0"/>
            </w:tcBorders>
            <w:noWrap w:val="0"/>
            <w:vAlign w:val="center"/>
          </w:tcPr>
          <w:p w14:paraId="65B96C66">
            <w:pPr>
              <w:rPr>
                <w:rFonts w:ascii="宋体" w:hAnsi="宋体" w:cs="宋体"/>
                <w:color w:val="auto"/>
                <w:highlight w:val="none"/>
              </w:rPr>
            </w:pPr>
            <w:r>
              <w:rPr>
                <w:rFonts w:hint="eastAsia" w:ascii="宋体" w:hAnsi="宋体" w:cs="宋体"/>
                <w:color w:val="auto"/>
                <w:highlight w:val="none"/>
              </w:rPr>
              <w:t>（八）雨水管顶管施工</w:t>
            </w:r>
          </w:p>
        </w:tc>
        <w:tc>
          <w:tcPr>
            <w:tcW w:w="731" w:type="pct"/>
            <w:tcBorders>
              <w:top w:val="single" w:color="auto" w:sz="4" w:space="0"/>
              <w:left w:val="nil"/>
              <w:bottom w:val="single" w:color="auto" w:sz="4" w:space="0"/>
              <w:right w:val="single" w:color="auto" w:sz="4" w:space="0"/>
            </w:tcBorders>
            <w:noWrap w:val="0"/>
            <w:vAlign w:val="center"/>
          </w:tcPr>
          <w:p w14:paraId="5EE217F4">
            <w:pPr>
              <w:jc w:val="center"/>
              <w:rPr>
                <w:rFonts w:ascii="宋体" w:hAnsi="宋体" w:cs="宋体"/>
                <w:b/>
                <w:color w:val="auto"/>
                <w:highlight w:val="none"/>
              </w:rPr>
            </w:pPr>
          </w:p>
        </w:tc>
        <w:tc>
          <w:tcPr>
            <w:tcW w:w="732" w:type="pct"/>
            <w:tcBorders>
              <w:top w:val="single" w:color="auto" w:sz="4" w:space="0"/>
              <w:left w:val="nil"/>
              <w:bottom w:val="single" w:color="auto" w:sz="4" w:space="0"/>
              <w:right w:val="single" w:color="auto" w:sz="4" w:space="0"/>
            </w:tcBorders>
            <w:noWrap w:val="0"/>
            <w:vAlign w:val="center"/>
          </w:tcPr>
          <w:p w14:paraId="79DBC6FA">
            <w:pPr>
              <w:jc w:val="center"/>
              <w:rPr>
                <w:rFonts w:ascii="宋体" w:hAnsi="宋体" w:cs="宋体"/>
                <w:color w:val="auto"/>
                <w:highlight w:val="none"/>
              </w:rPr>
            </w:pPr>
          </w:p>
        </w:tc>
        <w:tc>
          <w:tcPr>
            <w:tcW w:w="577" w:type="pct"/>
            <w:tcBorders>
              <w:top w:val="single" w:color="auto" w:sz="4" w:space="0"/>
              <w:left w:val="nil"/>
              <w:bottom w:val="single" w:color="auto" w:sz="4" w:space="0"/>
              <w:right w:val="single" w:color="auto" w:sz="4" w:space="0"/>
            </w:tcBorders>
            <w:noWrap w:val="0"/>
            <w:vAlign w:val="center"/>
          </w:tcPr>
          <w:p w14:paraId="7EFB4992">
            <w:pPr>
              <w:jc w:val="center"/>
              <w:rPr>
                <w:rFonts w:ascii="宋体" w:hAnsi="宋体" w:cs="宋体"/>
                <w:color w:val="auto"/>
                <w:highlight w:val="none"/>
              </w:rPr>
            </w:pPr>
          </w:p>
        </w:tc>
      </w:tr>
    </w:tbl>
    <w:p w14:paraId="2D3AB1C8">
      <w:pPr>
        <w:topLinePunct/>
        <w:adjustRightInd w:val="0"/>
        <w:snapToGrid w:val="0"/>
        <w:spacing w:line="276" w:lineRule="auto"/>
        <w:jc w:val="left"/>
        <w:rPr>
          <w:rFonts w:hint="eastAsia" w:ascii="宋体" w:hAnsi="宋体" w:cs="宋体"/>
          <w:color w:val="auto"/>
          <w:spacing w:val="4"/>
          <w:kern w:val="0"/>
          <w:szCs w:val="21"/>
          <w:highlight w:val="none"/>
        </w:rPr>
      </w:pPr>
      <w:r>
        <w:rPr>
          <w:rFonts w:hint="eastAsia" w:ascii="宋体" w:hAnsi="宋体" w:cs="宋体"/>
          <w:snapToGrid w:val="0"/>
          <w:color w:val="auto"/>
          <w:spacing w:val="4"/>
          <w:kern w:val="0"/>
          <w:szCs w:val="21"/>
          <w:highlight w:val="none"/>
        </w:rPr>
        <w:t>注：</w:t>
      </w:r>
      <w:r>
        <w:rPr>
          <w:rFonts w:hint="eastAsia" w:ascii="宋体" w:hAnsi="宋体" w:cs="宋体"/>
          <w:color w:val="auto"/>
          <w:spacing w:val="4"/>
          <w:kern w:val="0"/>
          <w:szCs w:val="21"/>
          <w:highlight w:val="none"/>
        </w:rPr>
        <w:t>（1）投标人同意招标人在“危险性较大的分部分项工程清单”及“超过一定规模的危险性较大的分部分项工程清单”中打“√”标识的，须在该项的“投标单位”列对应项打“√”标识并在投标文件中提供相应的安全管理措施，否则视作未按规定的格式填写，并作无效标处理。</w:t>
      </w:r>
    </w:p>
    <w:p w14:paraId="52ED9562">
      <w:pPr>
        <w:topLinePunct/>
        <w:adjustRightInd w:val="0"/>
        <w:snapToGrid w:val="0"/>
        <w:spacing w:line="276" w:lineRule="auto"/>
        <w:jc w:val="left"/>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2）“危险性较大的分部分项工程清单”及“超过一定规模的危险性较大的分部分项工程清单”中“招标人”列为空白而投标人认为需要补充打“√”标识的，须在该项的“投标单位”列对应项打“√”标识并在投标文件中提供相应的安全管理措施，否则视作未按规定的格式填写，并作无效标处理。</w:t>
      </w:r>
    </w:p>
    <w:p w14:paraId="7D97B59E">
      <w:pPr>
        <w:topLinePunct/>
        <w:adjustRightInd w:val="0"/>
        <w:snapToGrid w:val="0"/>
        <w:spacing w:line="276" w:lineRule="auto"/>
        <w:jc w:val="left"/>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3）投标人不同意招标人在“危险性较大的分部分项工程清单”及“超过一定规模的危险性较大的分部分项工程清单”中打“√”标识的，须在该项的“投标单位”对应项打“×”标识并在备注栏填上相关说明，否则视作未按规定的格式填写，并作无效标处理。</w:t>
      </w:r>
    </w:p>
    <w:p w14:paraId="4840040C">
      <w:pPr>
        <w:topLinePunct/>
        <w:adjustRightInd w:val="0"/>
        <w:snapToGrid w:val="0"/>
        <w:spacing w:line="276" w:lineRule="auto"/>
        <w:jc w:val="left"/>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4）“招标人”及“投标单位”均为空白的“危险性较大的分部分项工程清单”及“超过一定规模的危险性较大的分部分项工程清单”项，但投标单位提供了相应的安全管理措施，视作未按规定的格式填写，并作无效标处理。</w:t>
      </w:r>
    </w:p>
    <w:p w14:paraId="2964DEB9">
      <w:pPr>
        <w:topLinePunct/>
        <w:adjustRightInd w:val="0"/>
        <w:snapToGrid w:val="0"/>
        <w:spacing w:line="276" w:lineRule="auto"/>
        <w:jc w:val="left"/>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（5）“招标人”及“投标单位”均为空白的“危险性较大的分部分项工程清单”及“超过一定规模的危险性较大的分部分项工程清单”项且投标人未提供相应的安全管理措施，不作无效标处理。</w:t>
      </w:r>
    </w:p>
    <w:p w14:paraId="608F929D">
      <w:pPr>
        <w:pStyle w:val="24"/>
        <w:rPr>
          <w:color w:val="auto"/>
          <w:highlight w:val="none"/>
        </w:rPr>
      </w:pPr>
    </w:p>
    <w:p w14:paraId="2E265ADD">
      <w:pPr>
        <w:topLinePunct/>
        <w:spacing w:line="276" w:lineRule="auto"/>
        <w:ind w:firstLine="496" w:firstLineChars="200"/>
        <w:rPr>
          <w:rFonts w:ascii="宋体" w:hAnsi="宋体" w:cs="宋体"/>
          <w:snapToGrid w:val="0"/>
          <w:color w:val="auto"/>
          <w:spacing w:val="4"/>
          <w:kern w:val="0"/>
          <w:sz w:val="24"/>
          <w:szCs w:val="24"/>
          <w:highlight w:val="none"/>
        </w:rPr>
      </w:pPr>
    </w:p>
    <w:p w14:paraId="55835807">
      <w:pPr>
        <w:topLinePunct/>
        <w:spacing w:line="360" w:lineRule="auto"/>
        <w:ind w:firstLine="496" w:firstLineChars="200"/>
        <w:rPr>
          <w:rFonts w:ascii="宋体" w:hAnsi="宋体" w:cs="宋体"/>
          <w:snapToGrid w:val="0"/>
          <w:color w:val="auto"/>
          <w:spacing w:val="4"/>
          <w:kern w:val="0"/>
          <w:sz w:val="24"/>
          <w:szCs w:val="24"/>
          <w:highlight w:val="none"/>
        </w:rPr>
      </w:pPr>
    </w:p>
    <w:p w14:paraId="6F653229">
      <w:pPr>
        <w:wordWrap w:val="0"/>
        <w:topLinePunct/>
        <w:spacing w:line="360" w:lineRule="auto"/>
        <w:ind w:firstLine="496" w:firstLineChars="200"/>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w:t>
      </w:r>
      <w:r>
        <w:rPr>
          <w:rFonts w:hint="eastAsia" w:ascii="宋体" w:hAnsi="宋体" w:cs="宋体"/>
          <w:snapToGrid w:val="0"/>
          <w:color w:val="auto"/>
          <w:spacing w:val="4"/>
          <w:kern w:val="0"/>
          <w:sz w:val="24"/>
          <w:szCs w:val="24"/>
          <w:highlight w:val="none"/>
          <w:u w:val="single"/>
        </w:rPr>
        <w:t xml:space="preserve">                          </w:t>
      </w:r>
      <w:r>
        <w:rPr>
          <w:rFonts w:hint="eastAsia" w:ascii="宋体" w:hAnsi="宋体" w:cs="宋体"/>
          <w:snapToGrid w:val="0"/>
          <w:color w:val="auto"/>
          <w:spacing w:val="4"/>
          <w:kern w:val="0"/>
          <w:sz w:val="24"/>
          <w:szCs w:val="24"/>
          <w:highlight w:val="none"/>
        </w:rPr>
        <w:t>（盖章）</w:t>
      </w:r>
    </w:p>
    <w:p w14:paraId="3F547F19">
      <w:pPr>
        <w:wordWrap w:val="0"/>
        <w:ind w:right="-130" w:rightChars="-62" w:firstLine="496" w:firstLineChars="200"/>
        <w:jc w:val="both"/>
        <w:rPr>
          <w:rFonts w:hint="eastAsia" w:ascii="宋体" w:hAnsi="宋体" w:eastAsia="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日期：</w:t>
      </w:r>
    </w:p>
    <w:p w14:paraId="2726E030">
      <w:pPr>
        <w:topLinePunct/>
        <w:spacing w:line="360" w:lineRule="auto"/>
        <w:ind w:firstLine="482" w:firstLineChars="200"/>
        <w:rPr>
          <w:rFonts w:ascii="宋体" w:hAnsi="宋体" w:eastAsia="宋体" w:cs="宋体"/>
          <w:b/>
          <w:color w:val="auto"/>
          <w:sz w:val="24"/>
          <w:szCs w:val="24"/>
          <w:highlight w:val="none"/>
        </w:rPr>
      </w:pPr>
    </w:p>
    <w:p w14:paraId="504E9EC6">
      <w:pPr>
        <w:keepNext/>
        <w:keepLines/>
        <w:numPr>
          <w:ilvl w:val="0"/>
          <w:numId w:val="17"/>
        </w:numPr>
        <w:spacing w:line="360" w:lineRule="auto"/>
        <w:jc w:val="center"/>
        <w:outlineLvl w:val="1"/>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0"/>
          <w:highlight w:val="none"/>
        </w:rPr>
        <w:br w:type="page"/>
      </w:r>
      <w:bookmarkStart w:id="78" w:name="_Toc202907316"/>
      <w:bookmarkStart w:id="79" w:name="_Toc152532531"/>
      <w:r>
        <w:rPr>
          <w:rFonts w:hint="eastAsia" w:ascii="宋体" w:hAnsi="宋体" w:eastAsia="宋体" w:cs="宋体"/>
          <w:b/>
          <w:color w:val="auto"/>
          <w:kern w:val="0"/>
          <w:sz w:val="24"/>
          <w:szCs w:val="24"/>
          <w:highlight w:val="none"/>
        </w:rPr>
        <w:t>经济标投标文件格式</w:t>
      </w:r>
      <w:bookmarkEnd w:id="78"/>
      <w:bookmarkEnd w:id="79"/>
    </w:p>
    <w:p w14:paraId="1C74DD0F">
      <w:pPr>
        <w:pStyle w:val="4"/>
        <w:rPr>
          <w:color w:val="auto"/>
          <w:highlight w:val="none"/>
        </w:rPr>
      </w:pPr>
      <w:bookmarkStart w:id="80" w:name="_Toc6493862"/>
      <w:bookmarkStart w:id="81" w:name="_Toc202907317"/>
      <w:bookmarkStart w:id="82" w:name="_Toc152532532"/>
      <w:r>
        <w:rPr>
          <w:rFonts w:hint="eastAsia"/>
          <w:snapToGrid w:val="0"/>
          <w:color w:val="auto"/>
          <w:highlight w:val="none"/>
        </w:rPr>
        <w:t>格式十</w:t>
      </w:r>
      <w:bookmarkEnd w:id="80"/>
      <w:r>
        <w:rPr>
          <w:rFonts w:hint="eastAsia"/>
          <w:snapToGrid w:val="0"/>
          <w:color w:val="auto"/>
          <w:highlight w:val="none"/>
          <w:lang w:val="en-US" w:eastAsia="zh-CN"/>
        </w:rPr>
        <w:t>六</w:t>
      </w:r>
      <w:r>
        <w:rPr>
          <w:rFonts w:hint="eastAsia"/>
          <w:snapToGrid w:val="0"/>
          <w:color w:val="auto"/>
          <w:highlight w:val="none"/>
        </w:rPr>
        <w:t>：</w:t>
      </w:r>
      <w:bookmarkEnd w:id="81"/>
      <w:bookmarkEnd w:id="82"/>
    </w:p>
    <w:p w14:paraId="105110BB">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广州建设工程施工经济标招标投标书</w:t>
      </w:r>
    </w:p>
    <w:tbl>
      <w:tblPr>
        <w:tblStyle w:val="50"/>
        <w:tblpPr w:leftFromText="180" w:rightFromText="180" w:vertAnchor="text" w:horzAnchor="margin" w:tblpXSpec="center" w:tblpY="27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5528"/>
      </w:tblGrid>
      <w:tr w14:paraId="0AF4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794" w:type="dxa"/>
            <w:tcBorders>
              <w:top w:val="single" w:color="auto" w:sz="4" w:space="0"/>
              <w:left w:val="single" w:color="auto" w:sz="4" w:space="0"/>
              <w:bottom w:val="single" w:color="auto" w:sz="4" w:space="0"/>
              <w:right w:val="single" w:color="auto" w:sz="4" w:space="0"/>
            </w:tcBorders>
            <w:noWrap w:val="0"/>
            <w:vAlign w:val="center"/>
          </w:tcPr>
          <w:p w14:paraId="49CCA7DE">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工程名称</w:t>
            </w:r>
          </w:p>
        </w:tc>
        <w:tc>
          <w:tcPr>
            <w:tcW w:w="5528" w:type="dxa"/>
            <w:tcBorders>
              <w:top w:val="single" w:color="auto" w:sz="4" w:space="0"/>
              <w:left w:val="single" w:color="auto" w:sz="4" w:space="0"/>
              <w:bottom w:val="single" w:color="auto" w:sz="4" w:space="0"/>
              <w:right w:val="single" w:color="auto" w:sz="4" w:space="0"/>
            </w:tcBorders>
            <w:noWrap w:val="0"/>
            <w:vAlign w:val="center"/>
          </w:tcPr>
          <w:p w14:paraId="4749A706">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eastAsia="zh-CN"/>
              </w:rPr>
              <w:t>知识城凤凰湖-九龙湖云道项目施工总承包</w:t>
            </w:r>
          </w:p>
        </w:tc>
      </w:tr>
      <w:tr w14:paraId="7F94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794" w:type="dxa"/>
            <w:vMerge w:val="restart"/>
            <w:tcBorders>
              <w:top w:val="single" w:color="auto" w:sz="4" w:space="0"/>
              <w:left w:val="single" w:color="auto" w:sz="4" w:space="0"/>
              <w:bottom w:val="single" w:color="auto" w:sz="4" w:space="0"/>
              <w:right w:val="single" w:color="auto" w:sz="4" w:space="0"/>
            </w:tcBorders>
            <w:noWrap w:val="0"/>
            <w:vAlign w:val="center"/>
          </w:tcPr>
          <w:p w14:paraId="6940F04E">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投标总报价（元）</w:t>
            </w:r>
          </w:p>
        </w:tc>
        <w:tc>
          <w:tcPr>
            <w:tcW w:w="5528" w:type="dxa"/>
            <w:tcBorders>
              <w:top w:val="single" w:color="auto" w:sz="4" w:space="0"/>
              <w:left w:val="single" w:color="auto" w:sz="4" w:space="0"/>
              <w:bottom w:val="single" w:color="auto" w:sz="4" w:space="0"/>
              <w:right w:val="single" w:color="auto" w:sz="4" w:space="0"/>
            </w:tcBorders>
            <w:noWrap w:val="0"/>
            <w:vAlign w:val="center"/>
          </w:tcPr>
          <w:p w14:paraId="5B46449B">
            <w:pPr>
              <w:autoSpaceDE w:val="0"/>
              <w:autoSpaceDN w:val="0"/>
              <w:adjustRightInd w:val="0"/>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rPr>
              <w:t>大写：</w:t>
            </w:r>
          </w:p>
        </w:tc>
      </w:tr>
      <w:tr w14:paraId="0A9D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794" w:type="dxa"/>
            <w:vMerge w:val="continue"/>
            <w:tcBorders>
              <w:top w:val="single" w:color="auto" w:sz="4" w:space="0"/>
              <w:left w:val="single" w:color="auto" w:sz="4" w:space="0"/>
              <w:bottom w:val="single" w:color="auto" w:sz="4" w:space="0"/>
              <w:right w:val="single" w:color="auto" w:sz="4" w:space="0"/>
            </w:tcBorders>
            <w:noWrap w:val="0"/>
            <w:vAlign w:val="center"/>
          </w:tcPr>
          <w:p w14:paraId="362BE611">
            <w:pPr>
              <w:widowControl/>
              <w:jc w:val="left"/>
              <w:rPr>
                <w:rFonts w:hint="eastAsia" w:ascii="宋体" w:hAnsi="宋体" w:eastAsia="宋体" w:cs="宋体"/>
                <w:b/>
                <w:bCs/>
                <w:color w:val="auto"/>
                <w:sz w:val="24"/>
                <w:szCs w:val="24"/>
                <w:highlight w:val="none"/>
                <w:lang w:val="zh-CN"/>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14:paraId="500A9AD0">
            <w:pPr>
              <w:autoSpaceDE w:val="0"/>
              <w:autoSpaceDN w:val="0"/>
              <w:adjustRightInd w:val="0"/>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rPr>
              <w:t>小写：</w:t>
            </w:r>
          </w:p>
        </w:tc>
      </w:tr>
      <w:tr w14:paraId="7D17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794" w:type="dxa"/>
            <w:vMerge w:val="restart"/>
            <w:tcBorders>
              <w:top w:val="single" w:color="auto" w:sz="4" w:space="0"/>
              <w:left w:val="single" w:color="auto" w:sz="4" w:space="0"/>
              <w:bottom w:val="single" w:color="auto" w:sz="4" w:space="0"/>
              <w:right w:val="single" w:color="auto" w:sz="4" w:space="0"/>
            </w:tcBorders>
            <w:noWrap w:val="0"/>
            <w:vAlign w:val="center"/>
          </w:tcPr>
          <w:p w14:paraId="61CE113F">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其中：</w:t>
            </w:r>
            <w:r>
              <w:rPr>
                <w:rFonts w:hint="eastAsia" w:ascii="宋体" w:hAnsi="宋体" w:eastAsia="宋体" w:cs="宋体"/>
                <w:b/>
                <w:bCs/>
                <w:color w:val="auto"/>
                <w:sz w:val="24"/>
                <w:szCs w:val="24"/>
                <w:highlight w:val="none"/>
                <w:lang w:val="zh-CN"/>
              </w:rPr>
              <w:t>人工费</w:t>
            </w:r>
            <w:r>
              <w:rPr>
                <w:rFonts w:hint="eastAsia" w:ascii="宋体" w:hAnsi="宋体" w:eastAsia="宋体" w:cs="宋体"/>
                <w:b/>
                <w:color w:val="auto"/>
                <w:sz w:val="24"/>
                <w:szCs w:val="24"/>
                <w:highlight w:val="none"/>
                <w:lang w:val="zh-CN"/>
              </w:rPr>
              <w:t>（元）</w:t>
            </w:r>
          </w:p>
        </w:tc>
        <w:tc>
          <w:tcPr>
            <w:tcW w:w="5528" w:type="dxa"/>
            <w:tcBorders>
              <w:top w:val="single" w:color="auto" w:sz="4" w:space="0"/>
              <w:left w:val="single" w:color="auto" w:sz="4" w:space="0"/>
              <w:bottom w:val="single" w:color="auto" w:sz="4" w:space="0"/>
              <w:right w:val="single" w:color="auto" w:sz="4" w:space="0"/>
            </w:tcBorders>
            <w:noWrap w:val="0"/>
            <w:vAlign w:val="center"/>
          </w:tcPr>
          <w:p w14:paraId="18C7B006">
            <w:pPr>
              <w:autoSpaceDE w:val="0"/>
              <w:autoSpaceDN w:val="0"/>
              <w:adjustRightInd w:val="0"/>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rPr>
              <w:t>大写：</w:t>
            </w:r>
          </w:p>
        </w:tc>
      </w:tr>
      <w:tr w14:paraId="1916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794" w:type="dxa"/>
            <w:vMerge w:val="continue"/>
            <w:tcBorders>
              <w:top w:val="single" w:color="auto" w:sz="4" w:space="0"/>
              <w:left w:val="single" w:color="auto" w:sz="4" w:space="0"/>
              <w:bottom w:val="single" w:color="auto" w:sz="4" w:space="0"/>
              <w:right w:val="single" w:color="auto" w:sz="4" w:space="0"/>
            </w:tcBorders>
            <w:noWrap w:val="0"/>
            <w:vAlign w:val="center"/>
          </w:tcPr>
          <w:p w14:paraId="48708F10">
            <w:pPr>
              <w:widowControl/>
              <w:jc w:val="left"/>
              <w:rPr>
                <w:rFonts w:hint="eastAsia" w:ascii="宋体" w:hAnsi="宋体" w:eastAsia="宋体" w:cs="宋体"/>
                <w:b/>
                <w:bCs/>
                <w:color w:val="auto"/>
                <w:sz w:val="24"/>
                <w:szCs w:val="24"/>
                <w:highlight w:val="none"/>
                <w:lang w:val="zh-CN"/>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14:paraId="1A00B40B">
            <w:pPr>
              <w:autoSpaceDE w:val="0"/>
              <w:autoSpaceDN w:val="0"/>
              <w:adjustRightInd w:val="0"/>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rPr>
              <w:t>小写：</w:t>
            </w:r>
          </w:p>
        </w:tc>
      </w:tr>
      <w:tr w14:paraId="28E2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794" w:type="dxa"/>
            <w:vMerge w:val="restart"/>
            <w:tcBorders>
              <w:top w:val="single" w:color="auto" w:sz="4" w:space="0"/>
              <w:left w:val="single" w:color="auto" w:sz="4" w:space="0"/>
              <w:right w:val="single" w:color="auto" w:sz="4" w:space="0"/>
            </w:tcBorders>
            <w:noWrap w:val="0"/>
            <w:vAlign w:val="center"/>
          </w:tcPr>
          <w:p w14:paraId="26BCAD74">
            <w:pPr>
              <w:widowControl/>
              <w:jc w:val="left"/>
              <w:rPr>
                <w:rFonts w:hint="eastAsia" w:ascii="宋体" w:hAnsi="宋体" w:eastAsia="宋体" w:cs="宋体"/>
                <w:b/>
                <w:color w:val="auto"/>
                <w:sz w:val="24"/>
                <w:szCs w:val="24"/>
                <w:highlight w:val="none"/>
                <w:lang w:val="zh-CN"/>
              </w:rPr>
            </w:pPr>
            <w:r>
              <w:rPr>
                <w:rFonts w:hint="eastAsia" w:ascii="宋体" w:hAnsi="宋体" w:eastAsia="宋体" w:cs="宋体"/>
                <w:b/>
                <w:bCs/>
                <w:color w:val="auto"/>
                <w:sz w:val="24"/>
                <w:szCs w:val="24"/>
                <w:highlight w:val="none"/>
                <w:lang w:val="zh-CN"/>
              </w:rPr>
              <w:t>其中：</w:t>
            </w:r>
            <w:r>
              <w:rPr>
                <w:rFonts w:hint="eastAsia" w:ascii="宋体" w:hAnsi="宋体" w:eastAsia="宋体" w:cs="宋体"/>
                <w:b/>
                <w:bCs/>
                <w:color w:val="auto"/>
                <w:sz w:val="24"/>
                <w:szCs w:val="24"/>
                <w:highlight w:val="none"/>
                <w:lang w:val="en-US" w:eastAsia="zh-CN"/>
              </w:rPr>
              <w:t>安全生产措施费</w:t>
            </w:r>
            <w:r>
              <w:rPr>
                <w:rFonts w:hint="eastAsia" w:ascii="宋体" w:hAnsi="宋体" w:eastAsia="宋体" w:cs="宋体"/>
                <w:b/>
                <w:color w:val="auto"/>
                <w:sz w:val="24"/>
                <w:szCs w:val="24"/>
                <w:highlight w:val="none"/>
                <w:lang w:val="zh-CN"/>
              </w:rPr>
              <w:t>（元）</w:t>
            </w:r>
          </w:p>
        </w:tc>
        <w:tc>
          <w:tcPr>
            <w:tcW w:w="5528" w:type="dxa"/>
            <w:tcBorders>
              <w:top w:val="single" w:color="auto" w:sz="4" w:space="0"/>
              <w:left w:val="single" w:color="auto" w:sz="4" w:space="0"/>
              <w:bottom w:val="single" w:color="auto" w:sz="4" w:space="0"/>
              <w:right w:val="single" w:color="auto" w:sz="4" w:space="0"/>
            </w:tcBorders>
            <w:noWrap w:val="0"/>
            <w:vAlign w:val="center"/>
          </w:tcPr>
          <w:p w14:paraId="23EBE676">
            <w:pPr>
              <w:autoSpaceDE w:val="0"/>
              <w:autoSpaceDN w:val="0"/>
              <w:adjustRightInd w:val="0"/>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rPr>
              <w:t>大写：</w:t>
            </w:r>
          </w:p>
        </w:tc>
      </w:tr>
      <w:tr w14:paraId="1A75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794" w:type="dxa"/>
            <w:vMerge w:val="continue"/>
            <w:tcBorders>
              <w:left w:val="single" w:color="auto" w:sz="4" w:space="0"/>
              <w:right w:val="single" w:color="auto" w:sz="4" w:space="0"/>
            </w:tcBorders>
            <w:noWrap w:val="0"/>
            <w:vAlign w:val="center"/>
          </w:tcPr>
          <w:p w14:paraId="19FB74B9">
            <w:pPr>
              <w:widowControl/>
              <w:jc w:val="left"/>
              <w:rPr>
                <w:rFonts w:hint="eastAsia" w:ascii="宋体" w:hAnsi="宋体" w:eastAsia="宋体" w:cs="宋体"/>
                <w:b/>
                <w:bCs/>
                <w:color w:val="auto"/>
                <w:sz w:val="24"/>
                <w:szCs w:val="24"/>
                <w:highlight w:val="none"/>
                <w:lang w:val="zh-CN"/>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14:paraId="614D295F">
            <w:pPr>
              <w:autoSpaceDE w:val="0"/>
              <w:autoSpaceDN w:val="0"/>
              <w:adjustRightInd w:val="0"/>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rPr>
              <w:t>小写：</w:t>
            </w:r>
          </w:p>
        </w:tc>
      </w:tr>
      <w:tr w14:paraId="26D1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794" w:type="dxa"/>
            <w:vMerge w:val="restart"/>
            <w:tcBorders>
              <w:left w:val="single" w:color="auto" w:sz="4" w:space="0"/>
              <w:right w:val="single" w:color="auto" w:sz="4" w:space="0"/>
            </w:tcBorders>
            <w:noWrap w:val="0"/>
            <w:vAlign w:val="center"/>
          </w:tcPr>
          <w:p w14:paraId="170A9EC2">
            <w:pPr>
              <w:widowControl/>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其中： 暂列金额</w:t>
            </w:r>
            <w:r>
              <w:rPr>
                <w:rFonts w:hint="eastAsia" w:ascii="宋体" w:hAnsi="宋体" w:eastAsia="宋体" w:cs="宋体"/>
                <w:b/>
                <w:color w:val="auto"/>
                <w:sz w:val="24"/>
                <w:szCs w:val="24"/>
                <w:highlight w:val="none"/>
                <w:lang w:val="zh-CN"/>
              </w:rPr>
              <w:t>（元）</w:t>
            </w:r>
          </w:p>
        </w:tc>
        <w:tc>
          <w:tcPr>
            <w:tcW w:w="5528" w:type="dxa"/>
            <w:tcBorders>
              <w:top w:val="single" w:color="auto" w:sz="4" w:space="0"/>
              <w:left w:val="single" w:color="auto" w:sz="4" w:space="0"/>
              <w:bottom w:val="single" w:color="auto" w:sz="4" w:space="0"/>
              <w:right w:val="single" w:color="auto" w:sz="4" w:space="0"/>
            </w:tcBorders>
            <w:noWrap w:val="0"/>
            <w:vAlign w:val="center"/>
          </w:tcPr>
          <w:p w14:paraId="308DA83E">
            <w:pPr>
              <w:autoSpaceDE w:val="0"/>
              <w:autoSpaceDN w:val="0"/>
              <w:adjustRightInd w:val="0"/>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rPr>
              <w:t>大写：</w:t>
            </w:r>
          </w:p>
        </w:tc>
      </w:tr>
      <w:tr w14:paraId="4906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794" w:type="dxa"/>
            <w:vMerge w:val="continue"/>
            <w:tcBorders>
              <w:left w:val="single" w:color="auto" w:sz="4" w:space="0"/>
              <w:right w:val="single" w:color="auto" w:sz="4" w:space="0"/>
            </w:tcBorders>
            <w:noWrap w:val="0"/>
            <w:vAlign w:val="center"/>
          </w:tcPr>
          <w:p w14:paraId="10F0CB1E">
            <w:pPr>
              <w:widowControl/>
              <w:jc w:val="left"/>
              <w:rPr>
                <w:rFonts w:hint="eastAsia" w:ascii="宋体" w:hAnsi="宋体" w:eastAsia="宋体" w:cs="宋体"/>
                <w:b/>
                <w:bCs/>
                <w:color w:val="auto"/>
                <w:sz w:val="24"/>
                <w:szCs w:val="24"/>
                <w:highlight w:val="none"/>
                <w:lang w:val="zh-CN"/>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14:paraId="492CE19B">
            <w:pPr>
              <w:autoSpaceDE w:val="0"/>
              <w:autoSpaceDN w:val="0"/>
              <w:adjustRightInd w:val="0"/>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rPr>
              <w:t>小写：</w:t>
            </w:r>
          </w:p>
        </w:tc>
      </w:tr>
    </w:tbl>
    <w:p w14:paraId="26163206">
      <w:pPr>
        <w:pStyle w:val="4"/>
        <w:rPr>
          <w:bCs/>
          <w:color w:val="auto"/>
          <w:highlight w:val="none"/>
        </w:rPr>
      </w:pPr>
      <w:r>
        <w:rPr>
          <w:rFonts w:hint="eastAsia" w:cs="宋体"/>
          <w:color w:val="auto"/>
          <w:highlight w:val="none"/>
        </w:rPr>
        <w:br w:type="page"/>
      </w:r>
      <w:bookmarkStart w:id="83" w:name="_Toc6493863"/>
      <w:bookmarkStart w:id="84" w:name="_Toc202907318"/>
      <w:bookmarkStart w:id="85" w:name="_Toc152532533"/>
      <w:r>
        <w:rPr>
          <w:rFonts w:hint="eastAsia"/>
          <w:snapToGrid w:val="0"/>
          <w:color w:val="auto"/>
          <w:highlight w:val="none"/>
        </w:rPr>
        <w:t>格式</w:t>
      </w:r>
      <w:bookmarkEnd w:id="83"/>
      <w:r>
        <w:rPr>
          <w:rFonts w:hint="eastAsia"/>
          <w:snapToGrid w:val="0"/>
          <w:color w:val="auto"/>
          <w:highlight w:val="none"/>
        </w:rPr>
        <w:t>十</w:t>
      </w:r>
      <w:r>
        <w:rPr>
          <w:rFonts w:hint="eastAsia"/>
          <w:snapToGrid w:val="0"/>
          <w:color w:val="auto"/>
          <w:highlight w:val="none"/>
          <w:lang w:val="en-US" w:eastAsia="zh-CN"/>
        </w:rPr>
        <w:t>七</w:t>
      </w:r>
      <w:r>
        <w:rPr>
          <w:rFonts w:hint="eastAsia"/>
          <w:snapToGrid w:val="0"/>
          <w:color w:val="auto"/>
          <w:highlight w:val="none"/>
        </w:rPr>
        <w:t>：</w:t>
      </w:r>
      <w:bookmarkEnd w:id="84"/>
      <w:bookmarkEnd w:id="85"/>
    </w:p>
    <w:p w14:paraId="25B0B08E">
      <w:pPr>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参与编制经济标投标文件人员名单</w:t>
      </w: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454"/>
        <w:gridCol w:w="3417"/>
        <w:gridCol w:w="2383"/>
        <w:gridCol w:w="1433"/>
        <w:gridCol w:w="24"/>
      </w:tblGrid>
      <w:tr w14:paraId="4A07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6"/>
            <w:vAlign w:val="center"/>
          </w:tcPr>
          <w:p w14:paraId="2ACB7366">
            <w:pPr>
              <w:tabs>
                <w:tab w:val="left" w:pos="720"/>
              </w:tabs>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w:t>
            </w:r>
          </w:p>
        </w:tc>
      </w:tr>
      <w:tr w14:paraId="7313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62" w:hRule="atLeast"/>
        </w:trPr>
        <w:tc>
          <w:tcPr>
            <w:tcW w:w="628" w:type="pct"/>
            <w:vAlign w:val="center"/>
          </w:tcPr>
          <w:p w14:paraId="20FDA54A">
            <w:pPr>
              <w:tabs>
                <w:tab w:val="left" w:pos="720"/>
              </w:tabs>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30" w:type="pct"/>
            <w:vAlign w:val="center"/>
          </w:tcPr>
          <w:p w14:paraId="6BFD5676">
            <w:pPr>
              <w:tabs>
                <w:tab w:val="left" w:pos="720"/>
              </w:tabs>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715" w:type="pct"/>
            <w:vAlign w:val="center"/>
          </w:tcPr>
          <w:p w14:paraId="4D7D3605">
            <w:pPr>
              <w:tabs>
                <w:tab w:val="left" w:pos="720"/>
              </w:tabs>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所承担工作</w:t>
            </w:r>
          </w:p>
        </w:tc>
        <w:tc>
          <w:tcPr>
            <w:tcW w:w="1196" w:type="pct"/>
            <w:vAlign w:val="center"/>
          </w:tcPr>
          <w:p w14:paraId="3A4DEF92">
            <w:pPr>
              <w:tabs>
                <w:tab w:val="left" w:pos="720"/>
              </w:tabs>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719" w:type="pct"/>
            <w:vAlign w:val="center"/>
          </w:tcPr>
          <w:p w14:paraId="62D3024F">
            <w:pPr>
              <w:tabs>
                <w:tab w:val="left" w:pos="720"/>
              </w:tabs>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本人签名栏</w:t>
            </w:r>
          </w:p>
        </w:tc>
      </w:tr>
      <w:tr w14:paraId="6B15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68" w:hRule="atLeast"/>
        </w:trPr>
        <w:tc>
          <w:tcPr>
            <w:tcW w:w="628" w:type="pct"/>
            <w:vAlign w:val="center"/>
          </w:tcPr>
          <w:p w14:paraId="68528B6C">
            <w:pPr>
              <w:tabs>
                <w:tab w:val="left" w:pos="720"/>
              </w:tabs>
              <w:spacing w:line="360" w:lineRule="auto"/>
              <w:jc w:val="center"/>
              <w:rPr>
                <w:rFonts w:ascii="宋体" w:hAnsi="宋体" w:eastAsia="宋体" w:cs="宋体"/>
                <w:color w:val="auto"/>
                <w:sz w:val="24"/>
                <w:szCs w:val="24"/>
                <w:highlight w:val="none"/>
              </w:rPr>
            </w:pPr>
          </w:p>
        </w:tc>
        <w:tc>
          <w:tcPr>
            <w:tcW w:w="730" w:type="pct"/>
            <w:vAlign w:val="center"/>
          </w:tcPr>
          <w:p w14:paraId="1D2E3DCA">
            <w:pPr>
              <w:tabs>
                <w:tab w:val="left" w:pos="720"/>
              </w:tabs>
              <w:spacing w:line="360" w:lineRule="auto"/>
              <w:jc w:val="center"/>
              <w:rPr>
                <w:rFonts w:ascii="宋体" w:hAnsi="宋体" w:eastAsia="宋体" w:cs="宋体"/>
                <w:color w:val="auto"/>
                <w:sz w:val="24"/>
                <w:szCs w:val="24"/>
                <w:highlight w:val="none"/>
              </w:rPr>
            </w:pPr>
          </w:p>
        </w:tc>
        <w:tc>
          <w:tcPr>
            <w:tcW w:w="1715" w:type="pct"/>
            <w:vAlign w:val="center"/>
          </w:tcPr>
          <w:p w14:paraId="28314F4D">
            <w:pPr>
              <w:tabs>
                <w:tab w:val="left" w:pos="720"/>
              </w:tabs>
              <w:spacing w:line="360" w:lineRule="auto"/>
              <w:jc w:val="center"/>
              <w:rPr>
                <w:rFonts w:ascii="宋体" w:hAnsi="宋体" w:eastAsia="宋体" w:cs="宋体"/>
                <w:color w:val="auto"/>
                <w:sz w:val="24"/>
                <w:szCs w:val="24"/>
                <w:highlight w:val="none"/>
              </w:rPr>
            </w:pPr>
          </w:p>
        </w:tc>
        <w:tc>
          <w:tcPr>
            <w:tcW w:w="1196" w:type="pct"/>
            <w:vAlign w:val="center"/>
          </w:tcPr>
          <w:p w14:paraId="7106D815">
            <w:pPr>
              <w:tabs>
                <w:tab w:val="left" w:pos="720"/>
              </w:tabs>
              <w:spacing w:line="360" w:lineRule="auto"/>
              <w:jc w:val="center"/>
              <w:rPr>
                <w:rFonts w:ascii="宋体" w:hAnsi="宋体" w:eastAsia="宋体" w:cs="宋体"/>
                <w:color w:val="auto"/>
                <w:sz w:val="24"/>
                <w:szCs w:val="24"/>
                <w:highlight w:val="none"/>
              </w:rPr>
            </w:pPr>
          </w:p>
        </w:tc>
        <w:tc>
          <w:tcPr>
            <w:tcW w:w="719" w:type="pct"/>
            <w:vAlign w:val="center"/>
          </w:tcPr>
          <w:p w14:paraId="2BB047EE">
            <w:pPr>
              <w:tabs>
                <w:tab w:val="left" w:pos="720"/>
              </w:tabs>
              <w:spacing w:line="360" w:lineRule="auto"/>
              <w:jc w:val="center"/>
              <w:rPr>
                <w:rFonts w:ascii="宋体" w:hAnsi="宋体" w:eastAsia="宋体" w:cs="宋体"/>
                <w:color w:val="auto"/>
                <w:sz w:val="24"/>
                <w:szCs w:val="24"/>
                <w:highlight w:val="none"/>
              </w:rPr>
            </w:pPr>
          </w:p>
        </w:tc>
      </w:tr>
      <w:tr w14:paraId="4E30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46" w:hRule="atLeast"/>
        </w:trPr>
        <w:tc>
          <w:tcPr>
            <w:tcW w:w="628" w:type="pct"/>
            <w:vAlign w:val="center"/>
          </w:tcPr>
          <w:p w14:paraId="656E3C57">
            <w:pPr>
              <w:tabs>
                <w:tab w:val="left" w:pos="720"/>
              </w:tabs>
              <w:spacing w:line="360" w:lineRule="auto"/>
              <w:jc w:val="center"/>
              <w:rPr>
                <w:rFonts w:ascii="宋体" w:hAnsi="宋体" w:eastAsia="宋体" w:cs="宋体"/>
                <w:color w:val="auto"/>
                <w:sz w:val="24"/>
                <w:szCs w:val="24"/>
                <w:highlight w:val="none"/>
              </w:rPr>
            </w:pPr>
          </w:p>
        </w:tc>
        <w:tc>
          <w:tcPr>
            <w:tcW w:w="730" w:type="pct"/>
            <w:vAlign w:val="center"/>
          </w:tcPr>
          <w:p w14:paraId="64CA7DD6">
            <w:pPr>
              <w:tabs>
                <w:tab w:val="left" w:pos="720"/>
              </w:tabs>
              <w:spacing w:line="360" w:lineRule="auto"/>
              <w:jc w:val="center"/>
              <w:rPr>
                <w:rFonts w:ascii="宋体" w:hAnsi="宋体" w:eastAsia="宋体" w:cs="宋体"/>
                <w:color w:val="auto"/>
                <w:sz w:val="24"/>
                <w:szCs w:val="24"/>
                <w:highlight w:val="none"/>
              </w:rPr>
            </w:pPr>
          </w:p>
        </w:tc>
        <w:tc>
          <w:tcPr>
            <w:tcW w:w="1715" w:type="pct"/>
            <w:vAlign w:val="center"/>
          </w:tcPr>
          <w:p w14:paraId="7E87128B">
            <w:pPr>
              <w:tabs>
                <w:tab w:val="left" w:pos="720"/>
              </w:tabs>
              <w:spacing w:line="360" w:lineRule="auto"/>
              <w:jc w:val="center"/>
              <w:rPr>
                <w:rFonts w:ascii="宋体" w:hAnsi="宋体" w:eastAsia="宋体" w:cs="宋体"/>
                <w:color w:val="auto"/>
                <w:sz w:val="24"/>
                <w:szCs w:val="24"/>
                <w:highlight w:val="none"/>
              </w:rPr>
            </w:pPr>
          </w:p>
        </w:tc>
        <w:tc>
          <w:tcPr>
            <w:tcW w:w="1196" w:type="pct"/>
            <w:vAlign w:val="center"/>
          </w:tcPr>
          <w:p w14:paraId="088C6306">
            <w:pPr>
              <w:tabs>
                <w:tab w:val="left" w:pos="720"/>
              </w:tabs>
              <w:spacing w:line="360" w:lineRule="auto"/>
              <w:jc w:val="center"/>
              <w:rPr>
                <w:rFonts w:ascii="宋体" w:hAnsi="宋体" w:eastAsia="宋体" w:cs="宋体"/>
                <w:color w:val="auto"/>
                <w:sz w:val="24"/>
                <w:szCs w:val="24"/>
                <w:highlight w:val="none"/>
              </w:rPr>
            </w:pPr>
          </w:p>
        </w:tc>
        <w:tc>
          <w:tcPr>
            <w:tcW w:w="719" w:type="pct"/>
            <w:vAlign w:val="center"/>
          </w:tcPr>
          <w:p w14:paraId="7AD034B6">
            <w:pPr>
              <w:tabs>
                <w:tab w:val="left" w:pos="720"/>
              </w:tabs>
              <w:spacing w:line="360" w:lineRule="auto"/>
              <w:jc w:val="center"/>
              <w:rPr>
                <w:rFonts w:ascii="宋体" w:hAnsi="宋体" w:eastAsia="宋体" w:cs="宋体"/>
                <w:color w:val="auto"/>
                <w:sz w:val="24"/>
                <w:szCs w:val="24"/>
                <w:highlight w:val="none"/>
              </w:rPr>
            </w:pPr>
          </w:p>
        </w:tc>
      </w:tr>
      <w:tr w14:paraId="69C6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46" w:hRule="atLeast"/>
        </w:trPr>
        <w:tc>
          <w:tcPr>
            <w:tcW w:w="628" w:type="pct"/>
            <w:vAlign w:val="center"/>
          </w:tcPr>
          <w:p w14:paraId="7816A469">
            <w:pPr>
              <w:tabs>
                <w:tab w:val="left" w:pos="720"/>
              </w:tabs>
              <w:spacing w:line="360" w:lineRule="auto"/>
              <w:jc w:val="center"/>
              <w:rPr>
                <w:rFonts w:ascii="宋体" w:hAnsi="宋体" w:eastAsia="宋体" w:cs="宋体"/>
                <w:color w:val="auto"/>
                <w:sz w:val="24"/>
                <w:szCs w:val="24"/>
                <w:highlight w:val="none"/>
              </w:rPr>
            </w:pPr>
          </w:p>
        </w:tc>
        <w:tc>
          <w:tcPr>
            <w:tcW w:w="730" w:type="pct"/>
            <w:vAlign w:val="center"/>
          </w:tcPr>
          <w:p w14:paraId="1E40DDBC">
            <w:pPr>
              <w:tabs>
                <w:tab w:val="left" w:pos="720"/>
              </w:tabs>
              <w:spacing w:line="360" w:lineRule="auto"/>
              <w:jc w:val="center"/>
              <w:rPr>
                <w:rFonts w:ascii="宋体" w:hAnsi="宋体" w:eastAsia="宋体" w:cs="宋体"/>
                <w:color w:val="auto"/>
                <w:sz w:val="24"/>
                <w:szCs w:val="24"/>
                <w:highlight w:val="none"/>
              </w:rPr>
            </w:pPr>
          </w:p>
        </w:tc>
        <w:tc>
          <w:tcPr>
            <w:tcW w:w="1715" w:type="pct"/>
            <w:vAlign w:val="center"/>
          </w:tcPr>
          <w:p w14:paraId="6EEA2BE8">
            <w:pPr>
              <w:tabs>
                <w:tab w:val="left" w:pos="720"/>
              </w:tabs>
              <w:spacing w:line="360" w:lineRule="auto"/>
              <w:jc w:val="center"/>
              <w:rPr>
                <w:rFonts w:ascii="宋体" w:hAnsi="宋体" w:eastAsia="宋体" w:cs="宋体"/>
                <w:color w:val="auto"/>
                <w:sz w:val="24"/>
                <w:szCs w:val="24"/>
                <w:highlight w:val="none"/>
              </w:rPr>
            </w:pPr>
          </w:p>
        </w:tc>
        <w:tc>
          <w:tcPr>
            <w:tcW w:w="1196" w:type="pct"/>
            <w:vAlign w:val="center"/>
          </w:tcPr>
          <w:p w14:paraId="125C44A4">
            <w:pPr>
              <w:tabs>
                <w:tab w:val="left" w:pos="720"/>
              </w:tabs>
              <w:spacing w:line="360" w:lineRule="auto"/>
              <w:jc w:val="center"/>
              <w:rPr>
                <w:rFonts w:ascii="宋体" w:hAnsi="宋体" w:eastAsia="宋体" w:cs="宋体"/>
                <w:color w:val="auto"/>
                <w:sz w:val="24"/>
                <w:szCs w:val="24"/>
                <w:highlight w:val="none"/>
              </w:rPr>
            </w:pPr>
          </w:p>
        </w:tc>
        <w:tc>
          <w:tcPr>
            <w:tcW w:w="719" w:type="pct"/>
            <w:vAlign w:val="center"/>
          </w:tcPr>
          <w:p w14:paraId="10205C08">
            <w:pPr>
              <w:tabs>
                <w:tab w:val="left" w:pos="720"/>
              </w:tabs>
              <w:spacing w:line="360" w:lineRule="auto"/>
              <w:jc w:val="center"/>
              <w:rPr>
                <w:rFonts w:ascii="宋体" w:hAnsi="宋体" w:eastAsia="宋体" w:cs="宋体"/>
                <w:color w:val="auto"/>
                <w:sz w:val="24"/>
                <w:szCs w:val="24"/>
                <w:highlight w:val="none"/>
              </w:rPr>
            </w:pPr>
          </w:p>
        </w:tc>
      </w:tr>
      <w:tr w14:paraId="4D54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46" w:hRule="atLeast"/>
        </w:trPr>
        <w:tc>
          <w:tcPr>
            <w:tcW w:w="628" w:type="pct"/>
            <w:vAlign w:val="center"/>
          </w:tcPr>
          <w:p w14:paraId="0F7E8C74">
            <w:pPr>
              <w:tabs>
                <w:tab w:val="left" w:pos="720"/>
              </w:tabs>
              <w:spacing w:line="360" w:lineRule="auto"/>
              <w:jc w:val="center"/>
              <w:rPr>
                <w:rFonts w:ascii="宋体" w:hAnsi="宋体" w:eastAsia="宋体" w:cs="宋体"/>
                <w:color w:val="auto"/>
                <w:sz w:val="24"/>
                <w:szCs w:val="24"/>
                <w:highlight w:val="none"/>
              </w:rPr>
            </w:pPr>
          </w:p>
        </w:tc>
        <w:tc>
          <w:tcPr>
            <w:tcW w:w="730" w:type="pct"/>
            <w:vAlign w:val="center"/>
          </w:tcPr>
          <w:p w14:paraId="3B185C35">
            <w:pPr>
              <w:tabs>
                <w:tab w:val="left" w:pos="720"/>
              </w:tabs>
              <w:spacing w:line="360" w:lineRule="auto"/>
              <w:jc w:val="center"/>
              <w:rPr>
                <w:rFonts w:ascii="宋体" w:hAnsi="宋体" w:eastAsia="宋体" w:cs="宋体"/>
                <w:color w:val="auto"/>
                <w:sz w:val="24"/>
                <w:szCs w:val="24"/>
                <w:highlight w:val="none"/>
              </w:rPr>
            </w:pPr>
          </w:p>
        </w:tc>
        <w:tc>
          <w:tcPr>
            <w:tcW w:w="1715" w:type="pct"/>
            <w:vAlign w:val="center"/>
          </w:tcPr>
          <w:p w14:paraId="54FFC4F2">
            <w:pPr>
              <w:tabs>
                <w:tab w:val="left" w:pos="720"/>
              </w:tabs>
              <w:spacing w:line="360" w:lineRule="auto"/>
              <w:jc w:val="center"/>
              <w:rPr>
                <w:rFonts w:ascii="宋体" w:hAnsi="宋体" w:eastAsia="宋体" w:cs="宋体"/>
                <w:color w:val="auto"/>
                <w:sz w:val="24"/>
                <w:szCs w:val="24"/>
                <w:highlight w:val="none"/>
              </w:rPr>
            </w:pPr>
          </w:p>
        </w:tc>
        <w:tc>
          <w:tcPr>
            <w:tcW w:w="1196" w:type="pct"/>
            <w:vAlign w:val="center"/>
          </w:tcPr>
          <w:p w14:paraId="12605980">
            <w:pPr>
              <w:tabs>
                <w:tab w:val="left" w:pos="720"/>
              </w:tabs>
              <w:spacing w:line="360" w:lineRule="auto"/>
              <w:jc w:val="center"/>
              <w:rPr>
                <w:rFonts w:ascii="宋体" w:hAnsi="宋体" w:eastAsia="宋体" w:cs="宋体"/>
                <w:color w:val="auto"/>
                <w:sz w:val="24"/>
                <w:szCs w:val="24"/>
                <w:highlight w:val="none"/>
              </w:rPr>
            </w:pPr>
          </w:p>
        </w:tc>
        <w:tc>
          <w:tcPr>
            <w:tcW w:w="719" w:type="pct"/>
            <w:vAlign w:val="center"/>
          </w:tcPr>
          <w:p w14:paraId="40377C60">
            <w:pPr>
              <w:tabs>
                <w:tab w:val="left" w:pos="720"/>
              </w:tabs>
              <w:spacing w:line="360" w:lineRule="auto"/>
              <w:jc w:val="center"/>
              <w:rPr>
                <w:rFonts w:ascii="宋体" w:hAnsi="宋体" w:eastAsia="宋体" w:cs="宋体"/>
                <w:color w:val="auto"/>
                <w:sz w:val="24"/>
                <w:szCs w:val="24"/>
                <w:highlight w:val="none"/>
              </w:rPr>
            </w:pPr>
          </w:p>
        </w:tc>
      </w:tr>
      <w:tr w14:paraId="1496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46" w:hRule="atLeast"/>
        </w:trPr>
        <w:tc>
          <w:tcPr>
            <w:tcW w:w="628" w:type="pct"/>
            <w:vAlign w:val="center"/>
          </w:tcPr>
          <w:p w14:paraId="71FF4F69">
            <w:pPr>
              <w:tabs>
                <w:tab w:val="left" w:pos="720"/>
              </w:tabs>
              <w:spacing w:line="360" w:lineRule="auto"/>
              <w:jc w:val="center"/>
              <w:rPr>
                <w:rFonts w:ascii="宋体" w:hAnsi="宋体" w:eastAsia="宋体" w:cs="宋体"/>
                <w:color w:val="auto"/>
                <w:sz w:val="24"/>
                <w:szCs w:val="24"/>
                <w:highlight w:val="none"/>
              </w:rPr>
            </w:pPr>
          </w:p>
        </w:tc>
        <w:tc>
          <w:tcPr>
            <w:tcW w:w="730" w:type="pct"/>
            <w:vAlign w:val="center"/>
          </w:tcPr>
          <w:p w14:paraId="1299A42A">
            <w:pPr>
              <w:tabs>
                <w:tab w:val="left" w:pos="720"/>
              </w:tabs>
              <w:spacing w:line="360" w:lineRule="auto"/>
              <w:jc w:val="center"/>
              <w:rPr>
                <w:rFonts w:ascii="宋体" w:hAnsi="宋体" w:eastAsia="宋体" w:cs="宋体"/>
                <w:color w:val="auto"/>
                <w:sz w:val="24"/>
                <w:szCs w:val="24"/>
                <w:highlight w:val="none"/>
              </w:rPr>
            </w:pPr>
          </w:p>
        </w:tc>
        <w:tc>
          <w:tcPr>
            <w:tcW w:w="1715" w:type="pct"/>
            <w:vAlign w:val="center"/>
          </w:tcPr>
          <w:p w14:paraId="09ABA97B">
            <w:pPr>
              <w:tabs>
                <w:tab w:val="left" w:pos="720"/>
              </w:tabs>
              <w:spacing w:line="360" w:lineRule="auto"/>
              <w:jc w:val="center"/>
              <w:rPr>
                <w:rFonts w:ascii="宋体" w:hAnsi="宋体" w:eastAsia="宋体" w:cs="宋体"/>
                <w:color w:val="auto"/>
                <w:sz w:val="24"/>
                <w:szCs w:val="24"/>
                <w:highlight w:val="none"/>
              </w:rPr>
            </w:pPr>
          </w:p>
        </w:tc>
        <w:tc>
          <w:tcPr>
            <w:tcW w:w="1196" w:type="pct"/>
            <w:vAlign w:val="center"/>
          </w:tcPr>
          <w:p w14:paraId="2FE8C144">
            <w:pPr>
              <w:tabs>
                <w:tab w:val="left" w:pos="720"/>
              </w:tabs>
              <w:spacing w:line="360" w:lineRule="auto"/>
              <w:jc w:val="center"/>
              <w:rPr>
                <w:rFonts w:ascii="宋体" w:hAnsi="宋体" w:eastAsia="宋体" w:cs="宋体"/>
                <w:color w:val="auto"/>
                <w:sz w:val="24"/>
                <w:szCs w:val="24"/>
                <w:highlight w:val="none"/>
              </w:rPr>
            </w:pPr>
          </w:p>
        </w:tc>
        <w:tc>
          <w:tcPr>
            <w:tcW w:w="719" w:type="pct"/>
            <w:vAlign w:val="center"/>
          </w:tcPr>
          <w:p w14:paraId="25044705">
            <w:pPr>
              <w:tabs>
                <w:tab w:val="left" w:pos="720"/>
              </w:tabs>
              <w:spacing w:line="360" w:lineRule="auto"/>
              <w:jc w:val="center"/>
              <w:rPr>
                <w:rFonts w:ascii="宋体" w:hAnsi="宋体" w:eastAsia="宋体" w:cs="宋体"/>
                <w:color w:val="auto"/>
                <w:sz w:val="24"/>
                <w:szCs w:val="24"/>
                <w:highlight w:val="none"/>
              </w:rPr>
            </w:pPr>
          </w:p>
        </w:tc>
      </w:tr>
      <w:tr w14:paraId="10E1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46" w:hRule="atLeast"/>
        </w:trPr>
        <w:tc>
          <w:tcPr>
            <w:tcW w:w="628" w:type="pct"/>
            <w:vAlign w:val="center"/>
          </w:tcPr>
          <w:p w14:paraId="390BE4AB">
            <w:pPr>
              <w:tabs>
                <w:tab w:val="left" w:pos="720"/>
              </w:tabs>
              <w:spacing w:line="360" w:lineRule="auto"/>
              <w:jc w:val="center"/>
              <w:rPr>
                <w:rFonts w:ascii="宋体" w:hAnsi="宋体" w:eastAsia="宋体" w:cs="宋体"/>
                <w:color w:val="auto"/>
                <w:sz w:val="24"/>
                <w:szCs w:val="24"/>
                <w:highlight w:val="none"/>
              </w:rPr>
            </w:pPr>
          </w:p>
        </w:tc>
        <w:tc>
          <w:tcPr>
            <w:tcW w:w="730" w:type="pct"/>
            <w:vAlign w:val="center"/>
          </w:tcPr>
          <w:p w14:paraId="6B00E000">
            <w:pPr>
              <w:tabs>
                <w:tab w:val="left" w:pos="720"/>
              </w:tabs>
              <w:spacing w:line="360" w:lineRule="auto"/>
              <w:jc w:val="center"/>
              <w:rPr>
                <w:rFonts w:ascii="宋体" w:hAnsi="宋体" w:eastAsia="宋体" w:cs="宋体"/>
                <w:color w:val="auto"/>
                <w:sz w:val="24"/>
                <w:szCs w:val="24"/>
                <w:highlight w:val="none"/>
              </w:rPr>
            </w:pPr>
          </w:p>
        </w:tc>
        <w:tc>
          <w:tcPr>
            <w:tcW w:w="1715" w:type="pct"/>
            <w:vAlign w:val="center"/>
          </w:tcPr>
          <w:p w14:paraId="43798F8D">
            <w:pPr>
              <w:tabs>
                <w:tab w:val="left" w:pos="720"/>
              </w:tabs>
              <w:spacing w:line="360" w:lineRule="auto"/>
              <w:jc w:val="center"/>
              <w:rPr>
                <w:rFonts w:ascii="宋体" w:hAnsi="宋体" w:eastAsia="宋体" w:cs="宋体"/>
                <w:color w:val="auto"/>
                <w:sz w:val="24"/>
                <w:szCs w:val="24"/>
                <w:highlight w:val="none"/>
              </w:rPr>
            </w:pPr>
          </w:p>
        </w:tc>
        <w:tc>
          <w:tcPr>
            <w:tcW w:w="1196" w:type="pct"/>
            <w:vAlign w:val="center"/>
          </w:tcPr>
          <w:p w14:paraId="0F53E9BA">
            <w:pPr>
              <w:tabs>
                <w:tab w:val="left" w:pos="720"/>
              </w:tabs>
              <w:spacing w:line="360" w:lineRule="auto"/>
              <w:jc w:val="center"/>
              <w:rPr>
                <w:rFonts w:ascii="宋体" w:hAnsi="宋体" w:eastAsia="宋体" w:cs="宋体"/>
                <w:color w:val="auto"/>
                <w:sz w:val="24"/>
                <w:szCs w:val="24"/>
                <w:highlight w:val="none"/>
              </w:rPr>
            </w:pPr>
          </w:p>
        </w:tc>
        <w:tc>
          <w:tcPr>
            <w:tcW w:w="719" w:type="pct"/>
            <w:vAlign w:val="center"/>
          </w:tcPr>
          <w:p w14:paraId="78A364A3">
            <w:pPr>
              <w:tabs>
                <w:tab w:val="left" w:pos="720"/>
              </w:tabs>
              <w:spacing w:line="360" w:lineRule="auto"/>
              <w:jc w:val="center"/>
              <w:rPr>
                <w:rFonts w:ascii="宋体" w:hAnsi="宋体" w:eastAsia="宋体" w:cs="宋体"/>
                <w:color w:val="auto"/>
                <w:sz w:val="24"/>
                <w:szCs w:val="24"/>
                <w:highlight w:val="none"/>
              </w:rPr>
            </w:pPr>
          </w:p>
        </w:tc>
      </w:tr>
      <w:tr w14:paraId="3235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52" w:hRule="atLeast"/>
        </w:trPr>
        <w:tc>
          <w:tcPr>
            <w:tcW w:w="628" w:type="pct"/>
            <w:vAlign w:val="center"/>
          </w:tcPr>
          <w:p w14:paraId="0974CB64">
            <w:pPr>
              <w:tabs>
                <w:tab w:val="left" w:pos="720"/>
              </w:tabs>
              <w:spacing w:line="360" w:lineRule="auto"/>
              <w:jc w:val="center"/>
              <w:rPr>
                <w:rFonts w:ascii="宋体" w:hAnsi="宋体" w:eastAsia="宋体" w:cs="宋体"/>
                <w:color w:val="auto"/>
                <w:sz w:val="24"/>
                <w:szCs w:val="24"/>
                <w:highlight w:val="none"/>
              </w:rPr>
            </w:pPr>
          </w:p>
        </w:tc>
        <w:tc>
          <w:tcPr>
            <w:tcW w:w="730" w:type="pct"/>
            <w:vAlign w:val="center"/>
          </w:tcPr>
          <w:p w14:paraId="119791EE">
            <w:pPr>
              <w:tabs>
                <w:tab w:val="left" w:pos="720"/>
              </w:tabs>
              <w:spacing w:line="360" w:lineRule="auto"/>
              <w:jc w:val="center"/>
              <w:rPr>
                <w:rFonts w:ascii="宋体" w:hAnsi="宋体" w:eastAsia="宋体" w:cs="宋体"/>
                <w:color w:val="auto"/>
                <w:sz w:val="24"/>
                <w:szCs w:val="24"/>
                <w:highlight w:val="none"/>
              </w:rPr>
            </w:pPr>
          </w:p>
        </w:tc>
        <w:tc>
          <w:tcPr>
            <w:tcW w:w="1715" w:type="pct"/>
            <w:vAlign w:val="center"/>
          </w:tcPr>
          <w:p w14:paraId="1A8F5129">
            <w:pPr>
              <w:tabs>
                <w:tab w:val="left" w:pos="720"/>
              </w:tabs>
              <w:spacing w:line="360" w:lineRule="auto"/>
              <w:jc w:val="center"/>
              <w:rPr>
                <w:rFonts w:ascii="宋体" w:hAnsi="宋体" w:eastAsia="宋体" w:cs="宋体"/>
                <w:color w:val="auto"/>
                <w:sz w:val="24"/>
                <w:szCs w:val="24"/>
                <w:highlight w:val="none"/>
              </w:rPr>
            </w:pPr>
          </w:p>
        </w:tc>
        <w:tc>
          <w:tcPr>
            <w:tcW w:w="1196" w:type="pct"/>
            <w:vAlign w:val="center"/>
          </w:tcPr>
          <w:p w14:paraId="40B5F95F">
            <w:pPr>
              <w:tabs>
                <w:tab w:val="left" w:pos="720"/>
              </w:tabs>
              <w:spacing w:line="360" w:lineRule="auto"/>
              <w:jc w:val="center"/>
              <w:rPr>
                <w:rFonts w:ascii="宋体" w:hAnsi="宋体" w:eastAsia="宋体" w:cs="宋体"/>
                <w:color w:val="auto"/>
                <w:sz w:val="24"/>
                <w:szCs w:val="24"/>
                <w:highlight w:val="none"/>
              </w:rPr>
            </w:pPr>
          </w:p>
        </w:tc>
        <w:tc>
          <w:tcPr>
            <w:tcW w:w="719" w:type="pct"/>
            <w:vAlign w:val="center"/>
          </w:tcPr>
          <w:p w14:paraId="69C42F65">
            <w:pPr>
              <w:tabs>
                <w:tab w:val="left" w:pos="720"/>
              </w:tabs>
              <w:spacing w:line="360" w:lineRule="auto"/>
              <w:jc w:val="center"/>
              <w:rPr>
                <w:rFonts w:ascii="宋体" w:hAnsi="宋体" w:eastAsia="宋体" w:cs="宋体"/>
                <w:color w:val="auto"/>
                <w:sz w:val="24"/>
                <w:szCs w:val="24"/>
                <w:highlight w:val="none"/>
              </w:rPr>
            </w:pPr>
          </w:p>
        </w:tc>
      </w:tr>
      <w:tr w14:paraId="1BDB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472" w:hRule="atLeast"/>
        </w:trPr>
        <w:tc>
          <w:tcPr>
            <w:tcW w:w="628" w:type="pct"/>
            <w:vAlign w:val="center"/>
          </w:tcPr>
          <w:p w14:paraId="7806C88C">
            <w:pPr>
              <w:tabs>
                <w:tab w:val="left" w:pos="720"/>
              </w:tabs>
              <w:spacing w:line="360" w:lineRule="auto"/>
              <w:jc w:val="center"/>
              <w:rPr>
                <w:rFonts w:ascii="宋体" w:hAnsi="宋体" w:eastAsia="宋体" w:cs="宋体"/>
                <w:color w:val="auto"/>
                <w:sz w:val="24"/>
                <w:szCs w:val="24"/>
                <w:highlight w:val="none"/>
              </w:rPr>
            </w:pPr>
          </w:p>
        </w:tc>
        <w:tc>
          <w:tcPr>
            <w:tcW w:w="730" w:type="pct"/>
            <w:vAlign w:val="center"/>
          </w:tcPr>
          <w:p w14:paraId="20AD5C18">
            <w:pPr>
              <w:tabs>
                <w:tab w:val="left" w:pos="720"/>
              </w:tabs>
              <w:spacing w:line="360" w:lineRule="auto"/>
              <w:jc w:val="center"/>
              <w:rPr>
                <w:rFonts w:ascii="宋体" w:hAnsi="宋体" w:eastAsia="宋体" w:cs="宋体"/>
                <w:color w:val="auto"/>
                <w:sz w:val="24"/>
                <w:szCs w:val="24"/>
                <w:highlight w:val="none"/>
              </w:rPr>
            </w:pPr>
          </w:p>
        </w:tc>
        <w:tc>
          <w:tcPr>
            <w:tcW w:w="1715" w:type="pct"/>
            <w:vAlign w:val="center"/>
          </w:tcPr>
          <w:p w14:paraId="36034B83">
            <w:pPr>
              <w:tabs>
                <w:tab w:val="left" w:pos="720"/>
              </w:tabs>
              <w:spacing w:line="360" w:lineRule="auto"/>
              <w:jc w:val="center"/>
              <w:rPr>
                <w:rFonts w:ascii="宋体" w:hAnsi="宋体" w:eastAsia="宋体" w:cs="宋体"/>
                <w:color w:val="auto"/>
                <w:sz w:val="24"/>
                <w:szCs w:val="24"/>
                <w:highlight w:val="none"/>
              </w:rPr>
            </w:pPr>
          </w:p>
        </w:tc>
        <w:tc>
          <w:tcPr>
            <w:tcW w:w="1196" w:type="pct"/>
            <w:vAlign w:val="center"/>
          </w:tcPr>
          <w:p w14:paraId="49AD3A42">
            <w:pPr>
              <w:tabs>
                <w:tab w:val="left" w:pos="720"/>
              </w:tabs>
              <w:spacing w:line="360" w:lineRule="auto"/>
              <w:jc w:val="center"/>
              <w:rPr>
                <w:rFonts w:ascii="宋体" w:hAnsi="宋体" w:eastAsia="宋体" w:cs="宋体"/>
                <w:color w:val="auto"/>
                <w:sz w:val="24"/>
                <w:szCs w:val="24"/>
                <w:highlight w:val="none"/>
              </w:rPr>
            </w:pPr>
          </w:p>
        </w:tc>
        <w:tc>
          <w:tcPr>
            <w:tcW w:w="719" w:type="pct"/>
            <w:vAlign w:val="center"/>
          </w:tcPr>
          <w:p w14:paraId="2716778C">
            <w:pPr>
              <w:tabs>
                <w:tab w:val="left" w:pos="720"/>
              </w:tabs>
              <w:spacing w:line="360" w:lineRule="auto"/>
              <w:jc w:val="center"/>
              <w:rPr>
                <w:rFonts w:ascii="宋体" w:hAnsi="宋体" w:eastAsia="宋体" w:cs="宋体"/>
                <w:color w:val="auto"/>
                <w:sz w:val="24"/>
                <w:szCs w:val="24"/>
                <w:highlight w:val="none"/>
              </w:rPr>
            </w:pPr>
          </w:p>
        </w:tc>
      </w:tr>
    </w:tbl>
    <w:p w14:paraId="097B99ED">
      <w:pPr>
        <w:topLinePunct/>
        <w:ind w:firstLine="436" w:firstLineChars="200"/>
        <w:rPr>
          <w:rFonts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注：1</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4"/>
          <w:kern w:val="0"/>
          <w:szCs w:val="21"/>
          <w:highlight w:val="none"/>
        </w:rPr>
        <w:t xml:space="preserve">参与编制经济标书所有人员名单应包括如编制各种专业工程量清单投标报价、负责清样校对、负责打印及复印等所有人员在内的人员名单。 </w:t>
      </w:r>
    </w:p>
    <w:p w14:paraId="0D229FC0">
      <w:pPr>
        <w:autoSpaceDE w:val="0"/>
        <w:autoSpaceDN w:val="0"/>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2.提供表中人员离投标截止时间最近的至少1个月(</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月或2026年</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月</w:t>
      </w:r>
      <w:r>
        <w:rPr>
          <w:rFonts w:hint="eastAsia" w:ascii="宋体" w:hAnsi="宋体" w:eastAsia="宋体" w:cs="宋体"/>
          <w:color w:val="auto"/>
          <w:szCs w:val="21"/>
          <w:highlight w:val="none"/>
        </w:rPr>
        <w:t>)在本单位(委托编制投标文件报价的，在委托单位)缴纳的社保证明文件。</w:t>
      </w:r>
    </w:p>
    <w:p w14:paraId="5C49B74A">
      <w:pPr>
        <w:rPr>
          <w:rFonts w:ascii="宋体" w:hAnsi="宋体" w:eastAsia="宋体"/>
          <w:color w:val="auto"/>
          <w:highlight w:val="none"/>
        </w:rPr>
      </w:pPr>
    </w:p>
    <w:p w14:paraId="3C26870E">
      <w:pPr>
        <w:pStyle w:val="4"/>
        <w:rPr>
          <w:color w:val="auto"/>
          <w:highlight w:val="none"/>
        </w:rPr>
      </w:pPr>
      <w:r>
        <w:rPr>
          <w:rFonts w:hint="eastAsia"/>
          <w:b/>
          <w:bCs/>
          <w:color w:val="auto"/>
          <w:sz w:val="44"/>
          <w:szCs w:val="44"/>
          <w:highlight w:val="none"/>
          <w:lang w:val="zh-CN"/>
        </w:rPr>
        <w:br w:type="page"/>
      </w:r>
      <w:bookmarkStart w:id="86" w:name="_Toc202907319"/>
      <w:bookmarkStart w:id="87" w:name="_Toc152532534"/>
      <w:r>
        <w:rPr>
          <w:rFonts w:hint="eastAsia"/>
          <w:snapToGrid w:val="0"/>
          <w:color w:val="auto"/>
          <w:highlight w:val="none"/>
        </w:rPr>
        <w:t>格式十</w:t>
      </w:r>
      <w:r>
        <w:rPr>
          <w:rFonts w:hint="eastAsia"/>
          <w:snapToGrid w:val="0"/>
          <w:color w:val="auto"/>
          <w:highlight w:val="none"/>
          <w:lang w:val="en-US" w:eastAsia="zh-CN"/>
        </w:rPr>
        <w:t>八</w:t>
      </w:r>
      <w:r>
        <w:rPr>
          <w:rFonts w:hint="eastAsia"/>
          <w:snapToGrid w:val="0"/>
          <w:color w:val="auto"/>
          <w:highlight w:val="none"/>
        </w:rPr>
        <w:t>：</w:t>
      </w:r>
      <w:bookmarkEnd w:id="86"/>
      <w:bookmarkEnd w:id="87"/>
    </w:p>
    <w:p w14:paraId="4020D21D">
      <w:pPr>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对投标文件编制的承诺</w:t>
      </w:r>
    </w:p>
    <w:p w14:paraId="68AE0F9F">
      <w:pPr>
        <w:spacing w:line="360" w:lineRule="auto"/>
        <w:ind w:left="-2" w:leftChars="-1" w:firstLine="540" w:firstLineChars="22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本公司授权</w:t>
      </w:r>
      <w:r>
        <w:rPr>
          <w:rFonts w:hint="eastAsia" w:ascii="宋体" w:hAnsi="宋体" w:eastAsia="宋体" w:cs="宋体"/>
          <w:color w:val="auto"/>
          <w:kern w:val="0"/>
          <w:sz w:val="24"/>
          <w:szCs w:val="24"/>
          <w:highlight w:val="none"/>
          <w:u w:val="single"/>
        </w:rPr>
        <w:t xml:space="preserve">         （身份证号：               ）</w:t>
      </w:r>
      <w:r>
        <w:rPr>
          <w:rFonts w:hint="eastAsia" w:ascii="宋体" w:hAnsi="宋体" w:eastAsia="宋体" w:cs="宋体"/>
          <w:color w:val="auto"/>
          <w:kern w:val="0"/>
          <w:sz w:val="24"/>
          <w:szCs w:val="24"/>
          <w:highlight w:val="none"/>
        </w:rPr>
        <w:t>负责对投标文件的编制及内容进行解释、说明，并承诺以下事项：</w:t>
      </w:r>
    </w:p>
    <w:p w14:paraId="0E63729A">
      <w:pPr>
        <w:spacing w:line="360" w:lineRule="auto"/>
        <w:ind w:left="-2" w:leftChars="-1" w:firstLine="540" w:firstLineChars="22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1.被授权人清楚投标文件编制的具体情况，包括技术方案文件、工程量清单、以及投标文件的加密打包的理解；</w:t>
      </w:r>
    </w:p>
    <w:p w14:paraId="05C55238">
      <w:pPr>
        <w:spacing w:line="360" w:lineRule="auto"/>
        <w:ind w:left="-2" w:leftChars="-1" w:firstLine="540" w:firstLineChars="22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2.在本项目开标至评标结束前，努力确保被授权人在项目评标所在地附近；</w:t>
      </w:r>
    </w:p>
    <w:p w14:paraId="434EF018">
      <w:pPr>
        <w:spacing w:line="360" w:lineRule="auto"/>
        <w:ind w:left="-2" w:leftChars="-1" w:firstLine="540" w:firstLineChars="22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3.从评标委员会要求澄清起二小时内，被授权人应如实地书面澄清。</w:t>
      </w:r>
    </w:p>
    <w:p w14:paraId="11E93FF7">
      <w:pPr>
        <w:spacing w:line="360" w:lineRule="auto"/>
        <w:ind w:left="-2" w:leftChars="-1" w:firstLine="540" w:firstLineChars="22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如由于未遵守上述承诺内容之一导致无法进行澄清的，我公司认可和接受评标委员会作出的评审结论。                                 </w:t>
      </w:r>
    </w:p>
    <w:p w14:paraId="595B43CD">
      <w:pPr>
        <w:spacing w:line="360" w:lineRule="auto"/>
        <w:ind w:firstLine="360" w:firstLineChars="15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2A1F55F3">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附件：《投标文件编制情况》</w:t>
      </w:r>
    </w:p>
    <w:p w14:paraId="556D65DA">
      <w:pPr>
        <w:spacing w:line="360" w:lineRule="auto"/>
        <w:ind w:right="90"/>
        <w:jc w:val="righ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投标人名称（盖法人公章）：</w:t>
      </w:r>
    </w:p>
    <w:p w14:paraId="414604C9">
      <w:pPr>
        <w:ind w:right="90"/>
        <w:jc w:val="center"/>
        <w:rPr>
          <w:rFonts w:ascii="宋体" w:hAnsi="宋体" w:eastAsia="宋体" w:cs="宋体"/>
          <w:color w:val="auto"/>
          <w:sz w:val="24"/>
          <w:szCs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4"/>
          <w:szCs w:val="24"/>
          <w:highlight w:val="none"/>
        </w:rPr>
        <w:t>日期：      年   月   日</w:t>
      </w:r>
    </w:p>
    <w:p w14:paraId="300371E3">
      <w:pPr>
        <w:rPr>
          <w:rFonts w:ascii="宋体" w:hAnsi="宋体" w:eastAsia="宋体"/>
          <w:color w:val="auto"/>
          <w:highlight w:val="none"/>
        </w:rPr>
      </w:pPr>
    </w:p>
    <w:p w14:paraId="79000E4A">
      <w:pPr>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投标文件编制情况</w:t>
      </w:r>
    </w:p>
    <w:p w14:paraId="0D0E989D">
      <w:pPr>
        <w:spacing w:line="360" w:lineRule="auto"/>
        <w:ind w:firstLine="480" w:firstLineChars="200"/>
        <w:rPr>
          <w:rFonts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1.投标文件报价编制方式: □自行编制的，编制的负责人：</w:t>
      </w:r>
      <w:r>
        <w:rPr>
          <w:rFonts w:hint="eastAsia" w:ascii="宋体" w:hAnsi="宋体" w:eastAsia="宋体" w:cs="宋体"/>
          <w:color w:val="auto"/>
          <w:kern w:val="0"/>
          <w:sz w:val="24"/>
          <w:szCs w:val="24"/>
          <w:highlight w:val="none"/>
          <w:u w:val="single"/>
        </w:rPr>
        <w:t xml:space="preserve"> （盖造价工程师执业专用章或全国建设工程造价员章，执业单位应与投标人一致） </w:t>
      </w:r>
      <w:r>
        <w:rPr>
          <w:rFonts w:hint="eastAsia" w:ascii="宋体" w:hAnsi="宋体" w:eastAsia="宋体" w:cs="宋体"/>
          <w:color w:val="auto"/>
          <w:kern w:val="0"/>
          <w:sz w:val="24"/>
          <w:szCs w:val="24"/>
          <w:highlight w:val="none"/>
        </w:rPr>
        <w:t>。□委托编制的，受委托单位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，编制的负责人：</w:t>
      </w:r>
      <w:r>
        <w:rPr>
          <w:rFonts w:hint="eastAsia" w:ascii="宋体" w:hAnsi="宋体" w:eastAsia="宋体" w:cs="宋体"/>
          <w:color w:val="auto"/>
          <w:kern w:val="0"/>
          <w:sz w:val="24"/>
          <w:szCs w:val="24"/>
          <w:highlight w:val="none"/>
          <w:u w:val="single"/>
        </w:rPr>
        <w:t xml:space="preserve"> （盖造价工程师执业专用章或全国建设工程造价员章，执业单位应与受委托单位一致） </w:t>
      </w:r>
      <w:r>
        <w:rPr>
          <w:rFonts w:hint="eastAsia" w:ascii="宋体" w:hAnsi="宋体" w:eastAsia="宋体" w:cs="宋体"/>
          <w:color w:val="auto"/>
          <w:kern w:val="0"/>
          <w:sz w:val="24"/>
          <w:szCs w:val="24"/>
          <w:highlight w:val="none"/>
        </w:rPr>
        <w:t>。</w:t>
      </w:r>
    </w:p>
    <w:p w14:paraId="3FCA87BD">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2.投标文件加密打包的电脑情况</w:t>
      </w:r>
    </w:p>
    <w:tbl>
      <w:tblPr>
        <w:tblStyle w:val="50"/>
        <w:tblW w:w="0" w:type="auto"/>
        <w:tblInd w:w="0" w:type="dxa"/>
        <w:tblLayout w:type="fixed"/>
        <w:tblCellMar>
          <w:top w:w="0" w:type="dxa"/>
          <w:left w:w="108" w:type="dxa"/>
          <w:bottom w:w="0" w:type="dxa"/>
          <w:right w:w="108" w:type="dxa"/>
        </w:tblCellMar>
      </w:tblPr>
      <w:tblGrid>
        <w:gridCol w:w="8919"/>
      </w:tblGrid>
      <w:tr w14:paraId="49E0348C">
        <w:tblPrEx>
          <w:tblCellMar>
            <w:top w:w="0" w:type="dxa"/>
            <w:left w:w="108" w:type="dxa"/>
            <w:bottom w:w="0" w:type="dxa"/>
            <w:right w:w="108" w:type="dxa"/>
          </w:tblCellMar>
        </w:tblPrEx>
        <w:trPr>
          <w:trHeight w:val="2819" w:hRule="atLeast"/>
        </w:trPr>
        <w:tc>
          <w:tcPr>
            <w:tcW w:w="8919" w:type="dxa"/>
          </w:tcPr>
          <w:p w14:paraId="549C129E">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投标文件加密打包的电脑     自有    □      外包    □     其他    □</w:t>
            </w:r>
          </w:p>
          <w:p w14:paraId="7E3F97F0">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电脑类型</w:t>
            </w:r>
          </w:p>
          <w:p w14:paraId="239C878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电脑所属单位</w:t>
            </w:r>
          </w:p>
          <w:p w14:paraId="0F0A6C81">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电脑所在地址        （如××市××区(县) ××街（路）××号××大厦××房）</w:t>
            </w:r>
          </w:p>
        </w:tc>
      </w:tr>
    </w:tbl>
    <w:p w14:paraId="15F84E43">
      <w:pPr>
        <w:keepNext/>
        <w:keepLines/>
        <w:spacing w:line="360" w:lineRule="auto"/>
        <w:jc w:val="center"/>
        <w:outlineLvl w:val="0"/>
        <w:rPr>
          <w:rFonts w:ascii="宋体" w:hAnsi="宋体" w:eastAsia="宋体" w:cs="宋体"/>
          <w:b/>
          <w:color w:val="auto"/>
          <w:kern w:val="44"/>
          <w:sz w:val="28"/>
          <w:szCs w:val="28"/>
          <w:highlight w:val="none"/>
        </w:rPr>
      </w:pPr>
      <w:r>
        <w:rPr>
          <w:rFonts w:hint="eastAsia" w:ascii="宋体" w:hAnsi="宋体" w:eastAsia="宋体" w:cs="宋体"/>
          <w:color w:val="auto"/>
          <w:kern w:val="44"/>
          <w:sz w:val="28"/>
          <w:szCs w:val="28"/>
          <w:highlight w:val="none"/>
        </w:rPr>
        <w:br w:type="page"/>
      </w:r>
      <w:bookmarkStart w:id="88" w:name="_Toc202907320"/>
      <w:r>
        <w:rPr>
          <w:rFonts w:hint="eastAsia" w:ascii="宋体" w:hAnsi="宋体" w:eastAsia="宋体" w:cs="宋体"/>
          <w:b/>
          <w:color w:val="auto"/>
          <w:kern w:val="44"/>
          <w:sz w:val="28"/>
          <w:szCs w:val="28"/>
          <w:highlight w:val="none"/>
        </w:rPr>
        <w:t>第五章 技术条件（工程建设标准）</w:t>
      </w:r>
      <w:bookmarkEnd w:id="88"/>
    </w:p>
    <w:p w14:paraId="5C6B5495">
      <w:pPr>
        <w:spacing w:line="360" w:lineRule="auto"/>
        <w:ind w:firstLine="424" w:firstLineChars="17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一、标准</w:t>
      </w:r>
    </w:p>
    <w:p w14:paraId="5AE031E6">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以现行的中华人民共和国及有关部委颁布的标准、规范、和规程。若施工时期建设主管部门颁布新的规范、标准，则按照新的规范、标准执行。</w:t>
      </w:r>
    </w:p>
    <w:p w14:paraId="33594DC6">
      <w:pPr>
        <w:spacing w:line="360" w:lineRule="auto"/>
        <w:ind w:firstLine="424" w:firstLineChars="17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二、施工组织设计要点</w:t>
      </w:r>
    </w:p>
    <w:p w14:paraId="388D08A9">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如果中标，中标人应按项目的进展需求，并在规定的时间内按要点要求，编制详细的施工组织设计，作为工程施工的指导性文件，向建设单位提交一式四份的《施工组织设计方案》，内容包括（不限于）以下：</w:t>
      </w:r>
    </w:p>
    <w:p w14:paraId="0B991FB3">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（一）工程概况及特点</w:t>
      </w:r>
    </w:p>
    <w:p w14:paraId="1D27623B">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 工程概况</w:t>
      </w:r>
    </w:p>
    <w:p w14:paraId="194A8D99">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工程简述，工程规模，工程承包范围，地质及地貌状况，自然环境，交通情况等。</w:t>
      </w:r>
    </w:p>
    <w:p w14:paraId="75D2A703">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 工程特点</w:t>
      </w:r>
    </w:p>
    <w:p w14:paraId="580DE4F8">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设计特点、工程特点、影响施工的主要和特殊环节分析等。</w:t>
      </w:r>
    </w:p>
    <w:p w14:paraId="77960EA4">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（二）施工现场组织机构</w:t>
      </w:r>
    </w:p>
    <w:p w14:paraId="1C4D2F24">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 组织机构关系图</w:t>
      </w:r>
    </w:p>
    <w:p w14:paraId="1CA56D61">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 工程主要负责人简介。</w:t>
      </w:r>
    </w:p>
    <w:p w14:paraId="581920CA">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（三）施工现场总平面布置图</w:t>
      </w:r>
    </w:p>
    <w:p w14:paraId="30D31795">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 施工现场平面布置图</w:t>
      </w:r>
    </w:p>
    <w:p w14:paraId="66A53575">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68AB27F8">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（四）施工方案</w:t>
      </w:r>
    </w:p>
    <w:p w14:paraId="79A11F73">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 施工准备</w:t>
      </w:r>
    </w:p>
    <w:p w14:paraId="30F3DC76">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简要叙述施工技术资料、材料、通讯、施工场地的准备，施工机械、施工力量的配置，以及生活设施等的准备情况。主要施工机械设备表。</w:t>
      </w:r>
    </w:p>
    <w:p w14:paraId="33F68841">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 施工工序总体安排</w:t>
      </w:r>
    </w:p>
    <w:p w14:paraId="52A0874E">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 主要工序和特殊工序的施工方法和施工效率估计，潜在问题的分析。</w:t>
      </w:r>
    </w:p>
    <w:p w14:paraId="1071770B">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4.4 工程成本的控制措施为控制成本，提高效益，拟采取的措施。</w:t>
      </w:r>
    </w:p>
    <w:p w14:paraId="39DC883E">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（五）工期及施工进度计划</w:t>
      </w:r>
    </w:p>
    <w:p w14:paraId="79E3B45B">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5.1 工期规划及要求</w:t>
      </w:r>
    </w:p>
    <w:p w14:paraId="3FF46183">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用横道图反映各主要施工过程的计划进度，深度达到全面、准确、清楚的描述工程实施过程，从中可衍生出各种施工资源计划及其过程管理信息。</w:t>
      </w:r>
    </w:p>
    <w:p w14:paraId="1C6643A6">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 施工进度计划网络图</w:t>
      </w:r>
    </w:p>
    <w:p w14:paraId="329AD4A8">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施工网络图应明确工程开工、竣工日期，工程施工的关键路线，并针对关键工序，提出确保工期拟采取的措施。</w:t>
      </w:r>
    </w:p>
    <w:p w14:paraId="1B79AE8B">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5.3 施工资源（人力、材料、机具、场地及进场道路、公共关系）计划</w:t>
      </w:r>
    </w:p>
    <w:p w14:paraId="62BA7534">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5.4 施工进度计划分析</w:t>
      </w:r>
    </w:p>
    <w:p w14:paraId="0970D907">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计划潜在问题，计划中的潜力及其开发途径等。</w:t>
      </w:r>
    </w:p>
    <w:p w14:paraId="7EE17E64">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5.5 计划控制</w:t>
      </w:r>
    </w:p>
    <w:p w14:paraId="12C73354">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程序、方法及制度等。</w:t>
      </w:r>
    </w:p>
    <w:p w14:paraId="6525754F">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（六）质量目标、质量保证体系及技术组织措施</w:t>
      </w:r>
    </w:p>
    <w:p w14:paraId="1D1E6FDF">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6.1 质量目标</w:t>
      </w:r>
    </w:p>
    <w:p w14:paraId="7FBE9893">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本工程要求的质量目标：合格。</w:t>
      </w:r>
    </w:p>
    <w:p w14:paraId="171CDAE8">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用单位工程和分项工程合格率、优良品率表示，欲达到的工程质量等级。</w:t>
      </w:r>
    </w:p>
    <w:p w14:paraId="2BF5D42C">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6.2 质量管理组织机构及主要职责</w:t>
      </w:r>
    </w:p>
    <w:p w14:paraId="37CB8D10">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用框图表示质量管理组织机构，并简要叙述各质量管理部门的主要职责。</w:t>
      </w:r>
    </w:p>
    <w:p w14:paraId="27A4FF5D">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6.3 质量管理的措施</w:t>
      </w:r>
    </w:p>
    <w:p w14:paraId="58185A2F">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简要叙述质量管理的措施和关键工序的质量控制。</w:t>
      </w:r>
    </w:p>
    <w:p w14:paraId="3B993C43">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6.4 质量管理及检验的标准</w:t>
      </w:r>
    </w:p>
    <w:p w14:paraId="2649205F">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执行的主要质量标准、规范。</w:t>
      </w:r>
    </w:p>
    <w:p w14:paraId="540D9E68">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6.5 质量保证技术措施</w:t>
      </w:r>
    </w:p>
    <w:p w14:paraId="78DFA51E">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针对本工程特点，分析质量薄弱环节，拟将采取的技术措施。</w:t>
      </w:r>
    </w:p>
    <w:p w14:paraId="217B7374">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（七）安全目标、安全保证体系及技术组织措施</w:t>
      </w:r>
    </w:p>
    <w:p w14:paraId="6166AC21">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7.1 安全管理目标</w:t>
      </w:r>
    </w:p>
    <w:p w14:paraId="2D600BDC">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7.2 安全管理组织机构及主要职责</w:t>
      </w:r>
    </w:p>
    <w:p w14:paraId="6C8CD9F3">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用框图表示安全管理组织机构，并简要叙述各安全管理部门及人员的主要职责。</w:t>
      </w:r>
    </w:p>
    <w:p w14:paraId="4BD7DF1E">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7.3 安全管理制度及办法</w:t>
      </w:r>
    </w:p>
    <w:p w14:paraId="76333CDF">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7.4 安全组织技术措施</w:t>
      </w:r>
    </w:p>
    <w:p w14:paraId="61AB5ACE">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针对本工程特点，分析安全薄弱环节，拟将采取的技术措施。</w:t>
      </w:r>
    </w:p>
    <w:p w14:paraId="4B3F3A4B">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7.5 重要施工方案和特殊施工工序的安全过程控制</w:t>
      </w:r>
    </w:p>
    <w:p w14:paraId="07C498A9">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14:paraId="0DA94EA0">
      <w:pPr>
        <w:spacing w:line="360" w:lineRule="auto"/>
        <w:ind w:firstLine="422" w:firstLineChars="176"/>
        <w:rPr>
          <w:rFonts w:ascii="宋体" w:hAnsi="宋体" w:eastAsia="宋体" w:cs="宋体"/>
          <w:color w:val="auto"/>
          <w:sz w:val="24"/>
          <w:szCs w:val="24"/>
          <w:highlight w:val="none"/>
        </w:rPr>
      </w:pPr>
      <w:bookmarkStart w:id="89" w:name="_Hlt531956504"/>
      <w:r>
        <w:rPr>
          <w:rFonts w:hint="eastAsia" w:ascii="宋体" w:hAnsi="宋体" w:eastAsia="宋体" w:cs="宋体"/>
          <w:color w:val="auto"/>
          <w:sz w:val="24"/>
          <w:szCs w:val="24"/>
          <w:highlight w:val="none"/>
        </w:rPr>
        <w:t>安全生产目标：杜绝本项目施工人员重大伤亡事故。</w:t>
      </w:r>
      <w:bookmarkEnd w:id="89"/>
    </w:p>
    <w:p w14:paraId="371BC14E">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文明施工目标：标准化管理。</w:t>
      </w:r>
    </w:p>
    <w:p w14:paraId="5663F276">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（八）环境保护及文明施工</w:t>
      </w:r>
    </w:p>
    <w:p w14:paraId="53428973">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 环境保护</w:t>
      </w:r>
    </w:p>
    <w:p w14:paraId="52C7FFCF">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分析因施工可能引起的环境保护方面的问题。</w:t>
      </w:r>
    </w:p>
    <w:p w14:paraId="6D06575C">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 加强施工管理、严格保护环境</w:t>
      </w:r>
    </w:p>
    <w:p w14:paraId="67C2459B">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提出环境保护的目标及采取的具体措施。</w:t>
      </w:r>
    </w:p>
    <w:p w14:paraId="08477A1A">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8.3 文明施工的目标、组织机构和实施方案</w:t>
      </w:r>
    </w:p>
    <w:p w14:paraId="3B539574">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8.4 文明施工考核、管理办法</w:t>
      </w:r>
    </w:p>
    <w:p w14:paraId="7B0A8E22">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（九）计划、统计和信息管理</w:t>
      </w:r>
    </w:p>
    <w:p w14:paraId="15F2631B">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 计划、统计报表的编制与传递；</w:t>
      </w:r>
    </w:p>
    <w:p w14:paraId="0412289D">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9.2 信息管理</w:t>
      </w:r>
    </w:p>
    <w:p w14:paraId="77EC1E49">
      <w:pPr>
        <w:spacing w:line="360" w:lineRule="auto"/>
        <w:ind w:firstLine="422" w:firstLineChars="17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提出信息管理的目标及拟将采取的措施。</w:t>
      </w:r>
    </w:p>
    <w:p w14:paraId="40DC4C40">
      <w:pPr>
        <w:spacing w:line="360" w:lineRule="auto"/>
        <w:ind w:firstLine="422" w:firstLineChars="176"/>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（十）建筑垃圾减量及利用要求</w:t>
      </w:r>
    </w:p>
    <w:p w14:paraId="5CAA306E">
      <w:pPr>
        <w:spacing w:line="360" w:lineRule="auto"/>
        <w:ind w:firstLine="422" w:firstLineChars="176"/>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根据《广东省建筑垃圾管理条例》，工程施工单位应当编制建筑垃圾处理方案，采取污染防治措施，并在开工前报工程所在地县级人民政府建筑垃圾主管部门备案。建筑垃圾处理方案内容有调整的，应当及时报告接受备案的部门。</w:t>
      </w:r>
    </w:p>
    <w:p w14:paraId="2E63D51E">
      <w:pPr>
        <w:spacing w:line="360" w:lineRule="auto"/>
        <w:ind w:firstLine="422" w:firstLineChars="176"/>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建筑垃圾处理方案应当包括下列内容：</w:t>
      </w:r>
    </w:p>
    <w:p w14:paraId="1543F568">
      <w:pPr>
        <w:spacing w:line="360" w:lineRule="auto"/>
        <w:ind w:firstLine="422" w:firstLineChars="176"/>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(一)工程概况和施工单位基本信息；</w:t>
      </w:r>
    </w:p>
    <w:p w14:paraId="768A8587">
      <w:pPr>
        <w:spacing w:line="360" w:lineRule="auto"/>
        <w:ind w:firstLine="422" w:firstLineChars="176"/>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(二)建筑垃圾产生量与种类；</w:t>
      </w:r>
    </w:p>
    <w:p w14:paraId="5F66E316">
      <w:pPr>
        <w:spacing w:line="360" w:lineRule="auto"/>
        <w:ind w:firstLine="422" w:firstLineChars="176"/>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(三)建筑垃圾源头减量、分类收集、综合利用、污染防治的措施和目标；</w:t>
      </w:r>
    </w:p>
    <w:p w14:paraId="53066820">
      <w:pPr>
        <w:spacing w:line="360" w:lineRule="auto"/>
        <w:ind w:firstLine="422" w:firstLineChars="176"/>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(四)需要外运的建筑垃圾种类、数量与运输的时间、路线、方式和运输单位；</w:t>
      </w:r>
    </w:p>
    <w:p w14:paraId="03BA5668">
      <w:pPr>
        <w:spacing w:line="360" w:lineRule="auto"/>
        <w:ind w:firstLine="422" w:firstLineChars="176"/>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(五)建筑垃圾回填、消纳、综合利用场所名称；</w:t>
      </w:r>
    </w:p>
    <w:p w14:paraId="25A8F7EF">
      <w:pPr>
        <w:spacing w:line="360" w:lineRule="auto"/>
        <w:ind w:firstLine="422" w:firstLineChars="176"/>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(六)法律、法规规定的其他内容。</w:t>
      </w:r>
    </w:p>
    <w:p w14:paraId="3875B92E">
      <w:pPr>
        <w:keepNext/>
        <w:keepLines/>
        <w:spacing w:line="360" w:lineRule="auto"/>
        <w:jc w:val="center"/>
        <w:outlineLvl w:val="0"/>
        <w:rPr>
          <w:rFonts w:ascii="宋体" w:hAnsi="宋体" w:eastAsia="宋体" w:cs="宋体"/>
          <w:b/>
          <w:color w:val="auto"/>
          <w:kern w:val="44"/>
          <w:sz w:val="28"/>
          <w:szCs w:val="28"/>
          <w:highlight w:val="none"/>
        </w:rPr>
      </w:pPr>
      <w:bookmarkStart w:id="90" w:name="_Toc202907321"/>
      <w:r>
        <w:rPr>
          <w:rFonts w:hint="eastAsia" w:ascii="宋体" w:hAnsi="宋体" w:eastAsia="宋体" w:cs="宋体"/>
          <w:b/>
          <w:color w:val="auto"/>
          <w:kern w:val="44"/>
          <w:sz w:val="28"/>
          <w:szCs w:val="28"/>
          <w:highlight w:val="none"/>
        </w:rPr>
        <w:t>第六章 图纸及勘察资料</w:t>
      </w:r>
      <w:bookmarkEnd w:id="90"/>
    </w:p>
    <w:p w14:paraId="56E3F75D">
      <w:pPr>
        <w:spacing w:line="360" w:lineRule="auto"/>
        <w:jc w:val="center"/>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（另册）</w:t>
      </w:r>
    </w:p>
    <w:p w14:paraId="789D0549">
      <w:pPr>
        <w:keepNext/>
        <w:keepLines/>
        <w:spacing w:line="360" w:lineRule="auto"/>
        <w:jc w:val="center"/>
        <w:outlineLvl w:val="0"/>
        <w:rPr>
          <w:rFonts w:ascii="宋体" w:hAnsi="宋体" w:eastAsia="宋体" w:cs="宋体"/>
          <w:b/>
          <w:color w:val="auto"/>
          <w:kern w:val="44"/>
          <w:sz w:val="28"/>
          <w:szCs w:val="28"/>
          <w:highlight w:val="none"/>
        </w:rPr>
      </w:pPr>
      <w:r>
        <w:rPr>
          <w:rFonts w:hint="eastAsia" w:ascii="宋体" w:hAnsi="宋体" w:eastAsia="宋体" w:cs="宋体"/>
          <w:color w:val="auto"/>
          <w:kern w:val="44"/>
          <w:sz w:val="28"/>
          <w:szCs w:val="28"/>
          <w:highlight w:val="none"/>
        </w:rPr>
        <w:br w:type="page"/>
      </w:r>
      <w:bookmarkStart w:id="91" w:name="_Toc202907322"/>
      <w:r>
        <w:rPr>
          <w:rFonts w:hint="eastAsia" w:ascii="宋体" w:hAnsi="宋体" w:eastAsia="宋体" w:cs="宋体"/>
          <w:b/>
          <w:color w:val="auto"/>
          <w:kern w:val="44"/>
          <w:sz w:val="28"/>
          <w:szCs w:val="28"/>
          <w:highlight w:val="none"/>
        </w:rPr>
        <w:t>第七章 工程量清单</w:t>
      </w:r>
      <w:bookmarkEnd w:id="91"/>
    </w:p>
    <w:p w14:paraId="42DAAE0B">
      <w:pPr>
        <w:spacing w:line="360" w:lineRule="auto"/>
        <w:jc w:val="center"/>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（另册）</w:t>
      </w:r>
    </w:p>
    <w:p w14:paraId="4A917B8A">
      <w:pPr>
        <w:keepNext/>
        <w:keepLines/>
        <w:spacing w:line="360" w:lineRule="auto"/>
        <w:jc w:val="center"/>
        <w:outlineLvl w:val="0"/>
        <w:rPr>
          <w:rFonts w:ascii="宋体" w:hAnsi="宋体" w:eastAsia="宋体" w:cs="宋体"/>
          <w:b/>
          <w:color w:val="auto"/>
          <w:kern w:val="44"/>
          <w:sz w:val="28"/>
          <w:szCs w:val="28"/>
          <w:highlight w:val="none"/>
        </w:rPr>
      </w:pPr>
      <w:r>
        <w:rPr>
          <w:rFonts w:hint="eastAsia" w:ascii="宋体" w:hAnsi="宋体" w:eastAsia="宋体" w:cs="宋体"/>
          <w:color w:val="auto"/>
          <w:kern w:val="44"/>
          <w:sz w:val="28"/>
          <w:szCs w:val="28"/>
          <w:highlight w:val="none"/>
        </w:rPr>
        <w:br w:type="page"/>
      </w:r>
      <w:bookmarkStart w:id="92" w:name="_Toc202907323"/>
      <w:r>
        <w:rPr>
          <w:rFonts w:hint="eastAsia" w:ascii="宋体" w:hAnsi="宋体" w:eastAsia="宋体" w:cs="宋体"/>
          <w:b/>
          <w:color w:val="auto"/>
          <w:kern w:val="44"/>
          <w:sz w:val="28"/>
          <w:szCs w:val="28"/>
          <w:highlight w:val="none"/>
        </w:rPr>
        <w:t>第八章 最高投标限价</w:t>
      </w:r>
      <w:bookmarkEnd w:id="92"/>
    </w:p>
    <w:p w14:paraId="7D06608A">
      <w:pPr>
        <w:spacing w:line="360" w:lineRule="auto"/>
        <w:ind w:firstLine="48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（另册）</w:t>
      </w:r>
    </w:p>
    <w:p w14:paraId="09245DD5">
      <w:pPr>
        <w:rPr>
          <w:rFonts w:ascii="宋体" w:hAnsi="宋体" w:eastAsia="宋体"/>
          <w:color w:val="auto"/>
          <w:highlight w:val="none"/>
        </w:rPr>
      </w:pPr>
    </w:p>
    <w:sectPr>
      <w:pgSz w:w="11906" w:h="16838"/>
      <w:pgMar w:top="1440" w:right="1080" w:bottom="1440" w:left="1080" w:header="850" w:footer="992" w:gutter="0"/>
      <w:pgNumType w:fmt="decimal"/>
      <w:cols w:space="720" w:num="1"/>
      <w:titlePg/>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Proxy 9">
    <w:altName w:val="Segoe Print"/>
    <w:panose1 w:val="00000400000000000000"/>
    <w:charset w:val="00"/>
    <w:family w:val="auto"/>
    <w:pitch w:val="default"/>
    <w:sig w:usb0="00000000"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sto MT">
    <w:panose1 w:val="02040603050505030304"/>
    <w:charset w:val="00"/>
    <w:family w:val="roman"/>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DejaVu Sans">
    <w:altName w:val="Segoe Print"/>
    <w:panose1 w:val="00000000000000000000"/>
    <w:charset w:val="00"/>
    <w:family w:val="swiss"/>
    <w:pitch w:val="default"/>
    <w:sig w:usb0="00000000" w:usb1="00000000" w:usb2="0A246029" w:usb3="00000000" w:csb0="000001FF" w:csb1="00000000"/>
  </w:font>
  <w:font w:name="华文细黑">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879A8"/>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9551D">
    <w:pPr>
      <w:pStyle w:val="3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1743786"/>
    </w:sdtPr>
    <w:sdtContent>
      <w:p w14:paraId="4FBF1923">
        <w:pPr>
          <w:jc w:val="center"/>
        </w:pPr>
        <w:r>
          <w:fldChar w:fldCharType="begin"/>
        </w:r>
        <w:r>
          <w:instrText xml:space="preserve">PAGE   \* MERGEFORMAT</w:instrText>
        </w:r>
        <w:r>
          <w:fldChar w:fldCharType="separate"/>
        </w:r>
        <w:r>
          <w:rPr>
            <w:lang w:val="zh-CN"/>
          </w:rPr>
          <w:t>181</w:t>
        </w:r>
        <w: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0D8AE">
    <w:pPr>
      <w:pStyle w:val="3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2F8C3">
                          <w:pPr>
                            <w:pStyle w:val="30"/>
                          </w:pPr>
                          <w:r>
                            <w:fldChar w:fldCharType="begin"/>
                          </w:r>
                          <w:r>
                            <w:instrText xml:space="preserve"> PAGE  \* MERGEFORMAT </w:instrText>
                          </w:r>
                          <w:r>
                            <w:fldChar w:fldCharType="separate"/>
                          </w:r>
                          <w:r>
                            <w:t>177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872F8C3">
                    <w:pPr>
                      <w:pStyle w:val="30"/>
                    </w:pPr>
                    <w:r>
                      <w:fldChar w:fldCharType="begin"/>
                    </w:r>
                    <w:r>
                      <w:instrText xml:space="preserve"> PAGE  \* MERGEFORMAT </w:instrText>
                    </w:r>
                    <w:r>
                      <w:fldChar w:fldCharType="separate"/>
                    </w:r>
                    <w:r>
                      <w:t>177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8F223">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4411D">
                          <w:pPr>
                            <w:pStyle w:val="30"/>
                          </w:pPr>
                          <w:r>
                            <w:fldChar w:fldCharType="begin"/>
                          </w:r>
                          <w:r>
                            <w:instrText xml:space="preserve"> PAGE  \* MERGEFORMAT </w:instrText>
                          </w:r>
                          <w:r>
                            <w:fldChar w:fldCharType="separate"/>
                          </w:r>
                          <w:r>
                            <w:t>176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304411D">
                    <w:pPr>
                      <w:pStyle w:val="30"/>
                    </w:pPr>
                    <w:r>
                      <w:fldChar w:fldCharType="begin"/>
                    </w:r>
                    <w:r>
                      <w:instrText xml:space="preserve"> PAGE  \* MERGEFORMAT </w:instrText>
                    </w:r>
                    <w:r>
                      <w:fldChar w:fldCharType="separate"/>
                    </w:r>
                    <w:r>
                      <w:t>176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6CF2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FB8E5">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9B24F">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C19B24F">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02458">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5BB65">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985BB65">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44D7">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3AF1F">
                          <w:pPr>
                            <w:pStyle w:val="30"/>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033AF1F">
                    <w:pPr>
                      <w:pStyle w:val="30"/>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23458">
    <w:pPr>
      <w:ind w:firstLine="640"/>
      <w:rPr>
        <w:rFonts w:ascii="仿宋_GB2312" w:hAnsi="等线" w:eastAsia="仿宋_GB2312"/>
        <w:color w:val="000000"/>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314A9">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339314A9">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DFA78">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6F68E">
                          <w:pPr>
                            <w:pStyle w:val="30"/>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7D6F68E">
                    <w:pPr>
                      <w:pStyle w:val="30"/>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8AD21">
    <w:pPr>
      <w:pStyle w:val="3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63B3E88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643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H4cA4MPAgAADwQAAA4AAAAAAAAAAQAgAAAA&#10;HwEAAGRycy9lMm9Eb2MueG1sUEsFBgAAAAAGAAYAWQEAAKAFAAAAAA==&#10;">
              <v:fill on="f" focussize="0,0"/>
              <v:stroke on="f"/>
              <v:imagedata o:title=""/>
              <o:lock v:ext="edit" aspectratio="f"/>
              <v:textbox inset="0mm,0mm,0mm,0mm" style="mso-fit-shape-to-text:t;">
                <w:txbxContent>
                  <w:p w14:paraId="63B3E88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8D734">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C1E76">
                          <w:pPr>
                            <w:pStyle w:val="30"/>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00C1E76">
                    <w:pPr>
                      <w:pStyle w:val="30"/>
                    </w:pPr>
                    <w:r>
                      <w:fldChar w:fldCharType="begin"/>
                    </w:r>
                    <w:r>
                      <w:instrText xml:space="preserve"> PAGE  \* MERGEFORMAT </w:instrText>
                    </w:r>
                    <w:r>
                      <w:fldChar w:fldCharType="separate"/>
                    </w:r>
                    <w:r>
                      <w:t>95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75186">
    <w:pPr>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55AAF">
    <w:pPr>
      <w:pStyle w:val="32"/>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178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E489C">
    <w:pPr>
      <w:ind w:firstLine="48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A81BC">
    <w:pPr>
      <w:ind w:firstLine="480"/>
      <w:jc w:val="right"/>
      <w:rPr>
        <w: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09F57">
    <w:pPr>
      <w:ind w:firstLine="48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B3828">
    <w:pPr>
      <w:ind w:firstLine="480"/>
      <w:jc w:val="right"/>
      <w:rPr>
        <w:i/>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03F4F">
    <w:pPr>
      <w:pStyle w:val="3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11E18">
    <w:pPr>
      <w:pStyle w:val="3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1EA87">
    <w:pPr>
      <w:pStyle w:val="3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DD984">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17B919"/>
    <w:multiLevelType w:val="singleLevel"/>
    <w:tmpl w:val="E617B919"/>
    <w:lvl w:ilvl="0" w:tentative="0">
      <w:start w:val="1"/>
      <w:numFmt w:val="decimal"/>
      <w:suff w:val="nothing"/>
      <w:lvlText w:val="（%1）"/>
      <w:lvlJc w:val="left"/>
    </w:lvl>
  </w:abstractNum>
  <w:abstractNum w:abstractNumId="1">
    <w:nsid w:val="E70D7EBD"/>
    <w:multiLevelType w:val="singleLevel"/>
    <w:tmpl w:val="E70D7EBD"/>
    <w:lvl w:ilvl="0" w:tentative="0">
      <w:start w:val="27"/>
      <w:numFmt w:val="decimal"/>
      <w:suff w:val="nothing"/>
      <w:lvlText w:val="%1．"/>
      <w:lvlJc w:val="left"/>
    </w:lvl>
  </w:abstractNum>
  <w:abstractNum w:abstractNumId="2">
    <w:nsid w:val="E978D6AA"/>
    <w:multiLevelType w:val="singleLevel"/>
    <w:tmpl w:val="E978D6AA"/>
    <w:lvl w:ilvl="0" w:tentative="0">
      <w:start w:val="1"/>
      <w:numFmt w:val="decimal"/>
      <w:suff w:val="nothing"/>
      <w:lvlText w:val="（%1）"/>
      <w:lvlJc w:val="left"/>
    </w:lvl>
  </w:abstractNum>
  <w:abstractNum w:abstractNumId="3">
    <w:nsid w:val="E998A4BE"/>
    <w:multiLevelType w:val="singleLevel"/>
    <w:tmpl w:val="E998A4BE"/>
    <w:lvl w:ilvl="0" w:tentative="0">
      <w:start w:val="32"/>
      <w:numFmt w:val="decimal"/>
      <w:suff w:val="space"/>
      <w:lvlText w:val="%1."/>
      <w:lvlJc w:val="left"/>
    </w:lvl>
  </w:abstractNum>
  <w:abstractNum w:abstractNumId="4">
    <w:nsid w:val="F477E361"/>
    <w:multiLevelType w:val="singleLevel"/>
    <w:tmpl w:val="F477E361"/>
    <w:lvl w:ilvl="0" w:tentative="0">
      <w:start w:val="1"/>
      <w:numFmt w:val="decimal"/>
      <w:suff w:val="nothing"/>
      <w:lvlText w:val="（%1）"/>
      <w:lvlJc w:val="left"/>
    </w:lvl>
  </w:abstractNum>
  <w:abstractNum w:abstractNumId="5">
    <w:nsid w:val="0000000B"/>
    <w:multiLevelType w:val="singleLevel"/>
    <w:tmpl w:val="0000000B"/>
    <w:lvl w:ilvl="0" w:tentative="0">
      <w:start w:val="1"/>
      <w:numFmt w:val="decimal"/>
      <w:suff w:val="nothing"/>
      <w:lvlText w:val="（%1）"/>
      <w:lvlJc w:val="left"/>
      <w:pPr>
        <w:ind w:left="-97"/>
      </w:pPr>
    </w:lvl>
  </w:abstractNum>
  <w:abstractNum w:abstractNumId="6">
    <w:nsid w:val="0000000C"/>
    <w:multiLevelType w:val="singleLevel"/>
    <w:tmpl w:val="0000000C"/>
    <w:lvl w:ilvl="0" w:tentative="0">
      <w:start w:val="1"/>
      <w:numFmt w:val="decimal"/>
      <w:suff w:val="nothing"/>
      <w:lvlText w:val="（%1）"/>
      <w:lvlJc w:val="left"/>
    </w:lvl>
  </w:abstractNum>
  <w:abstractNum w:abstractNumId="7">
    <w:nsid w:val="14181B7E"/>
    <w:multiLevelType w:val="singleLevel"/>
    <w:tmpl w:val="14181B7E"/>
    <w:lvl w:ilvl="0" w:tentative="0">
      <w:start w:val="1"/>
      <w:numFmt w:val="decimal"/>
      <w:suff w:val="nothing"/>
      <w:lvlText w:val="%1、"/>
      <w:lvlJc w:val="left"/>
    </w:lvl>
  </w:abstractNum>
  <w:abstractNum w:abstractNumId="8">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9">
    <w:nsid w:val="259905B5"/>
    <w:multiLevelType w:val="multilevel"/>
    <w:tmpl w:val="259905B5"/>
    <w:lvl w:ilvl="0" w:tentative="0">
      <w:start w:val="1"/>
      <w:numFmt w:val="chineseCountingThousand"/>
      <w:pStyle w:val="247"/>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5"/>
      <w:suff w:val="space"/>
      <w:lvlText w:val="%2.%3.%4"/>
      <w:lvlJc w:val="left"/>
      <w:pPr>
        <w:ind w:left="284" w:hanging="284"/>
      </w:pPr>
      <w:rPr>
        <w:rFonts w:hint="eastAsia" w:ascii="宋体" w:eastAsia="宋体" w:cs="Times New Roman"/>
        <w:b/>
        <w:i w:val="0"/>
        <w:sz w:val="28"/>
      </w:rPr>
    </w:lvl>
    <w:lvl w:ilvl="4" w:tentative="0">
      <w:start w:val="1"/>
      <w:numFmt w:val="decimal"/>
      <w:pStyle w:val="6"/>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9"/>
      <w:suff w:val="nothing"/>
      <w:lvlText w:val=""/>
      <w:lvlJc w:val="left"/>
      <w:rPr>
        <w:rFonts w:hint="eastAsia" w:cs="Times New Roman"/>
      </w:rPr>
    </w:lvl>
    <w:lvl w:ilvl="7" w:tentative="0">
      <w:start w:val="1"/>
      <w:numFmt w:val="none"/>
      <w:pStyle w:val="10"/>
      <w:suff w:val="nothing"/>
      <w:lvlText w:val=""/>
      <w:lvlJc w:val="left"/>
      <w:rPr>
        <w:rFonts w:hint="eastAsia" w:cs="Times New Roman"/>
      </w:rPr>
    </w:lvl>
    <w:lvl w:ilvl="8" w:tentative="0">
      <w:start w:val="1"/>
      <w:numFmt w:val="none"/>
      <w:pStyle w:val="11"/>
      <w:suff w:val="nothing"/>
      <w:lvlText w:val=""/>
      <w:lvlJc w:val="left"/>
      <w:rPr>
        <w:rFonts w:hint="eastAsia" w:cs="Times New Roman"/>
      </w:rPr>
    </w:lvl>
  </w:abstractNum>
  <w:abstractNum w:abstractNumId="10">
    <w:nsid w:val="33EF0870"/>
    <w:multiLevelType w:val="multilevel"/>
    <w:tmpl w:val="33EF0870"/>
    <w:lvl w:ilvl="0" w:tentative="0">
      <w:start w:val="1"/>
      <w:numFmt w:val="japaneseCounting"/>
      <w:lvlText w:val="%1、"/>
      <w:lvlJc w:val="left"/>
      <w:pPr>
        <w:ind w:left="510" w:hanging="51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4A4A6516"/>
    <w:multiLevelType w:val="singleLevel"/>
    <w:tmpl w:val="4A4A6516"/>
    <w:lvl w:ilvl="0" w:tentative="0">
      <w:start w:val="1"/>
      <w:numFmt w:val="decimal"/>
      <w:suff w:val="nothing"/>
      <w:lvlText w:val="（%1）"/>
      <w:lvlJc w:val="left"/>
    </w:lvl>
  </w:abstractNum>
  <w:abstractNum w:abstractNumId="12">
    <w:nsid w:val="4CF7F164"/>
    <w:multiLevelType w:val="singleLevel"/>
    <w:tmpl w:val="4CF7F164"/>
    <w:lvl w:ilvl="0" w:tentative="0">
      <w:start w:val="4"/>
      <w:numFmt w:val="chineseCounting"/>
      <w:suff w:val="nothing"/>
      <w:lvlText w:val="%1、"/>
      <w:lvlJc w:val="left"/>
      <w:rPr>
        <w:rFonts w:hint="eastAsia"/>
      </w:rPr>
    </w:lvl>
  </w:abstractNum>
  <w:abstractNum w:abstractNumId="13">
    <w:nsid w:val="544649A8"/>
    <w:multiLevelType w:val="singleLevel"/>
    <w:tmpl w:val="544649A8"/>
    <w:lvl w:ilvl="0" w:tentative="0">
      <w:start w:val="2"/>
      <w:numFmt w:val="decimal"/>
      <w:suff w:val="space"/>
      <w:lvlText w:val="%1."/>
      <w:lvlJc w:val="left"/>
    </w:lvl>
  </w:abstractNum>
  <w:abstractNum w:abstractNumId="14">
    <w:nsid w:val="553AFA00"/>
    <w:multiLevelType w:val="singleLevel"/>
    <w:tmpl w:val="553AFA00"/>
    <w:lvl w:ilvl="0" w:tentative="0">
      <w:start w:val="1"/>
      <w:numFmt w:val="decimal"/>
      <w:suff w:val="nothing"/>
      <w:lvlText w:val="（%1）"/>
      <w:lvlJc w:val="left"/>
    </w:lvl>
  </w:abstractNum>
  <w:abstractNum w:abstractNumId="15">
    <w:nsid w:val="5CADBC91"/>
    <w:multiLevelType w:val="singleLevel"/>
    <w:tmpl w:val="5CADBC91"/>
    <w:lvl w:ilvl="0" w:tentative="0">
      <w:start w:val="1"/>
      <w:numFmt w:val="decimal"/>
      <w:suff w:val="nothing"/>
      <w:lvlText w:val="（%1）"/>
      <w:lvlJc w:val="left"/>
    </w:lvl>
  </w:abstractNum>
  <w:abstractNum w:abstractNumId="16">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8"/>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8">
    <w:nsid w:val="7FCA1FB6"/>
    <w:multiLevelType w:val="singleLevel"/>
    <w:tmpl w:val="7FCA1FB6"/>
    <w:lvl w:ilvl="0" w:tentative="0">
      <w:start w:val="1"/>
      <w:numFmt w:val="decimal"/>
      <w:lvlText w:val="%1."/>
      <w:lvlJc w:val="left"/>
      <w:pPr>
        <w:tabs>
          <w:tab w:val="left" w:pos="312"/>
        </w:tabs>
      </w:pPr>
    </w:lvl>
  </w:abstractNum>
  <w:num w:numId="1">
    <w:abstractNumId w:val="9"/>
  </w:num>
  <w:num w:numId="2">
    <w:abstractNumId w:val="17"/>
  </w:num>
  <w:num w:numId="3">
    <w:abstractNumId w:val="15"/>
  </w:num>
  <w:num w:numId="4">
    <w:abstractNumId w:val="4"/>
  </w:num>
  <w:num w:numId="5">
    <w:abstractNumId w:val="11"/>
  </w:num>
  <w:num w:numId="6">
    <w:abstractNumId w:val="2"/>
  </w:num>
  <w:num w:numId="7">
    <w:abstractNumId w:val="14"/>
  </w:num>
  <w:num w:numId="8">
    <w:abstractNumId w:val="1"/>
  </w:num>
  <w:num w:numId="9">
    <w:abstractNumId w:val="3"/>
  </w:num>
  <w:num w:numId="10">
    <w:abstractNumId w:val="18"/>
  </w:num>
  <w:num w:numId="11">
    <w:abstractNumId w:val="6"/>
  </w:num>
  <w:num w:numId="12">
    <w:abstractNumId w:val="0"/>
  </w:num>
  <w:num w:numId="13">
    <w:abstractNumId w:val="5"/>
  </w:num>
  <w:num w:numId="14">
    <w:abstractNumId w:val="7"/>
  </w:num>
  <w:num w:numId="15">
    <w:abstractNumId w:val="13"/>
  </w:num>
  <w:num w:numId="16">
    <w:abstractNumId w:val="12"/>
  </w:num>
  <w:num w:numId="17">
    <w:abstractNumId w:val="10"/>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trackRevisions w:val="1"/>
  <w:documentProtection w:enforcement="0"/>
  <w:defaultTabStop w:val="420"/>
  <w:drawingGridHorizontalSpacing w:val="105"/>
  <w:drawingGridVerticalSpacing w:val="204"/>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90D"/>
    <w:rsid w:val="00002080"/>
    <w:rsid w:val="00005232"/>
    <w:rsid w:val="000209FB"/>
    <w:rsid w:val="0004341C"/>
    <w:rsid w:val="00045ABB"/>
    <w:rsid w:val="00046DC9"/>
    <w:rsid w:val="00050870"/>
    <w:rsid w:val="00065D1D"/>
    <w:rsid w:val="000724C9"/>
    <w:rsid w:val="000741F5"/>
    <w:rsid w:val="00081158"/>
    <w:rsid w:val="000935C6"/>
    <w:rsid w:val="000970B1"/>
    <w:rsid w:val="000A0269"/>
    <w:rsid w:val="000A11B3"/>
    <w:rsid w:val="000A3544"/>
    <w:rsid w:val="000A6D84"/>
    <w:rsid w:val="000A7E09"/>
    <w:rsid w:val="000C2979"/>
    <w:rsid w:val="000C5AE0"/>
    <w:rsid w:val="000C64A8"/>
    <w:rsid w:val="000D21C1"/>
    <w:rsid w:val="000D514B"/>
    <w:rsid w:val="000E5937"/>
    <w:rsid w:val="00104204"/>
    <w:rsid w:val="001226D2"/>
    <w:rsid w:val="0012279D"/>
    <w:rsid w:val="0012379D"/>
    <w:rsid w:val="001243CA"/>
    <w:rsid w:val="001303B3"/>
    <w:rsid w:val="00134B6D"/>
    <w:rsid w:val="00145DFB"/>
    <w:rsid w:val="001615BE"/>
    <w:rsid w:val="00171CE7"/>
    <w:rsid w:val="00173151"/>
    <w:rsid w:val="001945D6"/>
    <w:rsid w:val="001A5BFA"/>
    <w:rsid w:val="001A618D"/>
    <w:rsid w:val="001B619D"/>
    <w:rsid w:val="001C0E9B"/>
    <w:rsid w:val="001E4E38"/>
    <w:rsid w:val="001E7EB1"/>
    <w:rsid w:val="001F0466"/>
    <w:rsid w:val="001F3EAA"/>
    <w:rsid w:val="00201A8A"/>
    <w:rsid w:val="0020420F"/>
    <w:rsid w:val="00215CE7"/>
    <w:rsid w:val="00215E42"/>
    <w:rsid w:val="00221224"/>
    <w:rsid w:val="00227FFE"/>
    <w:rsid w:val="00230239"/>
    <w:rsid w:val="002311A4"/>
    <w:rsid w:val="00232472"/>
    <w:rsid w:val="00232D48"/>
    <w:rsid w:val="00243BAD"/>
    <w:rsid w:val="00255018"/>
    <w:rsid w:val="00263CD4"/>
    <w:rsid w:val="00263E9B"/>
    <w:rsid w:val="00265403"/>
    <w:rsid w:val="00266FF5"/>
    <w:rsid w:val="0028690A"/>
    <w:rsid w:val="00290681"/>
    <w:rsid w:val="00291284"/>
    <w:rsid w:val="0029209E"/>
    <w:rsid w:val="00297AE4"/>
    <w:rsid w:val="002A3382"/>
    <w:rsid w:val="002A779E"/>
    <w:rsid w:val="002B387E"/>
    <w:rsid w:val="002C0E7E"/>
    <w:rsid w:val="002D37F8"/>
    <w:rsid w:val="002D4312"/>
    <w:rsid w:val="002D5763"/>
    <w:rsid w:val="002D7B0B"/>
    <w:rsid w:val="002E1ABE"/>
    <w:rsid w:val="002E772C"/>
    <w:rsid w:val="002E7745"/>
    <w:rsid w:val="002F0794"/>
    <w:rsid w:val="0030075D"/>
    <w:rsid w:val="00313981"/>
    <w:rsid w:val="00315957"/>
    <w:rsid w:val="00321E15"/>
    <w:rsid w:val="0032335F"/>
    <w:rsid w:val="00332FAE"/>
    <w:rsid w:val="00337C78"/>
    <w:rsid w:val="00344730"/>
    <w:rsid w:val="003666B5"/>
    <w:rsid w:val="003708D0"/>
    <w:rsid w:val="00392CD8"/>
    <w:rsid w:val="00392DC1"/>
    <w:rsid w:val="00393603"/>
    <w:rsid w:val="00394A52"/>
    <w:rsid w:val="00397EF4"/>
    <w:rsid w:val="003A1CC4"/>
    <w:rsid w:val="003A7F03"/>
    <w:rsid w:val="003B2434"/>
    <w:rsid w:val="003B495E"/>
    <w:rsid w:val="003D039D"/>
    <w:rsid w:val="003D2D01"/>
    <w:rsid w:val="003D73D6"/>
    <w:rsid w:val="003E5A06"/>
    <w:rsid w:val="00402C81"/>
    <w:rsid w:val="004050E2"/>
    <w:rsid w:val="00405687"/>
    <w:rsid w:val="004238CD"/>
    <w:rsid w:val="004255F7"/>
    <w:rsid w:val="00442124"/>
    <w:rsid w:val="004523B0"/>
    <w:rsid w:val="00456F6F"/>
    <w:rsid w:val="00462715"/>
    <w:rsid w:val="004708CE"/>
    <w:rsid w:val="00471E00"/>
    <w:rsid w:val="004A66F5"/>
    <w:rsid w:val="004A7391"/>
    <w:rsid w:val="004B45D7"/>
    <w:rsid w:val="004B47B2"/>
    <w:rsid w:val="004B508D"/>
    <w:rsid w:val="004B7E40"/>
    <w:rsid w:val="004D1CAC"/>
    <w:rsid w:val="004D23D3"/>
    <w:rsid w:val="004D3749"/>
    <w:rsid w:val="004D42A9"/>
    <w:rsid w:val="004D6029"/>
    <w:rsid w:val="004F17F3"/>
    <w:rsid w:val="004F7511"/>
    <w:rsid w:val="00502668"/>
    <w:rsid w:val="0053779E"/>
    <w:rsid w:val="00544DBD"/>
    <w:rsid w:val="0054617D"/>
    <w:rsid w:val="00557E41"/>
    <w:rsid w:val="00574783"/>
    <w:rsid w:val="005806D0"/>
    <w:rsid w:val="00581E5F"/>
    <w:rsid w:val="00584C1B"/>
    <w:rsid w:val="00585469"/>
    <w:rsid w:val="005965BF"/>
    <w:rsid w:val="005A7C7F"/>
    <w:rsid w:val="005B4E40"/>
    <w:rsid w:val="005C1C2A"/>
    <w:rsid w:val="005C5F3F"/>
    <w:rsid w:val="005D5530"/>
    <w:rsid w:val="005E23CF"/>
    <w:rsid w:val="005F1583"/>
    <w:rsid w:val="005F3BAB"/>
    <w:rsid w:val="00602590"/>
    <w:rsid w:val="006057FD"/>
    <w:rsid w:val="0060590D"/>
    <w:rsid w:val="00611DF4"/>
    <w:rsid w:val="00611E16"/>
    <w:rsid w:val="00626A6B"/>
    <w:rsid w:val="006437E0"/>
    <w:rsid w:val="00645152"/>
    <w:rsid w:val="0065100B"/>
    <w:rsid w:val="0065427B"/>
    <w:rsid w:val="00657B72"/>
    <w:rsid w:val="00661E10"/>
    <w:rsid w:val="00667D3A"/>
    <w:rsid w:val="0067595C"/>
    <w:rsid w:val="00685B7D"/>
    <w:rsid w:val="006949A6"/>
    <w:rsid w:val="006A4C97"/>
    <w:rsid w:val="006B6082"/>
    <w:rsid w:val="006C7CD7"/>
    <w:rsid w:val="006D1AB2"/>
    <w:rsid w:val="006D2248"/>
    <w:rsid w:val="006D5198"/>
    <w:rsid w:val="006D57B5"/>
    <w:rsid w:val="006D70D3"/>
    <w:rsid w:val="006E0DDB"/>
    <w:rsid w:val="006E330D"/>
    <w:rsid w:val="006F032E"/>
    <w:rsid w:val="006F040D"/>
    <w:rsid w:val="006F7EF8"/>
    <w:rsid w:val="00700569"/>
    <w:rsid w:val="00702BE4"/>
    <w:rsid w:val="00704494"/>
    <w:rsid w:val="007057F1"/>
    <w:rsid w:val="00723062"/>
    <w:rsid w:val="00724B0C"/>
    <w:rsid w:val="00751EEB"/>
    <w:rsid w:val="007529B1"/>
    <w:rsid w:val="00770826"/>
    <w:rsid w:val="00771AFE"/>
    <w:rsid w:val="007726E8"/>
    <w:rsid w:val="00773906"/>
    <w:rsid w:val="007902A1"/>
    <w:rsid w:val="007B6261"/>
    <w:rsid w:val="007C337C"/>
    <w:rsid w:val="007C3EA7"/>
    <w:rsid w:val="007C44CA"/>
    <w:rsid w:val="007D133D"/>
    <w:rsid w:val="007D74FA"/>
    <w:rsid w:val="007E0E1E"/>
    <w:rsid w:val="007F2151"/>
    <w:rsid w:val="007F6FC7"/>
    <w:rsid w:val="00802A0D"/>
    <w:rsid w:val="00807F16"/>
    <w:rsid w:val="00815C2D"/>
    <w:rsid w:val="008248D1"/>
    <w:rsid w:val="0086619E"/>
    <w:rsid w:val="00873CF7"/>
    <w:rsid w:val="00881C26"/>
    <w:rsid w:val="00883831"/>
    <w:rsid w:val="00892D59"/>
    <w:rsid w:val="008931A0"/>
    <w:rsid w:val="008B47DA"/>
    <w:rsid w:val="008D0606"/>
    <w:rsid w:val="008D4643"/>
    <w:rsid w:val="008F6E5D"/>
    <w:rsid w:val="00902EF6"/>
    <w:rsid w:val="00937210"/>
    <w:rsid w:val="00937681"/>
    <w:rsid w:val="0094048C"/>
    <w:rsid w:val="0094311D"/>
    <w:rsid w:val="0094337F"/>
    <w:rsid w:val="00957EAF"/>
    <w:rsid w:val="0096202A"/>
    <w:rsid w:val="0096310B"/>
    <w:rsid w:val="00965B06"/>
    <w:rsid w:val="009826D4"/>
    <w:rsid w:val="00991CE8"/>
    <w:rsid w:val="009A2352"/>
    <w:rsid w:val="009A43CE"/>
    <w:rsid w:val="009A7B39"/>
    <w:rsid w:val="009B391F"/>
    <w:rsid w:val="009C37A4"/>
    <w:rsid w:val="009D4ABB"/>
    <w:rsid w:val="009E1DCB"/>
    <w:rsid w:val="009E6BD7"/>
    <w:rsid w:val="009F0164"/>
    <w:rsid w:val="009F4AFB"/>
    <w:rsid w:val="00A01C0F"/>
    <w:rsid w:val="00A03BD7"/>
    <w:rsid w:val="00A045EE"/>
    <w:rsid w:val="00A143F3"/>
    <w:rsid w:val="00A20614"/>
    <w:rsid w:val="00A21654"/>
    <w:rsid w:val="00A224FB"/>
    <w:rsid w:val="00A25B66"/>
    <w:rsid w:val="00A329C7"/>
    <w:rsid w:val="00A32F64"/>
    <w:rsid w:val="00A34458"/>
    <w:rsid w:val="00A53D7D"/>
    <w:rsid w:val="00A56437"/>
    <w:rsid w:val="00A56CC2"/>
    <w:rsid w:val="00A62D7B"/>
    <w:rsid w:val="00A65816"/>
    <w:rsid w:val="00A7246A"/>
    <w:rsid w:val="00A746CF"/>
    <w:rsid w:val="00A812FB"/>
    <w:rsid w:val="00A83446"/>
    <w:rsid w:val="00A85B09"/>
    <w:rsid w:val="00A937A7"/>
    <w:rsid w:val="00AA3E9F"/>
    <w:rsid w:val="00AA74FE"/>
    <w:rsid w:val="00AB023A"/>
    <w:rsid w:val="00AB2FC2"/>
    <w:rsid w:val="00AB38F2"/>
    <w:rsid w:val="00AB490D"/>
    <w:rsid w:val="00AC6B86"/>
    <w:rsid w:val="00AD1FA9"/>
    <w:rsid w:val="00AE1464"/>
    <w:rsid w:val="00AE5329"/>
    <w:rsid w:val="00AF32C5"/>
    <w:rsid w:val="00B068D5"/>
    <w:rsid w:val="00B109C8"/>
    <w:rsid w:val="00B132C3"/>
    <w:rsid w:val="00B15ABF"/>
    <w:rsid w:val="00B20432"/>
    <w:rsid w:val="00B30DD7"/>
    <w:rsid w:val="00B31AA1"/>
    <w:rsid w:val="00B358BB"/>
    <w:rsid w:val="00B37A39"/>
    <w:rsid w:val="00B6294D"/>
    <w:rsid w:val="00B6351C"/>
    <w:rsid w:val="00B71BCE"/>
    <w:rsid w:val="00B72A60"/>
    <w:rsid w:val="00B84DCC"/>
    <w:rsid w:val="00B87A7E"/>
    <w:rsid w:val="00B9392D"/>
    <w:rsid w:val="00BB165D"/>
    <w:rsid w:val="00BB7E2A"/>
    <w:rsid w:val="00BC48DD"/>
    <w:rsid w:val="00BF3FD3"/>
    <w:rsid w:val="00C043E6"/>
    <w:rsid w:val="00C078E4"/>
    <w:rsid w:val="00C1352B"/>
    <w:rsid w:val="00C14798"/>
    <w:rsid w:val="00C21619"/>
    <w:rsid w:val="00C30FF1"/>
    <w:rsid w:val="00C35E17"/>
    <w:rsid w:val="00C36DD7"/>
    <w:rsid w:val="00C41B78"/>
    <w:rsid w:val="00C43D36"/>
    <w:rsid w:val="00C627B4"/>
    <w:rsid w:val="00C66FFC"/>
    <w:rsid w:val="00C71AE2"/>
    <w:rsid w:val="00C7280C"/>
    <w:rsid w:val="00C73FA1"/>
    <w:rsid w:val="00C76CDA"/>
    <w:rsid w:val="00C92E01"/>
    <w:rsid w:val="00C95A83"/>
    <w:rsid w:val="00CA6DE4"/>
    <w:rsid w:val="00CB2C66"/>
    <w:rsid w:val="00CB62D9"/>
    <w:rsid w:val="00CB6581"/>
    <w:rsid w:val="00CC5FC5"/>
    <w:rsid w:val="00CC7A6F"/>
    <w:rsid w:val="00CD7C20"/>
    <w:rsid w:val="00D21668"/>
    <w:rsid w:val="00D22C79"/>
    <w:rsid w:val="00D43A11"/>
    <w:rsid w:val="00D43A64"/>
    <w:rsid w:val="00D43B9A"/>
    <w:rsid w:val="00D676EF"/>
    <w:rsid w:val="00D85591"/>
    <w:rsid w:val="00D9454C"/>
    <w:rsid w:val="00D96831"/>
    <w:rsid w:val="00DB4BB0"/>
    <w:rsid w:val="00DB4F43"/>
    <w:rsid w:val="00DB7AEE"/>
    <w:rsid w:val="00DD4125"/>
    <w:rsid w:val="00DE2230"/>
    <w:rsid w:val="00DE2A83"/>
    <w:rsid w:val="00DE3EEC"/>
    <w:rsid w:val="00DE67DB"/>
    <w:rsid w:val="00DF34AF"/>
    <w:rsid w:val="00DF7373"/>
    <w:rsid w:val="00E11AC6"/>
    <w:rsid w:val="00E13B11"/>
    <w:rsid w:val="00E13B30"/>
    <w:rsid w:val="00E173C7"/>
    <w:rsid w:val="00E573A8"/>
    <w:rsid w:val="00E824A5"/>
    <w:rsid w:val="00E87C17"/>
    <w:rsid w:val="00E939FF"/>
    <w:rsid w:val="00EA0077"/>
    <w:rsid w:val="00EA3742"/>
    <w:rsid w:val="00EA37D1"/>
    <w:rsid w:val="00EA77E9"/>
    <w:rsid w:val="00EB0AE4"/>
    <w:rsid w:val="00EB0E59"/>
    <w:rsid w:val="00EB289B"/>
    <w:rsid w:val="00EB5B03"/>
    <w:rsid w:val="00ED1878"/>
    <w:rsid w:val="00EE7EBF"/>
    <w:rsid w:val="00EF51B2"/>
    <w:rsid w:val="00F11430"/>
    <w:rsid w:val="00F21123"/>
    <w:rsid w:val="00F25C74"/>
    <w:rsid w:val="00F45430"/>
    <w:rsid w:val="00F54EA6"/>
    <w:rsid w:val="00F56523"/>
    <w:rsid w:val="00F57CB1"/>
    <w:rsid w:val="00F743C7"/>
    <w:rsid w:val="00F825B9"/>
    <w:rsid w:val="00F860BF"/>
    <w:rsid w:val="00F87D24"/>
    <w:rsid w:val="00F90A83"/>
    <w:rsid w:val="00F95C31"/>
    <w:rsid w:val="00FA3621"/>
    <w:rsid w:val="00FC41B5"/>
    <w:rsid w:val="00FD13D8"/>
    <w:rsid w:val="00FD1F18"/>
    <w:rsid w:val="00FD69FD"/>
    <w:rsid w:val="00FD6DE8"/>
    <w:rsid w:val="00FE0284"/>
    <w:rsid w:val="00FE4248"/>
    <w:rsid w:val="00FF21B1"/>
    <w:rsid w:val="01D66D7B"/>
    <w:rsid w:val="026A5233"/>
    <w:rsid w:val="02A23E5E"/>
    <w:rsid w:val="051D0B9E"/>
    <w:rsid w:val="05997D65"/>
    <w:rsid w:val="078D7EC3"/>
    <w:rsid w:val="0839769A"/>
    <w:rsid w:val="08C37E02"/>
    <w:rsid w:val="0B381131"/>
    <w:rsid w:val="0C762CD4"/>
    <w:rsid w:val="11A1130F"/>
    <w:rsid w:val="11E60067"/>
    <w:rsid w:val="127C300E"/>
    <w:rsid w:val="128D43FF"/>
    <w:rsid w:val="130B4E55"/>
    <w:rsid w:val="135013C8"/>
    <w:rsid w:val="14670B57"/>
    <w:rsid w:val="156A3BB2"/>
    <w:rsid w:val="15FE2F9C"/>
    <w:rsid w:val="165335B8"/>
    <w:rsid w:val="169C77DB"/>
    <w:rsid w:val="171A7DCF"/>
    <w:rsid w:val="1B271D00"/>
    <w:rsid w:val="1BD41958"/>
    <w:rsid w:val="1CF63F68"/>
    <w:rsid w:val="1EE30362"/>
    <w:rsid w:val="20140D2A"/>
    <w:rsid w:val="20205E09"/>
    <w:rsid w:val="26241216"/>
    <w:rsid w:val="278E6535"/>
    <w:rsid w:val="2AB82F06"/>
    <w:rsid w:val="2D212A98"/>
    <w:rsid w:val="2E3000AA"/>
    <w:rsid w:val="2EC61EDA"/>
    <w:rsid w:val="32E53E60"/>
    <w:rsid w:val="34B83649"/>
    <w:rsid w:val="35CA535A"/>
    <w:rsid w:val="365B4B65"/>
    <w:rsid w:val="37A67667"/>
    <w:rsid w:val="37CD1A92"/>
    <w:rsid w:val="38A7777C"/>
    <w:rsid w:val="3B8F3B44"/>
    <w:rsid w:val="3BBE2E32"/>
    <w:rsid w:val="3FA23805"/>
    <w:rsid w:val="402F2C31"/>
    <w:rsid w:val="42ED6100"/>
    <w:rsid w:val="431B1E95"/>
    <w:rsid w:val="482D3E87"/>
    <w:rsid w:val="48DE19CB"/>
    <w:rsid w:val="490B7A07"/>
    <w:rsid w:val="4A966E5E"/>
    <w:rsid w:val="4AAE7501"/>
    <w:rsid w:val="4D341CB6"/>
    <w:rsid w:val="4DAF47B2"/>
    <w:rsid w:val="4F9111A0"/>
    <w:rsid w:val="50587CE1"/>
    <w:rsid w:val="50DC656E"/>
    <w:rsid w:val="52DC52DB"/>
    <w:rsid w:val="56814DC9"/>
    <w:rsid w:val="56AB4630"/>
    <w:rsid w:val="572751B4"/>
    <w:rsid w:val="582803EA"/>
    <w:rsid w:val="5BC7161E"/>
    <w:rsid w:val="5D653816"/>
    <w:rsid w:val="60A82262"/>
    <w:rsid w:val="60EC017F"/>
    <w:rsid w:val="6135672A"/>
    <w:rsid w:val="61946898"/>
    <w:rsid w:val="62DE5BC0"/>
    <w:rsid w:val="63AD32A3"/>
    <w:rsid w:val="64A90D50"/>
    <w:rsid w:val="658A692B"/>
    <w:rsid w:val="65D244D2"/>
    <w:rsid w:val="65EB54CF"/>
    <w:rsid w:val="66FC597B"/>
    <w:rsid w:val="6833140E"/>
    <w:rsid w:val="691F7CA8"/>
    <w:rsid w:val="698345CA"/>
    <w:rsid w:val="69E61595"/>
    <w:rsid w:val="69E93C5A"/>
    <w:rsid w:val="6FA81EC2"/>
    <w:rsid w:val="73F46215"/>
    <w:rsid w:val="742106A6"/>
    <w:rsid w:val="75722D56"/>
    <w:rsid w:val="76983B8F"/>
    <w:rsid w:val="78EA7247"/>
    <w:rsid w:val="79B51380"/>
    <w:rsid w:val="79C75337"/>
    <w:rsid w:val="7AEF50C9"/>
    <w:rsid w:val="7CE0713F"/>
    <w:rsid w:val="7EA33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9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8"/>
    <w:qFormat/>
    <w:uiPriority w:val="0"/>
    <w:pPr>
      <w:keepNext/>
      <w:keepLines/>
      <w:spacing w:line="360" w:lineRule="auto"/>
      <w:outlineLvl w:val="0"/>
    </w:pPr>
    <w:rPr>
      <w:rFonts w:ascii="Times New Roman" w:hAnsi="Times New Roman" w:eastAsia="宋体" w:cs="Times New Roman"/>
      <w:kern w:val="44"/>
      <w:sz w:val="28"/>
      <w:szCs w:val="28"/>
    </w:rPr>
  </w:style>
  <w:style w:type="paragraph" w:styleId="3">
    <w:name w:val="heading 2"/>
    <w:basedOn w:val="1"/>
    <w:next w:val="1"/>
    <w:link w:val="79"/>
    <w:qFormat/>
    <w:uiPriority w:val="0"/>
    <w:pPr>
      <w:keepNext/>
      <w:keepLines/>
      <w:spacing w:line="360" w:lineRule="auto"/>
      <w:jc w:val="center"/>
      <w:outlineLvl w:val="1"/>
    </w:pPr>
    <w:rPr>
      <w:rFonts w:ascii="宋体" w:hAnsi="宋体" w:eastAsia="宋体" w:cs="Times New Roman"/>
      <w:b/>
      <w:color w:val="000000"/>
      <w:kern w:val="0"/>
      <w:sz w:val="24"/>
      <w:szCs w:val="24"/>
    </w:rPr>
  </w:style>
  <w:style w:type="paragraph" w:styleId="4">
    <w:name w:val="heading 3"/>
    <w:basedOn w:val="1"/>
    <w:next w:val="1"/>
    <w:link w:val="80"/>
    <w:qFormat/>
    <w:uiPriority w:val="0"/>
    <w:pPr>
      <w:widowControl/>
      <w:spacing w:line="360" w:lineRule="auto"/>
      <w:jc w:val="left"/>
      <w:outlineLvl w:val="2"/>
    </w:pPr>
    <w:rPr>
      <w:rFonts w:ascii="宋体" w:hAnsi="宋体" w:eastAsia="宋体" w:cs="Times New Roman"/>
      <w:kern w:val="0"/>
      <w:sz w:val="24"/>
      <w:szCs w:val="24"/>
    </w:rPr>
  </w:style>
  <w:style w:type="paragraph" w:styleId="5">
    <w:name w:val="heading 4"/>
    <w:basedOn w:val="1"/>
    <w:next w:val="1"/>
    <w:link w:val="81"/>
    <w:qFormat/>
    <w:uiPriority w:val="0"/>
    <w:pPr>
      <w:keepNext/>
      <w:keepLines/>
      <w:numPr>
        <w:ilvl w:val="3"/>
        <w:numId w:val="1"/>
      </w:numPr>
      <w:spacing w:beforeLines="50" w:afterLines="50" w:line="360" w:lineRule="auto"/>
      <w:outlineLvl w:val="3"/>
    </w:pPr>
    <w:rPr>
      <w:rFonts w:ascii="Arial" w:hAnsi="Arial" w:eastAsia="宋体" w:cs="Times New Roman"/>
      <w:color w:val="000000"/>
      <w:sz w:val="20"/>
      <w:szCs w:val="21"/>
    </w:rPr>
  </w:style>
  <w:style w:type="paragraph" w:styleId="6">
    <w:name w:val="heading 5"/>
    <w:basedOn w:val="5"/>
    <w:next w:val="7"/>
    <w:link w:val="82"/>
    <w:qFormat/>
    <w:uiPriority w:val="0"/>
    <w:pPr>
      <w:numPr>
        <w:ilvl w:val="4"/>
      </w:numPr>
      <w:spacing w:line="240" w:lineRule="exact"/>
      <w:outlineLvl w:val="4"/>
    </w:pPr>
  </w:style>
  <w:style w:type="paragraph" w:styleId="8">
    <w:name w:val="heading 6"/>
    <w:basedOn w:val="1"/>
    <w:next w:val="1"/>
    <w:link w:val="84"/>
    <w:qFormat/>
    <w:uiPriority w:val="0"/>
    <w:pPr>
      <w:keepNext/>
      <w:keepLines/>
      <w:numPr>
        <w:ilvl w:val="5"/>
        <w:numId w:val="2"/>
      </w:numPr>
      <w:spacing w:before="240" w:after="64" w:line="320" w:lineRule="auto"/>
      <w:outlineLvl w:val="5"/>
    </w:pPr>
    <w:rPr>
      <w:rFonts w:ascii="Arial" w:hAnsi="Arial" w:eastAsia="黑体" w:cs="Times New Roman"/>
      <w:b/>
      <w:bCs/>
      <w:kern w:val="0"/>
      <w:sz w:val="24"/>
      <w:szCs w:val="24"/>
    </w:rPr>
  </w:style>
  <w:style w:type="paragraph" w:styleId="9">
    <w:name w:val="heading 7"/>
    <w:basedOn w:val="1"/>
    <w:next w:val="7"/>
    <w:link w:val="85"/>
    <w:qFormat/>
    <w:uiPriority w:val="0"/>
    <w:pPr>
      <w:keepNext/>
      <w:keepLines/>
      <w:numPr>
        <w:ilvl w:val="6"/>
        <w:numId w:val="1"/>
      </w:numPr>
      <w:spacing w:before="240" w:after="64" w:line="320" w:lineRule="auto"/>
      <w:outlineLvl w:val="6"/>
    </w:pPr>
    <w:rPr>
      <w:rFonts w:ascii="Times New Roman" w:hAnsi="Times New Roman" w:eastAsia="宋体" w:cs="Times New Roman"/>
      <w:kern w:val="0"/>
      <w:sz w:val="24"/>
      <w:szCs w:val="20"/>
    </w:rPr>
  </w:style>
  <w:style w:type="paragraph" w:styleId="10">
    <w:name w:val="heading 8"/>
    <w:basedOn w:val="1"/>
    <w:next w:val="7"/>
    <w:link w:val="86"/>
    <w:qFormat/>
    <w:uiPriority w:val="0"/>
    <w:pPr>
      <w:keepNext/>
      <w:keepLines/>
      <w:numPr>
        <w:ilvl w:val="7"/>
        <w:numId w:val="1"/>
      </w:numPr>
      <w:spacing w:before="240" w:after="64" w:line="320" w:lineRule="auto"/>
      <w:outlineLvl w:val="7"/>
    </w:pPr>
    <w:rPr>
      <w:rFonts w:ascii="Arial" w:hAnsi="Arial" w:eastAsia="黑体" w:cs="Times New Roman"/>
      <w:kern w:val="0"/>
      <w:sz w:val="24"/>
      <w:szCs w:val="20"/>
    </w:rPr>
  </w:style>
  <w:style w:type="paragraph" w:styleId="11">
    <w:name w:val="heading 9"/>
    <w:basedOn w:val="1"/>
    <w:next w:val="7"/>
    <w:link w:val="87"/>
    <w:qFormat/>
    <w:uiPriority w:val="0"/>
    <w:pPr>
      <w:keepNext/>
      <w:keepLines/>
      <w:numPr>
        <w:ilvl w:val="8"/>
        <w:numId w:val="1"/>
      </w:numPr>
      <w:spacing w:before="240" w:after="64" w:line="320" w:lineRule="auto"/>
      <w:outlineLvl w:val="8"/>
    </w:pPr>
    <w:rPr>
      <w:rFonts w:ascii="Arial" w:hAnsi="Arial" w:eastAsia="黑体" w:cs="Times New Roman"/>
      <w:kern w:val="0"/>
      <w:sz w:val="20"/>
      <w:szCs w:val="20"/>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link w:val="83"/>
    <w:qFormat/>
    <w:uiPriority w:val="0"/>
    <w:pPr>
      <w:ind w:firstLine="420"/>
    </w:pPr>
    <w:rPr>
      <w:rFonts w:ascii="Times New Roman" w:hAnsi="Times New Roman" w:eastAsia="宋体" w:cs="Times New Roman"/>
      <w:szCs w:val="20"/>
    </w:rPr>
  </w:style>
  <w:style w:type="paragraph" w:styleId="12">
    <w:name w:val="toc 7"/>
    <w:basedOn w:val="1"/>
    <w:next w:val="1"/>
    <w:qFormat/>
    <w:uiPriority w:val="0"/>
    <w:pPr>
      <w:ind w:left="1200" w:leftChars="1200"/>
    </w:pPr>
    <w:rPr>
      <w:rFonts w:ascii="Times New Roman" w:hAnsi="Times New Roman" w:eastAsia="宋体" w:cs="Times New Roman"/>
    </w:rPr>
  </w:style>
  <w:style w:type="paragraph" w:styleId="13">
    <w:name w:val="caption"/>
    <w:basedOn w:val="1"/>
    <w:next w:val="1"/>
    <w:qFormat/>
    <w:uiPriority w:val="0"/>
    <w:rPr>
      <w:rFonts w:ascii="Arial" w:hAnsi="Arial" w:eastAsia="黑体" w:cs="Arial"/>
      <w:sz w:val="20"/>
      <w:szCs w:val="20"/>
    </w:rPr>
  </w:style>
  <w:style w:type="paragraph" w:styleId="14">
    <w:name w:val="List Bullet"/>
    <w:basedOn w:val="1"/>
    <w:qFormat/>
    <w:uiPriority w:val="0"/>
    <w:pPr>
      <w:tabs>
        <w:tab w:val="left" w:pos="360"/>
      </w:tabs>
      <w:ind w:left="360" w:hanging="360"/>
    </w:pPr>
    <w:rPr>
      <w:rFonts w:ascii="Times New Roman" w:hAnsi="Times New Roman" w:eastAsia="宋体" w:cs="Times New Roman"/>
      <w:szCs w:val="24"/>
    </w:rPr>
  </w:style>
  <w:style w:type="paragraph" w:styleId="15">
    <w:name w:val="Document Map"/>
    <w:basedOn w:val="1"/>
    <w:link w:val="89"/>
    <w:qFormat/>
    <w:uiPriority w:val="0"/>
    <w:pPr>
      <w:shd w:val="clear" w:color="auto" w:fill="000080"/>
    </w:pPr>
    <w:rPr>
      <w:rFonts w:ascii="Times New Roman" w:hAnsi="Times New Roman" w:eastAsia="宋体" w:cs="Times New Roman"/>
      <w:kern w:val="0"/>
      <w:sz w:val="20"/>
      <w:szCs w:val="20"/>
    </w:rPr>
  </w:style>
  <w:style w:type="paragraph" w:styleId="16">
    <w:name w:val="annotation text"/>
    <w:basedOn w:val="1"/>
    <w:link w:val="91"/>
    <w:qFormat/>
    <w:uiPriority w:val="0"/>
    <w:pPr>
      <w:spacing w:line="360" w:lineRule="auto"/>
      <w:ind w:firstLine="523" w:firstLineChars="218"/>
      <w:jc w:val="left"/>
    </w:pPr>
    <w:rPr>
      <w:rFonts w:ascii="宋体" w:hAnsi="宋体" w:eastAsia="宋体" w:cs="Times New Roman"/>
      <w:kern w:val="0"/>
      <w:sz w:val="24"/>
      <w:szCs w:val="24"/>
    </w:rPr>
  </w:style>
  <w:style w:type="paragraph" w:styleId="17">
    <w:name w:val="Body Text 3"/>
    <w:basedOn w:val="1"/>
    <w:link w:val="92"/>
    <w:qFormat/>
    <w:uiPriority w:val="0"/>
    <w:rPr>
      <w:rFonts w:ascii="宋体" w:hAnsi="宋体" w:eastAsia="宋体" w:cs="Times New Roman"/>
      <w:sz w:val="24"/>
      <w:szCs w:val="20"/>
    </w:rPr>
  </w:style>
  <w:style w:type="paragraph" w:styleId="18">
    <w:name w:val="Body Text"/>
    <w:basedOn w:val="1"/>
    <w:link w:val="94"/>
    <w:qFormat/>
    <w:uiPriority w:val="0"/>
    <w:pPr>
      <w:spacing w:after="120"/>
    </w:pPr>
    <w:rPr>
      <w:rFonts w:ascii="Times New Roman" w:hAnsi="Times New Roman" w:eastAsia="宋体" w:cs="Times New Roman"/>
      <w:kern w:val="0"/>
      <w:sz w:val="20"/>
      <w:szCs w:val="20"/>
    </w:rPr>
  </w:style>
  <w:style w:type="paragraph" w:styleId="19">
    <w:name w:val="Body Text Indent"/>
    <w:basedOn w:val="1"/>
    <w:link w:val="96"/>
    <w:qFormat/>
    <w:uiPriority w:val="0"/>
    <w:pPr>
      <w:ind w:firstLine="570"/>
    </w:pPr>
    <w:rPr>
      <w:rFonts w:ascii="Times New Roman" w:hAnsi="Times New Roman" w:eastAsia="宋体" w:cs="Times New Roman"/>
      <w:kern w:val="0"/>
      <w:sz w:val="28"/>
      <w:szCs w:val="20"/>
    </w:rPr>
  </w:style>
  <w:style w:type="paragraph" w:styleId="20">
    <w:name w:val="List 2"/>
    <w:basedOn w:val="1"/>
    <w:qFormat/>
    <w:uiPriority w:val="0"/>
    <w:pPr>
      <w:ind w:left="200" w:leftChars="200" w:hanging="200" w:hangingChars="200"/>
    </w:pPr>
    <w:rPr>
      <w:rFonts w:ascii="Times New Roman" w:hAnsi="Times New Roman" w:eastAsia="楷体_GB2312" w:cs="Times New Roman"/>
      <w:szCs w:val="20"/>
    </w:rPr>
  </w:style>
  <w:style w:type="paragraph" w:styleId="21">
    <w:name w:val="List Bullet 2"/>
    <w:basedOn w:val="14"/>
    <w:qFormat/>
    <w:uiPriority w:val="0"/>
    <w:pPr>
      <w:widowControl/>
      <w:tabs>
        <w:tab w:val="left" w:pos="432"/>
        <w:tab w:val="clear" w:pos="360"/>
      </w:tabs>
      <w:spacing w:after="220" w:line="220" w:lineRule="atLeast"/>
      <w:ind w:left="2160" w:right="720" w:hanging="432"/>
      <w:jc w:val="left"/>
    </w:pPr>
    <w:rPr>
      <w:kern w:val="0"/>
      <w:szCs w:val="20"/>
    </w:rPr>
  </w:style>
  <w:style w:type="paragraph" w:styleId="22">
    <w:name w:val="toc 5"/>
    <w:basedOn w:val="1"/>
    <w:next w:val="1"/>
    <w:qFormat/>
    <w:uiPriority w:val="0"/>
    <w:pPr>
      <w:ind w:left="800" w:leftChars="800"/>
    </w:pPr>
    <w:rPr>
      <w:rFonts w:ascii="Times New Roman" w:hAnsi="Times New Roman" w:eastAsia="宋体" w:cs="Times New Roman"/>
    </w:rPr>
  </w:style>
  <w:style w:type="paragraph" w:styleId="23">
    <w:name w:val="toc 3"/>
    <w:basedOn w:val="1"/>
    <w:next w:val="1"/>
    <w:qFormat/>
    <w:uiPriority w:val="39"/>
    <w:pPr>
      <w:snapToGrid w:val="0"/>
      <w:spacing w:line="360" w:lineRule="auto"/>
      <w:ind w:left="400" w:leftChars="400"/>
      <w:jc w:val="left"/>
    </w:pPr>
    <w:rPr>
      <w:rFonts w:ascii="Times New Roman" w:hAnsi="Times New Roman" w:eastAsia="宋体" w:cs="Times New Roman"/>
      <w:sz w:val="24"/>
      <w:szCs w:val="20"/>
    </w:rPr>
  </w:style>
  <w:style w:type="paragraph" w:styleId="24">
    <w:name w:val="Plain Text"/>
    <w:basedOn w:val="1"/>
    <w:next w:val="1"/>
    <w:link w:val="76"/>
    <w:unhideWhenUsed/>
    <w:qFormat/>
    <w:uiPriority w:val="0"/>
    <w:rPr>
      <w:rFonts w:hAnsi="Courier New" w:cs="Courier New" w:asciiTheme="minorEastAsia"/>
    </w:rPr>
  </w:style>
  <w:style w:type="paragraph" w:styleId="25">
    <w:name w:val="toc 8"/>
    <w:basedOn w:val="1"/>
    <w:next w:val="1"/>
    <w:qFormat/>
    <w:uiPriority w:val="0"/>
    <w:pPr>
      <w:ind w:left="1400" w:leftChars="1400"/>
    </w:pPr>
    <w:rPr>
      <w:rFonts w:ascii="Times New Roman" w:hAnsi="Times New Roman" w:eastAsia="宋体" w:cs="Times New Roman"/>
    </w:rPr>
  </w:style>
  <w:style w:type="paragraph" w:styleId="26">
    <w:name w:val="Date"/>
    <w:basedOn w:val="1"/>
    <w:next w:val="1"/>
    <w:link w:val="98"/>
    <w:qFormat/>
    <w:uiPriority w:val="99"/>
    <w:rPr>
      <w:rFonts w:ascii="Times New Roman" w:hAnsi="Times New Roman" w:eastAsia="宋体" w:cs="Times New Roman"/>
      <w:kern w:val="0"/>
      <w:sz w:val="20"/>
      <w:szCs w:val="20"/>
    </w:rPr>
  </w:style>
  <w:style w:type="paragraph" w:styleId="27">
    <w:name w:val="Body Text Indent 2"/>
    <w:basedOn w:val="1"/>
    <w:link w:val="100"/>
    <w:qFormat/>
    <w:uiPriority w:val="0"/>
    <w:pPr>
      <w:spacing w:line="400" w:lineRule="exact"/>
      <w:ind w:left="425"/>
    </w:pPr>
    <w:rPr>
      <w:rFonts w:ascii="Times New Roman" w:hAnsi="Times New Roman" w:eastAsia="宋体" w:cs="Times New Roman"/>
      <w:color w:val="000000"/>
      <w:kern w:val="0"/>
      <w:sz w:val="24"/>
      <w:szCs w:val="20"/>
    </w:rPr>
  </w:style>
  <w:style w:type="paragraph" w:styleId="28">
    <w:name w:val="endnote text"/>
    <w:basedOn w:val="1"/>
    <w:link w:val="102"/>
    <w:qFormat/>
    <w:uiPriority w:val="0"/>
    <w:pPr>
      <w:snapToGrid w:val="0"/>
      <w:jc w:val="left"/>
    </w:pPr>
    <w:rPr>
      <w:rFonts w:ascii="Times New Roman" w:hAnsi="Times New Roman" w:eastAsia="宋体" w:cs="Times New Roman"/>
      <w:kern w:val="0"/>
      <w:sz w:val="20"/>
      <w:szCs w:val="20"/>
    </w:rPr>
  </w:style>
  <w:style w:type="paragraph" w:styleId="29">
    <w:name w:val="Balloon Text"/>
    <w:basedOn w:val="1"/>
    <w:link w:val="104"/>
    <w:qFormat/>
    <w:uiPriority w:val="0"/>
    <w:rPr>
      <w:rFonts w:ascii="Times New Roman" w:hAnsi="Times New Roman" w:eastAsia="宋体" w:cs="Times New Roman"/>
      <w:kern w:val="0"/>
      <w:sz w:val="18"/>
      <w:szCs w:val="18"/>
    </w:rPr>
  </w:style>
  <w:style w:type="paragraph" w:styleId="30">
    <w:name w:val="footer"/>
    <w:basedOn w:val="1"/>
    <w:link w:val="66"/>
    <w:unhideWhenUsed/>
    <w:qFormat/>
    <w:uiPriority w:val="0"/>
    <w:pPr>
      <w:tabs>
        <w:tab w:val="center" w:pos="4153"/>
        <w:tab w:val="right" w:pos="8306"/>
      </w:tabs>
      <w:snapToGrid w:val="0"/>
      <w:jc w:val="left"/>
    </w:pPr>
    <w:rPr>
      <w:sz w:val="18"/>
      <w:szCs w:val="18"/>
    </w:rPr>
  </w:style>
  <w:style w:type="paragraph" w:styleId="31">
    <w:name w:val="envelope return"/>
    <w:basedOn w:val="1"/>
    <w:qFormat/>
    <w:uiPriority w:val="0"/>
    <w:pPr>
      <w:snapToGrid w:val="0"/>
    </w:pPr>
    <w:rPr>
      <w:rFonts w:ascii="Arial" w:hAnsi="Arial" w:eastAsia="宋体" w:cs="Arial"/>
    </w:rPr>
  </w:style>
  <w:style w:type="paragraph" w:styleId="32">
    <w:name w:val="header"/>
    <w:basedOn w:val="1"/>
    <w:link w:val="65"/>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eastAsia="宋体" w:cs="Times New Roman"/>
      <w:caps/>
      <w:kern w:val="0"/>
      <w:sz w:val="24"/>
      <w:szCs w:val="32"/>
    </w:rPr>
  </w:style>
  <w:style w:type="paragraph" w:styleId="34">
    <w:name w:val="toc 4"/>
    <w:basedOn w:val="1"/>
    <w:next w:val="1"/>
    <w:qFormat/>
    <w:uiPriority w:val="0"/>
    <w:pPr>
      <w:ind w:left="600" w:leftChars="600"/>
    </w:pPr>
    <w:rPr>
      <w:rFonts w:ascii="Times New Roman" w:hAnsi="Times New Roman" w:eastAsia="宋体" w:cs="Times New Roman"/>
    </w:rPr>
  </w:style>
  <w:style w:type="paragraph" w:styleId="35">
    <w:name w:val="Subtitle"/>
    <w:basedOn w:val="1"/>
    <w:next w:val="1"/>
    <w:link w:val="107"/>
    <w:qFormat/>
    <w:uiPriority w:val="0"/>
    <w:pPr>
      <w:widowControl/>
      <w:spacing w:after="60"/>
      <w:jc w:val="center"/>
      <w:outlineLvl w:val="1"/>
    </w:pPr>
    <w:rPr>
      <w:rFonts w:ascii="Arial" w:hAnsi="Arial" w:eastAsia="黑体" w:cs="Times New Roman"/>
      <w:b/>
      <w:bCs/>
      <w:sz w:val="32"/>
      <w:szCs w:val="32"/>
    </w:rPr>
  </w:style>
  <w:style w:type="paragraph" w:styleId="36">
    <w:name w:val="List"/>
    <w:basedOn w:val="18"/>
    <w:qFormat/>
    <w:uiPriority w:val="0"/>
    <w:pPr>
      <w:suppressAutoHyphens/>
      <w:spacing w:after="0"/>
    </w:pPr>
    <w:rPr>
      <w:rFonts w:hAnsi="Calibri" w:eastAsia="黑体"/>
      <w:sz w:val="24"/>
      <w:lang w:eastAsia="ar-SA"/>
    </w:rPr>
  </w:style>
  <w:style w:type="paragraph" w:styleId="37">
    <w:name w:val="footnote text"/>
    <w:basedOn w:val="1"/>
    <w:link w:val="109"/>
    <w:qFormat/>
    <w:uiPriority w:val="0"/>
    <w:pPr>
      <w:snapToGrid w:val="0"/>
      <w:spacing w:line="360" w:lineRule="auto"/>
      <w:ind w:firstLine="523" w:firstLineChars="218"/>
      <w:jc w:val="left"/>
    </w:pPr>
    <w:rPr>
      <w:rFonts w:ascii="宋体" w:hAnsi="宋体" w:eastAsia="宋体" w:cs="Times New Roman"/>
      <w:kern w:val="0"/>
      <w:sz w:val="18"/>
      <w:szCs w:val="18"/>
    </w:rPr>
  </w:style>
  <w:style w:type="paragraph" w:styleId="38">
    <w:name w:val="toc 6"/>
    <w:basedOn w:val="1"/>
    <w:next w:val="1"/>
    <w:qFormat/>
    <w:uiPriority w:val="0"/>
    <w:pPr>
      <w:ind w:left="1000" w:leftChars="1000"/>
    </w:pPr>
    <w:rPr>
      <w:rFonts w:ascii="Times New Roman" w:hAnsi="Times New Roman" w:eastAsia="宋体" w:cs="Times New Roman"/>
    </w:rPr>
  </w:style>
  <w:style w:type="paragraph" w:styleId="39">
    <w:name w:val="Body Text Indent 3"/>
    <w:basedOn w:val="1"/>
    <w:link w:val="111"/>
    <w:qFormat/>
    <w:uiPriority w:val="0"/>
    <w:pPr>
      <w:tabs>
        <w:tab w:val="left" w:pos="0"/>
      </w:tabs>
      <w:spacing w:line="400" w:lineRule="exact"/>
      <w:ind w:left="563" w:leftChars="228" w:hanging="84" w:hangingChars="35"/>
    </w:pPr>
    <w:rPr>
      <w:rFonts w:ascii="Times New Roman" w:hAnsi="Times New Roman" w:eastAsia="宋体" w:cs="Times New Roman"/>
      <w:color w:val="000000"/>
      <w:kern w:val="0"/>
      <w:sz w:val="24"/>
      <w:szCs w:val="20"/>
    </w:rPr>
  </w:style>
  <w:style w:type="paragraph" w:styleId="40">
    <w:name w:val="table of figures"/>
    <w:basedOn w:val="1"/>
    <w:next w:val="1"/>
    <w:qFormat/>
    <w:uiPriority w:val="0"/>
    <w:pPr>
      <w:ind w:left="200" w:leftChars="200" w:hanging="200" w:hangingChars="200"/>
    </w:pPr>
    <w:rPr>
      <w:rFonts w:ascii="Times New Roman" w:hAnsi="Times New Roman" w:eastAsia="宋体" w:cs="Times New Roman"/>
    </w:rPr>
  </w:style>
  <w:style w:type="paragraph" w:styleId="41">
    <w:name w:val="toc 2"/>
    <w:basedOn w:val="1"/>
    <w:next w:val="1"/>
    <w:qFormat/>
    <w:uiPriority w:val="99"/>
    <w:pPr>
      <w:tabs>
        <w:tab w:val="right" w:leader="dot" w:pos="9060"/>
      </w:tabs>
      <w:snapToGrid w:val="0"/>
      <w:spacing w:line="360" w:lineRule="auto"/>
      <w:ind w:left="420" w:leftChars="200"/>
      <w:jc w:val="left"/>
    </w:pPr>
    <w:rPr>
      <w:rFonts w:ascii="Times New Roman" w:hAnsi="Times New Roman" w:eastAsia="宋体" w:cs="Times New Roman"/>
      <w:sz w:val="24"/>
      <w:szCs w:val="24"/>
    </w:rPr>
  </w:style>
  <w:style w:type="paragraph" w:styleId="42">
    <w:name w:val="toc 9"/>
    <w:basedOn w:val="1"/>
    <w:next w:val="1"/>
    <w:qFormat/>
    <w:uiPriority w:val="0"/>
    <w:pPr>
      <w:ind w:left="1600" w:leftChars="1600"/>
    </w:pPr>
    <w:rPr>
      <w:rFonts w:ascii="Times New Roman" w:hAnsi="Times New Roman" w:eastAsia="宋体" w:cs="Times New Roman"/>
    </w:rPr>
  </w:style>
  <w:style w:type="paragraph" w:styleId="43">
    <w:name w:val="Body Text 2"/>
    <w:basedOn w:val="1"/>
    <w:link w:val="113"/>
    <w:qFormat/>
    <w:uiPriority w:val="0"/>
    <w:rPr>
      <w:rFonts w:ascii="宋体" w:hAnsi="宋体" w:eastAsia="宋体" w:cs="Times New Roman"/>
      <w:kern w:val="0"/>
      <w:sz w:val="20"/>
      <w:szCs w:val="24"/>
      <w:u w:val="single"/>
    </w:rPr>
  </w:style>
  <w:style w:type="paragraph" w:styleId="4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45">
    <w:name w:val="index 1"/>
    <w:basedOn w:val="1"/>
    <w:next w:val="1"/>
    <w:qFormat/>
    <w:uiPriority w:val="0"/>
    <w:rPr>
      <w:rFonts w:ascii="Times New Roman" w:hAnsi="Times New Roman" w:eastAsia="仿宋_GB2312" w:cs="Times New Roman"/>
      <w:sz w:val="28"/>
      <w:szCs w:val="20"/>
    </w:rPr>
  </w:style>
  <w:style w:type="paragraph" w:styleId="46">
    <w:name w:val="Title"/>
    <w:basedOn w:val="1"/>
    <w:link w:val="115"/>
    <w:qFormat/>
    <w:uiPriority w:val="0"/>
    <w:pPr>
      <w:spacing w:before="120" w:after="60"/>
      <w:jc w:val="center"/>
    </w:pPr>
    <w:rPr>
      <w:rFonts w:ascii="Arial" w:hAnsi="Arial" w:eastAsia="宋体" w:cs="Times New Roman"/>
      <w:b/>
      <w:kern w:val="0"/>
      <w:sz w:val="44"/>
      <w:szCs w:val="20"/>
    </w:rPr>
  </w:style>
  <w:style w:type="paragraph" w:styleId="47">
    <w:name w:val="annotation subject"/>
    <w:basedOn w:val="16"/>
    <w:next w:val="16"/>
    <w:link w:val="117"/>
    <w:qFormat/>
    <w:uiPriority w:val="0"/>
    <w:rPr>
      <w:b/>
      <w:bCs/>
    </w:rPr>
  </w:style>
  <w:style w:type="paragraph" w:styleId="48">
    <w:name w:val="Body Text First Indent"/>
    <w:basedOn w:val="18"/>
    <w:link w:val="119"/>
    <w:qFormat/>
    <w:uiPriority w:val="0"/>
    <w:pPr>
      <w:ind w:firstLine="420"/>
    </w:pPr>
  </w:style>
  <w:style w:type="paragraph" w:styleId="49">
    <w:name w:val="Body Text First Indent 2"/>
    <w:basedOn w:val="19"/>
    <w:link w:val="120"/>
    <w:qFormat/>
    <w:uiPriority w:val="0"/>
    <w:pPr>
      <w:spacing w:after="120"/>
      <w:ind w:left="200" w:leftChars="200" w:firstLine="200" w:firstLineChars="200"/>
    </w:pPr>
    <w:rPr>
      <w:rFonts w:ascii="Calibri" w:hAnsi="Calibri"/>
      <w:color w:val="0D0D0D"/>
      <w:kern w:val="2"/>
      <w:sz w:val="21"/>
      <w:szCs w:val="24"/>
      <w:lang w:eastAsia="en-US"/>
    </w:rPr>
  </w:style>
  <w:style w:type="table" w:styleId="51">
    <w:name w:val="Table Grid"/>
    <w:basedOn w:val="5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rPr>
      <w:b/>
    </w:rPr>
  </w:style>
  <w:style w:type="character" w:styleId="54">
    <w:name w:val="endnote reference"/>
    <w:qFormat/>
    <w:uiPriority w:val="0"/>
    <w:rPr>
      <w:vertAlign w:val="superscript"/>
    </w:rPr>
  </w:style>
  <w:style w:type="character" w:styleId="55">
    <w:name w:val="page number"/>
    <w:basedOn w:val="52"/>
    <w:qFormat/>
    <w:uiPriority w:val="0"/>
    <w:rPr>
      <w:rFonts w:cs="Times New Roman"/>
    </w:rPr>
  </w:style>
  <w:style w:type="character" w:styleId="56">
    <w:name w:val="FollowedHyperlink"/>
    <w:unhideWhenUsed/>
    <w:qFormat/>
    <w:uiPriority w:val="0"/>
    <w:rPr>
      <w:color w:val="954F72"/>
      <w:u w:val="single"/>
    </w:rPr>
  </w:style>
  <w:style w:type="character" w:styleId="57">
    <w:name w:val="Emphasis"/>
    <w:qFormat/>
    <w:uiPriority w:val="0"/>
    <w:rPr>
      <w:color w:val="CC0000"/>
    </w:rPr>
  </w:style>
  <w:style w:type="character" w:styleId="58">
    <w:name w:val="HTML Definition"/>
    <w:basedOn w:val="52"/>
    <w:unhideWhenUsed/>
    <w:qFormat/>
    <w:uiPriority w:val="99"/>
    <w:rPr>
      <w:i/>
      <w:iCs/>
    </w:rPr>
  </w:style>
  <w:style w:type="character" w:styleId="59">
    <w:name w:val="Hyperlink"/>
    <w:basedOn w:val="52"/>
    <w:qFormat/>
    <w:uiPriority w:val="99"/>
    <w:rPr>
      <w:rFonts w:ascii="微软雅黑" w:hAnsi="微软雅黑" w:eastAsia="微软雅黑" w:cs="微软雅黑"/>
      <w:color w:val="337AB7"/>
      <w:u w:val="none"/>
    </w:rPr>
  </w:style>
  <w:style w:type="character" w:styleId="60">
    <w:name w:val="HTML Code"/>
    <w:basedOn w:val="52"/>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61">
    <w:name w:val="annotation reference"/>
    <w:qFormat/>
    <w:uiPriority w:val="0"/>
    <w:rPr>
      <w:sz w:val="21"/>
      <w:szCs w:val="21"/>
    </w:rPr>
  </w:style>
  <w:style w:type="character" w:styleId="62">
    <w:name w:val="footnote reference"/>
    <w:qFormat/>
    <w:uiPriority w:val="0"/>
    <w:rPr>
      <w:vertAlign w:val="superscript"/>
    </w:rPr>
  </w:style>
  <w:style w:type="character" w:styleId="63">
    <w:name w:val="HTML Keyboard"/>
    <w:basedOn w:val="52"/>
    <w:unhideWhenUsed/>
    <w:qFormat/>
    <w:uiPriority w:val="99"/>
    <w:rPr>
      <w:rFonts w:hint="default" w:ascii="Consolas" w:hAnsi="Consolas" w:eastAsia="Consolas" w:cs="Consolas"/>
      <w:color w:val="FFFFFF"/>
      <w:sz w:val="21"/>
      <w:szCs w:val="21"/>
      <w:shd w:val="clear" w:color="auto" w:fill="333333"/>
    </w:rPr>
  </w:style>
  <w:style w:type="character" w:styleId="64">
    <w:name w:val="HTML Sample"/>
    <w:basedOn w:val="52"/>
    <w:unhideWhenUsed/>
    <w:qFormat/>
    <w:uiPriority w:val="99"/>
    <w:rPr>
      <w:rFonts w:ascii="Consolas" w:hAnsi="Consolas" w:eastAsia="Consolas" w:cs="Consolas"/>
      <w:sz w:val="21"/>
      <w:szCs w:val="21"/>
    </w:rPr>
  </w:style>
  <w:style w:type="character" w:customStyle="1" w:styleId="65">
    <w:name w:val="页眉 字符"/>
    <w:basedOn w:val="52"/>
    <w:link w:val="32"/>
    <w:qFormat/>
    <w:uiPriority w:val="0"/>
    <w:rPr>
      <w:sz w:val="18"/>
      <w:szCs w:val="18"/>
    </w:rPr>
  </w:style>
  <w:style w:type="character" w:customStyle="1" w:styleId="66">
    <w:name w:val="页脚 字符"/>
    <w:basedOn w:val="52"/>
    <w:link w:val="30"/>
    <w:qFormat/>
    <w:uiPriority w:val="0"/>
    <w:rPr>
      <w:sz w:val="18"/>
      <w:szCs w:val="18"/>
    </w:rPr>
  </w:style>
  <w:style w:type="character" w:customStyle="1" w:styleId="67">
    <w:name w:val="标题 1 字符"/>
    <w:basedOn w:val="52"/>
    <w:qFormat/>
    <w:uiPriority w:val="0"/>
    <w:rPr>
      <w:b/>
      <w:bCs/>
      <w:kern w:val="44"/>
      <w:sz w:val="44"/>
      <w:szCs w:val="44"/>
    </w:rPr>
  </w:style>
  <w:style w:type="character" w:customStyle="1" w:styleId="68">
    <w:name w:val="标题 2 字符"/>
    <w:basedOn w:val="52"/>
    <w:qFormat/>
    <w:uiPriority w:val="0"/>
    <w:rPr>
      <w:rFonts w:asciiTheme="majorHAnsi" w:hAnsiTheme="majorHAnsi" w:eastAsiaTheme="majorEastAsia" w:cstheme="majorBidi"/>
      <w:b/>
      <w:bCs/>
      <w:sz w:val="32"/>
      <w:szCs w:val="32"/>
    </w:rPr>
  </w:style>
  <w:style w:type="character" w:customStyle="1" w:styleId="69">
    <w:name w:val="标题 3 字符"/>
    <w:basedOn w:val="52"/>
    <w:qFormat/>
    <w:uiPriority w:val="0"/>
    <w:rPr>
      <w:b/>
      <w:bCs/>
      <w:sz w:val="32"/>
      <w:szCs w:val="32"/>
    </w:rPr>
  </w:style>
  <w:style w:type="character" w:customStyle="1" w:styleId="70">
    <w:name w:val="标题 4 字符"/>
    <w:basedOn w:val="52"/>
    <w:qFormat/>
    <w:uiPriority w:val="0"/>
    <w:rPr>
      <w:rFonts w:asciiTheme="majorHAnsi" w:hAnsiTheme="majorHAnsi" w:eastAsiaTheme="majorEastAsia" w:cstheme="majorBidi"/>
      <w:b/>
      <w:bCs/>
      <w:sz w:val="28"/>
      <w:szCs w:val="28"/>
    </w:rPr>
  </w:style>
  <w:style w:type="character" w:customStyle="1" w:styleId="71">
    <w:name w:val="标题 5 字符"/>
    <w:basedOn w:val="52"/>
    <w:qFormat/>
    <w:uiPriority w:val="0"/>
    <w:rPr>
      <w:b/>
      <w:bCs/>
      <w:sz w:val="28"/>
      <w:szCs w:val="28"/>
    </w:rPr>
  </w:style>
  <w:style w:type="character" w:customStyle="1" w:styleId="72">
    <w:name w:val="标题 6 字符"/>
    <w:basedOn w:val="52"/>
    <w:semiHidden/>
    <w:qFormat/>
    <w:uiPriority w:val="9"/>
    <w:rPr>
      <w:rFonts w:asciiTheme="majorHAnsi" w:hAnsiTheme="majorHAnsi" w:eastAsiaTheme="majorEastAsia" w:cstheme="majorBidi"/>
      <w:b/>
      <w:bCs/>
      <w:sz w:val="24"/>
      <w:szCs w:val="24"/>
    </w:rPr>
  </w:style>
  <w:style w:type="character" w:customStyle="1" w:styleId="73">
    <w:name w:val="标题 7 字符"/>
    <w:basedOn w:val="52"/>
    <w:qFormat/>
    <w:uiPriority w:val="0"/>
    <w:rPr>
      <w:b/>
      <w:bCs/>
      <w:sz w:val="24"/>
      <w:szCs w:val="24"/>
    </w:rPr>
  </w:style>
  <w:style w:type="character" w:customStyle="1" w:styleId="74">
    <w:name w:val="标题 8 字符"/>
    <w:basedOn w:val="52"/>
    <w:qFormat/>
    <w:uiPriority w:val="0"/>
    <w:rPr>
      <w:rFonts w:asciiTheme="majorHAnsi" w:hAnsiTheme="majorHAnsi" w:eastAsiaTheme="majorEastAsia" w:cstheme="majorBidi"/>
      <w:sz w:val="24"/>
      <w:szCs w:val="24"/>
    </w:rPr>
  </w:style>
  <w:style w:type="character" w:customStyle="1" w:styleId="75">
    <w:name w:val="标题 9 字符"/>
    <w:basedOn w:val="52"/>
    <w:qFormat/>
    <w:uiPriority w:val="0"/>
    <w:rPr>
      <w:rFonts w:asciiTheme="majorHAnsi" w:hAnsiTheme="majorHAnsi" w:eastAsiaTheme="majorEastAsia" w:cstheme="majorBidi"/>
      <w:szCs w:val="21"/>
    </w:rPr>
  </w:style>
  <w:style w:type="character" w:customStyle="1" w:styleId="76">
    <w:name w:val="纯文本 字符"/>
    <w:basedOn w:val="52"/>
    <w:link w:val="24"/>
    <w:qFormat/>
    <w:uiPriority w:val="0"/>
    <w:rPr>
      <w:rFonts w:hAnsi="Courier New" w:cs="Courier New" w:asciiTheme="minorEastAsia"/>
    </w:rPr>
  </w:style>
  <w:style w:type="character" w:customStyle="1" w:styleId="77">
    <w:name w:val="纯文本 字符1"/>
    <w:qFormat/>
    <w:uiPriority w:val="0"/>
    <w:rPr>
      <w:rFonts w:ascii="宋体" w:hAnsi="Courier New" w:eastAsia="宋体" w:cs="Times New Roman"/>
      <w:szCs w:val="20"/>
    </w:rPr>
  </w:style>
  <w:style w:type="character" w:customStyle="1" w:styleId="78">
    <w:name w:val="标题 1 字符1"/>
    <w:link w:val="2"/>
    <w:qFormat/>
    <w:uiPriority w:val="0"/>
    <w:rPr>
      <w:rFonts w:ascii="Times New Roman" w:hAnsi="Times New Roman" w:eastAsia="宋体" w:cs="Times New Roman"/>
      <w:kern w:val="44"/>
      <w:sz w:val="28"/>
      <w:szCs w:val="28"/>
    </w:rPr>
  </w:style>
  <w:style w:type="character" w:customStyle="1" w:styleId="79">
    <w:name w:val="标题 2 字符1"/>
    <w:link w:val="3"/>
    <w:qFormat/>
    <w:uiPriority w:val="0"/>
    <w:rPr>
      <w:rFonts w:ascii="宋体" w:hAnsi="宋体" w:eastAsia="宋体" w:cs="Times New Roman"/>
      <w:b/>
      <w:color w:val="000000"/>
      <w:kern w:val="0"/>
      <w:sz w:val="24"/>
      <w:szCs w:val="24"/>
    </w:rPr>
  </w:style>
  <w:style w:type="character" w:customStyle="1" w:styleId="80">
    <w:name w:val="标题 3 字符1"/>
    <w:link w:val="4"/>
    <w:qFormat/>
    <w:uiPriority w:val="0"/>
    <w:rPr>
      <w:rFonts w:ascii="宋体" w:hAnsi="宋体" w:eastAsia="宋体" w:cs="Times New Roman"/>
      <w:kern w:val="0"/>
      <w:sz w:val="24"/>
      <w:szCs w:val="24"/>
    </w:rPr>
  </w:style>
  <w:style w:type="character" w:customStyle="1" w:styleId="81">
    <w:name w:val="标题 4 字符1"/>
    <w:link w:val="5"/>
    <w:qFormat/>
    <w:uiPriority w:val="0"/>
    <w:rPr>
      <w:rFonts w:ascii="Arial" w:hAnsi="Arial" w:eastAsia="宋体" w:cs="Times New Roman"/>
      <w:color w:val="000000"/>
      <w:sz w:val="20"/>
      <w:szCs w:val="21"/>
    </w:rPr>
  </w:style>
  <w:style w:type="character" w:customStyle="1" w:styleId="82">
    <w:name w:val="标题 5 字符1"/>
    <w:link w:val="6"/>
    <w:qFormat/>
    <w:uiPriority w:val="0"/>
    <w:rPr>
      <w:rFonts w:ascii="Arial" w:hAnsi="Arial" w:eastAsia="宋体" w:cs="Times New Roman"/>
      <w:color w:val="000000"/>
      <w:sz w:val="20"/>
      <w:szCs w:val="21"/>
    </w:rPr>
  </w:style>
  <w:style w:type="character" w:customStyle="1" w:styleId="83">
    <w:name w:val="正文缩进 字符"/>
    <w:link w:val="7"/>
    <w:qFormat/>
    <w:uiPriority w:val="0"/>
    <w:rPr>
      <w:rFonts w:ascii="Times New Roman" w:hAnsi="Times New Roman" w:eastAsia="宋体" w:cs="Times New Roman"/>
      <w:szCs w:val="20"/>
    </w:rPr>
  </w:style>
  <w:style w:type="character" w:customStyle="1" w:styleId="84">
    <w:name w:val="标题 6 字符1"/>
    <w:link w:val="8"/>
    <w:qFormat/>
    <w:uiPriority w:val="0"/>
    <w:rPr>
      <w:rFonts w:ascii="Arial" w:hAnsi="Arial" w:eastAsia="黑体" w:cs="Times New Roman"/>
      <w:b/>
      <w:bCs/>
      <w:kern w:val="0"/>
      <w:sz w:val="24"/>
      <w:szCs w:val="24"/>
    </w:rPr>
  </w:style>
  <w:style w:type="character" w:customStyle="1" w:styleId="85">
    <w:name w:val="标题 7 字符1"/>
    <w:link w:val="9"/>
    <w:qFormat/>
    <w:uiPriority w:val="0"/>
    <w:rPr>
      <w:rFonts w:ascii="Times New Roman" w:hAnsi="Times New Roman" w:eastAsia="宋体" w:cs="Times New Roman"/>
      <w:kern w:val="0"/>
      <w:sz w:val="24"/>
      <w:szCs w:val="20"/>
    </w:rPr>
  </w:style>
  <w:style w:type="character" w:customStyle="1" w:styleId="86">
    <w:name w:val="标题 8 字符1"/>
    <w:link w:val="10"/>
    <w:qFormat/>
    <w:uiPriority w:val="0"/>
    <w:rPr>
      <w:rFonts w:ascii="Arial" w:hAnsi="Arial" w:eastAsia="黑体" w:cs="Times New Roman"/>
      <w:kern w:val="0"/>
      <w:sz w:val="24"/>
      <w:szCs w:val="20"/>
    </w:rPr>
  </w:style>
  <w:style w:type="character" w:customStyle="1" w:styleId="87">
    <w:name w:val="标题 9 字符1"/>
    <w:link w:val="11"/>
    <w:qFormat/>
    <w:uiPriority w:val="0"/>
    <w:rPr>
      <w:rFonts w:ascii="Arial" w:hAnsi="Arial" w:eastAsia="黑体" w:cs="Times New Roman"/>
      <w:kern w:val="0"/>
      <w:sz w:val="20"/>
      <w:szCs w:val="20"/>
    </w:rPr>
  </w:style>
  <w:style w:type="character" w:customStyle="1" w:styleId="88">
    <w:name w:val="文档结构图 字符"/>
    <w:basedOn w:val="52"/>
    <w:semiHidden/>
    <w:qFormat/>
    <w:uiPriority w:val="99"/>
    <w:rPr>
      <w:rFonts w:ascii="Microsoft YaHei UI" w:eastAsia="Microsoft YaHei UI"/>
      <w:sz w:val="18"/>
      <w:szCs w:val="18"/>
    </w:rPr>
  </w:style>
  <w:style w:type="character" w:customStyle="1" w:styleId="89">
    <w:name w:val="文档结构图 字符1"/>
    <w:link w:val="15"/>
    <w:qFormat/>
    <w:uiPriority w:val="0"/>
    <w:rPr>
      <w:rFonts w:ascii="Times New Roman" w:hAnsi="Times New Roman" w:eastAsia="宋体" w:cs="Times New Roman"/>
      <w:kern w:val="0"/>
      <w:sz w:val="20"/>
      <w:szCs w:val="20"/>
      <w:shd w:val="clear" w:color="auto" w:fill="000080"/>
    </w:rPr>
  </w:style>
  <w:style w:type="character" w:customStyle="1" w:styleId="90">
    <w:name w:val="批注文字 字符"/>
    <w:basedOn w:val="52"/>
    <w:qFormat/>
    <w:uiPriority w:val="0"/>
  </w:style>
  <w:style w:type="character" w:customStyle="1" w:styleId="91">
    <w:name w:val="批注文字 字符1"/>
    <w:link w:val="16"/>
    <w:qFormat/>
    <w:uiPriority w:val="0"/>
    <w:rPr>
      <w:rFonts w:ascii="宋体" w:hAnsi="宋体" w:eastAsia="宋体" w:cs="Times New Roman"/>
      <w:kern w:val="0"/>
      <w:sz w:val="24"/>
      <w:szCs w:val="24"/>
    </w:rPr>
  </w:style>
  <w:style w:type="character" w:customStyle="1" w:styleId="92">
    <w:name w:val="正文文本 3 字符"/>
    <w:basedOn w:val="52"/>
    <w:link w:val="17"/>
    <w:qFormat/>
    <w:uiPriority w:val="0"/>
    <w:rPr>
      <w:rFonts w:ascii="宋体" w:hAnsi="宋体" w:eastAsia="宋体" w:cs="Times New Roman"/>
      <w:sz w:val="24"/>
      <w:szCs w:val="20"/>
    </w:rPr>
  </w:style>
  <w:style w:type="character" w:customStyle="1" w:styleId="93">
    <w:name w:val="正文文本 字符"/>
    <w:basedOn w:val="52"/>
    <w:qFormat/>
    <w:uiPriority w:val="0"/>
  </w:style>
  <w:style w:type="character" w:customStyle="1" w:styleId="94">
    <w:name w:val="正文文本 字符1"/>
    <w:link w:val="18"/>
    <w:qFormat/>
    <w:uiPriority w:val="0"/>
    <w:rPr>
      <w:rFonts w:ascii="Times New Roman" w:hAnsi="Times New Roman" w:eastAsia="宋体" w:cs="Times New Roman"/>
      <w:kern w:val="0"/>
      <w:sz w:val="20"/>
      <w:szCs w:val="20"/>
    </w:rPr>
  </w:style>
  <w:style w:type="character" w:customStyle="1" w:styleId="95">
    <w:name w:val="正文文本缩进 字符"/>
    <w:basedOn w:val="52"/>
    <w:qFormat/>
    <w:uiPriority w:val="0"/>
  </w:style>
  <w:style w:type="character" w:customStyle="1" w:styleId="96">
    <w:name w:val="正文文本缩进 字符1"/>
    <w:link w:val="19"/>
    <w:qFormat/>
    <w:uiPriority w:val="0"/>
    <w:rPr>
      <w:rFonts w:ascii="Times New Roman" w:hAnsi="Times New Roman" w:eastAsia="宋体" w:cs="Times New Roman"/>
      <w:kern w:val="0"/>
      <w:sz w:val="28"/>
      <w:szCs w:val="20"/>
    </w:rPr>
  </w:style>
  <w:style w:type="character" w:customStyle="1" w:styleId="97">
    <w:name w:val="日期 字符"/>
    <w:basedOn w:val="52"/>
    <w:qFormat/>
    <w:uiPriority w:val="99"/>
  </w:style>
  <w:style w:type="character" w:customStyle="1" w:styleId="98">
    <w:name w:val="日期 字符1"/>
    <w:link w:val="26"/>
    <w:qFormat/>
    <w:uiPriority w:val="0"/>
    <w:rPr>
      <w:rFonts w:ascii="Times New Roman" w:hAnsi="Times New Roman" w:eastAsia="宋体" w:cs="Times New Roman"/>
      <w:kern w:val="0"/>
      <w:sz w:val="20"/>
      <w:szCs w:val="20"/>
    </w:rPr>
  </w:style>
  <w:style w:type="character" w:customStyle="1" w:styleId="99">
    <w:name w:val="正文文本缩进 2 字符"/>
    <w:basedOn w:val="52"/>
    <w:qFormat/>
    <w:uiPriority w:val="0"/>
  </w:style>
  <w:style w:type="character" w:customStyle="1" w:styleId="100">
    <w:name w:val="正文文本缩进 2 字符1"/>
    <w:link w:val="27"/>
    <w:qFormat/>
    <w:uiPriority w:val="0"/>
    <w:rPr>
      <w:rFonts w:ascii="Times New Roman" w:hAnsi="Times New Roman" w:eastAsia="宋体" w:cs="Times New Roman"/>
      <w:color w:val="000000"/>
      <w:kern w:val="0"/>
      <w:sz w:val="24"/>
      <w:szCs w:val="20"/>
    </w:rPr>
  </w:style>
  <w:style w:type="character" w:customStyle="1" w:styleId="101">
    <w:name w:val="尾注文本 字符"/>
    <w:basedOn w:val="52"/>
    <w:semiHidden/>
    <w:qFormat/>
    <w:uiPriority w:val="99"/>
  </w:style>
  <w:style w:type="character" w:customStyle="1" w:styleId="102">
    <w:name w:val="尾注文本 字符1"/>
    <w:link w:val="28"/>
    <w:qFormat/>
    <w:uiPriority w:val="0"/>
    <w:rPr>
      <w:rFonts w:ascii="Times New Roman" w:hAnsi="Times New Roman" w:eastAsia="宋体" w:cs="Times New Roman"/>
      <w:kern w:val="0"/>
      <w:sz w:val="20"/>
      <w:szCs w:val="20"/>
    </w:rPr>
  </w:style>
  <w:style w:type="character" w:customStyle="1" w:styleId="103">
    <w:name w:val="批注框文本 字符"/>
    <w:basedOn w:val="52"/>
    <w:qFormat/>
    <w:uiPriority w:val="0"/>
    <w:rPr>
      <w:sz w:val="18"/>
      <w:szCs w:val="18"/>
    </w:rPr>
  </w:style>
  <w:style w:type="character" w:customStyle="1" w:styleId="104">
    <w:name w:val="批注框文本 字符1"/>
    <w:link w:val="29"/>
    <w:qFormat/>
    <w:uiPriority w:val="0"/>
    <w:rPr>
      <w:rFonts w:ascii="Times New Roman" w:hAnsi="Times New Roman" w:eastAsia="宋体" w:cs="Times New Roman"/>
      <w:kern w:val="0"/>
      <w:sz w:val="18"/>
      <w:szCs w:val="18"/>
    </w:rPr>
  </w:style>
  <w:style w:type="character" w:customStyle="1" w:styleId="105">
    <w:name w:val="页脚 字符1"/>
    <w:qFormat/>
    <w:uiPriority w:val="99"/>
    <w:rPr>
      <w:rFonts w:ascii="Calibri" w:hAnsi="Calibri"/>
      <w:sz w:val="18"/>
      <w:szCs w:val="18"/>
    </w:rPr>
  </w:style>
  <w:style w:type="character" w:customStyle="1" w:styleId="106">
    <w:name w:val="页眉 字符1"/>
    <w:qFormat/>
    <w:uiPriority w:val="0"/>
    <w:rPr>
      <w:rFonts w:ascii="Calibri" w:hAnsi="Calibri"/>
      <w:sz w:val="18"/>
      <w:szCs w:val="18"/>
    </w:rPr>
  </w:style>
  <w:style w:type="character" w:customStyle="1" w:styleId="107">
    <w:name w:val="副标题 字符"/>
    <w:basedOn w:val="52"/>
    <w:link w:val="35"/>
    <w:qFormat/>
    <w:uiPriority w:val="0"/>
    <w:rPr>
      <w:rFonts w:ascii="Arial" w:hAnsi="Arial" w:eastAsia="黑体" w:cs="Times New Roman"/>
      <w:b/>
      <w:bCs/>
      <w:sz w:val="32"/>
      <w:szCs w:val="32"/>
    </w:rPr>
  </w:style>
  <w:style w:type="character" w:customStyle="1" w:styleId="108">
    <w:name w:val="脚注文本 字符"/>
    <w:basedOn w:val="52"/>
    <w:semiHidden/>
    <w:qFormat/>
    <w:uiPriority w:val="99"/>
    <w:rPr>
      <w:sz w:val="18"/>
      <w:szCs w:val="18"/>
    </w:rPr>
  </w:style>
  <w:style w:type="character" w:customStyle="1" w:styleId="109">
    <w:name w:val="脚注文本 字符1"/>
    <w:link w:val="37"/>
    <w:qFormat/>
    <w:uiPriority w:val="0"/>
    <w:rPr>
      <w:rFonts w:ascii="宋体" w:hAnsi="宋体" w:eastAsia="宋体" w:cs="Times New Roman"/>
      <w:kern w:val="0"/>
      <w:sz w:val="18"/>
      <w:szCs w:val="18"/>
    </w:rPr>
  </w:style>
  <w:style w:type="character" w:customStyle="1" w:styleId="110">
    <w:name w:val="正文文本缩进 3 字符"/>
    <w:basedOn w:val="52"/>
    <w:qFormat/>
    <w:uiPriority w:val="0"/>
    <w:rPr>
      <w:sz w:val="16"/>
      <w:szCs w:val="16"/>
    </w:rPr>
  </w:style>
  <w:style w:type="character" w:customStyle="1" w:styleId="111">
    <w:name w:val="正文文本缩进 3 字符1"/>
    <w:link w:val="39"/>
    <w:qFormat/>
    <w:uiPriority w:val="0"/>
    <w:rPr>
      <w:rFonts w:ascii="Times New Roman" w:hAnsi="Times New Roman" w:eastAsia="宋体" w:cs="Times New Roman"/>
      <w:color w:val="000000"/>
      <w:kern w:val="0"/>
      <w:sz w:val="24"/>
      <w:szCs w:val="20"/>
    </w:rPr>
  </w:style>
  <w:style w:type="character" w:customStyle="1" w:styleId="112">
    <w:name w:val="正文文本 2 字符"/>
    <w:basedOn w:val="52"/>
    <w:semiHidden/>
    <w:qFormat/>
    <w:uiPriority w:val="99"/>
  </w:style>
  <w:style w:type="character" w:customStyle="1" w:styleId="113">
    <w:name w:val="正文文本 2 字符1"/>
    <w:link w:val="43"/>
    <w:qFormat/>
    <w:uiPriority w:val="0"/>
    <w:rPr>
      <w:rFonts w:ascii="宋体" w:hAnsi="宋体" w:eastAsia="宋体" w:cs="Times New Roman"/>
      <w:kern w:val="0"/>
      <w:sz w:val="20"/>
      <w:szCs w:val="24"/>
      <w:u w:val="single"/>
    </w:rPr>
  </w:style>
  <w:style w:type="character" w:customStyle="1" w:styleId="114">
    <w:name w:val="标题 字符"/>
    <w:basedOn w:val="52"/>
    <w:qFormat/>
    <w:uiPriority w:val="0"/>
    <w:rPr>
      <w:rFonts w:asciiTheme="majorHAnsi" w:hAnsiTheme="majorHAnsi" w:eastAsiaTheme="majorEastAsia" w:cstheme="majorBidi"/>
      <w:b/>
      <w:bCs/>
      <w:sz w:val="32"/>
      <w:szCs w:val="32"/>
    </w:rPr>
  </w:style>
  <w:style w:type="character" w:customStyle="1" w:styleId="115">
    <w:name w:val="标题 字符1"/>
    <w:link w:val="46"/>
    <w:qFormat/>
    <w:uiPriority w:val="0"/>
    <w:rPr>
      <w:rFonts w:ascii="Arial" w:hAnsi="Arial" w:eastAsia="宋体" w:cs="Times New Roman"/>
      <w:b/>
      <w:kern w:val="0"/>
      <w:sz w:val="44"/>
      <w:szCs w:val="20"/>
    </w:rPr>
  </w:style>
  <w:style w:type="character" w:customStyle="1" w:styleId="116">
    <w:name w:val="批注主题 字符"/>
    <w:basedOn w:val="90"/>
    <w:qFormat/>
    <w:uiPriority w:val="0"/>
    <w:rPr>
      <w:b/>
      <w:bCs/>
    </w:rPr>
  </w:style>
  <w:style w:type="character" w:customStyle="1" w:styleId="117">
    <w:name w:val="批注主题 字符1"/>
    <w:link w:val="47"/>
    <w:qFormat/>
    <w:uiPriority w:val="0"/>
    <w:rPr>
      <w:rFonts w:ascii="宋体" w:hAnsi="宋体" w:eastAsia="宋体" w:cs="Times New Roman"/>
      <w:b/>
      <w:bCs/>
      <w:kern w:val="0"/>
      <w:sz w:val="24"/>
      <w:szCs w:val="24"/>
    </w:rPr>
  </w:style>
  <w:style w:type="character" w:customStyle="1" w:styleId="118">
    <w:name w:val="正文首行缩进 字符"/>
    <w:basedOn w:val="93"/>
    <w:qFormat/>
    <w:uiPriority w:val="0"/>
  </w:style>
  <w:style w:type="character" w:customStyle="1" w:styleId="119">
    <w:name w:val="正文首行缩进 字符2"/>
    <w:link w:val="48"/>
    <w:qFormat/>
    <w:uiPriority w:val="0"/>
    <w:rPr>
      <w:rFonts w:ascii="Times New Roman" w:hAnsi="Times New Roman" w:eastAsia="宋体" w:cs="Times New Roman"/>
      <w:kern w:val="0"/>
      <w:sz w:val="20"/>
      <w:szCs w:val="20"/>
    </w:rPr>
  </w:style>
  <w:style w:type="character" w:customStyle="1" w:styleId="120">
    <w:name w:val="正文首行缩进 2 字符"/>
    <w:basedOn w:val="95"/>
    <w:link w:val="49"/>
    <w:qFormat/>
    <w:uiPriority w:val="0"/>
    <w:rPr>
      <w:rFonts w:ascii="Calibri" w:hAnsi="Calibri" w:eastAsia="宋体" w:cs="Times New Roman"/>
      <w:color w:val="0D0D0D"/>
      <w:szCs w:val="24"/>
      <w:lang w:eastAsia="en-US"/>
    </w:rPr>
  </w:style>
  <w:style w:type="character" w:customStyle="1" w:styleId="121">
    <w:name w:val="font31"/>
    <w:qFormat/>
    <w:uiPriority w:val="0"/>
    <w:rPr>
      <w:rFonts w:hint="eastAsia" w:ascii="宋体" w:hAnsi="宋体" w:eastAsia="宋体"/>
      <w:color w:val="000000"/>
      <w:sz w:val="24"/>
      <w:szCs w:val="24"/>
      <w:u w:val="single"/>
    </w:rPr>
  </w:style>
  <w:style w:type="character" w:customStyle="1" w:styleId="122">
    <w:name w:val="普通文字 Char Char"/>
    <w:qFormat/>
    <w:uiPriority w:val="0"/>
    <w:rPr>
      <w:rFonts w:hint="default" w:ascii="Courier New" w:hAnsi="Courier New" w:eastAsia="宋体" w:cs="Proxy 9"/>
      <w:kern w:val="2"/>
      <w:sz w:val="21"/>
      <w:lang w:val="en-US" w:eastAsia="zh-CN" w:bidi="ar-SA"/>
    </w:rPr>
  </w:style>
  <w:style w:type="character" w:customStyle="1" w:styleId="123">
    <w:name w:val="正文缩进2格 Char Char"/>
    <w:link w:val="124"/>
    <w:qFormat/>
    <w:uiPriority w:val="0"/>
    <w:rPr>
      <w:rFonts w:ascii="仿宋_GB2312" w:hAnsi="宋体" w:eastAsia="仿宋_GB2312"/>
      <w:sz w:val="31"/>
      <w:szCs w:val="31"/>
    </w:rPr>
  </w:style>
  <w:style w:type="paragraph" w:customStyle="1" w:styleId="124">
    <w:name w:val="正文缩进2格"/>
    <w:basedOn w:val="1"/>
    <w:link w:val="123"/>
    <w:qFormat/>
    <w:uiPriority w:val="0"/>
    <w:pPr>
      <w:widowControl/>
      <w:spacing w:line="600" w:lineRule="exact"/>
      <w:ind w:firstLine="639" w:firstLineChars="206"/>
      <w:jc w:val="left"/>
    </w:pPr>
    <w:rPr>
      <w:rFonts w:ascii="仿宋_GB2312" w:hAnsi="宋体" w:eastAsia="仿宋_GB2312"/>
      <w:sz w:val="31"/>
      <w:szCs w:val="31"/>
    </w:rPr>
  </w:style>
  <w:style w:type="character" w:customStyle="1" w:styleId="125">
    <w:name w:val="Char Char4"/>
    <w:link w:val="126"/>
    <w:qFormat/>
    <w:uiPriority w:val="0"/>
    <w:rPr>
      <w:rFonts w:ascii="Tahoma" w:hAnsi="Tahoma"/>
      <w:sz w:val="24"/>
    </w:rPr>
  </w:style>
  <w:style w:type="paragraph" w:customStyle="1" w:styleId="126">
    <w:name w:val="Char"/>
    <w:basedOn w:val="1"/>
    <w:link w:val="125"/>
    <w:qFormat/>
    <w:uiPriority w:val="0"/>
    <w:rPr>
      <w:rFonts w:ascii="Tahoma" w:hAnsi="Tahoma"/>
      <w:sz w:val="24"/>
    </w:rPr>
  </w:style>
  <w:style w:type="character" w:customStyle="1" w:styleId="127">
    <w:name w:val="页码1"/>
    <w:qFormat/>
    <w:uiPriority w:val="0"/>
  </w:style>
  <w:style w:type="character" w:customStyle="1" w:styleId="128">
    <w:name w:val="Char Char25"/>
    <w:qFormat/>
    <w:uiPriority w:val="0"/>
    <w:rPr>
      <w:rFonts w:hint="default" w:ascii="Arial" w:hAnsi="Arial" w:cs="Arial"/>
      <w:b/>
      <w:bCs/>
      <w:color w:val="000000"/>
      <w:kern w:val="44"/>
      <w:sz w:val="30"/>
      <w:szCs w:val="30"/>
    </w:rPr>
  </w:style>
  <w:style w:type="character" w:customStyle="1" w:styleId="129">
    <w:name w:val="正文文本缩进 3 Char Char"/>
    <w:qFormat/>
    <w:uiPriority w:val="0"/>
    <w:rPr>
      <w:kern w:val="2"/>
      <w:sz w:val="16"/>
      <w:szCs w:val="16"/>
    </w:rPr>
  </w:style>
  <w:style w:type="character" w:customStyle="1" w:styleId="130">
    <w:name w:val="文一 Char Char"/>
    <w:link w:val="131"/>
    <w:qFormat/>
    <w:uiPriority w:val="0"/>
    <w:rPr>
      <w:rFonts w:ascii="宋体" w:hAnsi="宋体"/>
      <w:spacing w:val="4"/>
      <w:sz w:val="24"/>
      <w:szCs w:val="24"/>
    </w:rPr>
  </w:style>
  <w:style w:type="paragraph" w:customStyle="1" w:styleId="131">
    <w:name w:val="文一"/>
    <w:basedOn w:val="1"/>
    <w:next w:val="1"/>
    <w:link w:val="130"/>
    <w:qFormat/>
    <w:uiPriority w:val="0"/>
    <w:pPr>
      <w:topLinePunct/>
      <w:adjustRightInd w:val="0"/>
      <w:snapToGrid w:val="0"/>
      <w:spacing w:line="360" w:lineRule="auto"/>
      <w:ind w:firstLine="200" w:firstLineChars="200"/>
    </w:pPr>
    <w:rPr>
      <w:rFonts w:ascii="宋体" w:hAnsi="宋体"/>
      <w:spacing w:val="4"/>
      <w:sz w:val="24"/>
      <w:szCs w:val="24"/>
    </w:rPr>
  </w:style>
  <w:style w:type="character" w:customStyle="1" w:styleId="132">
    <w:name w:val="Char Char Char"/>
    <w:qFormat/>
    <w:uiPriority w:val="0"/>
    <w:rPr>
      <w:rFonts w:hint="eastAsia" w:ascii="楷体_GB2312" w:eastAsia="楷体_GB2312"/>
      <w:b/>
      <w:kern w:val="2"/>
      <w:sz w:val="21"/>
    </w:rPr>
  </w:style>
  <w:style w:type="character" w:customStyle="1" w:styleId="133">
    <w:name w:val="正文文本缩进 2 Char Char"/>
    <w:qFormat/>
    <w:uiPriority w:val="0"/>
    <w:rPr>
      <w:rFonts w:hint="default" w:ascii="Times New Roman" w:hAnsi="Times New Roman" w:cs="Times New Roman"/>
      <w:color w:val="000000"/>
      <w:sz w:val="24"/>
    </w:rPr>
  </w:style>
  <w:style w:type="character" w:customStyle="1" w:styleId="134">
    <w:name w:val="Endnote Text Char"/>
    <w:qFormat/>
    <w:uiPriority w:val="0"/>
    <w:rPr>
      <w:rFonts w:hint="default" w:ascii="Times New Roman" w:hAnsi="Times New Roman" w:cs="Times New Roman"/>
      <w:kern w:val="2"/>
      <w:sz w:val="21"/>
    </w:rPr>
  </w:style>
  <w:style w:type="character" w:customStyle="1" w:styleId="135">
    <w:name w:val="引用 Char2"/>
    <w:qFormat/>
    <w:uiPriority w:val="99"/>
    <w:rPr>
      <w:i/>
      <w:iCs/>
      <w:color w:val="000000"/>
      <w:kern w:val="2"/>
      <w:sz w:val="21"/>
      <w:szCs w:val="22"/>
    </w:rPr>
  </w:style>
  <w:style w:type="character" w:customStyle="1" w:styleId="136">
    <w:name w:val="font41"/>
    <w:qFormat/>
    <w:uiPriority w:val="0"/>
    <w:rPr>
      <w:rFonts w:hint="eastAsia" w:ascii="宋体" w:hAnsi="宋体" w:eastAsia="宋体"/>
      <w:strike/>
      <w:color w:val="000000"/>
      <w:sz w:val="24"/>
      <w:szCs w:val="24"/>
    </w:rPr>
  </w:style>
  <w:style w:type="character" w:customStyle="1" w:styleId="137">
    <w:name w:val="msosubtlereference"/>
    <w:qFormat/>
    <w:uiPriority w:val="0"/>
    <w:rPr>
      <w:sz w:val="30"/>
      <w:szCs w:val="24"/>
      <w:u w:val="none"/>
    </w:rPr>
  </w:style>
  <w:style w:type="character" w:customStyle="1" w:styleId="138">
    <w:name w:val="正文文本 3 Char1"/>
    <w:semiHidden/>
    <w:qFormat/>
    <w:uiPriority w:val="99"/>
    <w:rPr>
      <w:kern w:val="2"/>
      <w:sz w:val="16"/>
      <w:szCs w:val="16"/>
    </w:rPr>
  </w:style>
  <w:style w:type="character" w:customStyle="1" w:styleId="139">
    <w:name w:val="正文首行缩进 Char Char"/>
    <w:qFormat/>
    <w:uiPriority w:val="0"/>
    <w:rPr>
      <w:rFonts w:ascii="宋体" w:eastAsia="宋体"/>
      <w:kern w:val="2"/>
      <w:sz w:val="34"/>
      <w:lang w:val="en-US" w:eastAsia="zh-CN" w:bidi="ar-SA"/>
    </w:rPr>
  </w:style>
  <w:style w:type="character" w:customStyle="1" w:styleId="140">
    <w:name w:val="WW8Num4z0"/>
    <w:qFormat/>
    <w:uiPriority w:val="0"/>
    <w:rPr>
      <w:rFonts w:hint="default" w:ascii="Courier New" w:hAnsi="Courier New" w:cs="Courier New"/>
      <w:sz w:val="22"/>
    </w:rPr>
  </w:style>
  <w:style w:type="character" w:customStyle="1" w:styleId="141">
    <w:name w:val="标题 1 Char_0"/>
    <w:qFormat/>
    <w:uiPriority w:val="0"/>
    <w:rPr>
      <w:rFonts w:ascii="仿宋_GB2312" w:hAnsi="宋体" w:eastAsia="仿宋_GB2312" w:cs="宋体"/>
      <w:b/>
      <w:bCs/>
      <w:kern w:val="2"/>
      <w:sz w:val="30"/>
      <w:szCs w:val="30"/>
      <w:lang w:val="en-US" w:eastAsia="zh-CN" w:bidi="ar-SA"/>
    </w:rPr>
  </w:style>
  <w:style w:type="character" w:customStyle="1" w:styleId="142">
    <w:name w:val="纯文本 Char1"/>
    <w:qFormat/>
    <w:uiPriority w:val="0"/>
    <w:rPr>
      <w:rFonts w:ascii="宋体" w:hAnsi="Courier New" w:eastAsia="宋体"/>
      <w:kern w:val="2"/>
      <w:sz w:val="21"/>
      <w:lang w:bidi="ar-SA"/>
    </w:rPr>
  </w:style>
  <w:style w:type="character" w:customStyle="1" w:styleId="143">
    <w:name w:val="样式 正文缩进正文（首行缩进两字）特点ALT+Z表正文正文非缩进四号段1Normal Indent Char2... Char Char"/>
    <w:qFormat/>
    <w:uiPriority w:val="0"/>
    <w:rPr>
      <w:rFonts w:hint="eastAsia" w:ascii="宋体" w:hAnsi="宋体" w:eastAsia="黑体"/>
      <w:b/>
      <w:sz w:val="32"/>
      <w:lang w:val="en-US" w:eastAsia="zh-CN"/>
    </w:rPr>
  </w:style>
  <w:style w:type="character" w:customStyle="1" w:styleId="144">
    <w:name w:val="Char Char24"/>
    <w:qFormat/>
    <w:uiPriority w:val="0"/>
    <w:rPr>
      <w:rFonts w:hint="default" w:ascii="Arial" w:hAnsi="Arial" w:cs="Times New Roman"/>
      <w:b/>
      <w:color w:val="000000"/>
      <w:kern w:val="2"/>
      <w:sz w:val="24"/>
      <w:szCs w:val="24"/>
    </w:rPr>
  </w:style>
  <w:style w:type="character" w:customStyle="1" w:styleId="145">
    <w:name w:val="正文文本 (3)_"/>
    <w:link w:val="146"/>
    <w:qFormat/>
    <w:uiPriority w:val="0"/>
    <w:rPr>
      <w:rFonts w:ascii="Arial Unicode MS" w:hAnsi="Arial Unicode MS" w:eastAsia="Arial Unicode MS"/>
      <w:spacing w:val="10"/>
      <w:sz w:val="17"/>
      <w:szCs w:val="17"/>
      <w:shd w:val="clear" w:color="auto" w:fill="FFFFFF"/>
    </w:rPr>
  </w:style>
  <w:style w:type="paragraph" w:customStyle="1" w:styleId="146">
    <w:name w:val="正文文本 (3)"/>
    <w:basedOn w:val="1"/>
    <w:link w:val="145"/>
    <w:qFormat/>
    <w:uiPriority w:val="0"/>
    <w:pPr>
      <w:shd w:val="clear" w:color="auto" w:fill="FFFFFF"/>
      <w:spacing w:after="60" w:line="0" w:lineRule="atLeast"/>
      <w:ind w:hanging="940"/>
      <w:jc w:val="left"/>
    </w:pPr>
    <w:rPr>
      <w:rFonts w:ascii="Arial Unicode MS" w:hAnsi="Arial Unicode MS" w:eastAsia="Arial Unicode MS"/>
      <w:spacing w:val="10"/>
      <w:sz w:val="17"/>
      <w:szCs w:val="17"/>
      <w:shd w:val="clear" w:color="auto" w:fill="FFFFFF"/>
    </w:rPr>
  </w:style>
  <w:style w:type="character" w:customStyle="1" w:styleId="147">
    <w:name w:val="WW8Num1z0"/>
    <w:qFormat/>
    <w:uiPriority w:val="0"/>
    <w:rPr>
      <w:sz w:val="24"/>
    </w:rPr>
  </w:style>
  <w:style w:type="character" w:customStyle="1" w:styleId="148">
    <w:name w:val="明显引用 Char2"/>
    <w:qFormat/>
    <w:uiPriority w:val="99"/>
    <w:rPr>
      <w:b/>
      <w:bCs/>
      <w:i/>
      <w:iCs/>
      <w:color w:val="4F81BD"/>
      <w:kern w:val="2"/>
      <w:sz w:val="21"/>
      <w:szCs w:val="22"/>
    </w:rPr>
  </w:style>
  <w:style w:type="character" w:customStyle="1" w:styleId="149">
    <w:name w:val="font21"/>
    <w:qFormat/>
    <w:uiPriority w:val="0"/>
    <w:rPr>
      <w:rFonts w:hint="eastAsia" w:ascii="宋体" w:hAnsi="宋体" w:eastAsia="宋体"/>
      <w:color w:val="000000"/>
      <w:sz w:val="24"/>
      <w:szCs w:val="24"/>
      <w:u w:val="none"/>
    </w:rPr>
  </w:style>
  <w:style w:type="character" w:customStyle="1" w:styleId="150">
    <w:name w:val="Char Char16"/>
    <w:qFormat/>
    <w:uiPriority w:val="0"/>
    <w:rPr>
      <w:rFonts w:hint="default" w:ascii="Arial" w:hAnsi="Arial" w:eastAsia="黑体" w:cs="Arial"/>
      <w:b/>
      <w:bCs/>
      <w:sz w:val="24"/>
      <w:szCs w:val="24"/>
      <w:lang w:val="en-US" w:eastAsia="zh-CN" w:bidi="ar-SA"/>
    </w:rPr>
  </w:style>
  <w:style w:type="character" w:customStyle="1" w:styleId="151">
    <w:name w:val="尾注文本 Char Char Char"/>
    <w:qFormat/>
    <w:uiPriority w:val="0"/>
    <w:rPr>
      <w:kern w:val="2"/>
      <w:sz w:val="21"/>
      <w:szCs w:val="24"/>
    </w:rPr>
  </w:style>
  <w:style w:type="character" w:customStyle="1" w:styleId="152">
    <w:name w:val="页脚 Char Char"/>
    <w:qFormat/>
    <w:uiPriority w:val="0"/>
    <w:rPr>
      <w:sz w:val="18"/>
      <w:szCs w:val="18"/>
    </w:rPr>
  </w:style>
  <w:style w:type="character" w:customStyle="1" w:styleId="153">
    <w:name w:val="页眉 Char Char"/>
    <w:qFormat/>
    <w:uiPriority w:val="0"/>
    <w:rPr>
      <w:sz w:val="18"/>
      <w:szCs w:val="18"/>
    </w:rPr>
  </w:style>
  <w:style w:type="character" w:customStyle="1" w:styleId="154">
    <w:name w:val="默认段落字体1"/>
    <w:qFormat/>
    <w:uiPriority w:val="0"/>
  </w:style>
  <w:style w:type="character" w:customStyle="1" w:styleId="155">
    <w:name w:val="textcontents"/>
    <w:qFormat/>
    <w:uiPriority w:val="0"/>
  </w:style>
  <w:style w:type="character" w:customStyle="1" w:styleId="156">
    <w:name w:val="msointensereference"/>
    <w:qFormat/>
    <w:uiPriority w:val="0"/>
    <w:rPr>
      <w:b/>
      <w:sz w:val="24"/>
      <w:u w:val="single"/>
    </w:rPr>
  </w:style>
  <w:style w:type="character" w:customStyle="1" w:styleId="157">
    <w:name w:val="Char Char8"/>
    <w:qFormat/>
    <w:uiPriority w:val="0"/>
    <w:rPr>
      <w:rFonts w:hint="default" w:ascii="Arial" w:hAnsi="Arial" w:eastAsia="黑体" w:cs="Arial"/>
      <w:b/>
      <w:bCs/>
      <w:kern w:val="2"/>
      <w:sz w:val="32"/>
      <w:szCs w:val="32"/>
      <w:lang w:val="en-US" w:eastAsia="zh-CN" w:bidi="ar-SA"/>
    </w:rPr>
  </w:style>
  <w:style w:type="character" w:customStyle="1" w:styleId="158">
    <w:name w:val="标题 3 Char Char"/>
    <w:qFormat/>
    <w:uiPriority w:val="0"/>
    <w:rPr>
      <w:rFonts w:ascii="宋体" w:hAnsi="宋体" w:eastAsia="宋体"/>
      <w:b/>
      <w:bCs/>
      <w:color w:val="FF0000"/>
      <w:kern w:val="2"/>
      <w:sz w:val="24"/>
      <w:szCs w:val="24"/>
      <w:lang w:val="zh-CN" w:eastAsia="zh-CN" w:bidi="ar-SA"/>
    </w:rPr>
  </w:style>
  <w:style w:type="character" w:customStyle="1" w:styleId="159">
    <w:name w:val="msobooktitle"/>
    <w:qFormat/>
    <w:uiPriority w:val="0"/>
    <w:rPr>
      <w:rFonts w:hint="default" w:ascii="Cambria" w:hAnsi="Cambria" w:eastAsia="宋体"/>
      <w:b/>
      <w:i/>
      <w:sz w:val="24"/>
      <w:szCs w:val="24"/>
    </w:rPr>
  </w:style>
  <w:style w:type="character" w:customStyle="1" w:styleId="160">
    <w:name w:val="标题 1 Char Char"/>
    <w:qFormat/>
    <w:uiPriority w:val="0"/>
    <w:rPr>
      <w:rFonts w:hint="eastAsia" w:ascii="仿宋_GB2312" w:eastAsia="仿宋_GB2312"/>
      <w:b/>
      <w:bCs/>
      <w:kern w:val="44"/>
      <w:sz w:val="44"/>
      <w:szCs w:val="44"/>
    </w:rPr>
  </w:style>
  <w:style w:type="character" w:customStyle="1" w:styleId="161">
    <w:name w:val="标题5 Char Char"/>
    <w:link w:val="162"/>
    <w:qFormat/>
    <w:uiPriority w:val="0"/>
    <w:rPr>
      <w:rFonts w:ascii="Arial" w:hAnsi="Arial" w:eastAsia="黑体"/>
      <w:bCs/>
      <w:sz w:val="24"/>
      <w:szCs w:val="32"/>
    </w:rPr>
  </w:style>
  <w:style w:type="paragraph" w:customStyle="1" w:styleId="162">
    <w:name w:val="标题5"/>
    <w:basedOn w:val="6"/>
    <w:link w:val="161"/>
    <w:qFormat/>
    <w:uiPriority w:val="0"/>
    <w:pPr>
      <w:keepNext w:val="0"/>
      <w:keepLines w:val="0"/>
      <w:widowControl/>
      <w:numPr>
        <w:ilvl w:val="0"/>
        <w:numId w:val="0"/>
      </w:numPr>
      <w:tabs>
        <w:tab w:val="left" w:pos="2310"/>
      </w:tabs>
      <w:spacing w:before="240" w:beforeLines="0" w:after="60" w:afterLines="0" w:line="240" w:lineRule="auto"/>
      <w:jc w:val="center"/>
    </w:pPr>
    <w:rPr>
      <w:rFonts w:eastAsia="黑体" w:cstheme="minorBidi"/>
      <w:bCs/>
      <w:color w:val="auto"/>
      <w:sz w:val="24"/>
      <w:szCs w:val="32"/>
    </w:rPr>
  </w:style>
  <w:style w:type="character" w:customStyle="1" w:styleId="163">
    <w:name w:val="Char Char10"/>
    <w:qFormat/>
    <w:uiPriority w:val="0"/>
    <w:rPr>
      <w:rFonts w:hint="default" w:ascii="Cambria" w:hAnsi="Cambria" w:eastAsia="宋体"/>
      <w:b/>
      <w:bCs/>
      <w:i/>
      <w:iCs/>
      <w:sz w:val="28"/>
      <w:szCs w:val="28"/>
    </w:rPr>
  </w:style>
  <w:style w:type="character" w:customStyle="1" w:styleId="164">
    <w:name w:val="正文文本_"/>
    <w:link w:val="165"/>
    <w:qFormat/>
    <w:uiPriority w:val="0"/>
    <w:rPr>
      <w:rFonts w:ascii="MingLiU" w:hAnsi="MingLiU" w:eastAsia="MingLiU"/>
      <w:spacing w:val="20"/>
      <w:shd w:val="clear" w:color="auto" w:fill="FFFFFF"/>
    </w:rPr>
  </w:style>
  <w:style w:type="paragraph" w:customStyle="1" w:styleId="165">
    <w:name w:val="正文文本1"/>
    <w:basedOn w:val="1"/>
    <w:link w:val="164"/>
    <w:qFormat/>
    <w:uiPriority w:val="0"/>
    <w:pPr>
      <w:shd w:val="clear" w:color="auto" w:fill="FFFFFF"/>
      <w:spacing w:before="300" w:line="0" w:lineRule="atLeast"/>
      <w:ind w:hanging="580"/>
      <w:jc w:val="left"/>
    </w:pPr>
    <w:rPr>
      <w:rFonts w:ascii="MingLiU" w:hAnsi="MingLiU" w:eastAsia="MingLiU"/>
      <w:spacing w:val="20"/>
      <w:shd w:val="clear" w:color="auto" w:fill="FFFFFF"/>
    </w:rPr>
  </w:style>
  <w:style w:type="character" w:customStyle="1" w:styleId="166">
    <w:name w:val="font51"/>
    <w:qFormat/>
    <w:uiPriority w:val="0"/>
    <w:rPr>
      <w:rFonts w:hint="eastAsia" w:ascii="宋体" w:hAnsi="宋体" w:eastAsia="宋体"/>
      <w:color w:val="000000"/>
      <w:sz w:val="24"/>
      <w:szCs w:val="24"/>
      <w:u w:val="none"/>
    </w:rPr>
  </w:style>
  <w:style w:type="character" w:customStyle="1" w:styleId="167">
    <w:name w:val="批注主题 Char Char"/>
    <w:qFormat/>
    <w:uiPriority w:val="0"/>
    <w:rPr>
      <w:rFonts w:hint="default" w:ascii="Times New Roman" w:hAnsi="Times New Roman" w:cs="Times New Roman"/>
      <w:b/>
      <w:bCs/>
      <w:kern w:val="2"/>
      <w:sz w:val="21"/>
      <w:szCs w:val="24"/>
    </w:rPr>
  </w:style>
  <w:style w:type="character" w:customStyle="1" w:styleId="168">
    <w:name w:val="WW8Num9z0"/>
    <w:qFormat/>
    <w:uiPriority w:val="0"/>
    <w:rPr>
      <w:rFonts w:hint="default" w:ascii="Wingdings" w:hAnsi="Wingdings"/>
    </w:rPr>
  </w:style>
  <w:style w:type="character" w:customStyle="1" w:styleId="169">
    <w:name w:val="列出段落 Char"/>
    <w:link w:val="170"/>
    <w:qFormat/>
    <w:uiPriority w:val="0"/>
  </w:style>
  <w:style w:type="paragraph" w:customStyle="1" w:styleId="170">
    <w:name w:val="列出段落1"/>
    <w:basedOn w:val="1"/>
    <w:link w:val="169"/>
    <w:qFormat/>
    <w:uiPriority w:val="0"/>
    <w:pPr>
      <w:ind w:firstLine="420" w:firstLineChars="200"/>
    </w:pPr>
  </w:style>
  <w:style w:type="character" w:customStyle="1" w:styleId="171">
    <w:name w:val="font7"/>
    <w:qFormat/>
    <w:uiPriority w:val="0"/>
  </w:style>
  <w:style w:type="character" w:customStyle="1" w:styleId="172">
    <w:name w:val="日期 Char Char"/>
    <w:qFormat/>
    <w:uiPriority w:val="0"/>
    <w:rPr>
      <w:kern w:val="2"/>
      <w:sz w:val="24"/>
    </w:rPr>
  </w:style>
  <w:style w:type="character" w:customStyle="1" w:styleId="173">
    <w:name w:val="副标题 Char2"/>
    <w:qFormat/>
    <w:uiPriority w:val="0"/>
    <w:rPr>
      <w:rFonts w:hint="default" w:ascii="Cambria" w:hAnsi="Cambria" w:cs="Times New Roman"/>
      <w:b/>
      <w:bCs/>
      <w:kern w:val="28"/>
      <w:sz w:val="32"/>
      <w:szCs w:val="32"/>
    </w:rPr>
  </w:style>
  <w:style w:type="character" w:customStyle="1" w:styleId="174">
    <w:name w:val="明显引用 字符"/>
    <w:link w:val="175"/>
    <w:qFormat/>
    <w:uiPriority w:val="0"/>
    <w:rPr>
      <w:b/>
      <w:i/>
      <w:sz w:val="24"/>
    </w:rPr>
  </w:style>
  <w:style w:type="paragraph" w:styleId="175">
    <w:name w:val="Intense Quote"/>
    <w:basedOn w:val="1"/>
    <w:link w:val="174"/>
    <w:qFormat/>
    <w:uiPriority w:val="0"/>
    <w:rPr>
      <w:b/>
      <w:i/>
      <w:sz w:val="24"/>
    </w:rPr>
  </w:style>
  <w:style w:type="character" w:customStyle="1" w:styleId="176">
    <w:name w:val="明显引用 字符1"/>
    <w:basedOn w:val="52"/>
    <w:qFormat/>
    <w:uiPriority w:val="30"/>
    <w:rPr>
      <w:i/>
      <w:iCs/>
      <w:color w:val="5B9BD5" w:themeColor="accent1"/>
      <w14:textFill>
        <w14:solidFill>
          <w14:schemeClr w14:val="accent1"/>
        </w14:solidFill>
      </w14:textFill>
    </w:rPr>
  </w:style>
  <w:style w:type="character" w:customStyle="1" w:styleId="177">
    <w:name w:val="WW8Num8z0"/>
    <w:qFormat/>
    <w:uiPriority w:val="0"/>
    <w:rPr>
      <w:sz w:val="24"/>
    </w:rPr>
  </w:style>
  <w:style w:type="character" w:customStyle="1" w:styleId="178">
    <w:name w:val="font6"/>
    <w:qFormat/>
    <w:uiPriority w:val="0"/>
  </w:style>
  <w:style w:type="character" w:customStyle="1" w:styleId="179">
    <w:name w:val="font161"/>
    <w:qFormat/>
    <w:uiPriority w:val="0"/>
    <w:rPr>
      <w:b/>
      <w:bCs/>
      <w:sz w:val="32"/>
      <w:szCs w:val="32"/>
    </w:rPr>
  </w:style>
  <w:style w:type="character" w:customStyle="1" w:styleId="180">
    <w:name w:val="标题 Char3"/>
    <w:qFormat/>
    <w:uiPriority w:val="0"/>
    <w:rPr>
      <w:rFonts w:hint="default" w:ascii="Cambria" w:hAnsi="Cambria" w:cs="Times New Roman"/>
      <w:b/>
      <w:bCs/>
      <w:kern w:val="2"/>
      <w:sz w:val="32"/>
      <w:szCs w:val="32"/>
    </w:rPr>
  </w:style>
  <w:style w:type="character" w:customStyle="1" w:styleId="181">
    <w:name w:val="批注框文本 Char Char"/>
    <w:qFormat/>
    <w:uiPriority w:val="0"/>
    <w:rPr>
      <w:kern w:val="2"/>
      <w:sz w:val="18"/>
      <w:szCs w:val="18"/>
    </w:rPr>
  </w:style>
  <w:style w:type="character" w:customStyle="1" w:styleId="182">
    <w:name w:val="标题 Char Char"/>
    <w:qFormat/>
    <w:uiPriority w:val="0"/>
    <w:rPr>
      <w:rFonts w:hint="default" w:ascii="Arial" w:hAnsi="Arial" w:eastAsia="楷体_GB2312" w:cs="Arial"/>
      <w:b/>
      <w:kern w:val="2"/>
      <w:sz w:val="44"/>
      <w:szCs w:val="24"/>
      <w:lang w:val="en-US" w:eastAsia="zh-CN" w:bidi="ar-SA"/>
    </w:rPr>
  </w:style>
  <w:style w:type="character" w:customStyle="1" w:styleId="183">
    <w:name w:val="副标题 Char1"/>
    <w:qFormat/>
    <w:uiPriority w:val="0"/>
    <w:rPr>
      <w:rFonts w:hint="default" w:ascii="Cambria" w:hAnsi="Cambria" w:cs="Times New Roman"/>
      <w:b/>
      <w:bCs/>
      <w:kern w:val="28"/>
      <w:sz w:val="32"/>
      <w:szCs w:val="32"/>
    </w:rPr>
  </w:style>
  <w:style w:type="character" w:customStyle="1" w:styleId="184">
    <w:name w:val="标题 5 Char Char"/>
    <w:qFormat/>
    <w:uiPriority w:val="0"/>
    <w:rPr>
      <w:rFonts w:hint="eastAsia" w:ascii="仿宋_GB2312" w:eastAsia="仿宋_GB2312"/>
      <w:b/>
      <w:bCs/>
      <w:kern w:val="2"/>
      <w:sz w:val="28"/>
      <w:szCs w:val="28"/>
    </w:rPr>
  </w:style>
  <w:style w:type="character" w:customStyle="1" w:styleId="185">
    <w:name w:val="!我的正文 Ctr+Q Char Char"/>
    <w:link w:val="186"/>
    <w:qFormat/>
    <w:uiPriority w:val="0"/>
    <w:rPr>
      <w:rFonts w:ascii="Arial" w:hAnsi="Arial"/>
      <w:sz w:val="24"/>
      <w:szCs w:val="21"/>
    </w:rPr>
  </w:style>
  <w:style w:type="paragraph" w:customStyle="1" w:styleId="186">
    <w:name w:val="!我的正文 Ctr+Q"/>
    <w:basedOn w:val="1"/>
    <w:link w:val="185"/>
    <w:qFormat/>
    <w:uiPriority w:val="0"/>
    <w:pPr>
      <w:adjustRightInd w:val="0"/>
      <w:snapToGrid w:val="0"/>
      <w:spacing w:line="360" w:lineRule="auto"/>
      <w:ind w:firstLine="480" w:firstLineChars="200"/>
    </w:pPr>
    <w:rPr>
      <w:rFonts w:ascii="Arial" w:hAnsi="Arial"/>
      <w:sz w:val="24"/>
      <w:szCs w:val="21"/>
    </w:rPr>
  </w:style>
  <w:style w:type="character" w:customStyle="1" w:styleId="187">
    <w:name w:val="样式 标题 3h3section:3Level 3 HeadH3level_3PIM 33rd level3H... Char Char"/>
    <w:link w:val="188"/>
    <w:qFormat/>
    <w:uiPriority w:val="0"/>
    <w:rPr>
      <w:rFonts w:ascii="Arial" w:hAnsi="Arial"/>
      <w:b/>
      <w:sz w:val="24"/>
      <w:szCs w:val="28"/>
    </w:rPr>
  </w:style>
  <w:style w:type="paragraph" w:customStyle="1" w:styleId="188">
    <w:name w:val="样式 标题 3h3section:3Level 3 HeadH3level_3PIM 33rd level3H..."/>
    <w:basedOn w:val="4"/>
    <w:link w:val="187"/>
    <w:qFormat/>
    <w:uiPriority w:val="0"/>
    <w:pPr>
      <w:keepNext/>
      <w:tabs>
        <w:tab w:val="left" w:pos="1680"/>
        <w:tab w:val="left" w:pos="2310"/>
      </w:tabs>
      <w:adjustRightInd w:val="0"/>
      <w:spacing w:before="240" w:after="60" w:line="416" w:lineRule="atLeast"/>
      <w:ind w:left="2310" w:hanging="420"/>
    </w:pPr>
    <w:rPr>
      <w:rFonts w:ascii="Arial" w:hAnsi="Arial" w:eastAsiaTheme="minorEastAsia" w:cstheme="minorBidi"/>
      <w:b/>
      <w:kern w:val="2"/>
      <w:szCs w:val="28"/>
    </w:rPr>
  </w:style>
  <w:style w:type="character" w:customStyle="1" w:styleId="189">
    <w:name w:val="样式 Char Char"/>
    <w:link w:val="190"/>
    <w:qFormat/>
    <w:uiPriority w:val="0"/>
  </w:style>
  <w:style w:type="paragraph" w:customStyle="1" w:styleId="190">
    <w:name w:val="样式"/>
    <w:basedOn w:val="162"/>
    <w:link w:val="189"/>
    <w:qFormat/>
    <w:uiPriority w:val="0"/>
    <w:pPr>
      <w:tabs>
        <w:tab w:val="left" w:pos="2730"/>
        <w:tab w:val="clear" w:pos="2310"/>
      </w:tabs>
      <w:outlineLvl w:val="9"/>
    </w:pPr>
    <w:rPr>
      <w:rFonts w:asciiTheme="minorHAnsi" w:hAnsiTheme="minorHAnsi" w:eastAsiaTheme="minorEastAsia"/>
      <w:bCs w:val="0"/>
      <w:sz w:val="21"/>
      <w:szCs w:val="22"/>
    </w:rPr>
  </w:style>
  <w:style w:type="character" w:customStyle="1" w:styleId="191">
    <w:name w:val="WW8Num15z1"/>
    <w:qFormat/>
    <w:uiPriority w:val="0"/>
    <w:rPr>
      <w:rFonts w:hint="default" w:ascii="Times New Roman" w:hAnsi="Times New Roman" w:cs="Times New Roman"/>
      <w:color w:val="auto"/>
    </w:rPr>
  </w:style>
  <w:style w:type="character" w:customStyle="1" w:styleId="192">
    <w:name w:val="WW8Num3z0"/>
    <w:qFormat/>
    <w:uiPriority w:val="0"/>
    <w:rPr>
      <w:sz w:val="24"/>
      <w:szCs w:val="24"/>
    </w:rPr>
  </w:style>
  <w:style w:type="character" w:customStyle="1" w:styleId="193">
    <w:name w:val="Char Char2"/>
    <w:qFormat/>
    <w:uiPriority w:val="0"/>
    <w:rPr>
      <w:rFonts w:hint="eastAsia" w:ascii="宋体" w:hAnsi="宋体" w:eastAsia="宋体"/>
      <w:kern w:val="2"/>
      <w:sz w:val="21"/>
      <w:szCs w:val="24"/>
      <w:lang w:val="en-US" w:eastAsia="zh-CN" w:bidi="ar-SA"/>
    </w:rPr>
  </w:style>
  <w:style w:type="character" w:customStyle="1" w:styleId="194">
    <w:name w:val="标提1 Char Char"/>
    <w:link w:val="195"/>
    <w:qFormat/>
    <w:uiPriority w:val="0"/>
    <w:rPr>
      <w:rFonts w:ascii="黑体" w:hAnsi="黑体" w:eastAsia="黑体"/>
      <w:b/>
      <w:kern w:val="44"/>
      <w:sz w:val="24"/>
      <w:szCs w:val="24"/>
    </w:rPr>
  </w:style>
  <w:style w:type="paragraph" w:customStyle="1" w:styleId="195">
    <w:name w:val="标提1"/>
    <w:basedOn w:val="2"/>
    <w:next w:val="1"/>
    <w:link w:val="194"/>
    <w:qFormat/>
    <w:uiPriority w:val="0"/>
    <w:pPr>
      <w:spacing w:line="240" w:lineRule="auto"/>
    </w:pPr>
    <w:rPr>
      <w:rFonts w:ascii="黑体" w:hAnsi="黑体" w:eastAsia="黑体" w:cstheme="minorBidi"/>
      <w:sz w:val="24"/>
      <w:szCs w:val="24"/>
    </w:rPr>
  </w:style>
  <w:style w:type="character" w:customStyle="1" w:styleId="196">
    <w:name w:val="style6"/>
    <w:qFormat/>
    <w:uiPriority w:val="0"/>
  </w:style>
  <w:style w:type="character" w:customStyle="1" w:styleId="197">
    <w:name w:val="标题 9 Char Char"/>
    <w:qFormat/>
    <w:uiPriority w:val="0"/>
    <w:rPr>
      <w:rFonts w:hint="default" w:ascii="Cambria" w:hAnsi="Cambria" w:eastAsia="宋体" w:cs="Times New Roman"/>
      <w:kern w:val="2"/>
      <w:sz w:val="21"/>
      <w:szCs w:val="21"/>
    </w:rPr>
  </w:style>
  <w:style w:type="character" w:customStyle="1" w:styleId="198">
    <w:name w:val="Char Char15"/>
    <w:qFormat/>
    <w:uiPriority w:val="0"/>
  </w:style>
  <w:style w:type="character" w:customStyle="1" w:styleId="199">
    <w:name w:val="标题 2 Char1"/>
    <w:qFormat/>
    <w:uiPriority w:val="0"/>
    <w:rPr>
      <w:rFonts w:hint="default" w:ascii="Arial" w:hAnsi="Arial" w:eastAsia="黑体" w:cs="Arial"/>
      <w:b/>
      <w:bCs/>
      <w:sz w:val="32"/>
      <w:szCs w:val="32"/>
    </w:rPr>
  </w:style>
  <w:style w:type="character" w:customStyle="1" w:styleId="200">
    <w:name w:val="msointenseemphasis"/>
    <w:qFormat/>
    <w:uiPriority w:val="0"/>
    <w:rPr>
      <w:b/>
      <w:i/>
      <w:sz w:val="24"/>
      <w:szCs w:val="24"/>
      <w:u w:val="single"/>
    </w:rPr>
  </w:style>
  <w:style w:type="character" w:customStyle="1" w:styleId="201">
    <w:name w:val="textcontents1"/>
    <w:qFormat/>
    <w:uiPriority w:val="0"/>
    <w:rPr>
      <w:color w:val="000000"/>
      <w:sz w:val="22"/>
      <w:szCs w:val="22"/>
    </w:rPr>
  </w:style>
  <w:style w:type="character" w:customStyle="1" w:styleId="202">
    <w:name w:val="引用 字符"/>
    <w:link w:val="203"/>
    <w:qFormat/>
    <w:uiPriority w:val="0"/>
    <w:rPr>
      <w:i/>
      <w:sz w:val="24"/>
    </w:rPr>
  </w:style>
  <w:style w:type="paragraph" w:styleId="203">
    <w:name w:val="Quote"/>
    <w:basedOn w:val="1"/>
    <w:link w:val="202"/>
    <w:qFormat/>
    <w:uiPriority w:val="0"/>
    <w:rPr>
      <w:i/>
      <w:sz w:val="24"/>
    </w:rPr>
  </w:style>
  <w:style w:type="character" w:customStyle="1" w:styleId="204">
    <w:name w:val="引用 字符1"/>
    <w:basedOn w:val="52"/>
    <w:qFormat/>
    <w:uiPriority w:val="29"/>
    <w:rPr>
      <w:i/>
      <w:iCs/>
      <w:color w:val="404040" w:themeColor="text1" w:themeTint="BF"/>
      <w14:textFill>
        <w14:solidFill>
          <w14:schemeClr w14:val="tx1">
            <w14:lumMod w14:val="75000"/>
            <w14:lumOff w14:val="25000"/>
          </w14:schemeClr>
        </w14:solidFill>
      </w14:textFill>
    </w:rPr>
  </w:style>
  <w:style w:type="character" w:customStyle="1" w:styleId="205">
    <w:name w:val="纯文本 Char Char"/>
    <w:qFormat/>
    <w:uiPriority w:val="0"/>
    <w:rPr>
      <w:rFonts w:ascii="宋体" w:hAnsi="Courier New"/>
      <w:kern w:val="2"/>
      <w:sz w:val="24"/>
    </w:rPr>
  </w:style>
  <w:style w:type="character" w:customStyle="1" w:styleId="206">
    <w:name w:val="msosubtleemphasis"/>
    <w:qFormat/>
    <w:uiPriority w:val="0"/>
    <w:rPr>
      <w:i/>
      <w:color w:val="5A5A5A"/>
    </w:rPr>
  </w:style>
  <w:style w:type="character" w:customStyle="1" w:styleId="207">
    <w:name w:val="正文文本 Char1"/>
    <w:qFormat/>
    <w:uiPriority w:val="0"/>
    <w:rPr>
      <w:rFonts w:hint="eastAsia" w:ascii="仿宋_GB2312" w:eastAsia="宋体"/>
      <w:kern w:val="2"/>
      <w:sz w:val="21"/>
      <w:szCs w:val="32"/>
      <w:lang w:val="en-US" w:eastAsia="zh-CN" w:bidi="ar-SA"/>
    </w:rPr>
  </w:style>
  <w:style w:type="character" w:customStyle="1" w:styleId="208">
    <w:name w:val="引用 Char1"/>
    <w:qFormat/>
    <w:uiPriority w:val="0"/>
    <w:rPr>
      <w:rFonts w:hint="eastAsia" w:ascii="仿宋_GB2312" w:eastAsia="仿宋_GB2312"/>
      <w:i/>
      <w:iCs/>
      <w:color w:val="000000"/>
      <w:kern w:val="2"/>
      <w:sz w:val="21"/>
      <w:szCs w:val="32"/>
    </w:rPr>
  </w:style>
  <w:style w:type="character" w:customStyle="1" w:styleId="209">
    <w:name w:val="font11"/>
    <w:basedOn w:val="52"/>
    <w:qFormat/>
    <w:uiPriority w:val="0"/>
    <w:rPr>
      <w:rFonts w:hint="eastAsia" w:ascii="宋体" w:hAnsi="宋体" w:eastAsia="宋体"/>
      <w:color w:val="000000"/>
      <w:sz w:val="24"/>
      <w:szCs w:val="24"/>
      <w:u w:val="single"/>
    </w:rPr>
  </w:style>
  <w:style w:type="character" w:customStyle="1" w:styleId="210">
    <w:name w:val="rightspan"/>
    <w:qFormat/>
    <w:uiPriority w:val="0"/>
  </w:style>
  <w:style w:type="character" w:customStyle="1" w:styleId="211">
    <w:name w:val="Variable"/>
    <w:qFormat/>
    <w:uiPriority w:val="0"/>
    <w:rPr>
      <w:i/>
    </w:rPr>
  </w:style>
  <w:style w:type="character" w:customStyle="1" w:styleId="212">
    <w:name w:val="明显引用 Char1"/>
    <w:qFormat/>
    <w:uiPriority w:val="0"/>
    <w:rPr>
      <w:rFonts w:hint="eastAsia" w:ascii="仿宋_GB2312" w:eastAsia="仿宋_GB2312"/>
      <w:b/>
      <w:bCs/>
      <w:i/>
      <w:iCs/>
      <w:color w:val="4F81BD"/>
      <w:kern w:val="2"/>
      <w:sz w:val="21"/>
      <w:szCs w:val="32"/>
    </w:rPr>
  </w:style>
  <w:style w:type="character" w:customStyle="1" w:styleId="213">
    <w:name w:val="标题 Char1"/>
    <w:qFormat/>
    <w:uiPriority w:val="0"/>
    <w:rPr>
      <w:rFonts w:hint="default" w:ascii="Arial" w:hAnsi="Arial" w:cs="Arial"/>
      <w:b/>
      <w:sz w:val="44"/>
    </w:rPr>
  </w:style>
  <w:style w:type="character" w:customStyle="1" w:styleId="214">
    <w:name w:val="Char Char11"/>
    <w:qFormat/>
    <w:uiPriority w:val="0"/>
    <w:rPr>
      <w:rFonts w:hint="default" w:ascii="Cambria" w:hAnsi="Cambria" w:eastAsia="宋体"/>
      <w:b/>
      <w:bCs/>
      <w:kern w:val="32"/>
      <w:sz w:val="32"/>
      <w:szCs w:val="32"/>
    </w:rPr>
  </w:style>
  <w:style w:type="character" w:customStyle="1" w:styleId="215">
    <w:name w:val="副标题 Char3"/>
    <w:qFormat/>
    <w:uiPriority w:val="11"/>
    <w:rPr>
      <w:rFonts w:ascii="Cambria" w:hAnsi="Cambria" w:cs="Times New Roman"/>
      <w:b/>
      <w:bCs/>
      <w:kern w:val="28"/>
      <w:sz w:val="32"/>
      <w:szCs w:val="32"/>
    </w:rPr>
  </w:style>
  <w:style w:type="character" w:customStyle="1" w:styleId="216">
    <w:name w:val="标题 Char Char Char"/>
    <w:qFormat/>
    <w:uiPriority w:val="0"/>
    <w:rPr>
      <w:rFonts w:hint="default" w:ascii="Arial" w:hAnsi="Arial" w:cs="Arial"/>
      <w:b/>
      <w:sz w:val="32"/>
    </w:rPr>
  </w:style>
  <w:style w:type="character" w:customStyle="1" w:styleId="217">
    <w:name w:val="无间隔 字符"/>
    <w:link w:val="218"/>
    <w:qFormat/>
    <w:uiPriority w:val="0"/>
    <w:rPr>
      <w:sz w:val="22"/>
    </w:rPr>
  </w:style>
  <w:style w:type="paragraph" w:styleId="218">
    <w:name w:val="No Spacing"/>
    <w:basedOn w:val="1"/>
    <w:link w:val="217"/>
    <w:qFormat/>
    <w:uiPriority w:val="0"/>
    <w:rPr>
      <w:sz w:val="22"/>
    </w:rPr>
  </w:style>
  <w:style w:type="character" w:customStyle="1" w:styleId="219">
    <w:name w:val="Char Char23"/>
    <w:qFormat/>
    <w:uiPriority w:val="0"/>
    <w:rPr>
      <w:rFonts w:hint="default" w:ascii="Times New Roman" w:hAnsi="Times New Roman" w:cs="Times New Roman"/>
      <w:b/>
      <w:color w:val="000000"/>
      <w:kern w:val="2"/>
      <w:sz w:val="24"/>
      <w:szCs w:val="24"/>
    </w:rPr>
  </w:style>
  <w:style w:type="character" w:customStyle="1" w:styleId="220">
    <w:name w:val="标题6 Char Char"/>
    <w:link w:val="221"/>
    <w:qFormat/>
    <w:uiPriority w:val="0"/>
    <w:rPr>
      <w:rFonts w:ascii="宋体" w:hAnsi="宋体" w:eastAsia="黑体"/>
      <w:sz w:val="32"/>
      <w:szCs w:val="32"/>
    </w:rPr>
  </w:style>
  <w:style w:type="paragraph" w:customStyle="1" w:styleId="221">
    <w:name w:val="标题6"/>
    <w:basedOn w:val="1"/>
    <w:link w:val="220"/>
    <w:qFormat/>
    <w:uiPriority w:val="0"/>
    <w:pPr>
      <w:keepNext/>
      <w:keepLines/>
      <w:spacing w:line="400" w:lineRule="exact"/>
      <w:jc w:val="center"/>
      <w:outlineLvl w:val="2"/>
    </w:pPr>
    <w:rPr>
      <w:rFonts w:ascii="宋体" w:hAnsi="宋体" w:eastAsia="黑体"/>
      <w:sz w:val="32"/>
      <w:szCs w:val="32"/>
    </w:rPr>
  </w:style>
  <w:style w:type="paragraph" w:customStyle="1" w:styleId="222">
    <w:name w:val="文档结构图1"/>
    <w:basedOn w:val="1"/>
    <w:qFormat/>
    <w:uiPriority w:val="0"/>
    <w:pPr>
      <w:shd w:val="clear" w:color="auto" w:fill="000080"/>
      <w:suppressAutoHyphens/>
    </w:pPr>
    <w:rPr>
      <w:rFonts w:ascii="Times New Roman" w:hAnsi="Times New Roman" w:eastAsia="宋体" w:cs="Times New Roman"/>
      <w:szCs w:val="20"/>
      <w:lang w:eastAsia="ar-SA"/>
    </w:rPr>
  </w:style>
  <w:style w:type="paragraph" w:customStyle="1" w:styleId="223">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224">
    <w:name w:val="Normal_2"/>
    <w:qFormat/>
    <w:uiPriority w:val="0"/>
    <w:rPr>
      <w:rFonts w:ascii="Times New Roman" w:hAnsi="Times New Roman" w:eastAsia="Times New Roman" w:cs="Times New Roman"/>
      <w:sz w:val="24"/>
      <w:szCs w:val="24"/>
      <w:lang w:val="en-US" w:eastAsia="zh-CN" w:bidi="ar-SA"/>
    </w:rPr>
  </w:style>
  <w:style w:type="paragraph" w:customStyle="1" w:styleId="225">
    <w:name w:val="发文落款"/>
    <w:basedOn w:val="226"/>
    <w:qFormat/>
    <w:uiPriority w:val="0"/>
    <w:pPr>
      <w:ind w:left="4094" w:right="607" w:firstLine="0"/>
      <w:jc w:val="center"/>
    </w:pPr>
  </w:style>
  <w:style w:type="paragraph" w:customStyle="1" w:styleId="2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27">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8">
    <w:name w:val="msotocheading"/>
    <w:basedOn w:val="2"/>
    <w:next w:val="1"/>
    <w:qFormat/>
    <w:uiPriority w:val="0"/>
    <w:pPr>
      <w:widowControl/>
      <w:spacing w:before="480" w:line="276" w:lineRule="auto"/>
      <w:outlineLvl w:val="9"/>
    </w:pPr>
    <w:rPr>
      <w:rFonts w:ascii="Cambria" w:hAnsi="Cambria"/>
      <w:bCs/>
      <w:color w:val="365F91"/>
      <w:kern w:val="0"/>
    </w:rPr>
  </w:style>
  <w:style w:type="paragraph" w:customStyle="1" w:styleId="229">
    <w:name w:val="章节二"/>
    <w:basedOn w:val="131"/>
    <w:next w:val="131"/>
    <w:qFormat/>
    <w:uiPriority w:val="0"/>
    <w:pPr>
      <w:spacing w:before="156" w:beforeLines="50" w:line="240" w:lineRule="auto"/>
      <w:ind w:firstLine="0" w:firstLineChars="0"/>
      <w:jc w:val="center"/>
      <w:outlineLvl w:val="1"/>
    </w:pPr>
    <w:rPr>
      <w:rFonts w:eastAsia="黑体"/>
      <w:b/>
      <w:sz w:val="30"/>
      <w:szCs w:val="30"/>
    </w:rPr>
  </w:style>
  <w:style w:type="paragraph" w:customStyle="1" w:styleId="230">
    <w:name w:val="Char Char Char1 Char"/>
    <w:basedOn w:val="15"/>
    <w:qFormat/>
    <w:uiPriority w:val="0"/>
    <w:rPr>
      <w:rFonts w:ascii="Tahoma" w:hAnsi="Tahoma"/>
      <w:sz w:val="24"/>
      <w:szCs w:val="24"/>
    </w:rPr>
  </w:style>
  <w:style w:type="paragraph" w:customStyle="1" w:styleId="231">
    <w:name w:val="正文1"/>
    <w:qFormat/>
    <w:uiPriority w:val="0"/>
    <w:rPr>
      <w:rFonts w:ascii="Times New Roman" w:hAnsi="Times New Roman" w:eastAsia="Times New Roman" w:cs="Times New Roman"/>
      <w:sz w:val="24"/>
      <w:szCs w:val="24"/>
      <w:lang w:val="en-US" w:eastAsia="zh-CN" w:bidi="ar-SA"/>
    </w:rPr>
  </w:style>
  <w:style w:type="paragraph" w:customStyle="1" w:styleId="232">
    <w:name w:val="msonormalcxspmidd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3">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4">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35">
    <w:name w:val="列表项目符号 21"/>
    <w:basedOn w:val="236"/>
    <w:qFormat/>
    <w:uiPriority w:val="0"/>
    <w:pPr>
      <w:widowControl/>
      <w:tabs>
        <w:tab w:val="left" w:pos="360"/>
      </w:tabs>
      <w:spacing w:after="220" w:line="220" w:lineRule="atLeast"/>
      <w:ind w:left="360" w:right="720"/>
      <w:jc w:val="left"/>
    </w:pPr>
  </w:style>
  <w:style w:type="paragraph" w:customStyle="1" w:styleId="236">
    <w:name w:val="列表项目符号1"/>
    <w:basedOn w:val="1"/>
    <w:qFormat/>
    <w:uiPriority w:val="0"/>
    <w:pPr>
      <w:tabs>
        <w:tab w:val="left" w:pos="360"/>
      </w:tabs>
      <w:suppressAutoHyphens/>
    </w:pPr>
    <w:rPr>
      <w:rFonts w:ascii="Times New Roman" w:hAnsi="Times New Roman" w:eastAsia="宋体" w:cs="Times New Roman"/>
      <w:szCs w:val="20"/>
      <w:lang w:eastAsia="ar-SA"/>
    </w:rPr>
  </w:style>
  <w:style w:type="paragraph" w:customStyle="1" w:styleId="237">
    <w:name w:val="纯文本 New"/>
    <w:basedOn w:val="223"/>
    <w:qFormat/>
    <w:uiPriority w:val="0"/>
    <w:rPr>
      <w:rFonts w:ascii="宋体" w:hAnsi="Courier New" w:eastAsia="宋体"/>
      <w:kern w:val="2"/>
      <w:sz w:val="24"/>
    </w:rPr>
  </w:style>
  <w:style w:type="paragraph" w:customStyle="1" w:styleId="238">
    <w:name w:val="TOC 标题1"/>
    <w:basedOn w:val="2"/>
    <w:next w:val="1"/>
    <w:qFormat/>
    <w:uiPriority w:val="39"/>
    <w:pPr>
      <w:widowControl/>
      <w:spacing w:before="480" w:line="276" w:lineRule="auto"/>
      <w:outlineLvl w:val="9"/>
    </w:pPr>
    <w:rPr>
      <w:rFonts w:ascii="Cambria" w:hAnsi="Cambria"/>
      <w:color w:val="365F91"/>
      <w:kern w:val="0"/>
    </w:rPr>
  </w:style>
  <w:style w:type="paragraph" w:customStyle="1" w:styleId="239">
    <w:name w:val="正题"/>
    <w:basedOn w:val="131"/>
    <w:next w:val="131"/>
    <w:qFormat/>
    <w:uiPriority w:val="0"/>
    <w:pPr>
      <w:ind w:firstLine="0" w:firstLineChars="0"/>
      <w:jc w:val="center"/>
    </w:pPr>
    <w:rPr>
      <w:rFonts w:eastAsia="黑体"/>
      <w:b/>
      <w:sz w:val="36"/>
      <w:szCs w:val="36"/>
    </w:rPr>
  </w:style>
  <w:style w:type="paragraph" w:customStyle="1" w:styleId="240">
    <w:name w:val="表格文字"/>
    <w:basedOn w:val="1"/>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241">
    <w:name w:val="正文文本缩进 31"/>
    <w:basedOn w:val="1"/>
    <w:qFormat/>
    <w:uiPriority w:val="0"/>
    <w:pPr>
      <w:suppressAutoHyphens/>
      <w:spacing w:after="120"/>
      <w:ind w:left="420"/>
    </w:pPr>
    <w:rPr>
      <w:rFonts w:ascii="Times New Roman" w:hAnsi="Times New Roman" w:eastAsia="宋体" w:cs="Times New Roman"/>
      <w:sz w:val="16"/>
      <w:szCs w:val="20"/>
      <w:lang w:eastAsia="ar-SA"/>
    </w:rPr>
  </w:style>
  <w:style w:type="paragraph" w:customStyle="1" w:styleId="242">
    <w:name w:val="正文缩进_0"/>
    <w:basedOn w:val="243"/>
    <w:qFormat/>
    <w:uiPriority w:val="0"/>
    <w:pPr>
      <w:ind w:firstLine="420"/>
    </w:pPr>
  </w:style>
  <w:style w:type="paragraph" w:customStyle="1" w:styleId="243">
    <w:name w:val="正文_0"/>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44">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2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6">
    <w:name w:val="样式1"/>
    <w:basedOn w:val="4"/>
    <w:qFormat/>
    <w:uiPriority w:val="0"/>
    <w:pPr>
      <w:keepNext/>
      <w:keepLines/>
      <w:widowControl w:val="0"/>
      <w:spacing w:before="260" w:after="260" w:line="412" w:lineRule="auto"/>
      <w:jc w:val="both"/>
    </w:pPr>
    <w:rPr>
      <w:rFonts w:ascii="Calibri" w:hAnsi="Calibri" w:eastAsia="Arial"/>
      <w:b/>
      <w:kern w:val="2"/>
      <w:sz w:val="32"/>
      <w:szCs w:val="22"/>
    </w:rPr>
  </w:style>
  <w:style w:type="paragraph" w:customStyle="1" w:styleId="247">
    <w:name w:val="Char11"/>
    <w:basedOn w:val="1"/>
    <w:qFormat/>
    <w:uiPriority w:val="0"/>
    <w:pPr>
      <w:numPr>
        <w:ilvl w:val="0"/>
        <w:numId w:val="1"/>
      </w:numPr>
      <w:tabs>
        <w:tab w:val="left" w:pos="1500"/>
      </w:tabs>
    </w:pPr>
    <w:rPr>
      <w:rFonts w:ascii="Times New Roman" w:hAnsi="Times New Roman" w:eastAsia="宋体" w:cs="Times New Roman"/>
      <w:sz w:val="24"/>
      <w:szCs w:val="24"/>
    </w:rPr>
  </w:style>
  <w:style w:type="paragraph" w:customStyle="1" w:styleId="248">
    <w:name w:val="正文文本 New"/>
    <w:basedOn w:val="223"/>
    <w:qFormat/>
    <w:uiPriority w:val="0"/>
    <w:pPr>
      <w:spacing w:after="120"/>
    </w:pPr>
    <w:rPr>
      <w:rFonts w:eastAsia="宋体"/>
      <w:kern w:val="2"/>
      <w:sz w:val="30"/>
      <w:szCs w:val="24"/>
    </w:rPr>
  </w:style>
  <w:style w:type="paragraph" w:customStyle="1" w:styleId="249">
    <w:name w:val="样式 正文缩进正文（首行缩进两字）特点ALT+Z表正文正文非缩进四号段1Normal Indent Char2...1"/>
    <w:basedOn w:val="3"/>
    <w:qFormat/>
    <w:uiPriority w:val="0"/>
    <w:pPr>
      <w:tabs>
        <w:tab w:val="left" w:pos="1260"/>
      </w:tabs>
      <w:spacing w:before="1320" w:after="240" w:line="300" w:lineRule="auto"/>
      <w:ind w:left="1260" w:hanging="420"/>
    </w:pPr>
    <w:rPr>
      <w:rFonts w:hint="eastAsia" w:ascii="黑体" w:hAnsi="黑体" w:eastAsia="黑体"/>
      <w:b w:val="0"/>
      <w:color w:val="auto"/>
      <w:szCs w:val="20"/>
    </w:rPr>
  </w:style>
  <w:style w:type="paragraph" w:customStyle="1" w:styleId="250">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正文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styleId="252">
    <w:name w:val="List Paragraph"/>
    <w:basedOn w:val="1"/>
    <w:qFormat/>
    <w:uiPriority w:val="34"/>
    <w:pPr>
      <w:ind w:firstLine="420" w:firstLineChars="200"/>
    </w:pPr>
    <w:rPr>
      <w:rFonts w:ascii="Times New Roman" w:hAnsi="Times New Roman" w:eastAsia="宋体" w:cs="Times New Roman"/>
      <w:szCs w:val="20"/>
    </w:rPr>
  </w:style>
  <w:style w:type="paragraph" w:customStyle="1" w:styleId="253">
    <w:name w:val="正文缩进1"/>
    <w:basedOn w:val="1"/>
    <w:qFormat/>
    <w:uiPriority w:val="0"/>
    <w:pPr>
      <w:ind w:firstLine="420" w:firstLineChars="200"/>
    </w:pPr>
    <w:rPr>
      <w:rFonts w:ascii="Times New Roman" w:hAnsi="Times New Roman" w:eastAsia="宋体" w:cs="Times New Roman"/>
      <w:sz w:val="30"/>
      <w:szCs w:val="24"/>
    </w:rPr>
  </w:style>
  <w:style w:type="paragraph" w:customStyle="1" w:styleId="254">
    <w:name w:val="Normal_3"/>
    <w:qFormat/>
    <w:uiPriority w:val="0"/>
    <w:rPr>
      <w:rFonts w:ascii="Times New Roman" w:hAnsi="Times New Roman" w:eastAsia="Times New Roman" w:cs="Times New Roman"/>
      <w:sz w:val="24"/>
      <w:szCs w:val="24"/>
      <w:lang w:val="en-US" w:eastAsia="zh-CN" w:bidi="ar-SA"/>
    </w:rPr>
  </w:style>
  <w:style w:type="paragraph" w:customStyle="1" w:styleId="255">
    <w:name w:val="正文_1"/>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56">
    <w:name w:val="Char1 Char Char Char Char Char Char1 Char Char Char"/>
    <w:basedOn w:val="1"/>
    <w:qFormat/>
    <w:uiPriority w:val="0"/>
    <w:rPr>
      <w:rFonts w:ascii="Times New Roman" w:hAnsi="Times New Roman" w:eastAsia="宋体" w:cs="Times New Roman"/>
      <w:sz w:val="30"/>
      <w:szCs w:val="24"/>
    </w:rPr>
  </w:style>
  <w:style w:type="paragraph" w:customStyle="1" w:styleId="257">
    <w:name w:val="样式 标题 1 + 宋体 居中 段前: 48 磅 段后: 12 磅 行距: 1.5 倍行距"/>
    <w:basedOn w:val="2"/>
    <w:qFormat/>
    <w:uiPriority w:val="0"/>
    <w:pPr>
      <w:snapToGrid w:val="0"/>
      <w:spacing w:before="1560" w:after="240"/>
      <w:jc w:val="center"/>
    </w:pPr>
    <w:rPr>
      <w:rFonts w:ascii="宋体" w:hAnsi="宋体"/>
      <w:bCs/>
      <w:kern w:val="2"/>
      <w:sz w:val="36"/>
      <w:szCs w:val="20"/>
    </w:rPr>
  </w:style>
  <w:style w:type="paragraph" w:customStyle="1" w:styleId="258">
    <w:name w:val="内容目录 10"/>
    <w:basedOn w:val="259"/>
    <w:qFormat/>
    <w:uiPriority w:val="0"/>
    <w:pPr>
      <w:tabs>
        <w:tab w:val="right" w:leader="dot" w:pos="9637"/>
      </w:tabs>
      <w:ind w:left="2547"/>
    </w:pPr>
  </w:style>
  <w:style w:type="paragraph" w:customStyle="1" w:styleId="259">
    <w:name w:val="目录"/>
    <w:basedOn w:val="1"/>
    <w:qFormat/>
    <w:uiPriority w:val="0"/>
    <w:pPr>
      <w:suppressLineNumbers/>
      <w:suppressAutoHyphens/>
    </w:pPr>
    <w:rPr>
      <w:rFonts w:ascii="Times New Roman" w:hAnsi="Times New Roman" w:eastAsia="宋体" w:cs="Times New Roman"/>
      <w:szCs w:val="20"/>
      <w:lang w:eastAsia="ar-SA"/>
    </w:rPr>
  </w:style>
  <w:style w:type="paragraph" w:customStyle="1" w:styleId="260">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261">
    <w:name w:val="Char2 Char Char Char"/>
    <w:basedOn w:val="1"/>
    <w:qFormat/>
    <w:uiPriority w:val="0"/>
    <w:pPr>
      <w:tabs>
        <w:tab w:val="left" w:pos="1350"/>
      </w:tabs>
      <w:ind w:left="1350" w:hanging="720"/>
    </w:pPr>
    <w:rPr>
      <w:rFonts w:ascii="Times New Roman" w:hAnsi="Times New Roman" w:eastAsia="宋体" w:cs="Times New Roman"/>
      <w:sz w:val="24"/>
      <w:szCs w:val="24"/>
    </w:rPr>
  </w:style>
  <w:style w:type="paragraph" w:customStyle="1" w:styleId="262">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263">
    <w:name w:val="Char Char Char Char"/>
    <w:basedOn w:val="1"/>
    <w:qFormat/>
    <w:uiPriority w:val="0"/>
    <w:rPr>
      <w:rFonts w:ascii="Times New Roman" w:hAnsi="Times New Roman" w:eastAsia="宋体" w:cs="Times New Roman"/>
      <w:sz w:val="30"/>
      <w:szCs w:val="24"/>
    </w:rPr>
  </w:style>
  <w:style w:type="paragraph" w:customStyle="1" w:styleId="264">
    <w:name w:val="1"/>
    <w:basedOn w:val="1"/>
    <w:next w:val="1"/>
    <w:qFormat/>
    <w:uiPriority w:val="0"/>
    <w:rPr>
      <w:rFonts w:ascii="Times New Roman" w:hAnsi="Times New Roman" w:eastAsia="宋体" w:cs="Times New Roman"/>
    </w:rPr>
  </w:style>
  <w:style w:type="paragraph" w:customStyle="1" w:styleId="265">
    <w:name w:val="Normal_1"/>
    <w:qFormat/>
    <w:uiPriority w:val="0"/>
    <w:rPr>
      <w:rFonts w:ascii="Times New Roman" w:hAnsi="Times New Roman" w:eastAsia="Times New Roman" w:cs="Times New Roman"/>
      <w:sz w:val="24"/>
      <w:szCs w:val="24"/>
      <w:lang w:val="en-US" w:eastAsia="zh-CN" w:bidi="ar-SA"/>
    </w:rPr>
  </w:style>
  <w:style w:type="paragraph" w:customStyle="1" w:styleId="266">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7">
    <w:name w:val="日期1"/>
    <w:basedOn w:val="1"/>
    <w:next w:val="1"/>
    <w:qFormat/>
    <w:uiPriority w:val="0"/>
    <w:pPr>
      <w:suppressAutoHyphens/>
      <w:ind w:left="100"/>
    </w:pPr>
    <w:rPr>
      <w:rFonts w:ascii="Times New Roman" w:hAnsi="Times New Roman" w:eastAsia="宋体" w:cs="Times New Roman"/>
      <w:szCs w:val="20"/>
      <w:lang w:eastAsia="ar-SA"/>
    </w:rPr>
  </w:style>
  <w:style w:type="paragraph" w:customStyle="1" w:styleId="268">
    <w:name w:val="正文文本缩进 32"/>
    <w:basedOn w:val="1"/>
    <w:qFormat/>
    <w:uiPriority w:val="0"/>
    <w:pPr>
      <w:snapToGrid w:val="0"/>
      <w:spacing w:line="360" w:lineRule="auto"/>
      <w:ind w:left="20" w:firstLine="529" w:firstLineChars="189"/>
    </w:pPr>
    <w:rPr>
      <w:rFonts w:ascii="仿宋_GB2312" w:hAnsi="Times New Roman" w:eastAsia="仿宋_GB2312" w:cs="Times New Roman"/>
      <w:sz w:val="28"/>
      <w:szCs w:val="24"/>
    </w:rPr>
  </w:style>
  <w:style w:type="paragraph" w:customStyle="1" w:styleId="269">
    <w:name w:val="章节三"/>
    <w:basedOn w:val="131"/>
    <w:next w:val="1"/>
    <w:qFormat/>
    <w:uiPriority w:val="0"/>
    <w:pPr>
      <w:spacing w:before="156" w:beforeLines="50" w:line="240" w:lineRule="auto"/>
      <w:ind w:firstLine="0" w:firstLineChars="0"/>
      <w:jc w:val="left"/>
      <w:outlineLvl w:val="2"/>
    </w:pPr>
    <w:rPr>
      <w:rFonts w:ascii="黑体" w:eastAsia="黑体"/>
      <w:b/>
    </w:rPr>
  </w:style>
  <w:style w:type="paragraph" w:customStyle="1" w:styleId="270">
    <w:name w:val="Char5 Char Char Char Char Char Char Char Char Char Char Char Char Char Char Char Char Char Char Char Char1 Char Char Char 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71">
    <w:name w:val="访问过的超链接1"/>
    <w:basedOn w:val="1"/>
    <w:qFormat/>
    <w:uiPriority w:val="0"/>
    <w:rPr>
      <w:rFonts w:ascii="仿宋_GB2312" w:hAnsi="Times New Roman" w:eastAsia="宋体" w:cs="Times New Roman"/>
      <w:szCs w:val="32"/>
    </w:rPr>
  </w:style>
  <w:style w:type="paragraph" w:customStyle="1" w:styleId="272">
    <w:name w:val="修订1"/>
    <w:qFormat/>
    <w:uiPriority w:val="99"/>
    <w:rPr>
      <w:rFonts w:ascii="Times New Roman" w:hAnsi="Times New Roman" w:eastAsia="宋体" w:cs="Times New Roman"/>
      <w:kern w:val="2"/>
      <w:sz w:val="21"/>
      <w:lang w:val="en-US" w:eastAsia="zh-CN" w:bidi="ar-SA"/>
    </w:rPr>
  </w:style>
  <w:style w:type="paragraph" w:customStyle="1" w:styleId="273">
    <w:name w:val="cjk"/>
    <w:basedOn w:val="1"/>
    <w:qFormat/>
    <w:uiPriority w:val="0"/>
    <w:pPr>
      <w:widowControl/>
      <w:spacing w:before="284" w:after="100" w:afterAutospacing="1" w:line="360" w:lineRule="auto"/>
      <w:jc w:val="left"/>
    </w:pPr>
    <w:rPr>
      <w:rFonts w:ascii="宋体" w:hAnsi="宋体" w:eastAsia="宋体" w:cs="Times New Roman"/>
      <w:kern w:val="0"/>
      <w:sz w:val="22"/>
    </w:rPr>
  </w:style>
  <w:style w:type="paragraph" w:customStyle="1" w:styleId="274">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普通(网站)1"/>
    <w:basedOn w:val="1"/>
    <w:qFormat/>
    <w:uiPriority w:val="0"/>
    <w:pPr>
      <w:widowControl/>
      <w:suppressAutoHyphens/>
      <w:spacing w:before="284" w:after="280" w:line="360" w:lineRule="auto"/>
      <w:jc w:val="left"/>
    </w:pPr>
    <w:rPr>
      <w:rFonts w:ascii="宋体" w:hAnsi="宋体" w:eastAsia="宋体" w:cs="Times New Roman"/>
      <w:sz w:val="24"/>
      <w:szCs w:val="20"/>
      <w:lang w:eastAsia="ar-SA"/>
    </w:rPr>
  </w:style>
  <w:style w:type="paragraph" w:customStyle="1" w:styleId="276">
    <w:name w:val="正文文本缩进 21"/>
    <w:basedOn w:val="1"/>
    <w:qFormat/>
    <w:uiPriority w:val="0"/>
    <w:pPr>
      <w:spacing w:line="420" w:lineRule="exact"/>
      <w:ind w:firstLine="480"/>
    </w:pPr>
    <w:rPr>
      <w:rFonts w:ascii="Times New Roman" w:hAnsi="Times New Roman" w:eastAsia="宋体" w:cs="Times New Roman"/>
      <w:b/>
      <w:sz w:val="24"/>
      <w:szCs w:val="20"/>
    </w:rPr>
  </w:style>
  <w:style w:type="paragraph" w:customStyle="1" w:styleId="277">
    <w:name w:val="文档结构图2"/>
    <w:basedOn w:val="1"/>
    <w:qFormat/>
    <w:uiPriority w:val="0"/>
    <w:pPr>
      <w:shd w:val="clear" w:color="auto" w:fill="000080"/>
    </w:pPr>
    <w:rPr>
      <w:rFonts w:ascii="Times New Roman" w:hAnsi="Times New Roman" w:eastAsia="宋体" w:cs="Times New Roman"/>
      <w:sz w:val="30"/>
      <w:szCs w:val="24"/>
    </w:rPr>
  </w:style>
  <w:style w:type="paragraph" w:customStyle="1" w:styleId="278">
    <w:name w:val="Char13 Char Char Char Char Char"/>
    <w:basedOn w:val="1"/>
    <w:qFormat/>
    <w:uiPriority w:val="0"/>
    <w:pPr>
      <w:ind w:left="567" w:hanging="279"/>
    </w:pPr>
    <w:rPr>
      <w:rFonts w:ascii="Times New Roman" w:hAnsi="Times New Roman" w:eastAsia="宋体" w:cs="Times New Roman"/>
      <w:kern w:val="0"/>
      <w:sz w:val="20"/>
      <w:szCs w:val="20"/>
    </w:rPr>
  </w:style>
  <w:style w:type="paragraph" w:customStyle="1" w:styleId="279">
    <w:name w:val="正文首行缩进1"/>
    <w:basedOn w:val="18"/>
    <w:qFormat/>
    <w:uiPriority w:val="0"/>
    <w:pPr>
      <w:ind w:firstLine="420" w:firstLineChars="100"/>
    </w:pPr>
    <w:rPr>
      <w:rFonts w:hAnsi="Calibri"/>
      <w:sz w:val="30"/>
      <w:szCs w:val="24"/>
    </w:rPr>
  </w:style>
  <w:style w:type="paragraph" w:customStyle="1" w:styleId="280">
    <w:name w:val="标题1"/>
    <w:basedOn w:val="1"/>
    <w:next w:val="18"/>
    <w:qFormat/>
    <w:uiPriority w:val="0"/>
    <w:pPr>
      <w:keepNext/>
      <w:suppressAutoHyphens/>
      <w:spacing w:before="240" w:after="120"/>
    </w:pPr>
    <w:rPr>
      <w:rFonts w:ascii="DejaVu Sans" w:hAnsi="DejaVu Sans" w:eastAsia="DejaVu Sans" w:cs="DejaVu Sans"/>
      <w:sz w:val="28"/>
      <w:szCs w:val="28"/>
      <w:lang w:eastAsia="ar-SA"/>
    </w:rPr>
  </w:style>
  <w:style w:type="paragraph" w:customStyle="1" w:styleId="281">
    <w:name w:val="正文文本缩进1"/>
    <w:basedOn w:val="1"/>
    <w:qFormat/>
    <w:uiPriority w:val="0"/>
    <w:pPr>
      <w:ind w:firstLine="480"/>
    </w:pPr>
    <w:rPr>
      <w:rFonts w:ascii="Times New Roman" w:hAnsi="Times New Roman" w:eastAsia="宋体" w:cs="Times New Roman"/>
      <w:sz w:val="24"/>
      <w:szCs w:val="20"/>
    </w:rPr>
  </w:style>
  <w:style w:type="paragraph" w:customStyle="1" w:styleId="282">
    <w:name w:val="标题 3_0"/>
    <w:basedOn w:val="243"/>
    <w:next w:val="242"/>
    <w:qFormat/>
    <w:uiPriority w:val="0"/>
    <w:pPr>
      <w:keepNext/>
      <w:keepLines/>
      <w:spacing w:line="360" w:lineRule="auto"/>
      <w:jc w:val="center"/>
      <w:outlineLvl w:val="2"/>
    </w:pPr>
    <w:rPr>
      <w:rFonts w:ascii="仿宋_GB2312" w:hAnsi="宋体" w:eastAsia="仿宋_GB2312" w:cs="宋体"/>
      <w:b/>
      <w:sz w:val="30"/>
      <w:szCs w:val="30"/>
    </w:rPr>
  </w:style>
  <w:style w:type="paragraph" w:customStyle="1" w:styleId="283">
    <w:name w:val="正文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284">
    <w:name w:val="6'"/>
    <w:basedOn w:val="1"/>
    <w:qFormat/>
    <w:uiPriority w:val="0"/>
    <w:pPr>
      <w:autoSpaceDE w:val="0"/>
      <w:autoSpaceDN w:val="0"/>
      <w:adjustRightInd w:val="0"/>
      <w:snapToGrid w:val="0"/>
      <w:spacing w:line="320" w:lineRule="exact"/>
      <w:jc w:val="center"/>
    </w:pPr>
    <w:rPr>
      <w:rFonts w:ascii="Times New Roman" w:hAnsi="Times New Roman" w:eastAsia="宋体" w:cs="Times New Roman"/>
      <w:spacing w:val="20"/>
      <w:kern w:val="28"/>
      <w:szCs w:val="20"/>
    </w:rPr>
  </w:style>
  <w:style w:type="paragraph" w:customStyle="1" w:styleId="285">
    <w:name w:val="尾注文本 New"/>
    <w:basedOn w:val="286"/>
    <w:qFormat/>
    <w:uiPriority w:val="0"/>
    <w:pPr>
      <w:snapToGrid w:val="0"/>
      <w:jc w:val="left"/>
    </w:pPr>
    <w:rPr>
      <w:rFonts w:ascii="宋体" w:hAnsi="宋体" w:eastAsia="宋体"/>
      <w:szCs w:val="24"/>
    </w:rPr>
  </w:style>
  <w:style w:type="paragraph" w:customStyle="1" w:styleId="286">
    <w:name w:val="正文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7">
    <w:name w:val="文提"/>
    <w:basedOn w:val="131"/>
    <w:qFormat/>
    <w:uiPriority w:val="0"/>
    <w:pPr>
      <w:ind w:firstLine="0" w:firstLineChars="0"/>
    </w:pPr>
    <w:rPr>
      <w:rFonts w:eastAsia="黑体" w:cs="宋体"/>
      <w:b/>
    </w:rPr>
  </w:style>
  <w:style w:type="paragraph" w:customStyle="1" w:styleId="288">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2"/>
    <w:next w:val="271"/>
    <w:qFormat/>
    <w:uiPriority w:val="0"/>
    <w:pPr>
      <w:widowControl w:val="0"/>
      <w:jc w:val="both"/>
    </w:pPr>
    <w:rPr>
      <w:rFonts w:ascii="仿宋_GB2312" w:hAnsi="Times New Roman" w:eastAsia="宋体" w:cs="Times New Roman"/>
      <w:kern w:val="2"/>
      <w:sz w:val="21"/>
      <w:szCs w:val="32"/>
      <w:lang w:val="en-US" w:eastAsia="zh-CN" w:bidi="ar-SA"/>
    </w:rPr>
  </w:style>
  <w:style w:type="paragraph" w:customStyle="1" w:styleId="290">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291">
    <w:name w:val="样式 正文缩进正文（首行缩进两字）特点ALT+Z表正文正文非缩进四号段1Normal Indent Char2...2"/>
    <w:basedOn w:val="4"/>
    <w:qFormat/>
    <w:uiPriority w:val="0"/>
    <w:pPr>
      <w:keepNext/>
      <w:keepLines/>
      <w:widowControl w:val="0"/>
      <w:tabs>
        <w:tab w:val="left" w:pos="1680"/>
      </w:tabs>
      <w:spacing w:before="360" w:after="120"/>
      <w:ind w:left="1680" w:hanging="420"/>
      <w:jc w:val="center"/>
    </w:pPr>
    <w:rPr>
      <w:b/>
      <w:bCs/>
      <w:sz w:val="28"/>
      <w:szCs w:val="20"/>
    </w:rPr>
  </w:style>
  <w:style w:type="paragraph" w:customStyle="1" w:styleId="292">
    <w:name w:val="批注文字1"/>
    <w:basedOn w:val="1"/>
    <w:qFormat/>
    <w:uiPriority w:val="0"/>
    <w:pPr>
      <w:suppressAutoHyphens/>
      <w:jc w:val="left"/>
    </w:pPr>
    <w:rPr>
      <w:rFonts w:ascii="Times New Roman" w:hAnsi="Times New Roman" w:eastAsia="宋体" w:cs="Times New Roman"/>
      <w:szCs w:val="20"/>
      <w:lang w:eastAsia="ar-SA"/>
    </w:rPr>
  </w:style>
  <w:style w:type="paragraph" w:customStyle="1" w:styleId="293">
    <w:name w:val="Char Char Char Char1"/>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294">
    <w:name w:val="样式 标题 2 + Times New Roman 四号 非加粗 段前: 5 磅 段后: 0 磅 行距: 固定值 20..."/>
    <w:basedOn w:val="3"/>
    <w:qFormat/>
    <w:uiPriority w:val="0"/>
    <w:pPr>
      <w:spacing w:before="100" w:line="400" w:lineRule="exact"/>
      <w:jc w:val="both"/>
    </w:pPr>
    <w:rPr>
      <w:rFonts w:hint="eastAsia" w:ascii="Times New Roman" w:hAnsi="Times New Roman" w:eastAsia="黑体" w:cs="宋体"/>
      <w:color w:val="auto"/>
      <w:sz w:val="28"/>
      <w:szCs w:val="20"/>
    </w:rPr>
  </w:style>
  <w:style w:type="paragraph" w:customStyle="1" w:styleId="295">
    <w:name w:val="msolistparagraph"/>
    <w:basedOn w:val="1"/>
    <w:qFormat/>
    <w:uiPriority w:val="0"/>
    <w:pPr>
      <w:ind w:firstLine="420" w:firstLineChars="200"/>
    </w:pPr>
    <w:rPr>
      <w:rFonts w:ascii="Times New Roman" w:hAnsi="Times New Roman" w:eastAsia="宋体" w:cs="Times New Roman"/>
    </w:rPr>
  </w:style>
  <w:style w:type="paragraph" w:customStyle="1" w:styleId="296">
    <w:name w:val="Char Char Char1 Char1"/>
    <w:basedOn w:val="1"/>
    <w:qFormat/>
    <w:uiPriority w:val="0"/>
    <w:rPr>
      <w:rFonts w:ascii="宋体" w:hAnsi="Times New Roman" w:eastAsia="宋体" w:cs="Times New Roman"/>
      <w:kern w:val="0"/>
      <w:sz w:val="34"/>
      <w:szCs w:val="20"/>
    </w:rPr>
  </w:style>
  <w:style w:type="paragraph" w:customStyle="1" w:styleId="297">
    <w:name w:val="Address"/>
    <w:basedOn w:val="1"/>
    <w:next w:val="1"/>
    <w:qFormat/>
    <w:uiPriority w:val="0"/>
    <w:pPr>
      <w:widowControl/>
      <w:autoSpaceDE w:val="0"/>
      <w:autoSpaceDN w:val="0"/>
      <w:adjustRightInd w:val="0"/>
      <w:jc w:val="left"/>
    </w:pPr>
    <w:rPr>
      <w:rFonts w:ascii="Times New Roman" w:hAnsi="Times New Roman" w:eastAsia="宋体" w:cs="Times New Roman"/>
      <w:i/>
      <w:kern w:val="0"/>
      <w:sz w:val="24"/>
      <w:szCs w:val="20"/>
    </w:rPr>
  </w:style>
  <w:style w:type="paragraph" w:customStyle="1" w:styleId="298">
    <w:name w:val="页脚 New New"/>
    <w:basedOn w:val="299"/>
    <w:qFormat/>
    <w:uiPriority w:val="0"/>
    <w:pPr>
      <w:tabs>
        <w:tab w:val="center" w:pos="4153"/>
        <w:tab w:val="right" w:pos="8306"/>
      </w:tabs>
      <w:snapToGrid w:val="0"/>
      <w:jc w:val="left"/>
    </w:pPr>
    <w:rPr>
      <w:sz w:val="18"/>
    </w:rPr>
  </w:style>
  <w:style w:type="paragraph" w:customStyle="1" w:styleId="299">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0">
    <w:name w:val="表格"/>
    <w:basedOn w:val="1"/>
    <w:qFormat/>
    <w:uiPriority w:val="0"/>
    <w:pPr>
      <w:jc w:val="center"/>
    </w:pPr>
    <w:rPr>
      <w:rFonts w:ascii="华文细黑" w:hAnsi="华文细黑" w:eastAsia="宋体" w:cs="Times New Roman"/>
      <w:kern w:val="0"/>
      <w:szCs w:val="20"/>
    </w:rPr>
  </w:style>
  <w:style w:type="paragraph" w:customStyle="1" w:styleId="301">
    <w:name w:val="页眉 New New"/>
    <w:basedOn w:val="299"/>
    <w:qFormat/>
    <w:uiPriority w:val="0"/>
    <w:pPr>
      <w:pBdr>
        <w:bottom w:val="single" w:color="auto" w:sz="6" w:space="1"/>
      </w:pBdr>
      <w:tabs>
        <w:tab w:val="center" w:pos="4153"/>
        <w:tab w:val="right" w:pos="8306"/>
      </w:tabs>
      <w:snapToGrid w:val="0"/>
      <w:jc w:val="center"/>
    </w:pPr>
    <w:rPr>
      <w:sz w:val="18"/>
    </w:rPr>
  </w:style>
  <w:style w:type="paragraph" w:customStyle="1" w:styleId="302">
    <w:name w:val="样式2"/>
    <w:basedOn w:val="4"/>
    <w:qFormat/>
    <w:uiPriority w:val="0"/>
    <w:pPr>
      <w:keepNext/>
      <w:keepLines/>
      <w:widowControl w:val="0"/>
      <w:spacing w:before="260" w:after="260" w:line="412" w:lineRule="auto"/>
      <w:jc w:val="both"/>
    </w:pPr>
    <w:rPr>
      <w:rFonts w:ascii="Calibri" w:hAnsi="Calibri"/>
      <w:b/>
      <w:kern w:val="2"/>
      <w:sz w:val="32"/>
      <w:szCs w:val="22"/>
    </w:rPr>
  </w:style>
  <w:style w:type="paragraph" w:customStyle="1" w:styleId="303">
    <w:name w:val="纯文本1"/>
    <w:basedOn w:val="1"/>
    <w:qFormat/>
    <w:uiPriority w:val="0"/>
    <w:rPr>
      <w:rFonts w:ascii="宋体" w:hAnsi="Courier New" w:eastAsia="宋体" w:cs="Times New Roman"/>
      <w:sz w:val="24"/>
      <w:szCs w:val="20"/>
    </w:rPr>
  </w:style>
  <w:style w:type="paragraph" w:customStyle="1" w:styleId="304">
    <w:name w:val="方框图"/>
    <w:basedOn w:val="1"/>
    <w:qFormat/>
    <w:uiPriority w:val="0"/>
    <w:pPr>
      <w:jc w:val="center"/>
    </w:pPr>
    <w:rPr>
      <w:rFonts w:ascii="Times New Roman" w:hAnsi="Times New Roman" w:eastAsia="宋体" w:cs="Times New Roman"/>
      <w:bCs/>
      <w:szCs w:val="24"/>
    </w:rPr>
  </w:style>
  <w:style w:type="paragraph" w:customStyle="1" w:styleId="305">
    <w:name w:val="样式 标题 1 + 黑体 三号 非加粗 居中 段前: 6 磅 段后: 6 磅 行距: 固定值 20 磅"/>
    <w:basedOn w:val="2"/>
    <w:qFormat/>
    <w:uiPriority w:val="0"/>
    <w:pPr>
      <w:spacing w:line="400" w:lineRule="exact"/>
      <w:jc w:val="center"/>
    </w:pPr>
    <w:rPr>
      <w:rFonts w:ascii="黑体" w:hAnsi="黑体" w:eastAsia="黑体"/>
      <w:bCs/>
      <w:sz w:val="32"/>
      <w:szCs w:val="20"/>
    </w:rPr>
  </w:style>
  <w:style w:type="paragraph" w:customStyle="1" w:styleId="306">
    <w:name w:val="样式3"/>
    <w:basedOn w:val="4"/>
    <w:qFormat/>
    <w:uiPriority w:val="0"/>
    <w:pPr>
      <w:keepNext/>
      <w:keepLines/>
      <w:widowControl w:val="0"/>
      <w:spacing w:before="260" w:after="260" w:line="412" w:lineRule="auto"/>
      <w:jc w:val="both"/>
    </w:pPr>
    <w:rPr>
      <w:rFonts w:ascii="Calibri" w:hAnsi="Calibri" w:eastAsia="Arial"/>
      <w:b/>
      <w:kern w:val="2"/>
      <w:sz w:val="32"/>
      <w:szCs w:val="22"/>
    </w:rPr>
  </w:style>
  <w:style w:type="paragraph" w:customStyle="1" w:styleId="307">
    <w:name w:val="表格标题"/>
    <w:basedOn w:val="308"/>
    <w:qFormat/>
    <w:uiPriority w:val="0"/>
    <w:pPr>
      <w:jc w:val="center"/>
    </w:pPr>
    <w:rPr>
      <w:b/>
      <w:bCs/>
    </w:rPr>
  </w:style>
  <w:style w:type="paragraph" w:customStyle="1" w:styleId="308">
    <w:name w:val="表格内容"/>
    <w:basedOn w:val="1"/>
    <w:qFormat/>
    <w:uiPriority w:val="0"/>
    <w:pPr>
      <w:suppressLineNumbers/>
      <w:suppressAutoHyphens/>
    </w:pPr>
    <w:rPr>
      <w:rFonts w:ascii="Times New Roman" w:hAnsi="Times New Roman" w:eastAsia="宋体" w:cs="Times New Roman"/>
      <w:szCs w:val="20"/>
      <w:lang w:eastAsia="ar-SA"/>
    </w:rPr>
  </w:style>
  <w:style w:type="paragraph" w:customStyle="1" w:styleId="309">
    <w:name w:val="封二"/>
    <w:basedOn w:val="131"/>
    <w:next w:val="131"/>
    <w:qFormat/>
    <w:uiPriority w:val="0"/>
    <w:pPr>
      <w:ind w:firstLine="0" w:firstLineChars="0"/>
      <w:jc w:val="center"/>
    </w:pPr>
    <w:rPr>
      <w:rFonts w:eastAsia="黑体"/>
      <w:b/>
      <w:sz w:val="36"/>
      <w:szCs w:val="36"/>
    </w:rPr>
  </w:style>
  <w:style w:type="paragraph" w:customStyle="1" w:styleId="310">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1">
    <w:name w:val="Char4 Char Char Char"/>
    <w:basedOn w:val="1"/>
    <w:qFormat/>
    <w:uiPriority w:val="0"/>
    <w:pPr>
      <w:ind w:left="567" w:hanging="279"/>
    </w:pPr>
    <w:rPr>
      <w:rFonts w:ascii="Times New Roman" w:hAnsi="Times New Roman" w:eastAsia="宋体" w:cs="Times New Roman"/>
      <w:sz w:val="24"/>
      <w:szCs w:val="24"/>
    </w:rPr>
  </w:style>
  <w:style w:type="paragraph" w:customStyle="1" w:styleId="312">
    <w:name w:val="正文缩进 New"/>
    <w:basedOn w:val="313"/>
    <w:qFormat/>
    <w:uiPriority w:val="0"/>
    <w:pPr>
      <w:ind w:firstLine="420"/>
    </w:pPr>
    <w:rPr>
      <w:rFonts w:ascii="Times New Roman" w:hAnsi="Times New Roman" w:cs="Times New Roman"/>
      <w:snapToGrid/>
      <w:kern w:val="2"/>
      <w:szCs w:val="20"/>
    </w:rPr>
  </w:style>
  <w:style w:type="paragraph" w:customStyle="1" w:styleId="313">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314">
    <w:name w:val="正文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15">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6">
    <w:name w:val="封四"/>
    <w:basedOn w:val="131"/>
    <w:next w:val="131"/>
    <w:qFormat/>
    <w:uiPriority w:val="0"/>
    <w:pPr>
      <w:jc w:val="left"/>
    </w:pPr>
    <w:rPr>
      <w:sz w:val="30"/>
      <w:szCs w:val="30"/>
    </w:rPr>
  </w:style>
  <w:style w:type="paragraph" w:customStyle="1" w:styleId="317">
    <w:name w:val="Char5 Char Char"/>
    <w:basedOn w:val="1"/>
    <w:qFormat/>
    <w:uiPriority w:val="0"/>
    <w:pPr>
      <w:ind w:left="567" w:hanging="279"/>
    </w:pPr>
    <w:rPr>
      <w:rFonts w:ascii="Times New Roman" w:hAnsi="Times New Roman" w:eastAsia="宋体" w:cs="Times New Roman"/>
      <w:sz w:val="24"/>
      <w:szCs w:val="24"/>
    </w:rPr>
  </w:style>
  <w:style w:type="paragraph" w:customStyle="1" w:styleId="318">
    <w:name w:val="正文文本缩进 New New"/>
    <w:basedOn w:val="1"/>
    <w:qFormat/>
    <w:uiPriority w:val="0"/>
    <w:pPr>
      <w:spacing w:after="120"/>
      <w:ind w:left="420" w:leftChars="200"/>
    </w:pPr>
    <w:rPr>
      <w:rFonts w:ascii="Times New Roman" w:hAnsi="Times New Roman" w:eastAsia="楷体_GB2312" w:cs="Times New Roman"/>
      <w:szCs w:val="20"/>
    </w:rPr>
  </w:style>
  <w:style w:type="paragraph" w:customStyle="1" w:styleId="319">
    <w:name w:val="_Style 72"/>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0">
    <w:name w:val="msonospacing"/>
    <w:qFormat/>
    <w:uiPriority w:val="0"/>
    <w:rPr>
      <w:rFonts w:ascii="Times New Roman" w:hAnsi="Times New Roman" w:eastAsia="Times New Roman" w:cs="Times New Roman"/>
      <w:kern w:val="2"/>
      <w:sz w:val="22"/>
      <w:lang w:val="en-US" w:eastAsia="zh-CN" w:bidi="ar-SA"/>
    </w:rPr>
  </w:style>
  <w:style w:type="paragraph" w:customStyle="1" w:styleId="321">
    <w:name w:val="正文文本缩进 211"/>
    <w:basedOn w:val="1"/>
    <w:qFormat/>
    <w:uiPriority w:val="0"/>
    <w:pPr>
      <w:suppressAutoHyphens/>
      <w:spacing w:after="120" w:line="480" w:lineRule="auto"/>
      <w:ind w:left="420"/>
    </w:pPr>
    <w:rPr>
      <w:rFonts w:ascii="Times New Roman" w:hAnsi="Times New Roman" w:eastAsia="宋体" w:cs="Times New Roman"/>
      <w:szCs w:val="20"/>
      <w:lang w:eastAsia="ar-SA"/>
    </w:rPr>
  </w:style>
  <w:style w:type="paragraph" w:customStyle="1" w:styleId="322">
    <w:name w:val="Normal_0"/>
    <w:qFormat/>
    <w:uiPriority w:val="0"/>
    <w:rPr>
      <w:rFonts w:ascii="Times New Roman" w:hAnsi="Times New Roman" w:eastAsia="Times New Roman" w:cs="Times New Roman"/>
      <w:sz w:val="24"/>
      <w:szCs w:val="24"/>
      <w:lang w:val="en-US" w:eastAsia="zh-CN" w:bidi="ar-SA"/>
    </w:rPr>
  </w:style>
  <w:style w:type="paragraph" w:customStyle="1" w:styleId="323">
    <w:name w:val="公文标题"/>
    <w:basedOn w:val="4"/>
    <w:qFormat/>
    <w:uiPriority w:val="0"/>
    <w:pPr>
      <w:keepNext/>
      <w:keepLines/>
      <w:widowControl w:val="0"/>
      <w:ind w:left="1469" w:right="1542"/>
    </w:pPr>
    <w:rPr>
      <w:rFonts w:hAnsi="Times New Roman"/>
      <w:b/>
      <w:kern w:val="2"/>
      <w:sz w:val="44"/>
      <w:szCs w:val="21"/>
    </w:rPr>
  </w:style>
  <w:style w:type="paragraph" w:customStyle="1" w:styleId="324">
    <w:name w:val="表格文字居中"/>
    <w:basedOn w:val="1"/>
    <w:next w:val="1"/>
    <w:qFormat/>
    <w:uiPriority w:val="0"/>
    <w:pPr>
      <w:tabs>
        <w:tab w:val="left" w:pos="720"/>
        <w:tab w:val="left" w:pos="900"/>
      </w:tabs>
      <w:adjustRightInd w:val="0"/>
      <w:snapToGrid w:val="0"/>
      <w:spacing w:before="62" w:beforeLines="20" w:after="62" w:afterLines="20" w:line="360" w:lineRule="auto"/>
      <w:jc w:val="center"/>
    </w:pPr>
    <w:rPr>
      <w:rFonts w:ascii="宋体" w:hAnsi="Arial" w:eastAsia="宋体" w:cs="Times New Roman"/>
      <w:kern w:val="0"/>
      <w:sz w:val="18"/>
      <w:szCs w:val="20"/>
    </w:rPr>
  </w:style>
  <w:style w:type="paragraph" w:customStyle="1" w:styleId="325">
    <w:name w:val="Char1 Char Char Char Char Char Char1"/>
    <w:basedOn w:val="1"/>
    <w:qFormat/>
    <w:uiPriority w:val="0"/>
    <w:rPr>
      <w:rFonts w:ascii="Times New Roman" w:hAnsi="Times New Roman" w:eastAsia="宋体" w:cs="Times New Roman"/>
      <w:szCs w:val="20"/>
    </w:rPr>
  </w:style>
  <w:style w:type="paragraph" w:customStyle="1" w:styleId="326">
    <w:name w:val="正文文本 21"/>
    <w:basedOn w:val="1"/>
    <w:qFormat/>
    <w:uiPriority w:val="0"/>
    <w:pPr>
      <w:suppressAutoHyphens/>
    </w:pPr>
    <w:rPr>
      <w:rFonts w:ascii="Times New Roman" w:hAnsi="Times New Roman" w:eastAsia="楷体_GB2312" w:cs="Times New Roman"/>
      <w:b/>
      <w:szCs w:val="20"/>
      <w:lang w:eastAsia="ar-SA"/>
    </w:rPr>
  </w:style>
  <w:style w:type="paragraph" w:customStyle="1" w:styleId="327">
    <w:name w:val="正文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28">
    <w:name w:val="标题 2 New"/>
    <w:basedOn w:val="313"/>
    <w:next w:val="313"/>
    <w:qFormat/>
    <w:uiPriority w:val="0"/>
    <w:pPr>
      <w:keepNext/>
      <w:keepLines/>
      <w:spacing w:before="260" w:after="260" w:line="416" w:lineRule="auto"/>
      <w:outlineLvl w:val="1"/>
    </w:pPr>
    <w:rPr>
      <w:rFonts w:ascii="Arial" w:hAnsi="Arial" w:eastAsia="仿宋_GB2312"/>
      <w:b/>
      <w:bCs/>
      <w:sz w:val="32"/>
    </w:rPr>
  </w:style>
  <w:style w:type="paragraph" w:customStyle="1" w:styleId="329">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0">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31">
    <w:name w:val="正文首行缩进 New"/>
    <w:basedOn w:val="248"/>
    <w:qFormat/>
    <w:uiPriority w:val="0"/>
    <w:pPr>
      <w:ind w:firstLine="420" w:firstLineChars="100"/>
    </w:pPr>
  </w:style>
  <w:style w:type="paragraph" w:customStyle="1" w:styleId="332">
    <w:name w:val="msointensequote"/>
    <w:basedOn w:val="1"/>
    <w:next w:val="1"/>
    <w:qFormat/>
    <w:uiPriority w:val="0"/>
    <w:pPr>
      <w:widowControl/>
      <w:ind w:left="720" w:right="720"/>
      <w:jc w:val="left"/>
    </w:pPr>
    <w:rPr>
      <w:rFonts w:ascii="Times New Roman" w:hAnsi="Times New Roman" w:eastAsia="宋体" w:cs="Times New Roman"/>
      <w:b/>
      <w:i/>
      <w:kern w:val="0"/>
      <w:sz w:val="24"/>
    </w:rPr>
  </w:style>
  <w:style w:type="paragraph" w:customStyle="1" w:styleId="333">
    <w:name w:val="Char1 Char Char Char Char Char Char111"/>
    <w:basedOn w:val="260"/>
    <w:qFormat/>
    <w:uiPriority w:val="0"/>
  </w:style>
  <w:style w:type="paragraph" w:customStyle="1" w:styleId="334">
    <w:name w:val="封一"/>
    <w:basedOn w:val="131"/>
    <w:next w:val="131"/>
    <w:qFormat/>
    <w:uiPriority w:val="0"/>
    <w:pPr>
      <w:ind w:firstLine="0" w:firstLineChars="0"/>
      <w:jc w:val="center"/>
    </w:pPr>
    <w:rPr>
      <w:rFonts w:eastAsia="黑体"/>
      <w:b/>
      <w:sz w:val="84"/>
      <w:szCs w:val="84"/>
    </w:rPr>
  </w:style>
  <w:style w:type="paragraph" w:customStyle="1" w:styleId="335">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6">
    <w:name w:val="页脚 New"/>
    <w:basedOn w:val="337"/>
    <w:qFormat/>
    <w:uiPriority w:val="0"/>
    <w:pPr>
      <w:tabs>
        <w:tab w:val="center" w:pos="4153"/>
        <w:tab w:val="right" w:pos="8306"/>
      </w:tabs>
      <w:snapToGrid w:val="0"/>
      <w:jc w:val="left"/>
    </w:pPr>
    <w:rPr>
      <w:sz w:val="18"/>
    </w:rPr>
  </w:style>
  <w:style w:type="paragraph" w:customStyle="1" w:styleId="337">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8">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39">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Char Char Char Char Char Char1 Char"/>
    <w:basedOn w:val="1"/>
    <w:qFormat/>
    <w:uiPriority w:val="0"/>
    <w:pPr>
      <w:widowControl/>
      <w:spacing w:after="160" w:line="240" w:lineRule="exact"/>
      <w:jc w:val="left"/>
    </w:pPr>
    <w:rPr>
      <w:rFonts w:ascii="Verdana" w:hAnsi="Verdana" w:eastAsia="仿宋_GB2312" w:cs="Times New Roman"/>
      <w:kern w:val="0"/>
      <w:sz w:val="24"/>
      <w:szCs w:val="32"/>
      <w:lang w:eastAsia="en-US"/>
    </w:rPr>
  </w:style>
  <w:style w:type="paragraph" w:customStyle="1" w:styleId="341">
    <w:name w:val="样式4"/>
    <w:basedOn w:val="4"/>
    <w:qFormat/>
    <w:uiPriority w:val="0"/>
    <w:pPr>
      <w:keepNext/>
      <w:keepLines/>
      <w:widowControl w:val="0"/>
      <w:spacing w:before="260" w:after="260" w:line="412" w:lineRule="auto"/>
      <w:jc w:val="both"/>
    </w:pPr>
    <w:rPr>
      <w:rFonts w:ascii="Calibri" w:hAnsi="Calibri" w:eastAsia="Arial"/>
      <w:b/>
      <w:kern w:val="2"/>
      <w:sz w:val="32"/>
      <w:szCs w:val="22"/>
    </w:rPr>
  </w:style>
  <w:style w:type="paragraph" w:customStyle="1" w:styleId="342">
    <w:name w:val="目录 1_0"/>
    <w:basedOn w:val="243"/>
    <w:next w:val="243"/>
    <w:qFormat/>
    <w:uiPriority w:val="0"/>
    <w:pPr>
      <w:tabs>
        <w:tab w:val="right" w:leader="dot" w:pos="8493"/>
      </w:tabs>
      <w:adjustRightInd w:val="0"/>
      <w:spacing w:line="360" w:lineRule="auto"/>
      <w:jc w:val="left"/>
    </w:pPr>
    <w:rPr>
      <w:rFonts w:ascii="宋体" w:hAnsi="宋体"/>
      <w:b/>
      <w:caps/>
      <w:kern w:val="0"/>
      <w:sz w:val="24"/>
      <w:szCs w:val="32"/>
    </w:rPr>
  </w:style>
  <w:style w:type="paragraph" w:customStyle="1" w:styleId="343">
    <w:name w:val="样式8"/>
    <w:basedOn w:val="1"/>
    <w:qFormat/>
    <w:uiPriority w:val="0"/>
    <w:pPr>
      <w:keepNext/>
      <w:keepLines/>
      <w:widowControl/>
      <w:spacing w:before="260" w:after="260"/>
      <w:jc w:val="center"/>
      <w:outlineLvl w:val="1"/>
    </w:pPr>
    <w:rPr>
      <w:rFonts w:ascii="Arial" w:hAnsi="Arial" w:eastAsia="黑体" w:cs="Times New Roman"/>
      <w:b/>
      <w:bCs/>
      <w:kern w:val="0"/>
      <w:sz w:val="72"/>
      <w:szCs w:val="32"/>
    </w:rPr>
  </w:style>
  <w:style w:type="paragraph" w:customStyle="1" w:styleId="344">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5">
    <w:name w:val="正文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6">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347">
    <w:name w:val="Char14"/>
    <w:basedOn w:val="15"/>
    <w:qFormat/>
    <w:uiPriority w:val="0"/>
    <w:rPr>
      <w:rFonts w:ascii="Tahoma" w:hAnsi="Tahoma"/>
      <w:sz w:val="24"/>
      <w:szCs w:val="24"/>
      <w:shd w:val="clear" w:color="auto" w:fill="000080"/>
    </w:rPr>
  </w:style>
  <w:style w:type="paragraph" w:customStyle="1" w:styleId="348">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默认段落字体 Para Char"/>
    <w:basedOn w:val="1"/>
    <w:qFormat/>
    <w:uiPriority w:val="0"/>
    <w:pPr>
      <w:spacing w:line="360" w:lineRule="auto"/>
      <w:jc w:val="left"/>
    </w:pPr>
    <w:rPr>
      <w:rFonts w:ascii="Times New Roman" w:hAnsi="Times New Roman" w:eastAsia="仿宋_GB2312" w:cs="Times New Roman"/>
      <w:b/>
      <w:sz w:val="32"/>
      <w:szCs w:val="24"/>
    </w:rPr>
  </w:style>
  <w:style w:type="paragraph" w:customStyle="1" w:styleId="350">
    <w:name w:val="样式 标题 3 + (中文) 黑体 小四 非加粗 段前: 7.8 磅 段后: 0 磅 行距: 固定值 20 磅"/>
    <w:basedOn w:val="4"/>
    <w:qFormat/>
    <w:uiPriority w:val="0"/>
    <w:pPr>
      <w:keepNext/>
      <w:keepLines/>
      <w:widowControl w:val="0"/>
      <w:spacing w:before="156" w:beforeLines="50" w:line="400" w:lineRule="exact"/>
      <w:jc w:val="both"/>
    </w:pPr>
    <w:rPr>
      <w:rFonts w:ascii="Calibri" w:hAnsi="Calibri" w:eastAsia="黑体"/>
      <w:bCs/>
      <w:kern w:val="2"/>
      <w:szCs w:val="20"/>
    </w:rPr>
  </w:style>
  <w:style w:type="paragraph" w:customStyle="1" w:styleId="351">
    <w:name w:val="标签"/>
    <w:basedOn w:val="1"/>
    <w:qFormat/>
    <w:uiPriority w:val="0"/>
    <w:pPr>
      <w:suppressLineNumbers/>
      <w:suppressAutoHyphens/>
      <w:spacing w:before="120" w:after="120"/>
    </w:pPr>
    <w:rPr>
      <w:rFonts w:ascii="Times New Roman" w:hAnsi="Times New Roman" w:eastAsia="宋体" w:cs="Times New Roman"/>
      <w:i/>
      <w:iCs/>
      <w:sz w:val="24"/>
      <w:szCs w:val="24"/>
      <w:lang w:eastAsia="ar-SA"/>
    </w:rPr>
  </w:style>
  <w:style w:type="paragraph" w:customStyle="1" w:styleId="352">
    <w:name w:val="表头"/>
    <w:basedOn w:val="1"/>
    <w:qFormat/>
    <w:uiPriority w:val="0"/>
    <w:pPr>
      <w:spacing w:line="360" w:lineRule="auto"/>
      <w:jc w:val="center"/>
    </w:pPr>
    <w:rPr>
      <w:rFonts w:ascii="黑体" w:hAnsi="Times New Roman" w:eastAsia="黑体" w:cs="Times New Roman"/>
      <w:kern w:val="0"/>
      <w:sz w:val="24"/>
      <w:szCs w:val="20"/>
    </w:rPr>
  </w:style>
  <w:style w:type="paragraph" w:customStyle="1" w:styleId="35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354">
    <w:name w:val="公文抬头"/>
    <w:basedOn w:val="7"/>
    <w:qFormat/>
    <w:uiPriority w:val="0"/>
    <w:pPr>
      <w:ind w:firstLine="0"/>
    </w:pPr>
    <w:rPr>
      <w:rFonts w:ascii="仿宋_GB2312" w:eastAsia="仿宋_GB2312"/>
      <w:sz w:val="30"/>
      <w:szCs w:val="24"/>
    </w:rPr>
  </w:style>
  <w:style w:type="paragraph" w:customStyle="1" w:styleId="355">
    <w:name w:val="页脚 New New New"/>
    <w:basedOn w:val="344"/>
    <w:qFormat/>
    <w:uiPriority w:val="0"/>
    <w:pPr>
      <w:tabs>
        <w:tab w:val="center" w:pos="4153"/>
        <w:tab w:val="right" w:pos="8306"/>
      </w:tabs>
      <w:snapToGrid w:val="0"/>
      <w:jc w:val="left"/>
    </w:pPr>
    <w:rPr>
      <w:sz w:val="18"/>
      <w:szCs w:val="18"/>
    </w:rPr>
  </w:style>
  <w:style w:type="paragraph" w:customStyle="1" w:styleId="356">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
    <w:name w:val="纯文本11"/>
    <w:basedOn w:val="1"/>
    <w:qFormat/>
    <w:uiPriority w:val="0"/>
    <w:pPr>
      <w:suppressAutoHyphens/>
    </w:pPr>
    <w:rPr>
      <w:rFonts w:ascii="宋体" w:hAnsi="宋体" w:eastAsia="宋体" w:cs="Times New Roman"/>
      <w:szCs w:val="20"/>
      <w:lang w:eastAsia="ar-SA"/>
    </w:rPr>
  </w:style>
  <w:style w:type="paragraph" w:customStyle="1" w:styleId="358">
    <w:name w:val="普通(网站)2"/>
    <w:basedOn w:val="1"/>
    <w:qFormat/>
    <w:uiPriority w:val="0"/>
    <w:pPr>
      <w:widowControl/>
      <w:spacing w:line="500" w:lineRule="exact"/>
      <w:ind w:firstLine="510"/>
    </w:pPr>
    <w:rPr>
      <w:rFonts w:ascii="仿宋_GB2312" w:hAnsi="宋体" w:eastAsia="仿宋_GB2312" w:cs="Times New Roman"/>
      <w:color w:val="000000"/>
      <w:spacing w:val="-10"/>
      <w:kern w:val="0"/>
      <w:szCs w:val="20"/>
    </w:rPr>
  </w:style>
  <w:style w:type="paragraph" w:customStyle="1" w:styleId="359">
    <w:name w:val="页眉 New"/>
    <w:basedOn w:val="337"/>
    <w:qFormat/>
    <w:uiPriority w:val="0"/>
    <w:pPr>
      <w:pBdr>
        <w:bottom w:val="single" w:color="auto" w:sz="6" w:space="1"/>
      </w:pBdr>
      <w:tabs>
        <w:tab w:val="center" w:pos="4153"/>
        <w:tab w:val="right" w:pos="8306"/>
      </w:tabs>
      <w:snapToGrid w:val="0"/>
      <w:jc w:val="center"/>
    </w:pPr>
    <w:rPr>
      <w:sz w:val="18"/>
    </w:rPr>
  </w:style>
  <w:style w:type="paragraph" w:customStyle="1" w:styleId="360">
    <w:name w:val="正文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61">
    <w:name w:val="文二"/>
    <w:basedOn w:val="1"/>
    <w:qFormat/>
    <w:uiPriority w:val="0"/>
    <w:pPr>
      <w:jc w:val="left"/>
    </w:pPr>
    <w:rPr>
      <w:rFonts w:ascii="宋体" w:hAnsi="宋体" w:eastAsia="宋体" w:cs="Times New Roman"/>
      <w:szCs w:val="21"/>
    </w:rPr>
  </w:style>
  <w:style w:type="paragraph" w:customStyle="1" w:styleId="362">
    <w:name w:val="Char1"/>
    <w:basedOn w:val="1"/>
    <w:qFormat/>
    <w:uiPriority w:val="0"/>
    <w:pPr>
      <w:ind w:left="567" w:hanging="279"/>
    </w:pPr>
    <w:rPr>
      <w:rFonts w:ascii="Times New Roman" w:hAnsi="Times New Roman" w:eastAsia="宋体" w:cs="Times New Roman"/>
      <w:sz w:val="24"/>
      <w:szCs w:val="24"/>
    </w:rPr>
  </w:style>
  <w:style w:type="paragraph" w:customStyle="1" w:styleId="363">
    <w:name w:val="Char Char Char Char Char Char Char Char Char Char Char Char Char"/>
    <w:basedOn w:val="15"/>
    <w:qFormat/>
    <w:uiPriority w:val="0"/>
    <w:rPr>
      <w:rFonts w:ascii="Tahoma" w:hAnsi="Tahoma"/>
      <w:sz w:val="24"/>
      <w:szCs w:val="24"/>
      <w:shd w:val="clear" w:color="auto" w:fill="000080"/>
    </w:rPr>
  </w:style>
  <w:style w:type="paragraph" w:customStyle="1" w:styleId="364">
    <w:name w:val="_Style 25"/>
    <w:basedOn w:val="1"/>
    <w:next w:val="1"/>
    <w:qFormat/>
    <w:uiPriority w:val="0"/>
    <w:rPr>
      <w:rFonts w:ascii="Times New Roman" w:hAnsi="Times New Roman" w:eastAsia="宋体" w:cs="Times New Roman"/>
    </w:rPr>
  </w:style>
  <w:style w:type="paragraph" w:customStyle="1" w:styleId="365">
    <w:name w:val="正文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66">
    <w:name w:val="样式 正文缩进正文（首行缩进两字）特点ALT+Z表正文正文非缩进四号段1Normal Indent Char2...4"/>
    <w:basedOn w:val="19"/>
    <w:qFormat/>
    <w:uiPriority w:val="0"/>
    <w:pPr>
      <w:tabs>
        <w:tab w:val="left" w:pos="510"/>
        <w:tab w:val="left" w:pos="2520"/>
      </w:tabs>
      <w:spacing w:line="300" w:lineRule="auto"/>
      <w:ind w:left="2520" w:hanging="420"/>
    </w:pPr>
    <w:rPr>
      <w:rFonts w:ascii="Calibri" w:hAnsi="宋体"/>
      <w:sz w:val="24"/>
      <w:szCs w:val="22"/>
    </w:rPr>
  </w:style>
  <w:style w:type="paragraph" w:customStyle="1" w:styleId="367">
    <w:name w:val="ÕýÎÄ"/>
    <w:qFormat/>
    <w:uiPriority w:val="0"/>
    <w:pPr>
      <w:widowControl w:val="0"/>
      <w:overflowPunct w:val="0"/>
      <w:autoSpaceDE w:val="0"/>
      <w:autoSpaceDN w:val="0"/>
      <w:adjustRightInd w:val="0"/>
      <w:spacing w:line="357" w:lineRule="atLeast"/>
      <w:jc w:val="both"/>
    </w:pPr>
    <w:rPr>
      <w:rFonts w:ascii="Times New Roman" w:hAnsi="Times New Roman" w:eastAsia="宋体" w:cs="Times New Roman"/>
      <w:color w:val="000000"/>
      <w:sz w:val="21"/>
      <w:lang w:val="en-US" w:eastAsia="zh-CN" w:bidi="ar-SA"/>
    </w:rPr>
  </w:style>
  <w:style w:type="paragraph" w:customStyle="1" w:styleId="368">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0"/>
    </w:rPr>
  </w:style>
  <w:style w:type="paragraph" w:customStyle="1" w:styleId="369">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70">
    <w:name w:val="msoquote"/>
    <w:basedOn w:val="1"/>
    <w:next w:val="1"/>
    <w:qFormat/>
    <w:uiPriority w:val="0"/>
    <w:pPr>
      <w:widowControl/>
      <w:jc w:val="left"/>
    </w:pPr>
    <w:rPr>
      <w:rFonts w:ascii="Times New Roman" w:hAnsi="Times New Roman" w:eastAsia="宋体" w:cs="Times New Roman"/>
      <w:i/>
      <w:kern w:val="0"/>
      <w:sz w:val="24"/>
    </w:rPr>
  </w:style>
  <w:style w:type="paragraph" w:customStyle="1" w:styleId="371">
    <w:name w:val="样式 正文缩进正文（首行缩进两字）特点ALT+Z表正文正文非缩进四号段1Normal Indent Char2..."/>
    <w:basedOn w:val="3"/>
    <w:next w:val="4"/>
    <w:qFormat/>
    <w:uiPriority w:val="0"/>
    <w:pPr>
      <w:tabs>
        <w:tab w:val="left" w:pos="840"/>
      </w:tabs>
      <w:spacing w:before="240" w:line="400" w:lineRule="exact"/>
      <w:ind w:left="840" w:hanging="420"/>
    </w:pPr>
    <w:rPr>
      <w:rFonts w:hint="eastAsia" w:eastAsia="黑体"/>
      <w:b w:val="0"/>
      <w:color w:val="auto"/>
      <w:szCs w:val="20"/>
    </w:rPr>
  </w:style>
  <w:style w:type="character" w:customStyle="1" w:styleId="372">
    <w:name w:val="文一 Char"/>
    <w:qFormat/>
    <w:uiPriority w:val="0"/>
    <w:rPr>
      <w:spacing w:val="4"/>
      <w:sz w:val="24"/>
      <w:szCs w:val="24"/>
    </w:rPr>
  </w:style>
  <w:style w:type="paragraph" w:customStyle="1" w:styleId="373">
    <w:name w:val="_Style 366"/>
    <w:basedOn w:val="18"/>
    <w:next w:val="48"/>
    <w:qFormat/>
    <w:uiPriority w:val="0"/>
    <w:pPr>
      <w:ind w:firstLine="420"/>
    </w:pPr>
  </w:style>
  <w:style w:type="paragraph" w:customStyle="1" w:styleId="374">
    <w:name w:val="样式 小四 行距: 1.5 倍行距"/>
    <w:basedOn w:val="1"/>
    <w:qFormat/>
    <w:uiPriority w:val="0"/>
    <w:pPr>
      <w:ind w:firstLine="480"/>
    </w:pPr>
    <w:rPr>
      <w:rFonts w:ascii="Times New Roman" w:hAnsi="Times New Roman" w:eastAsia="宋体" w:cs="宋体"/>
    </w:rPr>
  </w:style>
  <w:style w:type="character" w:customStyle="1" w:styleId="375">
    <w:name w:val="正文首行缩进 字符1"/>
    <w:qFormat/>
    <w:uiPriority w:val="0"/>
  </w:style>
  <w:style w:type="table" w:customStyle="1" w:styleId="376">
    <w:name w:val="网格型1"/>
    <w:basedOn w:val="5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7">
    <w:name w:val="Normal Indent1"/>
    <w:basedOn w:val="1"/>
    <w:qFormat/>
    <w:uiPriority w:val="0"/>
    <w:pPr>
      <w:ind w:firstLine="420" w:firstLineChars="200"/>
    </w:pPr>
    <w:rPr>
      <w:rFonts w:ascii="Times New Roman" w:hAnsi="Times New Roman" w:eastAsia="宋体" w:cs="Times New Roman"/>
      <w:sz w:val="30"/>
      <w:szCs w:val="24"/>
    </w:rPr>
  </w:style>
  <w:style w:type="character" w:customStyle="1" w:styleId="378">
    <w:name w:val="正文文本首行缩进 字符"/>
    <w:qFormat/>
    <w:uiPriority w:val="0"/>
    <w:rPr>
      <w:rFonts w:ascii="Calibri" w:hAnsi="Calibri" w:eastAsia="宋体" w:cs="Times New Roman"/>
      <w:kern w:val="2"/>
      <w:sz w:val="30"/>
      <w:szCs w:val="24"/>
    </w:rPr>
  </w:style>
  <w:style w:type="character" w:customStyle="1" w:styleId="379">
    <w:name w:val="页码11"/>
    <w:basedOn w:val="52"/>
    <w:qFormat/>
    <w:uiPriority w:val="0"/>
  </w:style>
  <w:style w:type="paragraph" w:customStyle="1" w:styleId="380">
    <w:name w:val="_Style 46"/>
    <w:qFormat/>
    <w:uiPriority w:val="0"/>
    <w:rPr>
      <w:rFonts w:ascii="Times New Roman" w:hAnsi="Times New Roman" w:eastAsia="宋体" w:cs="Times New Roman"/>
      <w:kern w:val="2"/>
      <w:sz w:val="30"/>
      <w:szCs w:val="24"/>
      <w:lang w:val="en-US" w:eastAsia="zh-CN" w:bidi="ar-SA"/>
    </w:rPr>
  </w:style>
  <w:style w:type="paragraph" w:customStyle="1" w:styleId="381">
    <w:name w:val="正文首行缩进11"/>
    <w:basedOn w:val="18"/>
    <w:qFormat/>
    <w:uiPriority w:val="0"/>
    <w:pPr>
      <w:spacing w:after="0"/>
      <w:ind w:firstLine="420" w:firstLineChars="100"/>
    </w:pPr>
    <w:rPr>
      <w:kern w:val="2"/>
      <w:sz w:val="30"/>
      <w:szCs w:val="24"/>
    </w:rPr>
  </w:style>
  <w:style w:type="paragraph" w:customStyle="1" w:styleId="382">
    <w:name w:val="正文文本缩进11"/>
    <w:basedOn w:val="1"/>
    <w:qFormat/>
    <w:uiPriority w:val="0"/>
    <w:pPr>
      <w:ind w:firstLine="480"/>
    </w:pPr>
    <w:rPr>
      <w:rFonts w:ascii="Times New Roman" w:hAnsi="Times New Roman" w:eastAsia="宋体" w:cs="Times New Roman"/>
      <w:sz w:val="24"/>
      <w:szCs w:val="20"/>
    </w:rPr>
  </w:style>
  <w:style w:type="paragraph" w:customStyle="1" w:styleId="383">
    <w:name w:val="Char1 Char Char Char Char Char Char11"/>
    <w:basedOn w:val="1"/>
    <w:qFormat/>
    <w:uiPriority w:val="0"/>
    <w:rPr>
      <w:rFonts w:ascii="Times New Roman" w:hAnsi="Times New Roman" w:eastAsia="宋体" w:cs="Times New Roman"/>
      <w:sz w:val="30"/>
      <w:szCs w:val="24"/>
    </w:rPr>
  </w:style>
  <w:style w:type="paragraph" w:customStyle="1" w:styleId="384">
    <w:name w:val="页脚 New New New New New New New New New New New New New New New New New New New New"/>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385">
    <w:name w:val="null3"/>
    <w:qFormat/>
    <w:uiPriority w:val="0"/>
    <w:rPr>
      <w:rFonts w:hint="eastAsia" w:ascii="Calibri" w:hAnsi="Calibri" w:eastAsia="宋体" w:cs="Times New Roman"/>
      <w:lang w:val="en-US" w:eastAsia="zh-Hans" w:bidi="ar-SA"/>
    </w:rPr>
  </w:style>
  <w:style w:type="character" w:customStyle="1" w:styleId="386">
    <w:name w:val="title24"/>
    <w:basedOn w:val="52"/>
    <w:qFormat/>
    <w:uiPriority w:val="0"/>
  </w:style>
  <w:style w:type="character" w:customStyle="1" w:styleId="387">
    <w:name w:val="username"/>
    <w:basedOn w:val="52"/>
    <w:qFormat/>
    <w:uiPriority w:val="0"/>
  </w:style>
  <w:style w:type="paragraph" w:customStyle="1" w:styleId="388">
    <w:name w:val="_Style 3"/>
    <w:basedOn w:val="1"/>
    <w:qFormat/>
    <w:uiPriority w:val="0"/>
    <w:pPr>
      <w:spacing w:line="360" w:lineRule="auto"/>
      <w:jc w:val="center"/>
    </w:pPr>
    <w:rPr>
      <w:rFonts w:ascii="Calibri" w:hAnsi="Calibri" w:eastAsia="宋体" w:cs="Times New Roman"/>
      <w:szCs w:val="20"/>
    </w:rPr>
  </w:style>
  <w:style w:type="paragraph" w:customStyle="1" w:styleId="389">
    <w:name w:val="修订2"/>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390">
    <w:name w:val="网格型3"/>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91">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2.emf"/><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216</Pages>
  <Words>535</Words>
  <Characters>569</Characters>
  <DocSecurity>0</DocSecurity>
  <Lines>167</Lines>
  <Paragraphs>337</Paragraphs>
  <ScaleCrop>false</ScaleCrop>
  <LinksUpToDate>false</LinksUpToDate>
  <CharactersWithSpaces>627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2026-03-20T08:56:00Z</cp:lastPrinted>
  <dcterms:created xsi:type="dcterms:W3CDTF">2025-07-01T02:09:00Z</dcterms:created>
  <dcterms:modified xsi:type="dcterms:W3CDTF">2026-03-20T10:44:27Z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E9F2DF7F610B41AB9229D8DF90C6F97E_13</vt:lpwstr>
  </property>
  <property fmtid="{D5CDD505-2E9C-101B-9397-08002B2CF9AE}" pid="4" name="KSOTemplateDocerSaveRecord">
    <vt:lpwstr>eyJoZGlkIjoiOTM4Mzc5NjE1NWI2M2E4ODc4Mjk5MDcxYjVmYTM5MzYiLCJ1c2VySWQiOiIxNjAxMzk4MzU5In0=</vt:lpwstr>
  </property>
</Properties>
</file>