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adjustRightInd w:val="0"/>
        <w:snapToGrid w:val="0"/>
        <w:spacing w:line="360" w:lineRule="auto"/>
        <w:jc w:val="center"/>
        <w:rPr>
          <w:rFonts w:ascii="Times New Roman" w:hAnsi="黑体" w:eastAsia="黑体"/>
          <w:sz w:val="44"/>
          <w:szCs w:val="28"/>
          <w:lang w:val="zh-CN"/>
        </w:rPr>
      </w:pPr>
    </w:p>
    <w:p>
      <w:pPr>
        <w:pStyle w:val="10"/>
        <w:adjustRightInd w:val="0"/>
        <w:snapToGrid w:val="0"/>
        <w:spacing w:line="360" w:lineRule="auto"/>
        <w:jc w:val="center"/>
        <w:rPr>
          <w:rFonts w:ascii="Times New Roman" w:hAnsi="黑体" w:eastAsia="黑体"/>
          <w:sz w:val="44"/>
          <w:szCs w:val="28"/>
          <w:lang w:val="zh-CN"/>
        </w:rPr>
      </w:pPr>
    </w:p>
    <w:p>
      <w:pPr>
        <w:pStyle w:val="10"/>
        <w:adjustRightInd w:val="0"/>
        <w:snapToGrid w:val="0"/>
        <w:spacing w:line="360" w:lineRule="auto"/>
        <w:jc w:val="center"/>
        <w:rPr>
          <w:rFonts w:ascii="Times New Roman" w:hAnsi="黑体" w:eastAsia="黑体"/>
          <w:sz w:val="44"/>
          <w:szCs w:val="28"/>
          <w:lang w:val="zh-CN"/>
        </w:rPr>
      </w:pPr>
    </w:p>
    <w:p>
      <w:pPr>
        <w:pStyle w:val="10"/>
        <w:adjustRightInd w:val="0"/>
        <w:snapToGrid w:val="0"/>
        <w:spacing w:line="360" w:lineRule="auto"/>
        <w:jc w:val="center"/>
        <w:rPr>
          <w:rFonts w:ascii="Times New Roman" w:eastAsia="黑体"/>
          <w:sz w:val="44"/>
          <w:szCs w:val="28"/>
          <w:lang w:val="zh-CN"/>
        </w:rPr>
      </w:pPr>
      <w:r>
        <w:rPr>
          <w:rFonts w:hint="eastAsia" w:ascii="Times New Roman" w:hAnsi="黑体" w:eastAsia="黑体"/>
          <w:sz w:val="44"/>
          <w:szCs w:val="28"/>
          <w:lang w:val="zh-CN"/>
        </w:rPr>
        <w:t>国家电网有限公司2024年配网柱上断路器物资采购第</w:t>
      </w:r>
      <w:r>
        <w:rPr>
          <w:rFonts w:hint="eastAsia" w:ascii="Times New Roman" w:hAnsi="黑体" w:eastAsia="黑体"/>
          <w:sz w:val="44"/>
          <w:szCs w:val="28"/>
          <w:lang w:val="en-US" w:eastAsia="zh-CN"/>
        </w:rPr>
        <w:t>二</w:t>
      </w:r>
      <w:r>
        <w:rPr>
          <w:rFonts w:hint="eastAsia" w:ascii="Times New Roman" w:hAnsi="黑体" w:eastAsia="黑体"/>
          <w:sz w:val="44"/>
          <w:szCs w:val="28"/>
          <w:lang w:val="zh-CN"/>
        </w:rPr>
        <w:t>次补充联合资格预审</w:t>
      </w:r>
    </w:p>
    <w:p>
      <w:pPr>
        <w:spacing w:line="920" w:lineRule="exact"/>
        <w:rPr>
          <w:sz w:val="20"/>
          <w:szCs w:val="20"/>
        </w:rPr>
      </w:pPr>
    </w:p>
    <w:p>
      <w:pPr>
        <w:spacing w:line="920" w:lineRule="exact"/>
        <w:rPr>
          <w:sz w:val="20"/>
          <w:szCs w:val="20"/>
        </w:rPr>
      </w:pPr>
    </w:p>
    <w:p>
      <w:pPr>
        <w:spacing w:line="920" w:lineRule="exact"/>
        <w:jc w:val="center"/>
        <w:rPr>
          <w:rFonts w:hint="eastAsia" w:eastAsia="黑体"/>
          <w:sz w:val="72"/>
          <w:szCs w:val="72"/>
          <w:lang w:val="en-US" w:eastAsia="zh-CN"/>
        </w:rPr>
      </w:pPr>
      <w:r>
        <w:rPr>
          <w:rFonts w:eastAsia="黑体"/>
          <w:sz w:val="72"/>
          <w:szCs w:val="72"/>
        </w:rPr>
        <w:t>资格预审</w:t>
      </w:r>
      <w:r>
        <w:rPr>
          <w:rFonts w:hint="eastAsia" w:eastAsia="黑体"/>
          <w:sz w:val="72"/>
          <w:szCs w:val="72"/>
          <w:lang w:val="en-US" w:eastAsia="zh-CN"/>
        </w:rPr>
        <w:t>公告</w:t>
      </w:r>
    </w:p>
    <w:p>
      <w:pPr>
        <w:spacing w:line="920" w:lineRule="exact"/>
        <w:rPr>
          <w:sz w:val="20"/>
          <w:szCs w:val="20"/>
        </w:rPr>
      </w:pPr>
    </w:p>
    <w:p>
      <w:pPr>
        <w:spacing w:line="440" w:lineRule="exact"/>
        <w:rPr>
          <w:sz w:val="20"/>
          <w:szCs w:val="20"/>
        </w:rPr>
      </w:pPr>
    </w:p>
    <w:p>
      <w:pPr>
        <w:spacing w:line="440" w:lineRule="exact"/>
        <w:rPr>
          <w:sz w:val="20"/>
          <w:szCs w:val="20"/>
        </w:rPr>
      </w:pPr>
    </w:p>
    <w:p>
      <w:pPr>
        <w:spacing w:line="440" w:lineRule="exact"/>
        <w:rPr>
          <w:sz w:val="20"/>
          <w:szCs w:val="20"/>
        </w:rPr>
      </w:pPr>
    </w:p>
    <w:p>
      <w:pPr>
        <w:spacing w:line="440" w:lineRule="exact"/>
        <w:rPr>
          <w:sz w:val="20"/>
          <w:szCs w:val="20"/>
        </w:rPr>
      </w:pPr>
    </w:p>
    <w:p>
      <w:pPr>
        <w:spacing w:line="440" w:lineRule="exact"/>
        <w:rPr>
          <w:sz w:val="20"/>
          <w:szCs w:val="20"/>
        </w:rPr>
      </w:pPr>
    </w:p>
    <w:p>
      <w:pPr>
        <w:spacing w:line="440" w:lineRule="exact"/>
        <w:rPr>
          <w:sz w:val="20"/>
          <w:szCs w:val="20"/>
        </w:rPr>
      </w:pPr>
    </w:p>
    <w:p>
      <w:pPr>
        <w:spacing w:line="440" w:lineRule="exact"/>
        <w:rPr>
          <w:sz w:val="20"/>
          <w:szCs w:val="20"/>
        </w:rPr>
      </w:pPr>
    </w:p>
    <w:p>
      <w:pPr>
        <w:spacing w:line="440" w:lineRule="exact"/>
        <w:rPr>
          <w:sz w:val="20"/>
          <w:szCs w:val="20"/>
        </w:rPr>
      </w:pPr>
    </w:p>
    <w:p>
      <w:pPr>
        <w:spacing w:line="440" w:lineRule="exact"/>
        <w:rPr>
          <w:sz w:val="20"/>
          <w:szCs w:val="20"/>
        </w:rPr>
      </w:pPr>
    </w:p>
    <w:p>
      <w:pPr>
        <w:spacing w:line="440" w:lineRule="exact"/>
        <w:rPr>
          <w:sz w:val="20"/>
          <w:szCs w:val="20"/>
        </w:rPr>
      </w:pPr>
    </w:p>
    <w:p>
      <w:pPr>
        <w:spacing w:line="600" w:lineRule="exact"/>
        <w:jc w:val="center"/>
        <w:rPr>
          <w:rFonts w:ascii="黑体" w:hAnsi="黑体" w:eastAsia="黑体"/>
          <w:sz w:val="28"/>
          <w:szCs w:val="28"/>
          <w:u w:val="single"/>
        </w:rPr>
      </w:pPr>
      <w:r>
        <w:rPr>
          <w:rFonts w:ascii="黑体" w:hAnsi="黑体" w:eastAsia="黑体"/>
          <w:sz w:val="28"/>
          <w:szCs w:val="28"/>
        </w:rPr>
        <w:t>招标人：国家电网</w:t>
      </w:r>
      <w:r>
        <w:rPr>
          <w:rFonts w:hint="eastAsia" w:ascii="黑体" w:hAnsi="黑体" w:eastAsia="黑体"/>
          <w:sz w:val="28"/>
          <w:szCs w:val="28"/>
        </w:rPr>
        <w:t>有限</w:t>
      </w:r>
      <w:r>
        <w:rPr>
          <w:rFonts w:ascii="黑体" w:hAnsi="黑体" w:eastAsia="黑体"/>
          <w:sz w:val="28"/>
          <w:szCs w:val="28"/>
        </w:rPr>
        <w:t>公司</w:t>
      </w:r>
      <w:r>
        <w:rPr>
          <w:rFonts w:hint="eastAsia" w:ascii="黑体" w:hAnsi="黑体" w:eastAsia="黑体"/>
          <w:sz w:val="28"/>
          <w:szCs w:val="28"/>
        </w:rPr>
        <w:t>所属各省（市、自治区）公司</w:t>
      </w:r>
    </w:p>
    <w:p>
      <w:pPr>
        <w:spacing w:line="600" w:lineRule="exact"/>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招标代理机构：国网</w:t>
      </w:r>
      <w:r>
        <w:rPr>
          <w:rFonts w:hint="eastAsia" w:ascii="Times New Roman" w:hAnsi="Times New Roman" w:eastAsia="黑体" w:cs="Times New Roman"/>
          <w:sz w:val="28"/>
          <w:szCs w:val="28"/>
          <w:lang w:val="en-US" w:eastAsia="zh-CN"/>
        </w:rPr>
        <w:t>辽宁</w:t>
      </w:r>
      <w:r>
        <w:rPr>
          <w:rFonts w:hint="default" w:ascii="Times New Roman" w:hAnsi="Times New Roman" w:eastAsia="黑体" w:cs="Times New Roman"/>
          <w:sz w:val="28"/>
          <w:szCs w:val="28"/>
        </w:rPr>
        <w:t>招标有限公司</w:t>
      </w:r>
    </w:p>
    <w:p>
      <w:pPr>
        <w:spacing w:line="600" w:lineRule="exact"/>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202</w:t>
      </w:r>
      <w:r>
        <w:rPr>
          <w:rFonts w:hint="eastAsia" w:ascii="Times New Roman" w:hAnsi="Times New Roman" w:eastAsia="黑体" w:cs="Times New Roman"/>
          <w:sz w:val="28"/>
          <w:szCs w:val="28"/>
          <w:lang w:val="en-US" w:eastAsia="zh-CN"/>
        </w:rPr>
        <w:t>5</w:t>
      </w:r>
      <w:r>
        <w:rPr>
          <w:rFonts w:hint="default" w:ascii="Times New Roman" w:hAnsi="Times New Roman" w:eastAsia="黑体" w:cs="Times New Roman"/>
          <w:sz w:val="28"/>
          <w:szCs w:val="28"/>
        </w:rPr>
        <w:t>年</w:t>
      </w:r>
      <w:r>
        <w:rPr>
          <w:rFonts w:hint="eastAsia" w:ascii="Times New Roman" w:hAnsi="Times New Roman" w:eastAsia="黑体" w:cs="Times New Roman"/>
          <w:sz w:val="28"/>
          <w:szCs w:val="28"/>
          <w:lang w:val="en-US" w:eastAsia="zh-CN"/>
        </w:rPr>
        <w:t>7</w:t>
      </w:r>
      <w:r>
        <w:rPr>
          <w:rFonts w:hint="default" w:ascii="Times New Roman" w:hAnsi="Times New Roman" w:eastAsia="黑体" w:cs="Times New Roman"/>
          <w:sz w:val="28"/>
          <w:szCs w:val="28"/>
        </w:rPr>
        <w:t>月</w:t>
      </w:r>
      <w:r>
        <w:rPr>
          <w:rFonts w:hint="eastAsia" w:ascii="Times New Roman" w:hAnsi="Times New Roman" w:eastAsia="黑体" w:cs="Times New Roman"/>
          <w:sz w:val="28"/>
          <w:szCs w:val="28"/>
          <w:lang w:val="en-US" w:eastAsia="zh-CN"/>
        </w:rPr>
        <w:t>4</w:t>
      </w:r>
      <w:r>
        <w:rPr>
          <w:rFonts w:hint="default" w:ascii="Times New Roman" w:hAnsi="Times New Roman" w:eastAsia="黑体" w:cs="Times New Roman"/>
          <w:sz w:val="28"/>
          <w:szCs w:val="28"/>
        </w:rPr>
        <w:t>日</w:t>
      </w:r>
    </w:p>
    <w:p>
      <w:pPr>
        <w:jc w:val="center"/>
        <w:rPr>
          <w:rFonts w:ascii="黑体" w:eastAsia="黑体"/>
          <w:color w:val="000000" w:themeColor="text1"/>
          <w:sz w:val="30"/>
          <w:szCs w:val="32"/>
          <w:highlight w:val="none"/>
          <w14:textFill>
            <w14:solidFill>
              <w14:schemeClr w14:val="tx1"/>
            </w14:solidFill>
          </w14:textFill>
        </w:rPr>
        <w:sectPr>
          <w:headerReference r:id="rId5" w:type="first"/>
          <w:footerReference r:id="rId8" w:type="first"/>
          <w:headerReference r:id="rId3" w:type="default"/>
          <w:footerReference r:id="rId6" w:type="default"/>
          <w:headerReference r:id="rId4" w:type="even"/>
          <w:footerReference r:id="rId7" w:type="even"/>
          <w:pgSz w:w="11850" w:h="16783"/>
          <w:pgMar w:top="1134" w:right="1803" w:bottom="1134" w:left="1803" w:header="0" w:footer="841" w:gutter="0"/>
          <w:pgNumType w:start="0"/>
          <w:cols w:space="720" w:num="1"/>
          <w:titlePg/>
          <w:docGrid w:linePitch="286" w:charSpace="0"/>
        </w:sectPr>
      </w:pPr>
    </w:p>
    <w:p>
      <w:pPr>
        <w:adjustRightInd w:val="0"/>
        <w:snapToGrid w:val="0"/>
        <w:jc w:val="center"/>
        <w:outlineLvl w:val="0"/>
        <w:rPr>
          <w:rFonts w:ascii="Arial" w:hAnsi="Arial" w:eastAsia="黑体" w:cs="Arial"/>
          <w:sz w:val="36"/>
          <w:szCs w:val="36"/>
          <w:highlight w:val="none"/>
        </w:rPr>
      </w:pPr>
      <w:bookmarkStart w:id="0" w:name="_Toc27520_WPSOffice_Level1"/>
      <w:r>
        <w:rPr>
          <w:rFonts w:ascii="Arial" w:hAnsi="Arial" w:eastAsia="黑体" w:cs="Arial"/>
          <w:sz w:val="36"/>
          <w:szCs w:val="36"/>
          <w:highlight w:val="none"/>
        </w:rPr>
        <w:t>第一章 资格预审公告</w:t>
      </w:r>
      <w:bookmarkEnd w:id="0"/>
    </w:p>
    <w:p>
      <w:pPr>
        <w:adjustRightInd w:val="0"/>
        <w:snapToGrid w:val="0"/>
        <w:jc w:val="center"/>
        <w:rPr>
          <w:rFonts w:ascii="Arial" w:hAnsi="Arial" w:eastAsia="黑体" w:cs="Arial"/>
          <w:sz w:val="32"/>
          <w:szCs w:val="32"/>
          <w:highlight w:val="none"/>
        </w:rPr>
      </w:pPr>
    </w:p>
    <w:p>
      <w:pPr>
        <w:adjustRightInd w:val="0"/>
        <w:snapToGrid w:val="0"/>
        <w:jc w:val="cente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国家电网有限公司2024年配网柱上断路器物资采购第</w:t>
      </w:r>
      <w:r>
        <w:rPr>
          <w:rFonts w:hint="eastAsia" w:ascii="Times New Roman" w:hAnsi="Times New Roman" w:eastAsia="黑体" w:cs="Times New Roman"/>
          <w:sz w:val="32"/>
          <w:szCs w:val="32"/>
          <w:highlight w:val="none"/>
          <w:lang w:val="en-US" w:eastAsia="zh-CN"/>
        </w:rPr>
        <w:t>二</w:t>
      </w:r>
      <w:r>
        <w:rPr>
          <w:rFonts w:hint="default" w:ascii="Times New Roman" w:hAnsi="Times New Roman" w:eastAsia="黑体" w:cs="Times New Roman"/>
          <w:sz w:val="32"/>
          <w:szCs w:val="32"/>
          <w:highlight w:val="none"/>
        </w:rPr>
        <w:t>次补充联合资格预审</w:t>
      </w:r>
    </w:p>
    <w:p>
      <w:pPr>
        <w:snapToGrid w:val="0"/>
        <w:jc w:val="cente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b/>
          <w:highlight w:val="none"/>
        </w:rPr>
        <w:t>项目编号：GWXY-ZGYS-240</w:t>
      </w:r>
      <w:r>
        <w:rPr>
          <w:rFonts w:hint="eastAsia" w:ascii="Times New Roman" w:hAnsi="Times New Roman" w:eastAsia="宋体" w:cs="Times New Roman"/>
          <w:b/>
          <w:highlight w:val="none"/>
          <w:lang w:val="en-US" w:eastAsia="zh-CN"/>
        </w:rPr>
        <w:t>3</w:t>
      </w:r>
      <w:r>
        <w:rPr>
          <w:rFonts w:hint="default" w:ascii="Times New Roman" w:hAnsi="Times New Roman" w:eastAsia="宋体" w:cs="Times New Roman"/>
          <w:b/>
          <w:highlight w:val="none"/>
        </w:rPr>
        <w:t>-</w:t>
      </w:r>
      <w:r>
        <w:rPr>
          <w:rFonts w:hint="eastAsia" w:ascii="Times New Roman" w:hAnsi="Times New Roman" w:eastAsia="宋体" w:cs="Times New Roman"/>
          <w:b/>
          <w:highlight w:val="none"/>
          <w:lang w:val="en-US" w:eastAsia="zh-CN"/>
        </w:rPr>
        <w:t>DLQ</w:t>
      </w:r>
    </w:p>
    <w:p>
      <w:pPr>
        <w:adjustRightInd w:val="0"/>
        <w:snapToGrid w:val="0"/>
        <w:spacing w:before="312" w:beforeLines="100" w:after="156" w:afterLines="50" w:line="400" w:lineRule="exact"/>
        <w:outlineLvl w:val="1"/>
        <w:rPr>
          <w:rFonts w:ascii="黑体" w:hAnsi="黑体" w:eastAsia="黑体" w:cs="黑体"/>
          <w:b/>
          <w:bCs/>
          <w:sz w:val="24"/>
          <w:szCs w:val="24"/>
          <w:highlight w:val="none"/>
        </w:rPr>
      </w:pPr>
      <w:bookmarkStart w:id="1" w:name="_Toc504385825"/>
      <w:r>
        <w:rPr>
          <w:rFonts w:ascii="黑体" w:hAnsi="黑体" w:eastAsia="黑体" w:cs="黑体"/>
          <w:b/>
          <w:bCs/>
          <w:sz w:val="24"/>
          <w:szCs w:val="24"/>
          <w:highlight w:val="none"/>
        </w:rPr>
        <w:t>1.</w:t>
      </w:r>
      <w:r>
        <w:rPr>
          <w:rFonts w:hint="eastAsia" w:ascii="黑体" w:hAnsi="黑体" w:eastAsia="黑体" w:cs="黑体"/>
          <w:b/>
          <w:bCs/>
          <w:sz w:val="24"/>
          <w:szCs w:val="24"/>
          <w:highlight w:val="none"/>
        </w:rPr>
        <w:t>招标条件</w:t>
      </w:r>
      <w:bookmarkEnd w:id="1"/>
    </w:p>
    <w:p>
      <w:pPr>
        <w:widowControl/>
        <w:adjustRightInd w:val="0"/>
        <w:snapToGrid w:val="0"/>
        <w:spacing w:line="400" w:lineRule="exact"/>
        <w:ind w:firstLine="420" w:firstLineChars="200"/>
        <w:rPr>
          <w:rFonts w:hint="default" w:ascii="Times New Roman" w:hAnsi="Times New Roman" w:eastAsia="宋体" w:cs="Times New Roman"/>
          <w:szCs w:val="21"/>
          <w:highlight w:val="none"/>
        </w:rPr>
      </w:pPr>
      <w:r>
        <w:rPr>
          <w:rFonts w:hint="eastAsia" w:ascii="宋体" w:hAnsi="宋体" w:eastAsia="宋体" w:cs="宋体"/>
          <w:color w:val="000000" w:themeColor="text1"/>
          <w:sz w:val="21"/>
          <w:szCs w:val="21"/>
          <w:highlight w:val="none"/>
          <w:lang w:eastAsia="zh-CN"/>
          <w14:textFill>
            <w14:solidFill>
              <w14:schemeClr w14:val="tx1"/>
            </w14:solidFill>
          </w14:textFill>
        </w:rPr>
        <w:t>项目建设单位为国家电网有限公司所属各省（市、自治区）公司（见附表1）（以下简称“项目单位”）</w:t>
      </w:r>
      <w:r>
        <w:rPr>
          <w:rFonts w:hint="eastAsia" w:ascii="宋体" w:hAnsi="宋体" w:eastAsia="宋体" w:cs="宋体"/>
          <w:szCs w:val="21"/>
          <w:highlight w:val="none"/>
        </w:rPr>
        <w:t>，项目资金来自自有资金，并委托</w:t>
      </w:r>
      <w:r>
        <w:rPr>
          <w:rFonts w:hint="default" w:ascii="Times New Roman" w:hAnsi="Times New Roman" w:cs="Times New Roman"/>
          <w:highlight w:val="none"/>
        </w:rPr>
        <w:t>国网</w:t>
      </w:r>
      <w:r>
        <w:rPr>
          <w:rFonts w:hint="eastAsia" w:ascii="Times New Roman" w:hAnsi="Times New Roman" w:cs="Times New Roman"/>
          <w:highlight w:val="none"/>
          <w:lang w:val="en-US" w:eastAsia="zh-CN"/>
        </w:rPr>
        <w:t>辽宁</w:t>
      </w:r>
      <w:r>
        <w:rPr>
          <w:rFonts w:hint="default" w:ascii="Times New Roman" w:hAnsi="Times New Roman" w:cs="Times New Roman"/>
          <w:highlight w:val="none"/>
        </w:rPr>
        <w:t>招标有限公司</w:t>
      </w:r>
      <w:r>
        <w:rPr>
          <w:rFonts w:hint="default" w:ascii="Times New Roman" w:hAnsi="Times New Roman" w:eastAsia="宋体" w:cs="Times New Roman"/>
          <w:szCs w:val="21"/>
          <w:highlight w:val="none"/>
        </w:rPr>
        <w:t>为招标代理机构。</w:t>
      </w:r>
    </w:p>
    <w:p>
      <w:pPr>
        <w:widowControl/>
        <w:adjustRightInd w:val="0"/>
        <w:snapToGrid w:val="0"/>
        <w:spacing w:line="400" w:lineRule="exact"/>
        <w:ind w:firstLine="420" w:firstLineChars="200"/>
        <w:rPr>
          <w:rFonts w:hint="eastAsia" w:ascii="宋体" w:hAnsi="宋体" w:eastAsia="宋体" w:cs="宋体"/>
          <w:szCs w:val="21"/>
          <w:highlight w:val="none"/>
        </w:rPr>
      </w:pPr>
      <w:r>
        <w:rPr>
          <w:rFonts w:hint="default" w:ascii="Times New Roman" w:hAnsi="Times New Roman" w:eastAsia="宋体" w:cs="Times New Roman"/>
          <w:color w:val="auto"/>
          <w:szCs w:val="21"/>
          <w:highlight w:val="none"/>
        </w:rPr>
        <w:t>本次资格预审项目的结果有效期为</w:t>
      </w:r>
      <w:r>
        <w:rPr>
          <w:rFonts w:hint="default" w:ascii="Times New Roman" w:hAnsi="Times New Roman" w:cs="Times New Roman"/>
        </w:rPr>
        <w:t>2025年1月1日至2025年12月31日</w:t>
      </w:r>
      <w:r>
        <w:rPr>
          <w:rFonts w:hint="default" w:ascii="Times New Roman" w:hAnsi="Times New Roman" w:eastAsia="宋体" w:cs="Times New Roman"/>
          <w:szCs w:val="21"/>
          <w:highlight w:val="none"/>
        </w:rPr>
        <w:t>。在此期间，</w:t>
      </w:r>
      <w:r>
        <w:rPr>
          <w:rFonts w:hint="default" w:ascii="Times New Roman" w:hAnsi="Times New Roman" w:eastAsia="宋体" w:cs="Times New Roman"/>
          <w:b/>
          <w:bCs/>
          <w:highlight w:val="none"/>
          <w:lang w:val="en-US" w:eastAsia="zh-CN"/>
        </w:rPr>
        <w:t>项目单位</w:t>
      </w:r>
      <w:r>
        <w:rPr>
          <w:rFonts w:hint="default" w:ascii="Times New Roman" w:hAnsi="Times New Roman" w:cs="Times New Roman"/>
          <w:b/>
          <w:bCs/>
          <w:highlight w:val="none"/>
          <w:lang w:val="en-US" w:eastAsia="zh-CN"/>
        </w:rPr>
        <w:t>及其所属单位相应</w:t>
      </w:r>
      <w:r>
        <w:rPr>
          <w:rFonts w:hint="default" w:ascii="Times New Roman" w:hAnsi="Times New Roman" w:cs="Times New Roman"/>
          <w:b/>
          <w:bCs/>
          <w:highlight w:val="none"/>
          <w:lang w:eastAsia="zh-CN"/>
        </w:rPr>
        <w:t>物资采购</w:t>
      </w:r>
      <w:r>
        <w:rPr>
          <w:rFonts w:hint="default" w:ascii="Times New Roman" w:hAnsi="Times New Roman" w:eastAsia="宋体" w:cs="Times New Roman"/>
          <w:szCs w:val="21"/>
          <w:highlight w:val="none"/>
        </w:rPr>
        <w:t>相应分标/相关</w:t>
      </w:r>
      <w:r>
        <w:rPr>
          <w:rFonts w:hint="eastAsia" w:ascii="宋体" w:hAnsi="宋体" w:eastAsia="宋体" w:cs="宋体"/>
          <w:szCs w:val="21"/>
          <w:highlight w:val="none"/>
        </w:rPr>
        <w:t>项目仅接受资格预审合格的申请人参加投标。</w:t>
      </w:r>
    </w:p>
    <w:p>
      <w:pPr>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在此，特邀请有意愿的潜在申请人（以下简称申请人）提出资格预审申请。</w:t>
      </w:r>
    </w:p>
    <w:p>
      <w:pPr>
        <w:pStyle w:val="8"/>
        <w:ind w:firstLine="422"/>
      </w:pPr>
      <w:r>
        <w:rPr>
          <w:rFonts w:hint="eastAsia"/>
          <w:b/>
          <w:highlight w:val="none"/>
        </w:rPr>
        <w:t>本次资格预审仅接受未参加或未通过“国家电网有限公司2024年配网柱上断路器物资采购联合资格预审</w:t>
      </w:r>
      <w:r>
        <w:rPr>
          <w:rFonts w:hint="eastAsia"/>
          <w:b/>
          <w:highlight w:val="none"/>
          <w:lang w:eastAsia="zh-CN"/>
        </w:rPr>
        <w:t>（</w:t>
      </w:r>
      <w:r>
        <w:rPr>
          <w:rFonts w:hint="eastAsia"/>
          <w:b/>
          <w:highlight w:val="none"/>
          <w:lang w:val="en-US" w:eastAsia="zh-CN"/>
        </w:rPr>
        <w:t>含第一次补充资格预审</w:t>
      </w:r>
      <w:r>
        <w:rPr>
          <w:rFonts w:hint="eastAsia"/>
          <w:b/>
          <w:highlight w:val="none"/>
          <w:lang w:eastAsia="zh-CN"/>
        </w:rPr>
        <w:t>）</w:t>
      </w:r>
      <w:r>
        <w:rPr>
          <w:rFonts w:hint="eastAsia"/>
          <w:b/>
          <w:highlight w:val="none"/>
        </w:rPr>
        <w:t>”（</w:t>
      </w:r>
      <w:r>
        <w:rPr>
          <w:rFonts w:hint="eastAsia"/>
          <w:b/>
          <w:highlight w:val="none"/>
          <w:lang w:val="en-US" w:eastAsia="zh-CN"/>
        </w:rPr>
        <w:t>辽宁</w:t>
      </w:r>
      <w:r>
        <w:rPr>
          <w:rFonts w:hint="eastAsia"/>
          <w:b/>
          <w:highlight w:val="none"/>
        </w:rPr>
        <w:t>公司202</w:t>
      </w:r>
      <w:r>
        <w:rPr>
          <w:rFonts w:hint="eastAsia"/>
          <w:b/>
          <w:highlight w:val="none"/>
          <w:lang w:val="en-US" w:eastAsia="zh-CN"/>
        </w:rPr>
        <w:t>4</w:t>
      </w:r>
      <w:r>
        <w:rPr>
          <w:rFonts w:hint="eastAsia"/>
          <w:b/>
          <w:highlight w:val="none"/>
        </w:rPr>
        <w:t>年</w:t>
      </w:r>
      <w:r>
        <w:rPr>
          <w:rFonts w:hint="eastAsia"/>
          <w:b/>
          <w:highlight w:val="none"/>
          <w:lang w:val="en-US" w:eastAsia="zh-CN"/>
        </w:rPr>
        <w:t>11</w:t>
      </w:r>
      <w:r>
        <w:rPr>
          <w:rFonts w:hint="eastAsia"/>
          <w:b/>
          <w:highlight w:val="none"/>
        </w:rPr>
        <w:t>月</w:t>
      </w:r>
      <w:r>
        <w:rPr>
          <w:rFonts w:hint="eastAsia"/>
          <w:b/>
          <w:highlight w:val="none"/>
          <w:lang w:val="en-US" w:eastAsia="zh-CN"/>
        </w:rPr>
        <w:t>12</w:t>
      </w:r>
      <w:r>
        <w:rPr>
          <w:rFonts w:hint="eastAsia"/>
          <w:b/>
          <w:highlight w:val="none"/>
        </w:rPr>
        <w:t>日</w:t>
      </w:r>
      <w:r>
        <w:rPr>
          <w:rFonts w:hint="eastAsia"/>
          <w:b/>
          <w:highlight w:val="none"/>
          <w:lang w:eastAsia="zh-CN"/>
        </w:rPr>
        <w:t>、</w:t>
      </w:r>
      <w:r>
        <w:rPr>
          <w:rFonts w:hint="eastAsia"/>
          <w:b/>
          <w:highlight w:val="none"/>
          <w:lang w:val="en-US" w:eastAsia="zh-CN"/>
        </w:rPr>
        <w:t>2024年12月12日</w:t>
      </w:r>
      <w:r>
        <w:rPr>
          <w:rFonts w:hint="eastAsia"/>
          <w:b/>
          <w:highlight w:val="none"/>
        </w:rPr>
        <w:t>发布预审公告）相应标段的潜在申请人报名，</w:t>
      </w:r>
      <w:r>
        <w:rPr>
          <w:rFonts w:hint="eastAsia"/>
          <w:b/>
          <w:color w:val="FF0000"/>
          <w:highlight w:val="none"/>
        </w:rPr>
        <w:t>已通过联合资格预审相应标段的申请人无需报名</w:t>
      </w:r>
      <w:r>
        <w:rPr>
          <w:rFonts w:hint="eastAsia"/>
          <w:b/>
          <w:highlight w:val="none"/>
        </w:rPr>
        <w:t>。</w:t>
      </w:r>
    </w:p>
    <w:p>
      <w:pPr>
        <w:adjustRightInd w:val="0"/>
        <w:snapToGrid w:val="0"/>
        <w:spacing w:before="312" w:beforeLines="100" w:after="156" w:afterLines="50" w:line="400" w:lineRule="exact"/>
        <w:outlineLvl w:val="1"/>
        <w:rPr>
          <w:rFonts w:ascii="黑体" w:hAnsi="黑体" w:eastAsia="黑体" w:cs="黑体"/>
          <w:b/>
          <w:bCs/>
          <w:sz w:val="24"/>
          <w:szCs w:val="24"/>
          <w:highlight w:val="none"/>
        </w:rPr>
      </w:pPr>
      <w:bookmarkStart w:id="2" w:name="_Toc504385826"/>
      <w:r>
        <w:rPr>
          <w:rFonts w:ascii="黑体" w:hAnsi="黑体" w:eastAsia="黑体" w:cs="黑体"/>
          <w:b/>
          <w:bCs/>
          <w:sz w:val="24"/>
          <w:szCs w:val="24"/>
          <w:highlight w:val="none"/>
        </w:rPr>
        <w:t>2.</w:t>
      </w:r>
      <w:r>
        <w:rPr>
          <w:rFonts w:hint="eastAsia" w:ascii="黑体" w:hAnsi="黑体" w:eastAsia="黑体" w:cs="黑体"/>
          <w:b/>
          <w:bCs/>
          <w:sz w:val="24"/>
          <w:szCs w:val="24"/>
          <w:highlight w:val="none"/>
        </w:rPr>
        <w:t>项目与招标范围</w:t>
      </w:r>
      <w:bookmarkEnd w:id="2"/>
    </w:p>
    <w:p>
      <w:pPr>
        <w:adjustRightInd w:val="0"/>
        <w:snapToGrid w:val="0"/>
        <w:spacing w:before="156" w:beforeLines="50" w:after="156" w:afterLines="50" w:line="400" w:lineRule="exact"/>
        <w:rPr>
          <w:rFonts w:ascii="黑体" w:hAnsi="黑体" w:eastAsia="黑体" w:cs="黑体"/>
          <w:b/>
          <w:szCs w:val="21"/>
          <w:highlight w:val="none"/>
        </w:rPr>
      </w:pPr>
      <w:r>
        <w:rPr>
          <w:rFonts w:ascii="黑体" w:hAnsi="黑体" w:eastAsia="黑体" w:cs="黑体"/>
          <w:b/>
          <w:szCs w:val="21"/>
          <w:highlight w:val="none"/>
        </w:rPr>
        <w:t>2.1</w:t>
      </w:r>
      <w:r>
        <w:rPr>
          <w:rFonts w:hint="eastAsia" w:ascii="黑体" w:hAnsi="黑体" w:eastAsia="黑体" w:cs="黑体"/>
          <w:b/>
          <w:szCs w:val="21"/>
          <w:highlight w:val="none"/>
        </w:rPr>
        <w:t>资格预审的物资类别</w:t>
      </w:r>
      <w:bookmarkStart w:id="3" w:name="_Toc504385827"/>
      <w:bookmarkStart w:id="4" w:name="_Toc152047193"/>
      <w:bookmarkStart w:id="5" w:name="_Toc408358703"/>
      <w:bookmarkStart w:id="6" w:name="_Toc144974396"/>
    </w:p>
    <w:tbl>
      <w:tblPr>
        <w:tblStyle w:val="13"/>
        <w:tblW w:w="8522" w:type="dxa"/>
        <w:jc w:val="center"/>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250"/>
        <w:gridCol w:w="3862"/>
        <w:gridCol w:w="1630"/>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780" w:type="dxa"/>
            <w:vAlign w:val="center"/>
          </w:tcPr>
          <w:p>
            <w:pPr>
              <w:widowControl/>
              <w:adjustRightInd w:val="0"/>
              <w:snapToGrid w:val="0"/>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2250" w:type="dxa"/>
            <w:vAlign w:val="center"/>
          </w:tcPr>
          <w:p>
            <w:pPr>
              <w:widowControl/>
              <w:adjustRightInd w:val="0"/>
              <w:snapToGrid w:val="0"/>
              <w:jc w:val="center"/>
              <w:rPr>
                <w:rFonts w:ascii="宋体" w:hAnsi="宋体" w:cs="宋体"/>
                <w:b/>
                <w:bCs/>
                <w:color w:val="000000"/>
                <w:kern w:val="0"/>
                <w:szCs w:val="21"/>
              </w:rPr>
            </w:pPr>
            <w:r>
              <w:rPr>
                <w:rFonts w:hint="eastAsia" w:ascii="宋体" w:hAnsi="宋体" w:cs="宋体"/>
                <w:b/>
                <w:bCs/>
                <w:color w:val="000000"/>
                <w:kern w:val="0"/>
                <w:szCs w:val="21"/>
              </w:rPr>
              <w:t>物资类别</w:t>
            </w:r>
          </w:p>
        </w:tc>
        <w:tc>
          <w:tcPr>
            <w:tcW w:w="3862" w:type="dxa"/>
            <w:vAlign w:val="center"/>
          </w:tcPr>
          <w:p>
            <w:pPr>
              <w:widowControl/>
              <w:adjustRightInd w:val="0"/>
              <w:snapToGrid w:val="0"/>
              <w:jc w:val="center"/>
              <w:rPr>
                <w:rFonts w:ascii="宋体" w:hAnsi="宋体" w:cs="宋体"/>
                <w:b/>
                <w:bCs/>
                <w:color w:val="000000"/>
                <w:kern w:val="0"/>
                <w:szCs w:val="21"/>
              </w:rPr>
            </w:pPr>
            <w:r>
              <w:rPr>
                <w:rFonts w:hint="eastAsia" w:ascii="宋体" w:hAnsi="宋体" w:cs="宋体"/>
                <w:b/>
                <w:bCs/>
                <w:color w:val="000000"/>
                <w:kern w:val="0"/>
                <w:szCs w:val="21"/>
              </w:rPr>
              <w:t>预审标段</w:t>
            </w:r>
          </w:p>
        </w:tc>
        <w:tc>
          <w:tcPr>
            <w:tcW w:w="1630" w:type="dxa"/>
            <w:vAlign w:val="center"/>
          </w:tcPr>
          <w:p>
            <w:pPr>
              <w:widowControl/>
              <w:adjustRightInd w:val="0"/>
              <w:snapToGrid w:val="0"/>
              <w:jc w:val="center"/>
              <w:rPr>
                <w:rFonts w:ascii="宋体" w:hAnsi="宋体" w:cs="宋体"/>
                <w:b/>
                <w:bCs/>
                <w:color w:val="000000"/>
                <w:kern w:val="0"/>
                <w:szCs w:val="21"/>
              </w:rPr>
            </w:pPr>
            <w:r>
              <w:rPr>
                <w:rFonts w:hint="eastAsia" w:ascii="宋体" w:hAnsi="宋体" w:cs="宋体"/>
                <w:b/>
                <w:bCs/>
                <w:color w:val="000000"/>
                <w:kern w:val="0"/>
                <w:szCs w:val="21"/>
                <w:highlight w:val="none"/>
              </w:rPr>
              <w:t>对应ECP2.0平台标段</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780" w:type="dxa"/>
            <w:vAlign w:val="center"/>
          </w:tcPr>
          <w:p>
            <w:pPr>
              <w:widowControl/>
              <w:adjustRightInd w:val="0"/>
              <w:snapToGrid w:val="0"/>
              <w:jc w:val="center"/>
              <w:rPr>
                <w:rFonts w:ascii="宋体" w:hAnsi="宋体" w:cs="宋体"/>
                <w:color w:val="000000"/>
                <w:kern w:val="0"/>
                <w:szCs w:val="21"/>
              </w:rPr>
            </w:pPr>
            <w:r>
              <w:rPr>
                <w:rFonts w:hint="eastAsia" w:ascii="宋体" w:hAnsi="宋体" w:cs="宋体"/>
                <w:color w:val="000000"/>
                <w:kern w:val="0"/>
                <w:szCs w:val="21"/>
                <w:highlight w:val="none"/>
                <w:lang w:val="en-US" w:eastAsia="zh-CN"/>
              </w:rPr>
              <w:t>1</w:t>
            </w:r>
          </w:p>
        </w:tc>
        <w:tc>
          <w:tcPr>
            <w:tcW w:w="2250" w:type="dxa"/>
            <w:vMerge w:val="restart"/>
            <w:vAlign w:val="center"/>
          </w:tcPr>
          <w:p>
            <w:pPr>
              <w:widowControl/>
              <w:adjustRightInd w:val="0"/>
              <w:snapToGrid w:val="0"/>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w:t>
            </w:r>
          </w:p>
        </w:tc>
        <w:tc>
          <w:tcPr>
            <w:tcW w:w="3862" w:type="dxa"/>
            <w:vAlign w:val="center"/>
          </w:tcPr>
          <w:p>
            <w:pPr>
              <w:widowControl/>
              <w:adjustRightInd w:val="0"/>
              <w:snapToGrid w:val="0"/>
              <w:spacing w:line="240" w:lineRule="exact"/>
              <w:jc w:val="center"/>
              <w:rPr>
                <w:rFonts w:hAnsi="宋体"/>
                <w:szCs w:val="20"/>
              </w:rPr>
            </w:pPr>
            <w:r>
              <w:rPr>
                <w:rFonts w:hint="eastAsia" w:ascii="宋体" w:hAnsi="宋体" w:cs="宋体"/>
                <w:color w:val="000000"/>
                <w:kern w:val="0"/>
                <w:sz w:val="18"/>
                <w:szCs w:val="18"/>
                <w:highlight w:val="none"/>
              </w:rPr>
              <w:t>10kV柱上断路器（空气绝缘）,优质</w:t>
            </w:r>
          </w:p>
        </w:tc>
        <w:tc>
          <w:tcPr>
            <w:tcW w:w="1630" w:type="dxa"/>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lang w:val="zh-CN"/>
              </w:rPr>
              <w:t>10kV柱上断路器空气绝缘优质</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780" w:type="dxa"/>
            <w:vAlign w:val="center"/>
          </w:tcPr>
          <w:p>
            <w:pPr>
              <w:widowControl/>
              <w:adjustRightInd w:val="0"/>
              <w:snapToGrid w:val="0"/>
              <w:jc w:val="center"/>
              <w:rPr>
                <w:rFonts w:ascii="宋体" w:hAnsi="宋体" w:cs="宋体"/>
                <w:color w:val="000000"/>
                <w:kern w:val="0"/>
                <w:szCs w:val="21"/>
              </w:rPr>
            </w:pPr>
            <w:r>
              <w:rPr>
                <w:rFonts w:hint="eastAsia" w:ascii="宋体" w:hAnsi="宋体" w:cs="宋体"/>
                <w:color w:val="000000"/>
                <w:kern w:val="0"/>
                <w:szCs w:val="21"/>
                <w:highlight w:val="none"/>
                <w:lang w:val="en-US" w:eastAsia="zh-CN"/>
              </w:rPr>
              <w:t>2</w:t>
            </w:r>
          </w:p>
        </w:tc>
        <w:tc>
          <w:tcPr>
            <w:tcW w:w="2250" w:type="dxa"/>
            <w:vMerge w:val="continue"/>
            <w:vAlign w:val="center"/>
          </w:tcPr>
          <w:p>
            <w:pPr>
              <w:widowControl/>
              <w:adjustRightInd w:val="0"/>
              <w:snapToGrid w:val="0"/>
              <w:jc w:val="center"/>
              <w:rPr>
                <w:rFonts w:ascii="宋体" w:hAnsi="宋体" w:cs="宋体"/>
                <w:color w:val="000000"/>
                <w:kern w:val="0"/>
                <w:szCs w:val="21"/>
              </w:rPr>
            </w:pPr>
          </w:p>
        </w:tc>
        <w:tc>
          <w:tcPr>
            <w:tcW w:w="3862" w:type="dxa"/>
            <w:vAlign w:val="center"/>
          </w:tcPr>
          <w:p>
            <w:pPr>
              <w:widowControl/>
              <w:adjustRightInd w:val="0"/>
              <w:snapToGrid w:val="0"/>
              <w:spacing w:line="240" w:lineRule="exact"/>
              <w:jc w:val="center"/>
              <w:rPr>
                <w:rFonts w:hAnsi="宋体"/>
                <w:szCs w:val="20"/>
              </w:rPr>
            </w:pPr>
            <w:r>
              <w:rPr>
                <w:rFonts w:hint="eastAsia" w:ascii="宋体" w:hAnsi="宋体" w:cs="宋体"/>
                <w:color w:val="000000"/>
                <w:kern w:val="0"/>
                <w:sz w:val="18"/>
                <w:szCs w:val="18"/>
                <w:highlight w:val="none"/>
              </w:rPr>
              <w:t>10kV柱上断路器（空气绝缘）</w:t>
            </w:r>
          </w:p>
        </w:tc>
        <w:tc>
          <w:tcPr>
            <w:tcW w:w="1630" w:type="dxa"/>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lang w:val="zh-CN"/>
              </w:rPr>
              <w:t>10kV柱上断路器空气绝缘</w:t>
            </w:r>
          </w:p>
        </w:tc>
      </w:tr>
    </w:tbl>
    <w:p>
      <w:pPr>
        <w:adjustRightInd w:val="0"/>
        <w:snapToGrid w:val="0"/>
        <w:rPr>
          <w:b/>
          <w:szCs w:val="21"/>
        </w:rPr>
      </w:pPr>
      <w:bookmarkStart w:id="7" w:name="_Toc444166079"/>
      <w:r>
        <w:rPr>
          <w:b/>
          <w:szCs w:val="21"/>
        </w:rPr>
        <w:t>2.2</w:t>
      </w:r>
      <w:r>
        <w:rPr>
          <w:rFonts w:hAnsi="宋体"/>
          <w:b/>
          <w:szCs w:val="21"/>
        </w:rPr>
        <w:t>采用资格预审的货物</w:t>
      </w:r>
      <w:bookmarkEnd w:id="7"/>
      <w:r>
        <w:rPr>
          <w:rFonts w:hAnsi="宋体"/>
          <w:b/>
          <w:szCs w:val="21"/>
        </w:rPr>
        <w:t>清单</w:t>
      </w:r>
    </w:p>
    <w:tbl>
      <w:tblPr>
        <w:tblStyle w:val="13"/>
        <w:tblW w:w="8537" w:type="dxa"/>
        <w:tblInd w:w="-113" w:type="dxa"/>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
      <w:tblGrid>
        <w:gridCol w:w="775"/>
        <w:gridCol w:w="2287"/>
        <w:gridCol w:w="3850"/>
        <w:gridCol w:w="1625"/>
      </w:tblGrid>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blHeader/>
        </w:trPr>
        <w:tc>
          <w:tcPr>
            <w:tcW w:w="775" w:type="dxa"/>
            <w:vAlign w:val="center"/>
          </w:tcPr>
          <w:p>
            <w:pPr>
              <w:widowControl/>
              <w:adjustRightInd w:val="0"/>
              <w:snapToGrid w:val="0"/>
              <w:jc w:val="center"/>
              <w:rPr>
                <w:rFonts w:ascii="宋体" w:hAnsi="宋体" w:cs="宋体"/>
                <w:b/>
                <w:bCs/>
                <w:color w:val="000000"/>
                <w:kern w:val="0"/>
                <w:szCs w:val="21"/>
              </w:rPr>
            </w:pPr>
            <w:r>
              <w:rPr>
                <w:rFonts w:hint="eastAsia" w:ascii="宋体" w:hAnsi="宋体" w:cs="宋体"/>
                <w:b/>
                <w:bCs/>
                <w:color w:val="000000"/>
                <w:kern w:val="0"/>
                <w:szCs w:val="21"/>
              </w:rPr>
              <w:t>序号</w:t>
            </w:r>
          </w:p>
        </w:tc>
        <w:tc>
          <w:tcPr>
            <w:tcW w:w="2287" w:type="dxa"/>
            <w:vAlign w:val="center"/>
          </w:tcPr>
          <w:p>
            <w:pPr>
              <w:widowControl/>
              <w:adjustRightInd w:val="0"/>
              <w:snapToGrid w:val="0"/>
              <w:jc w:val="center"/>
              <w:rPr>
                <w:rFonts w:ascii="宋体" w:hAnsi="宋体" w:cs="宋体"/>
                <w:b/>
                <w:bCs/>
                <w:color w:val="000000"/>
                <w:kern w:val="0"/>
                <w:szCs w:val="21"/>
              </w:rPr>
            </w:pPr>
            <w:r>
              <w:rPr>
                <w:rFonts w:hint="eastAsia" w:ascii="宋体" w:hAnsi="宋体" w:cs="宋体"/>
                <w:b/>
                <w:bCs/>
                <w:color w:val="000000"/>
                <w:kern w:val="0"/>
                <w:szCs w:val="21"/>
              </w:rPr>
              <w:t>预审标段</w:t>
            </w:r>
          </w:p>
        </w:tc>
        <w:tc>
          <w:tcPr>
            <w:tcW w:w="3850" w:type="dxa"/>
            <w:vAlign w:val="center"/>
          </w:tcPr>
          <w:p>
            <w:pPr>
              <w:widowControl/>
              <w:adjustRightInd w:val="0"/>
              <w:snapToGrid w:val="0"/>
              <w:jc w:val="center"/>
              <w:rPr>
                <w:rFonts w:ascii="宋体" w:hAnsi="宋体" w:cs="宋体"/>
                <w:b/>
                <w:bCs/>
                <w:color w:val="000000"/>
                <w:kern w:val="0"/>
                <w:szCs w:val="21"/>
              </w:rPr>
            </w:pPr>
            <w:r>
              <w:rPr>
                <w:rFonts w:hint="eastAsia" w:ascii="宋体" w:hAnsi="宋体" w:cs="宋体"/>
                <w:b/>
                <w:bCs/>
                <w:color w:val="000000"/>
                <w:kern w:val="0"/>
                <w:szCs w:val="21"/>
              </w:rPr>
              <w:t>物料描述</w:t>
            </w:r>
          </w:p>
        </w:tc>
        <w:tc>
          <w:tcPr>
            <w:tcW w:w="1625" w:type="dxa"/>
            <w:vAlign w:val="center"/>
          </w:tcPr>
          <w:p>
            <w:pPr>
              <w:widowControl/>
              <w:adjustRightInd w:val="0"/>
              <w:snapToGrid w:val="0"/>
              <w:jc w:val="center"/>
              <w:rPr>
                <w:rFonts w:ascii="宋体" w:hAnsi="宋体" w:cs="宋体"/>
                <w:b/>
                <w:bCs/>
                <w:color w:val="000000"/>
                <w:kern w:val="0"/>
                <w:szCs w:val="21"/>
              </w:rPr>
            </w:pPr>
            <w:r>
              <w:rPr>
                <w:rFonts w:hint="eastAsia" w:ascii="Times New Roman" w:hAnsi="宋体"/>
                <w:b/>
                <w:bCs/>
                <w:kern w:val="0"/>
                <w:szCs w:val="21"/>
                <w:highlight w:val="none"/>
              </w:rPr>
              <w:t>扩展描述</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w:t>
            </w:r>
          </w:p>
        </w:tc>
        <w:tc>
          <w:tcPr>
            <w:tcW w:w="2287"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10kV柱上断路器（空气绝缘）,优质</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柱上断路器,AC10kV,630A,20kA,真空,无隔离闸刀,用户分界</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配网，空气绝缘,电动,永磁,共箱式，A类</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2</w:t>
            </w:r>
          </w:p>
        </w:tc>
        <w:tc>
          <w:tcPr>
            <w:tcW w:w="2287"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10kV柱上断路器（空气绝缘）,优质</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柱上断路器,AC10kV,630A,20kA,真空,无隔离闸刀,用户分界</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配网，空气绝缘,电动,弹簧,共箱式，A类</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3</w:t>
            </w:r>
          </w:p>
        </w:tc>
        <w:tc>
          <w:tcPr>
            <w:tcW w:w="2287"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10kV柱上断路器（空气绝缘）,优质</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柱上断路器,AC10kV,630A,20kA,真空,有隔离闸刀,用户分界</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配网，空气绝缘,电动,永磁,共箱式，A类</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4</w:t>
            </w:r>
          </w:p>
        </w:tc>
        <w:tc>
          <w:tcPr>
            <w:tcW w:w="2287"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10kV柱上断路器（空气绝缘）,优质</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柱上断路器,AC10kV,630A,20kA,真空,有隔离闸刀,用户分界</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配网，空气绝缘,电动,弹簧,共箱式，A类</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5</w:t>
            </w:r>
          </w:p>
        </w:tc>
        <w:tc>
          <w:tcPr>
            <w:tcW w:w="2287"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10kV柱上断路器（空气绝缘）,优质</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柱上断路器,AC10kV,630A,20kA,真空,无隔离闸刀,户外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配网，空气绝缘,电动,永磁,支柱式，A类</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6</w:t>
            </w:r>
          </w:p>
        </w:tc>
        <w:tc>
          <w:tcPr>
            <w:tcW w:w="2287"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10kV柱上断路器（空气绝缘）,优质</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柱上断路器,AC10kV,630A,20kA,真空,无隔离闸刀,户外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配网，空气绝缘,电动,永磁,共箱式，A类</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7</w:t>
            </w:r>
          </w:p>
        </w:tc>
        <w:tc>
          <w:tcPr>
            <w:tcW w:w="2287"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10kV柱上断路器（空气绝缘）,优质</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柱上断路器,AC10kV,630A,20kA,真空,无隔离闸刀,户外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配网，空气绝缘,手动,弹簧,支柱式，A类</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8</w:t>
            </w:r>
          </w:p>
        </w:tc>
        <w:tc>
          <w:tcPr>
            <w:tcW w:w="2287"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10kV柱上断路器（空气绝缘）,优质</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柱上断路器,AC10kV,630A,20kA,真空,无隔离闸刀,户外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配网，空气绝缘,手动,弹簧,共箱式，A类</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9</w:t>
            </w:r>
          </w:p>
        </w:tc>
        <w:tc>
          <w:tcPr>
            <w:tcW w:w="2287"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10kV柱上断路器（空气绝缘）,优质</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柱上断路器,AC10kV,630A,20kA,真空,无隔离闸刀,户外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配网，空气绝缘,电动,弹簧,支柱式，A类</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w:t>
            </w:r>
          </w:p>
        </w:tc>
        <w:tc>
          <w:tcPr>
            <w:tcW w:w="2287"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10kV柱上断路器（空气绝缘）,优质</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柱上断路器,AC10kV,630A,20kA,真空,无隔离闸刀,户外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配网，空气绝缘,电动,弹簧,共箱式，A类</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11</w:t>
            </w:r>
          </w:p>
        </w:tc>
        <w:tc>
          <w:tcPr>
            <w:tcW w:w="2287"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10kV柱上断路器（空气绝缘）,优质</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柱上断路器,AC10kV,630A,20kA,真空,有隔离闸刀,户外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配网，空气绝缘,电动,永磁,支柱式，A类</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12</w:t>
            </w:r>
          </w:p>
        </w:tc>
        <w:tc>
          <w:tcPr>
            <w:tcW w:w="2287"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10kV柱上断路器（空气绝缘）,优质</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柱上断路器,AC10kV,630A,20kA,真空,有隔离闸刀,户外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配网，空气绝缘,电动,永磁,共箱式，A类</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13</w:t>
            </w:r>
          </w:p>
        </w:tc>
        <w:tc>
          <w:tcPr>
            <w:tcW w:w="2287"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10kV柱上断路器（空气绝缘）,优质</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柱上断路器,AC10kV,630A,20kA,真空,有隔离闸刀,户外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配网，空气绝缘,手动,弹簧,支柱式，A类</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14</w:t>
            </w:r>
          </w:p>
        </w:tc>
        <w:tc>
          <w:tcPr>
            <w:tcW w:w="2287"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10kV柱上断路器（空气绝缘）,优质</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柱上断路器,AC10kV,630A,20kA,真空,有隔离闸刀,户外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配网，空气绝缘,手动,弹簧,共箱式，A类</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15</w:t>
            </w:r>
          </w:p>
        </w:tc>
        <w:tc>
          <w:tcPr>
            <w:tcW w:w="2287"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10kV柱上断路器（空气绝缘）,优质</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柱上断路器,AC10kV,630A,20kA,真空,有隔离闸刀,户外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配网，空气绝缘,电动,弹簧,支柱式，A类</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16</w:t>
            </w:r>
          </w:p>
        </w:tc>
        <w:tc>
          <w:tcPr>
            <w:tcW w:w="2287"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10kV柱上断路器（空气绝缘）,优质</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柱上断路器,AC10kV,630A,20kA,真空,有隔离闸刀,户外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配网，空气绝缘,电动,弹簧,共箱式，A类</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17</w:t>
            </w:r>
          </w:p>
        </w:tc>
        <w:tc>
          <w:tcPr>
            <w:tcW w:w="2287" w:type="dxa"/>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 w:val="18"/>
                <w:szCs w:val="18"/>
                <w:highlight w:val="none"/>
              </w:rPr>
              <w:t>10kV柱上断路器（空气绝缘）</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柱上断路器,AC10kV,630A,20kA,真空,无隔离闸刀,用户分界</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配网，空气绝缘,电动,永磁,共箱式,普通</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18</w:t>
            </w:r>
          </w:p>
        </w:tc>
        <w:tc>
          <w:tcPr>
            <w:tcW w:w="2287" w:type="dxa"/>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 w:val="18"/>
                <w:szCs w:val="18"/>
                <w:highlight w:val="none"/>
              </w:rPr>
              <w:t>10kV柱上断路器（空气绝缘）</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柱上断路器,AC10kV,630A,20kA,真空,有隔离闸刀,用户分界</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配网，空气绝缘,电动,弹簧,共箱式,普通</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19</w:t>
            </w:r>
          </w:p>
        </w:tc>
        <w:tc>
          <w:tcPr>
            <w:tcW w:w="2287" w:type="dxa"/>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 w:val="18"/>
                <w:szCs w:val="18"/>
                <w:highlight w:val="none"/>
              </w:rPr>
              <w:t>10kV柱上断路器（空气绝缘）</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柱上断路器,AC10kV,630A,20kA,真空,有隔离闸刀,用户分界</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配网，空气绝缘,电动,永磁,共箱式,普通</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20</w:t>
            </w:r>
          </w:p>
        </w:tc>
        <w:tc>
          <w:tcPr>
            <w:tcW w:w="2287" w:type="dxa"/>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 w:val="18"/>
                <w:szCs w:val="18"/>
                <w:highlight w:val="none"/>
              </w:rPr>
              <w:t>10kV柱上断路器（空气绝缘）</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柱上断路器,AC10kV,630A,20kA,真空,无隔离闸刀,户外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配网，空气绝缘,电动,弹簧,支柱式,普通</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21</w:t>
            </w:r>
          </w:p>
        </w:tc>
        <w:tc>
          <w:tcPr>
            <w:tcW w:w="2287" w:type="dxa"/>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 w:val="18"/>
                <w:szCs w:val="18"/>
                <w:highlight w:val="none"/>
              </w:rPr>
              <w:t>10kV柱上断路器（空气绝缘）</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柱上断路器,AC10kV,630A,20kA,真空,无隔离闸刀,户外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配网，空气绝缘,手动,弹簧,共箱式,普通</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22</w:t>
            </w:r>
          </w:p>
        </w:tc>
        <w:tc>
          <w:tcPr>
            <w:tcW w:w="2287" w:type="dxa"/>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 w:val="18"/>
                <w:szCs w:val="18"/>
                <w:highlight w:val="none"/>
              </w:rPr>
              <w:t>10kV柱上断路器（空气绝缘）</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柱上断路器,AC10kV,630A,20kA,真空,无隔离闸刀,户外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配网，空气绝缘,电动,永磁,共箱式,普通</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23</w:t>
            </w:r>
          </w:p>
        </w:tc>
        <w:tc>
          <w:tcPr>
            <w:tcW w:w="2287" w:type="dxa"/>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 w:val="18"/>
                <w:szCs w:val="18"/>
                <w:highlight w:val="none"/>
              </w:rPr>
              <w:t>10kV柱上断路器（空气绝缘）</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柱上断路器,AC10kV,630A,20kA,真空,无隔离闸刀,户外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配网，空气绝缘,手动,弹簧,支柱式,普通</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24</w:t>
            </w:r>
          </w:p>
        </w:tc>
        <w:tc>
          <w:tcPr>
            <w:tcW w:w="2287" w:type="dxa"/>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 w:val="18"/>
                <w:szCs w:val="18"/>
                <w:highlight w:val="none"/>
              </w:rPr>
              <w:t>10kV柱上断路器（空气绝缘）</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柱上断路器,AC10kV,630A,20kA,真空,无隔离闸刀,户外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配网，空气绝缘,电动,永磁,支柱式,普通</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25</w:t>
            </w:r>
          </w:p>
        </w:tc>
        <w:tc>
          <w:tcPr>
            <w:tcW w:w="2287" w:type="dxa"/>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 w:val="18"/>
                <w:szCs w:val="18"/>
                <w:highlight w:val="none"/>
              </w:rPr>
              <w:t>10kV柱上断路器（空气绝缘）</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柱上断路器,AC10kV,630A,20kA,真空,无隔离闸刀,户外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配网，空气绝缘,电动,弹簧,共箱式,普通</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26</w:t>
            </w:r>
          </w:p>
        </w:tc>
        <w:tc>
          <w:tcPr>
            <w:tcW w:w="2287" w:type="dxa"/>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 w:val="18"/>
                <w:szCs w:val="18"/>
                <w:highlight w:val="none"/>
              </w:rPr>
              <w:t>10kV柱上断路器（空气绝缘）</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柱上断路器,AC10kV,630A,20kA,真空,有隔离闸刀,户外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配网，空气绝缘,电动,弹簧,支柱式,普通</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27</w:t>
            </w:r>
          </w:p>
        </w:tc>
        <w:tc>
          <w:tcPr>
            <w:tcW w:w="2287" w:type="dxa"/>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 w:val="18"/>
                <w:szCs w:val="18"/>
                <w:highlight w:val="none"/>
              </w:rPr>
              <w:t>10kV柱上断路器（空气绝缘）</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柱上断路器,AC10kV,630A,20kA,真空,有隔离闸刀,户外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配网，空气绝缘,电动,永磁,支柱式,普通</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28</w:t>
            </w:r>
          </w:p>
        </w:tc>
        <w:tc>
          <w:tcPr>
            <w:tcW w:w="2287" w:type="dxa"/>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 w:val="18"/>
                <w:szCs w:val="18"/>
                <w:highlight w:val="none"/>
              </w:rPr>
              <w:t>10kV柱上断路器（空气绝缘）</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柱上断路器,AC10kV,630A,20kA,真空,有隔离闸刀,户外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配网，空气绝缘,手动,弹簧,共箱式,普通</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29</w:t>
            </w:r>
          </w:p>
        </w:tc>
        <w:tc>
          <w:tcPr>
            <w:tcW w:w="2287" w:type="dxa"/>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 w:val="18"/>
                <w:szCs w:val="18"/>
                <w:highlight w:val="none"/>
              </w:rPr>
              <w:t>10kV柱上断路器（空气绝缘）</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柱上断路器,AC10kV,630A,20kA,真空,有隔离闸刀,户外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配网，空气绝缘,电动,弹簧,共箱式,普通</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30</w:t>
            </w:r>
          </w:p>
        </w:tc>
        <w:tc>
          <w:tcPr>
            <w:tcW w:w="2287" w:type="dxa"/>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 w:val="18"/>
                <w:szCs w:val="18"/>
                <w:highlight w:val="none"/>
              </w:rPr>
              <w:t>10kV柱上断路器（空气绝缘）</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柱上断路器,AC10kV,630A,20kA,真空,有隔离闸刀,户外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配网，空气绝缘,电动,永磁,共箱式,普通</w:t>
            </w:r>
          </w:p>
        </w:tc>
      </w:tr>
      <w:tr>
        <w:tblPrEx>
          <w:tblBorders>
            <w:top w:val="double" w:color="auto" w:sz="4" w:space="0"/>
            <w:left w:val="none" w:color="auto" w:sz="0" w:space="0"/>
            <w:bottom w:val="double" w:color="auto" w:sz="4" w:space="0"/>
            <w:right w:val="none" w:color="auto" w:sz="0" w:space="0"/>
            <w:insideH w:val="single" w:color="000000" w:sz="4" w:space="0"/>
            <w:insideV w:val="single" w:color="000000" w:sz="4" w:space="0"/>
          </w:tblBorders>
          <w:tblLayout w:type="fixed"/>
          <w:tblCellMar>
            <w:top w:w="15" w:type="dxa"/>
            <w:left w:w="15" w:type="dxa"/>
            <w:bottom w:w="15" w:type="dxa"/>
            <w:right w:w="15" w:type="dxa"/>
          </w:tblCellMar>
        </w:tblPrEx>
        <w:trPr>
          <w:trHeight w:val="20" w:hRule="atLeast"/>
        </w:trPr>
        <w:tc>
          <w:tcPr>
            <w:tcW w:w="775" w:type="dxa"/>
            <w:shd w:val="clear" w:color="auto" w:fill="auto"/>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31</w:t>
            </w:r>
          </w:p>
        </w:tc>
        <w:tc>
          <w:tcPr>
            <w:tcW w:w="2287" w:type="dxa"/>
            <w:shd w:val="clear" w:color="auto" w:fill="auto"/>
            <w:vAlign w:val="center"/>
          </w:tcPr>
          <w:p>
            <w:pPr>
              <w:widowControl/>
              <w:jc w:val="center"/>
              <w:rPr>
                <w:rFonts w:ascii="宋体" w:hAnsi="宋体" w:cs="宋体"/>
                <w:color w:val="000000"/>
                <w:kern w:val="0"/>
                <w:szCs w:val="21"/>
              </w:rPr>
            </w:pPr>
            <w:r>
              <w:rPr>
                <w:rFonts w:ascii="宋体" w:hAnsi="宋体" w:cs="宋体"/>
                <w:color w:val="000000"/>
                <w:kern w:val="0"/>
                <w:sz w:val="18"/>
                <w:szCs w:val="18"/>
                <w:highlight w:val="none"/>
              </w:rPr>
              <w:t>10kV柱上断路器（空气绝缘）</w:t>
            </w:r>
          </w:p>
        </w:tc>
        <w:tc>
          <w:tcPr>
            <w:tcW w:w="3850"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柱上断路器,AC10kV,630A,20kA,真空,有隔离闸刀,户外</w:t>
            </w:r>
          </w:p>
        </w:tc>
        <w:tc>
          <w:tcPr>
            <w:tcW w:w="1625" w:type="dxa"/>
            <w:shd w:val="clear" w:color="auto" w:fill="FFFFFF"/>
            <w:vAlign w:val="center"/>
          </w:tcPr>
          <w:p>
            <w:pPr>
              <w:widowControl/>
              <w:jc w:val="center"/>
              <w:rPr>
                <w:rFonts w:ascii="宋体" w:hAnsi="宋体" w:cs="宋体"/>
                <w:color w:val="000000"/>
                <w:kern w:val="0"/>
                <w:szCs w:val="21"/>
              </w:rPr>
            </w:pPr>
            <w:r>
              <w:rPr>
                <w:rFonts w:hint="eastAsia" w:ascii="宋体" w:hAnsi="宋体" w:cs="宋体"/>
                <w:color w:val="000000"/>
                <w:kern w:val="0"/>
                <w:sz w:val="18"/>
                <w:szCs w:val="18"/>
                <w:highlight w:val="none"/>
              </w:rPr>
              <w:t>配网，空气绝缘,手动,弹簧,支柱式,普通</w:t>
            </w:r>
          </w:p>
        </w:tc>
      </w:tr>
    </w:tbl>
    <w:p>
      <w:pPr>
        <w:adjustRightInd w:val="0"/>
        <w:snapToGrid w:val="0"/>
        <w:spacing w:before="240" w:beforeLines="100" w:after="120" w:afterLines="50" w:line="400" w:lineRule="exact"/>
        <w:outlineLvl w:val="1"/>
        <w:rPr>
          <w:rFonts w:ascii="黑体" w:hAnsi="黑体" w:eastAsia="黑体" w:cs="黑体"/>
          <w:b/>
          <w:bCs/>
          <w:sz w:val="24"/>
          <w:szCs w:val="24"/>
          <w:highlight w:val="none"/>
        </w:rPr>
      </w:pPr>
      <w:r>
        <w:rPr>
          <w:rFonts w:ascii="黑体" w:hAnsi="黑体" w:eastAsia="黑体" w:cs="黑体"/>
          <w:b/>
          <w:bCs/>
          <w:sz w:val="24"/>
          <w:szCs w:val="24"/>
          <w:highlight w:val="none"/>
        </w:rPr>
        <w:t>3.</w:t>
      </w:r>
      <w:r>
        <w:rPr>
          <w:rFonts w:hint="default" w:ascii="黑体" w:hAnsi="黑体" w:eastAsia="黑体" w:cs="黑体"/>
          <w:b/>
          <w:bCs/>
          <w:sz w:val="24"/>
          <w:szCs w:val="24"/>
          <w:highlight w:val="none"/>
        </w:rPr>
        <w:t>申请人资格要求</w:t>
      </w:r>
      <w:bookmarkEnd w:id="3"/>
    </w:p>
    <w:p>
      <w:pPr>
        <w:adjustRightInd w:val="0"/>
        <w:snapToGrid w:val="0"/>
        <w:spacing w:line="400" w:lineRule="exact"/>
        <w:ind w:firstLine="437"/>
        <w:rPr>
          <w:rFonts w:ascii="宋体" w:hAnsi="宋体" w:eastAsia="宋体" w:cs="宋体"/>
          <w:highlight w:val="none"/>
        </w:rPr>
      </w:pPr>
      <w:r>
        <w:rPr>
          <w:rFonts w:hint="eastAsia" w:ascii="宋体" w:hAnsi="宋体" w:eastAsia="宋体" w:cs="宋体"/>
          <w:highlight w:val="none"/>
        </w:rPr>
        <w:t>3.1</w:t>
      </w:r>
      <w:r>
        <w:rPr>
          <w:rFonts w:hint="eastAsia" w:ascii="宋体" w:hAnsi="宋体" w:eastAsia="宋体" w:cs="宋体"/>
          <w:highlight w:val="none"/>
        </w:rPr>
        <w:tab/>
      </w:r>
      <w:r>
        <w:rPr>
          <w:rFonts w:hint="eastAsia" w:ascii="宋体" w:hAnsi="宋体" w:eastAsia="宋体" w:cs="宋体"/>
          <w:highlight w:val="none"/>
        </w:rPr>
        <w:t>本次资格预审要求申请人须为中华人民共和国境内依法注册的法人或</w:t>
      </w:r>
      <w:r>
        <w:rPr>
          <w:rFonts w:hint="eastAsia" w:ascii="宋体" w:hAnsi="宋体" w:eastAsia="宋体" w:cs="宋体"/>
          <w:color w:val="auto"/>
          <w:szCs w:val="21"/>
          <w:highlight w:val="none"/>
          <w:lang w:val="en-US" w:eastAsia="zh-CN"/>
        </w:rPr>
        <w:t>其他</w:t>
      </w:r>
      <w:r>
        <w:rPr>
          <w:rFonts w:hint="eastAsia" w:ascii="宋体" w:hAnsi="宋体" w:eastAsia="宋体" w:cs="宋体"/>
          <w:color w:val="000000"/>
          <w:szCs w:val="21"/>
          <w:highlight w:val="none"/>
        </w:rPr>
        <w:t>组织</w:t>
      </w:r>
      <w:r>
        <w:rPr>
          <w:rFonts w:hint="eastAsia" w:ascii="宋体" w:hAnsi="宋体" w:eastAsia="宋体" w:cs="宋体"/>
          <w:highlight w:val="none"/>
        </w:rPr>
        <w:t>，须具备相应货物的制造/开发能力，并在人员、设备、资金等方面具有保障如期交货的供货能力。</w:t>
      </w:r>
    </w:p>
    <w:p>
      <w:pPr>
        <w:adjustRightInd w:val="0"/>
        <w:snapToGrid w:val="0"/>
        <w:spacing w:line="400" w:lineRule="exact"/>
        <w:ind w:firstLine="437"/>
        <w:rPr>
          <w:rFonts w:ascii="宋体" w:hAnsi="宋体" w:eastAsia="宋体" w:cs="宋体"/>
          <w:highlight w:val="none"/>
        </w:rPr>
      </w:pPr>
      <w:r>
        <w:rPr>
          <w:rFonts w:hint="eastAsia" w:ascii="宋体" w:hAnsi="宋体" w:eastAsia="宋体" w:cs="宋体"/>
          <w:highlight w:val="none"/>
        </w:rPr>
        <w:t>3.2</w:t>
      </w:r>
      <w:r>
        <w:rPr>
          <w:rFonts w:hint="eastAsia" w:ascii="宋体" w:hAnsi="宋体" w:eastAsia="宋体" w:cs="宋体"/>
          <w:highlight w:val="none"/>
        </w:rPr>
        <w:tab/>
      </w:r>
      <w:r>
        <w:rPr>
          <w:rFonts w:hint="eastAsia" w:ascii="宋体" w:hAnsi="宋体" w:eastAsia="宋体" w:cs="宋体"/>
          <w:highlight w:val="none"/>
        </w:rPr>
        <w:t>本次资格预审不接受联合体申请。</w:t>
      </w:r>
    </w:p>
    <w:p>
      <w:pPr>
        <w:tabs>
          <w:tab w:val="left" w:pos="840"/>
          <w:tab w:val="left" w:pos="4694"/>
          <w:tab w:val="left" w:pos="6290"/>
        </w:tabs>
        <w:spacing w:line="400" w:lineRule="exact"/>
        <w:ind w:firstLine="420" w:firstLineChars="200"/>
        <w:rPr>
          <w:rFonts w:ascii="宋体" w:hAnsi="宋体" w:eastAsia="宋体" w:cs="宋体"/>
          <w:b/>
          <w:highlight w:val="none"/>
        </w:rPr>
      </w:pPr>
      <w:r>
        <w:rPr>
          <w:rFonts w:hint="eastAsia" w:ascii="宋体" w:hAnsi="宋体" w:eastAsia="宋体" w:cs="宋体"/>
          <w:highlight w:val="none"/>
        </w:rPr>
        <w:t>3.3</w:t>
      </w:r>
      <w:r>
        <w:rPr>
          <w:rFonts w:hint="eastAsia" w:ascii="宋体" w:hAnsi="宋体" w:eastAsia="宋体" w:cs="宋体"/>
          <w:highlight w:val="none"/>
        </w:rPr>
        <w:tab/>
      </w:r>
      <w:r>
        <w:rPr>
          <w:rFonts w:hint="eastAsia" w:ascii="宋体" w:hAnsi="宋体" w:eastAsia="宋体" w:cs="宋体"/>
          <w:highlight w:val="none"/>
        </w:rPr>
        <w:t>本次资格预审不接受代理商申请。</w:t>
      </w:r>
    </w:p>
    <w:p>
      <w:pPr>
        <w:adjustRightInd w:val="0"/>
        <w:snapToGrid w:val="0"/>
        <w:spacing w:before="156" w:beforeLines="50" w:after="156" w:afterLines="50" w:line="400" w:lineRule="exact"/>
        <w:ind w:firstLine="422" w:firstLineChars="200"/>
        <w:rPr>
          <w:rFonts w:ascii="黑体" w:hAnsi="黑体" w:eastAsia="黑体" w:cs="黑体"/>
          <w:b/>
          <w:szCs w:val="21"/>
          <w:highlight w:val="none"/>
        </w:rPr>
      </w:pPr>
      <w:r>
        <w:rPr>
          <w:rFonts w:ascii="黑体" w:hAnsi="黑体" w:eastAsia="黑体" w:cs="黑体"/>
          <w:b/>
          <w:szCs w:val="21"/>
          <w:highlight w:val="none"/>
        </w:rPr>
        <w:t>3.4</w:t>
      </w:r>
      <w:r>
        <w:rPr>
          <w:rFonts w:hint="eastAsia" w:ascii="黑体" w:hAnsi="黑体" w:eastAsia="黑体" w:cs="黑体"/>
          <w:b/>
          <w:szCs w:val="21"/>
          <w:highlight w:val="none"/>
        </w:rPr>
        <w:t>申请人及其资格预审产品须满足如下通用资格要求：</w:t>
      </w:r>
    </w:p>
    <w:p>
      <w:pPr>
        <w:keepNext w:val="0"/>
        <w:keepLines w:val="0"/>
        <w:pageBreakBefore w:val="0"/>
        <w:widowControl w:val="0"/>
        <w:numPr>
          <w:ilvl w:val="0"/>
          <w:numId w:val="0"/>
        </w:numPr>
        <w:kinsoku/>
        <w:wordWrap w:val="0"/>
        <w:overflowPunct/>
        <w:topLinePunct w:val="0"/>
        <w:autoSpaceDE/>
        <w:autoSpaceDN/>
        <w:bidi w:val="0"/>
        <w:adjustRightInd w:val="0"/>
        <w:snapToGrid w:val="0"/>
        <w:spacing w:line="400" w:lineRule="exact"/>
        <w:ind w:firstLine="420" w:firstLineChars="200"/>
        <w:textAlignment w:val="auto"/>
        <w:rPr>
          <w:rFonts w:ascii="宋体" w:hAnsi="宋体" w:eastAsia="宋体" w:cs="宋体"/>
          <w:kern w:val="0"/>
          <w:szCs w:val="21"/>
          <w:highlight w:val="none"/>
        </w:rPr>
      </w:pPr>
      <w:r>
        <w:rPr>
          <w:rFonts w:hint="default" w:ascii="Times New Roman" w:hAnsi="Times New Roman" w:eastAsia="宋体" w:cs="Times New Roman"/>
          <w:highlight w:val="none"/>
          <w:lang w:eastAsia="zh-CN"/>
        </w:rPr>
        <w:t>（</w:t>
      </w:r>
      <w:r>
        <w:rPr>
          <w:rFonts w:hint="default" w:ascii="Times New Roman" w:hAnsi="Times New Roman" w:eastAsia="宋体" w:cs="Times New Roman"/>
          <w:highlight w:val="none"/>
          <w:lang w:val="en-US" w:eastAsia="zh-CN"/>
        </w:rPr>
        <w:t>1</w:t>
      </w:r>
      <w:r>
        <w:rPr>
          <w:rFonts w:hint="default" w:ascii="Times New Roman" w:hAnsi="Times New Roman" w:eastAsia="宋体" w:cs="Times New Roman"/>
          <w:highlight w:val="none"/>
          <w:lang w:eastAsia="zh-CN"/>
        </w:rPr>
        <w:t>）</w:t>
      </w:r>
      <w:r>
        <w:rPr>
          <w:rFonts w:hint="default" w:ascii="Times New Roman" w:hAnsi="Times New Roman" w:eastAsia="宋体" w:cs="Times New Roman"/>
          <w:highlight w:val="none"/>
        </w:rPr>
        <w:t>必须具有生产资格预审产品所需的生产场地、生产设备、生产人员、产品及元器件检测能力。这些制</w:t>
      </w:r>
      <w:r>
        <w:rPr>
          <w:rFonts w:hint="eastAsia" w:ascii="宋体" w:hAnsi="宋体" w:eastAsia="宋体" w:cs="宋体"/>
          <w:highlight w:val="none"/>
        </w:rPr>
        <w:t>造、检测能力应当分别相等或者优于招标人招投标交易平台信息系统（国家电网有限公司电子商务</w:t>
      </w:r>
      <w:r>
        <w:rPr>
          <w:rFonts w:hint="default" w:ascii="Times New Roman" w:hAnsi="Times New Roman" w:eastAsia="宋体" w:cs="Times New Roman"/>
          <w:highlight w:val="none"/>
        </w:rPr>
        <w:t>平台https://ecp.sgcc.com.cn）中</w:t>
      </w:r>
      <w:r>
        <w:rPr>
          <w:rFonts w:hint="eastAsia" w:ascii="宋体" w:hAnsi="宋体" w:eastAsia="宋体" w:cs="宋体"/>
          <w:highlight w:val="none"/>
        </w:rPr>
        <w:t>发布的供应商资质能力信息核实规范”提出的相应条款要求（查看路径：招投标交易平台信息系统首页→供应商管理→资质能力核实→资质能力核实规范标准→“发布单位”选择国家电网有限公司，点击相应品类供应商资质能力信息核实规范、核实指南）</w:t>
      </w:r>
      <w:r>
        <w:rPr>
          <w:rFonts w:hint="eastAsia" w:ascii="宋体" w:hAnsi="宋体" w:eastAsia="宋体" w:cs="宋体"/>
          <w:kern w:val="0"/>
          <w:szCs w:val="21"/>
          <w:highlight w:val="none"/>
        </w:rPr>
        <w:t>。</w:t>
      </w:r>
    </w:p>
    <w:p>
      <w:pPr>
        <w:adjustRightInd w:val="0"/>
        <w:snapToGrid w:val="0"/>
        <w:spacing w:line="400" w:lineRule="exact"/>
        <w:ind w:firstLine="435"/>
        <w:rPr>
          <w:rFonts w:hint="default" w:ascii="Times New Roman" w:hAnsi="Times New Roman" w:eastAsia="宋体" w:cs="Times New Roman"/>
          <w:highlight w:val="none"/>
        </w:rPr>
      </w:pPr>
      <w:r>
        <w:rPr>
          <w:rFonts w:hint="default" w:ascii="Times New Roman" w:hAnsi="Times New Roman" w:eastAsia="宋体" w:cs="Times New Roman"/>
          <w:highlight w:val="none"/>
        </w:rPr>
        <w:t>（2）设计制造过满足专用资质业绩要求的相同结构、相同型式、同等或同类型或以上技术规格的产品。在与规范相同或较规范更严格的条件下，该产品在资格预审文件规定年限内的供货数量满足资格预审文件的要求。</w:t>
      </w:r>
    </w:p>
    <w:p>
      <w:pPr>
        <w:keepNext w:val="0"/>
        <w:keepLines w:val="0"/>
        <w:pageBreakBefore w:val="0"/>
        <w:widowControl/>
        <w:kinsoku/>
        <w:wordWrap/>
        <w:overflowPunct/>
        <w:topLinePunct w:val="0"/>
        <w:autoSpaceDE/>
        <w:autoSpaceDN/>
        <w:bidi w:val="0"/>
        <w:adjustRightInd w:val="0"/>
        <w:snapToGrid w:val="0"/>
        <w:spacing w:line="400" w:lineRule="exact"/>
        <w:ind w:firstLine="435" w:firstLineChars="0"/>
        <w:textAlignment w:val="auto"/>
        <w:rPr>
          <w:rFonts w:hint="default" w:ascii="Times New Roman" w:hAnsi="Times New Roman" w:eastAsia="宋体" w:cs="Times New Roman"/>
          <w:color w:val="auto"/>
          <w:highlight w:val="none"/>
        </w:rPr>
      </w:pPr>
      <w:r>
        <w:rPr>
          <w:rFonts w:hint="default" w:ascii="Times New Roman" w:hAnsi="Times New Roman" w:eastAsia="宋体" w:cs="Times New Roman"/>
          <w:highlight w:val="none"/>
        </w:rPr>
        <w:t>（3）</w:t>
      </w:r>
      <w:r>
        <w:rPr>
          <w:rFonts w:hint="default" w:ascii="Times New Roman" w:hAnsi="Times New Roman" w:eastAsia="宋体" w:cs="Times New Roman"/>
          <w:color w:val="auto"/>
          <w:highlight w:val="none"/>
        </w:rPr>
        <w:t>申请人应提供</w:t>
      </w:r>
      <w:bookmarkStart w:id="8" w:name="_Hlk146120341"/>
      <w:r>
        <w:rPr>
          <w:rFonts w:hint="default" w:ascii="Times New Roman" w:hAnsi="Times New Roman" w:eastAsia="宋体" w:cs="Times New Roman"/>
          <w:iCs/>
          <w:color w:val="auto"/>
          <w:szCs w:val="21"/>
          <w:highlight w:val="none"/>
        </w:rPr>
        <w:t>国家授权的专业检测机构或者国际专业权威机构</w:t>
      </w:r>
      <w:bookmarkEnd w:id="8"/>
      <w:r>
        <w:rPr>
          <w:rFonts w:hint="default" w:ascii="Times New Roman" w:hAnsi="Times New Roman" w:eastAsia="宋体" w:cs="Times New Roman"/>
          <w:color w:val="auto"/>
          <w:highlight w:val="none"/>
        </w:rPr>
        <w:t>出具的有效型式试验报告或检验（检测）报告，关于报告具体要求详见各标段相关规定。</w:t>
      </w:r>
    </w:p>
    <w:p>
      <w:pPr>
        <w:keepNext w:val="0"/>
        <w:keepLines w:val="0"/>
        <w:pageBreakBefore w:val="0"/>
        <w:widowControl/>
        <w:kinsoku/>
        <w:wordWrap/>
        <w:overflowPunct/>
        <w:topLinePunct w:val="0"/>
        <w:autoSpaceDE/>
        <w:autoSpaceDN/>
        <w:bidi w:val="0"/>
        <w:adjustRightInd w:val="0"/>
        <w:snapToGrid w:val="0"/>
        <w:spacing w:line="400" w:lineRule="exact"/>
        <w:ind w:firstLine="435" w:firstLineChars="0"/>
        <w:textAlignment w:val="auto"/>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国家、行业已经发布相应产品标准的，申请人须取得</w:t>
      </w:r>
      <w:r>
        <w:rPr>
          <w:rFonts w:hint="default" w:ascii="Times New Roman" w:hAnsi="Times New Roman" w:eastAsia="宋体" w:cs="Times New Roman"/>
          <w:iCs/>
          <w:color w:val="auto"/>
          <w:szCs w:val="21"/>
          <w:highlight w:val="none"/>
        </w:rPr>
        <w:t>国家授权的专业检测机构或者国际专业权威机构</w:t>
      </w:r>
      <w:r>
        <w:rPr>
          <w:rFonts w:hint="default" w:ascii="Times New Roman" w:hAnsi="Times New Roman" w:eastAsia="宋体" w:cs="Times New Roman"/>
          <w:color w:val="auto"/>
          <w:highlight w:val="none"/>
        </w:rPr>
        <w:t>出具的型式试验报告；</w:t>
      </w:r>
    </w:p>
    <w:p>
      <w:pPr>
        <w:keepNext w:val="0"/>
        <w:keepLines w:val="0"/>
        <w:pageBreakBefore w:val="0"/>
        <w:kinsoku/>
        <w:wordWrap/>
        <w:overflowPunct/>
        <w:topLinePunct w:val="0"/>
        <w:autoSpaceDE/>
        <w:autoSpaceDN/>
        <w:bidi w:val="0"/>
        <w:adjustRightInd w:val="0"/>
        <w:snapToGrid w:val="0"/>
        <w:spacing w:line="400" w:lineRule="atLeast"/>
        <w:ind w:firstLine="435"/>
        <w:textAlignment w:val="auto"/>
        <w:rPr>
          <w:rFonts w:hint="default" w:ascii="Times New Roman" w:hAnsi="Times New Roman" w:eastAsia="宋体" w:cs="Times New Roman"/>
          <w:iCs w:val="0"/>
          <w:color w:val="auto"/>
          <w:szCs w:val="22"/>
          <w:highlight w:val="none"/>
        </w:rPr>
      </w:pPr>
      <w:r>
        <w:rPr>
          <w:rFonts w:hint="default" w:ascii="Times New Roman" w:hAnsi="Times New Roman" w:eastAsia="宋体" w:cs="Times New Roman"/>
          <w:color w:val="auto"/>
          <w:highlight w:val="none"/>
        </w:rPr>
        <w:t>国家、行业尚未发布相应产品标准的，申请人须取得</w:t>
      </w:r>
      <w:r>
        <w:rPr>
          <w:rFonts w:hint="default" w:ascii="Times New Roman" w:hAnsi="Times New Roman" w:eastAsia="宋体" w:cs="Times New Roman"/>
          <w:iCs/>
          <w:color w:val="auto"/>
          <w:szCs w:val="21"/>
          <w:highlight w:val="none"/>
        </w:rPr>
        <w:t>国家授权的专业检测机构或者国际专业权威机构</w:t>
      </w:r>
      <w:r>
        <w:rPr>
          <w:rFonts w:hint="default" w:ascii="Times New Roman" w:hAnsi="Times New Roman" w:eastAsia="宋体" w:cs="Times New Roman"/>
          <w:color w:val="auto"/>
          <w:highlight w:val="none"/>
        </w:rPr>
        <w:t>依据国家电网有限公司企业标准出具的</w:t>
      </w:r>
      <w:r>
        <w:rPr>
          <w:rFonts w:hint="default" w:ascii="Times New Roman" w:hAnsi="Times New Roman" w:eastAsia="宋体" w:cs="Times New Roman"/>
          <w:iCs w:val="0"/>
          <w:color w:val="auto"/>
          <w:szCs w:val="22"/>
          <w:highlight w:val="none"/>
        </w:rPr>
        <w:t>检验（检测）报告</w:t>
      </w:r>
      <w:r>
        <w:rPr>
          <w:rFonts w:hint="default" w:ascii="Times New Roman" w:hAnsi="Times New Roman" w:eastAsia="宋体" w:cs="Times New Roman"/>
          <w:color w:val="auto"/>
          <w:highlight w:val="none"/>
        </w:rPr>
        <w:t>。</w:t>
      </w:r>
      <w:r>
        <w:rPr>
          <w:rFonts w:hint="default" w:ascii="Times New Roman" w:hAnsi="Times New Roman" w:eastAsia="宋体" w:cs="Times New Roman"/>
          <w:iCs w:val="0"/>
          <w:color w:val="auto"/>
          <w:szCs w:val="22"/>
          <w:highlight w:val="none"/>
        </w:rPr>
        <w:t>专业检测是指国家电网有限公司新技术产品或者根据现场运行需要</w:t>
      </w:r>
      <w:r>
        <w:rPr>
          <w:rFonts w:hint="eastAsia" w:ascii="Times New Roman" w:hAnsi="Times New Roman" w:eastAsia="宋体" w:cs="Times New Roman"/>
          <w:iCs w:val="0"/>
          <w:color w:val="auto"/>
          <w:szCs w:val="22"/>
          <w:highlight w:val="none"/>
          <w:lang w:eastAsia="zh-CN"/>
        </w:rPr>
        <w:t>，</w:t>
      </w:r>
      <w:r>
        <w:rPr>
          <w:rFonts w:hint="default" w:ascii="Times New Roman" w:hAnsi="Times New Roman" w:eastAsia="宋体" w:cs="Times New Roman"/>
          <w:iCs w:val="0"/>
          <w:color w:val="auto"/>
          <w:szCs w:val="22"/>
          <w:highlight w:val="none"/>
        </w:rPr>
        <w:t>委托</w:t>
      </w:r>
      <w:r>
        <w:rPr>
          <w:rFonts w:hint="default" w:ascii="Times New Roman" w:hAnsi="Times New Roman" w:eastAsia="宋体" w:cs="Times New Roman"/>
          <w:iCs/>
          <w:color w:val="auto"/>
          <w:szCs w:val="21"/>
          <w:highlight w:val="none"/>
          <w:u w:val="none"/>
        </w:rPr>
        <w:t>国家授权的专业检测机构或者国际专业权威机构</w:t>
      </w:r>
      <w:r>
        <w:rPr>
          <w:rFonts w:hint="default" w:ascii="Times New Roman" w:hAnsi="Times New Roman" w:eastAsia="宋体" w:cs="Times New Roman"/>
          <w:iCs w:val="0"/>
          <w:color w:val="auto"/>
          <w:szCs w:val="22"/>
          <w:highlight w:val="none"/>
        </w:rPr>
        <w:t>公开邀请进行的专门检测活动。</w:t>
      </w:r>
    </w:p>
    <w:p>
      <w:pPr>
        <w:pStyle w:val="8"/>
        <w:spacing w:line="400" w:lineRule="atLeast"/>
        <w:ind w:firstLine="422"/>
        <w:rPr>
          <w:rFonts w:hint="default" w:ascii="Times New Roman" w:hAnsi="Times New Roman" w:eastAsia="宋体" w:cs="Times New Roman"/>
          <w:highlight w:val="none"/>
        </w:rPr>
      </w:pPr>
      <w:r>
        <w:rPr>
          <w:rFonts w:hint="default" w:ascii="Times New Roman" w:hAnsi="Times New Roman" w:eastAsia="宋体" w:cs="Times New Roman"/>
          <w:b w:val="0"/>
          <w:iCs w:val="0"/>
          <w:color w:val="auto"/>
          <w:szCs w:val="22"/>
          <w:highlight w:val="none"/>
        </w:rPr>
        <w:t>在后续招标</w:t>
      </w:r>
      <w:r>
        <w:rPr>
          <w:rFonts w:hint="default" w:ascii="Times New Roman" w:hAnsi="Times New Roman" w:cs="Times New Roman"/>
          <w:b w:val="0"/>
          <w:iCs w:val="0"/>
          <w:color w:val="auto"/>
          <w:szCs w:val="22"/>
          <w:highlight w:val="none"/>
          <w:lang w:eastAsia="zh-CN"/>
        </w:rPr>
        <w:t>（</w:t>
      </w:r>
      <w:r>
        <w:rPr>
          <w:rFonts w:hint="default" w:ascii="Times New Roman" w:hAnsi="Times New Roman" w:cs="Times New Roman"/>
          <w:b w:val="0"/>
          <w:iCs w:val="0"/>
          <w:color w:val="auto"/>
          <w:szCs w:val="22"/>
          <w:highlight w:val="none"/>
          <w:lang w:val="en-US" w:eastAsia="zh-CN"/>
        </w:rPr>
        <w:t>采购</w:t>
      </w:r>
      <w:r>
        <w:rPr>
          <w:rFonts w:hint="default" w:ascii="Times New Roman" w:hAnsi="Times New Roman" w:cs="Times New Roman"/>
          <w:b w:val="0"/>
          <w:iCs w:val="0"/>
          <w:color w:val="auto"/>
          <w:szCs w:val="22"/>
          <w:highlight w:val="none"/>
          <w:lang w:eastAsia="zh-CN"/>
        </w:rPr>
        <w:t>）</w:t>
      </w:r>
      <w:r>
        <w:rPr>
          <w:rFonts w:hint="default" w:ascii="Times New Roman" w:hAnsi="Times New Roman" w:eastAsia="宋体" w:cs="Times New Roman"/>
          <w:b w:val="0"/>
          <w:iCs w:val="0"/>
          <w:color w:val="auto"/>
          <w:szCs w:val="22"/>
          <w:highlight w:val="none"/>
        </w:rPr>
        <w:t>中，申请人应按照招标</w:t>
      </w:r>
      <w:r>
        <w:rPr>
          <w:rFonts w:hint="default" w:ascii="Times New Roman" w:hAnsi="Times New Roman" w:cs="Times New Roman"/>
          <w:b w:val="0"/>
          <w:iCs w:val="0"/>
          <w:color w:val="auto"/>
          <w:szCs w:val="22"/>
          <w:highlight w:val="none"/>
          <w:lang w:eastAsia="zh-CN"/>
        </w:rPr>
        <w:t>（</w:t>
      </w:r>
      <w:r>
        <w:rPr>
          <w:rFonts w:hint="default" w:ascii="Times New Roman" w:hAnsi="Times New Roman" w:cs="Times New Roman"/>
          <w:b w:val="0"/>
          <w:iCs w:val="0"/>
          <w:color w:val="auto"/>
          <w:szCs w:val="22"/>
          <w:highlight w:val="none"/>
          <w:lang w:val="en-US" w:eastAsia="zh-CN"/>
        </w:rPr>
        <w:t>采购</w:t>
      </w:r>
      <w:r>
        <w:rPr>
          <w:rFonts w:hint="default" w:ascii="Times New Roman" w:hAnsi="Times New Roman" w:cs="Times New Roman"/>
          <w:b w:val="0"/>
          <w:iCs w:val="0"/>
          <w:color w:val="auto"/>
          <w:szCs w:val="22"/>
          <w:highlight w:val="none"/>
          <w:lang w:eastAsia="zh-CN"/>
        </w:rPr>
        <w:t>）</w:t>
      </w:r>
      <w:r>
        <w:rPr>
          <w:rFonts w:hint="default" w:ascii="Times New Roman" w:hAnsi="Times New Roman" w:eastAsia="宋体" w:cs="Times New Roman"/>
          <w:b w:val="0"/>
          <w:iCs w:val="0"/>
          <w:color w:val="auto"/>
          <w:szCs w:val="22"/>
          <w:highlight w:val="none"/>
        </w:rPr>
        <w:t>文件要求在投标/供货前提供所投/供产品有效的</w:t>
      </w:r>
      <w:r>
        <w:rPr>
          <w:rFonts w:hint="default" w:ascii="Times New Roman" w:hAnsi="Times New Roman" w:eastAsia="宋体" w:cs="Times New Roman"/>
          <w:b w:val="0"/>
          <w:bCs w:val="0"/>
          <w:iCs w:val="0"/>
          <w:color w:val="auto"/>
          <w:szCs w:val="22"/>
          <w:highlight w:val="none"/>
        </w:rPr>
        <w:t>型式试验报告或检验（检测）报告</w:t>
      </w:r>
      <w:r>
        <w:rPr>
          <w:rFonts w:hint="default" w:ascii="Times New Roman" w:hAnsi="Times New Roman" w:eastAsia="宋体" w:cs="Times New Roman"/>
          <w:b w:val="0"/>
          <w:iCs w:val="0"/>
          <w:color w:val="auto"/>
          <w:szCs w:val="22"/>
          <w:highlight w:val="none"/>
        </w:rPr>
        <w:t>；</w:t>
      </w:r>
      <w:r>
        <w:rPr>
          <w:rFonts w:hint="default" w:ascii="Times New Roman" w:hAnsi="Times New Roman" w:eastAsia="宋体" w:cs="Times New Roman"/>
          <w:color w:val="auto"/>
          <w:highlight w:val="none"/>
        </w:rPr>
        <w:t>对于未在资格预审货物清单中的需求物料，</w:t>
      </w:r>
      <w:r>
        <w:rPr>
          <w:rFonts w:hint="default" w:ascii="Times New Roman" w:hAnsi="Times New Roman" w:cs="Times New Roman"/>
          <w:color w:val="auto"/>
          <w:highlight w:val="none"/>
          <w:lang w:val="en-US" w:eastAsia="zh-CN"/>
        </w:rPr>
        <w:t>申请</w:t>
      </w:r>
      <w:r>
        <w:rPr>
          <w:rFonts w:hint="default" w:ascii="Times New Roman" w:hAnsi="Times New Roman" w:eastAsia="宋体" w:cs="Times New Roman"/>
          <w:color w:val="auto"/>
          <w:highlight w:val="none"/>
        </w:rPr>
        <w:t>人应按照招标</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采购</w:t>
      </w:r>
      <w:r>
        <w:rPr>
          <w:rFonts w:hint="default"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文件要求提供补充的</w:t>
      </w:r>
      <w:r>
        <w:rPr>
          <w:rFonts w:hint="default" w:ascii="Times New Roman" w:hAnsi="Times New Roman" w:eastAsia="宋体" w:cs="Times New Roman"/>
          <w:b w:val="0"/>
          <w:bCs w:val="0"/>
          <w:iCs w:val="0"/>
          <w:color w:val="auto"/>
          <w:szCs w:val="22"/>
          <w:highlight w:val="none"/>
        </w:rPr>
        <w:t>型式试验报告或检验（检测）报告</w:t>
      </w:r>
      <w:r>
        <w:rPr>
          <w:rFonts w:hint="default" w:ascii="Times New Roman" w:hAnsi="Times New Roman" w:eastAsia="宋体" w:cs="Times New Roman"/>
          <w:b w:val="0"/>
          <w:iCs w:val="0"/>
          <w:color w:val="auto"/>
          <w:szCs w:val="22"/>
          <w:highlight w:val="none"/>
        </w:rPr>
        <w:t>。</w:t>
      </w:r>
    </w:p>
    <w:p>
      <w:pPr>
        <w:adjustRightInd w:val="0"/>
        <w:snapToGrid w:val="0"/>
        <w:spacing w:line="400" w:lineRule="exact"/>
        <w:ind w:firstLine="435"/>
        <w:rPr>
          <w:rFonts w:hint="default" w:ascii="Times New Roman" w:hAnsi="Times New Roman" w:eastAsia="宋体" w:cs="Times New Roman"/>
          <w:szCs w:val="21"/>
          <w:highlight w:val="none"/>
        </w:rPr>
      </w:pPr>
      <w:r>
        <w:rPr>
          <w:rFonts w:hint="default" w:ascii="Times New Roman" w:hAnsi="Times New Roman" w:eastAsia="宋体" w:cs="Times New Roman"/>
          <w:highlight w:val="none"/>
        </w:rPr>
        <w:t>（4）</w:t>
      </w:r>
      <w:r>
        <w:rPr>
          <w:rFonts w:hint="default" w:ascii="Times New Roman" w:hAnsi="Times New Roman" w:eastAsia="宋体" w:cs="Times New Roman"/>
          <w:szCs w:val="21"/>
          <w:highlight w:val="none"/>
        </w:rPr>
        <w:t>申请人应具备对外购外协原材料、配套元件和外部委托加工及进口散装的部件进行进厂验收所需的检验制度、检测手段和能力，和由材料、元件和部件供应商提供的检测合格证明。原材料组部件管理具有可追溯性。</w:t>
      </w:r>
    </w:p>
    <w:p>
      <w:pPr>
        <w:adjustRightInd w:val="0"/>
        <w:snapToGrid w:val="0"/>
        <w:spacing w:line="400" w:lineRule="exact"/>
        <w:ind w:firstLine="435"/>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（5）取得国家法律、法规、部门规章规定的有效许可证。取得资格预审文件要求的国家强制认证证书。</w:t>
      </w:r>
    </w:p>
    <w:p>
      <w:pPr>
        <w:adjustRightInd w:val="0"/>
        <w:snapToGrid w:val="0"/>
        <w:spacing w:line="400" w:lineRule="exact"/>
        <w:ind w:firstLine="435"/>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（6）应有良好的财务状况和商业信用。</w:t>
      </w:r>
    </w:p>
    <w:p>
      <w:pPr>
        <w:adjustRightInd w:val="0"/>
        <w:snapToGrid w:val="0"/>
        <w:spacing w:line="400" w:lineRule="exact"/>
        <w:ind w:firstLine="435"/>
        <w:rPr>
          <w:rFonts w:hint="default" w:ascii="Times New Roman" w:hAnsi="Times New Roman" w:eastAsia="宋体" w:cs="Times New Roman"/>
          <w:szCs w:val="21"/>
          <w:highlight w:val="none"/>
          <w:lang w:val="en-US" w:eastAsia="zh-CN"/>
        </w:rPr>
      </w:pP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7</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本次资格预审招标活动不接受贴牌代工的申请，也不接受其他任何分包行为的申请。</w:t>
      </w:r>
    </w:p>
    <w:p>
      <w:pPr>
        <w:adjustRightInd w:val="0"/>
        <w:snapToGrid w:val="0"/>
        <w:spacing w:line="400" w:lineRule="exact"/>
        <w:ind w:firstLine="435"/>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（8）必须具有生产资格预审产品所需的出厂检测能力，包括试验场地、试验设备和试验人员。</w:t>
      </w:r>
    </w:p>
    <w:p>
      <w:pPr>
        <w:adjustRightInd w:val="0"/>
        <w:snapToGrid w:val="0"/>
        <w:spacing w:line="400" w:lineRule="exact"/>
        <w:ind w:firstLine="435"/>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（9）在资格预审结果有效期内，通过资格预审的申请人发生合并、分立、破产等重大变化的，应当及时书面告知招标</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采购）</w:t>
      </w:r>
      <w:r>
        <w:rPr>
          <w:rFonts w:hint="default" w:ascii="Times New Roman" w:hAnsi="Times New Roman" w:eastAsia="宋体" w:cs="Times New Roman"/>
          <w:szCs w:val="21"/>
          <w:highlight w:val="none"/>
        </w:rPr>
        <w:t>人。是否影响其资格条件，将由招标</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采购）</w:t>
      </w:r>
      <w:r>
        <w:rPr>
          <w:rFonts w:hint="default" w:ascii="Times New Roman" w:hAnsi="Times New Roman" w:eastAsia="宋体" w:cs="Times New Roman"/>
          <w:szCs w:val="21"/>
          <w:highlight w:val="none"/>
        </w:rPr>
        <w:t>人组织的资格审查委员会对其提交的书面材料进行评审并作出认定。</w:t>
      </w:r>
      <w:bookmarkEnd w:id="4"/>
      <w:bookmarkEnd w:id="5"/>
      <w:bookmarkEnd w:id="6"/>
      <w:bookmarkStart w:id="9" w:name="_Toc152047194"/>
      <w:bookmarkStart w:id="10" w:name="_Toc408358704"/>
    </w:p>
    <w:p>
      <w:pPr>
        <w:adjustRightInd w:val="0"/>
        <w:snapToGrid w:val="0"/>
        <w:spacing w:line="400" w:lineRule="exact"/>
        <w:ind w:firstLine="435"/>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w:t>
      </w:r>
      <w:r>
        <w:rPr>
          <w:rFonts w:hint="default" w:ascii="Times New Roman" w:hAnsi="Times New Roman" w:eastAsia="宋体" w:cs="Times New Roman"/>
          <w:szCs w:val="21"/>
          <w:highlight w:val="none"/>
          <w:lang w:eastAsia="zh-CN"/>
        </w:rPr>
        <w:t>1</w:t>
      </w:r>
      <w:r>
        <w:rPr>
          <w:rFonts w:hint="default" w:ascii="Times New Roman" w:hAnsi="Times New Roman" w:eastAsia="宋体" w:cs="Times New Roman"/>
          <w:szCs w:val="21"/>
          <w:highlight w:val="none"/>
          <w:lang w:val="en-US" w:eastAsia="zh-CN"/>
        </w:rPr>
        <w:t>0</w:t>
      </w:r>
      <w:r>
        <w:rPr>
          <w:rFonts w:hint="default" w:ascii="Times New Roman" w:hAnsi="Times New Roman" w:eastAsia="宋体" w:cs="Times New Roman"/>
          <w:szCs w:val="21"/>
          <w:highlight w:val="none"/>
        </w:rPr>
        <w:t>）</w:t>
      </w:r>
      <w:r>
        <w:rPr>
          <w:rFonts w:hint="default" w:ascii="Times New Roman" w:hAnsi="Times New Roman" w:eastAsia="宋体" w:cs="Times New Roman"/>
          <w:szCs w:val="21"/>
          <w:highlight w:val="none"/>
          <w:lang w:eastAsia="zh-CN"/>
        </w:rPr>
        <w:t>申请人</w:t>
      </w:r>
      <w:r>
        <w:rPr>
          <w:rFonts w:hint="default" w:ascii="Times New Roman" w:hAnsi="Times New Roman" w:eastAsia="宋体" w:cs="Times New Roman"/>
          <w:szCs w:val="21"/>
          <w:highlight w:val="none"/>
        </w:rPr>
        <w:t>不得选配国家电网有限公司《关于供应商不良行为处理情况的通报》中正接受暂停中标资格、取消中标资格的外购外协供应商或代理（集成服务）原制造商的产品；不得选配涉嫌存在《招标投标法》第53条、《招标投标法实施条例》第51条所列行为，已被司法机关立案的外购外协供应商或代理（集成服务）原制造商的产品。</w:t>
      </w:r>
    </w:p>
    <w:p>
      <w:pPr>
        <w:adjustRightInd w:val="0"/>
        <w:snapToGrid w:val="0"/>
        <w:spacing w:line="400" w:lineRule="exact"/>
        <w:ind w:firstLine="435"/>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（1</w:t>
      </w:r>
      <w:r>
        <w:rPr>
          <w:rFonts w:hint="default" w:ascii="Times New Roman" w:hAnsi="Times New Roman" w:eastAsia="宋体" w:cs="Times New Roman"/>
          <w:szCs w:val="21"/>
          <w:highlight w:val="none"/>
          <w:lang w:val="en-US" w:eastAsia="zh-CN"/>
        </w:rPr>
        <w:t>1</w:t>
      </w:r>
      <w:r>
        <w:rPr>
          <w:rFonts w:hint="default" w:ascii="Times New Roman" w:hAnsi="Times New Roman" w:eastAsia="宋体" w:cs="Times New Roman"/>
          <w:szCs w:val="21"/>
          <w:highlight w:val="none"/>
        </w:rPr>
        <w:t>）投标产品不得选配缺陷责任期（自设备投运之日起两年内）发生产品质量问题（包括但不限于接续、接触机械电气性能，支撑、封闭绝缘性能，以及电力电子性能下降、老化、毁损、丧失）导致设备停运检修的组件材料制造商的产品。</w:t>
      </w:r>
    </w:p>
    <w:p>
      <w:pPr>
        <w:adjustRightInd w:val="0"/>
        <w:snapToGrid w:val="0"/>
        <w:spacing w:line="400" w:lineRule="exact"/>
        <w:ind w:firstLine="435"/>
        <w:rPr>
          <w:rFonts w:hint="default" w:ascii="Times New Roman" w:hAnsi="Times New Roman" w:eastAsia="宋体" w:cs="Times New Roman"/>
          <w:highlight w:val="none"/>
          <w:lang w:eastAsia="zh-CN"/>
        </w:rPr>
      </w:pP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lang w:val="en-US" w:eastAsia="zh-CN"/>
        </w:rPr>
        <w:t>12</w:t>
      </w:r>
      <w:r>
        <w:rPr>
          <w:rFonts w:hint="default" w:ascii="Times New Roman" w:hAnsi="Times New Roman" w:eastAsia="宋体" w:cs="Times New Roman"/>
          <w:szCs w:val="21"/>
          <w:highlight w:val="none"/>
          <w:lang w:eastAsia="zh-CN"/>
        </w:rPr>
        <w:t>）</w:t>
      </w:r>
      <w:r>
        <w:rPr>
          <w:rFonts w:hint="default" w:ascii="Times New Roman" w:hAnsi="Times New Roman" w:eastAsia="宋体" w:cs="Times New Roman"/>
          <w:szCs w:val="21"/>
          <w:highlight w:val="none"/>
        </w:rPr>
        <w:t>申请人生产厂房应为自有或长期租赁。其中生产厂房为自有的提供土地使用权证或房屋产权证；长期租赁的提供租赁合同，并提供厂房所有人的土地使用权或房屋产权证明。生产厂房布局、环境应满足生产需要，并提供厂区平面图。对于因各种原因未办理土地所有权证及房屋产权证的，应提供乡镇及以上政府相关部门出具的有效证明材料。招标人有权对其进行进一步的现场核实。</w:t>
      </w:r>
    </w:p>
    <w:p>
      <w:pPr>
        <w:tabs>
          <w:tab w:val="left" w:pos="1134"/>
        </w:tabs>
        <w:adjustRightInd w:val="0"/>
        <w:snapToGrid w:val="0"/>
        <w:spacing w:line="400" w:lineRule="exact"/>
        <w:ind w:firstLine="422" w:firstLineChars="200"/>
        <w:rPr>
          <w:rFonts w:hint="eastAsia" w:ascii="黑体" w:hAnsi="黑体" w:eastAsia="黑体" w:cs="黑体"/>
          <w:b/>
          <w:szCs w:val="21"/>
          <w:highlight w:val="none"/>
        </w:rPr>
      </w:pPr>
      <w:r>
        <w:rPr>
          <w:rFonts w:hint="eastAsia" w:ascii="黑体" w:hAnsi="黑体" w:eastAsia="黑体" w:cs="黑体"/>
          <w:b/>
          <w:szCs w:val="21"/>
          <w:highlight w:val="none"/>
          <w:lang w:val="en-US" w:eastAsia="zh-CN"/>
        </w:rPr>
        <w:t>3.5</w:t>
      </w:r>
      <w:r>
        <w:rPr>
          <w:rFonts w:hint="eastAsia" w:ascii="黑体" w:hAnsi="黑体" w:eastAsia="黑体" w:cs="黑体"/>
          <w:b/>
          <w:szCs w:val="21"/>
          <w:highlight w:val="none"/>
        </w:rPr>
        <w:t>本次</w:t>
      </w:r>
      <w:r>
        <w:rPr>
          <w:rFonts w:hint="eastAsia" w:ascii="黑体" w:hAnsi="黑体" w:eastAsia="黑体" w:cs="黑体"/>
          <w:b/>
          <w:szCs w:val="21"/>
          <w:highlight w:val="none"/>
          <w:lang w:val="en-US" w:eastAsia="zh-CN"/>
        </w:rPr>
        <w:t>资格预审</w:t>
      </w:r>
      <w:r>
        <w:rPr>
          <w:rFonts w:hint="eastAsia" w:ascii="黑体" w:hAnsi="黑体" w:eastAsia="黑体" w:cs="黑体"/>
          <w:b/>
          <w:szCs w:val="21"/>
          <w:highlight w:val="none"/>
        </w:rPr>
        <w:t>不接受</w:t>
      </w:r>
      <w:r>
        <w:rPr>
          <w:rFonts w:hint="eastAsia" w:ascii="黑体" w:hAnsi="黑体" w:eastAsia="黑体" w:cs="黑体"/>
          <w:b/>
          <w:szCs w:val="21"/>
          <w:highlight w:val="none"/>
          <w:lang w:val="en-US" w:eastAsia="zh-CN"/>
        </w:rPr>
        <w:t>申请</w:t>
      </w:r>
      <w:r>
        <w:rPr>
          <w:rFonts w:hint="eastAsia" w:ascii="黑体" w:hAnsi="黑体" w:eastAsia="黑体" w:cs="黑体"/>
          <w:b/>
          <w:szCs w:val="21"/>
          <w:highlight w:val="none"/>
        </w:rPr>
        <w:t>人委托中介机构或者中间人编制</w:t>
      </w:r>
      <w:r>
        <w:rPr>
          <w:rFonts w:hint="eastAsia" w:ascii="黑体" w:hAnsi="黑体" w:eastAsia="黑体" w:cs="黑体"/>
          <w:b/>
          <w:szCs w:val="21"/>
          <w:highlight w:val="none"/>
          <w:lang w:val="en-US" w:eastAsia="zh-CN"/>
        </w:rPr>
        <w:t>申请</w:t>
      </w:r>
      <w:r>
        <w:rPr>
          <w:rFonts w:hint="eastAsia" w:ascii="黑体" w:hAnsi="黑体" w:eastAsia="黑体" w:cs="黑体"/>
          <w:b/>
          <w:szCs w:val="21"/>
          <w:highlight w:val="none"/>
        </w:rPr>
        <w:t>文件或代行办理投标事宜。</w:t>
      </w:r>
    </w:p>
    <w:p>
      <w:pPr>
        <w:adjustRightInd/>
        <w:snapToGrid/>
        <w:spacing w:before="0" w:beforeLines="-2147483648" w:after="0" w:afterLines="-2147483648" w:line="240" w:lineRule="auto"/>
        <w:ind w:firstLine="0" w:firstLineChars="0"/>
        <w:rPr>
          <w:rFonts w:ascii="黑体" w:hAnsi="黑体" w:eastAsia="黑体" w:cs="黑体"/>
          <w:b/>
          <w:szCs w:val="21"/>
          <w:highlight w:val="none"/>
        </w:rPr>
        <w:sectPr>
          <w:headerReference r:id="rId9" w:type="default"/>
          <w:footerReference r:id="rId10" w:type="default"/>
          <w:pgSz w:w="11906" w:h="16838"/>
          <w:pgMar w:top="1134" w:right="1803" w:bottom="1134" w:left="1803" w:header="851" w:footer="992" w:gutter="0"/>
          <w:cols w:space="0" w:num="1"/>
          <w:rtlGutter w:val="0"/>
          <w:docGrid w:type="lines" w:linePitch="319" w:charSpace="0"/>
        </w:sectPr>
      </w:pPr>
      <w:r>
        <w:rPr>
          <w:rFonts w:hint="eastAsia" w:ascii="黑体" w:hAnsi="黑体" w:eastAsia="黑体" w:cs="黑体"/>
          <w:b/>
          <w:szCs w:val="21"/>
          <w:highlight w:val="none"/>
        </w:rPr>
        <w:br w:type="page"/>
      </w:r>
    </w:p>
    <w:p>
      <w:pPr>
        <w:adjustRightInd w:val="0"/>
        <w:snapToGrid w:val="0"/>
        <w:spacing w:before="156" w:beforeLines="50" w:after="156" w:afterLines="50" w:line="400" w:lineRule="exact"/>
        <w:ind w:firstLine="422" w:firstLineChars="200"/>
        <w:rPr>
          <w:rFonts w:ascii="黑体" w:hAnsi="黑体" w:eastAsia="黑体" w:cs="黑体"/>
          <w:b/>
          <w:szCs w:val="21"/>
          <w:highlight w:val="none"/>
        </w:rPr>
      </w:pPr>
      <w:r>
        <w:rPr>
          <w:rFonts w:ascii="黑体" w:hAnsi="黑体" w:eastAsia="黑体" w:cs="黑体"/>
          <w:b/>
          <w:szCs w:val="21"/>
          <w:highlight w:val="none"/>
        </w:rPr>
        <w:t>3.</w:t>
      </w:r>
      <w:r>
        <w:rPr>
          <w:rFonts w:hint="eastAsia" w:ascii="黑体" w:hAnsi="黑体" w:eastAsia="黑体" w:cs="黑体"/>
          <w:b/>
          <w:szCs w:val="21"/>
          <w:highlight w:val="none"/>
          <w:lang w:val="en-US" w:eastAsia="zh-CN"/>
        </w:rPr>
        <w:t>6</w:t>
      </w:r>
      <w:r>
        <w:rPr>
          <w:rFonts w:hint="eastAsia" w:ascii="黑体" w:hAnsi="黑体" w:eastAsia="黑体" w:cs="黑体"/>
          <w:b/>
          <w:szCs w:val="21"/>
          <w:highlight w:val="none"/>
        </w:rPr>
        <w:t>本表作为专有资质业绩条件，申请人及其申请产品须满足相应的专用资质业绩要求，各类物资专用具体资质业绩要求事项及其数据、状态分别如下：</w:t>
      </w:r>
    </w:p>
    <w:tbl>
      <w:tblPr>
        <w:tblStyle w:val="13"/>
        <w:tblW w:w="14786" w:type="dxa"/>
        <w:jc w:val="center"/>
        <w:tblInd w:w="0" w:type="dxa"/>
        <w:tblLayout w:type="fixed"/>
        <w:tblCellMar>
          <w:top w:w="0" w:type="dxa"/>
          <w:left w:w="108" w:type="dxa"/>
          <w:bottom w:w="0" w:type="dxa"/>
          <w:right w:w="108" w:type="dxa"/>
        </w:tblCellMar>
      </w:tblPr>
      <w:tblGrid>
        <w:gridCol w:w="1471"/>
        <w:gridCol w:w="1342"/>
        <w:gridCol w:w="1674"/>
        <w:gridCol w:w="2637"/>
        <w:gridCol w:w="1043"/>
        <w:gridCol w:w="2206"/>
        <w:gridCol w:w="2207"/>
        <w:gridCol w:w="2206"/>
      </w:tblGrid>
      <w:tr>
        <w:tblPrEx>
          <w:tblLayout w:type="fixed"/>
          <w:tblCellMar>
            <w:top w:w="0" w:type="dxa"/>
            <w:left w:w="108" w:type="dxa"/>
            <w:bottom w:w="0" w:type="dxa"/>
            <w:right w:w="108" w:type="dxa"/>
          </w:tblCellMar>
        </w:tblPrEx>
        <w:trPr>
          <w:trHeight w:val="20" w:hRule="atLeast"/>
          <w:tblHeader/>
          <w:jc w:val="center"/>
        </w:trPr>
        <w:tc>
          <w:tcPr>
            <w:tcW w:w="1471"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Times New Roman" w:hAnsi="Times New Roman" w:eastAsia="宋体" w:cs="Times New Roman"/>
                <w:b/>
                <w:color w:val="auto"/>
                <w:kern w:val="0"/>
                <w:sz w:val="22"/>
                <w:highlight w:val="none"/>
                <w:lang w:bidi="ar"/>
              </w:rPr>
            </w:pPr>
            <w:r>
              <w:rPr>
                <w:rFonts w:ascii="Times New Roman" w:hAnsi="Times New Roman" w:eastAsia="宋体" w:cs="Times New Roman"/>
                <w:b/>
                <w:color w:val="auto"/>
                <w:kern w:val="0"/>
                <w:szCs w:val="21"/>
                <w:highlight w:val="none"/>
                <w:lang w:bidi="ar"/>
              </w:rPr>
              <w:t>标段名称</w:t>
            </w:r>
          </w:p>
        </w:tc>
        <w:tc>
          <w:tcPr>
            <w:tcW w:w="1342" w:type="dxa"/>
            <w:tcBorders>
              <w:top w:val="single" w:color="auto" w:sz="4" w:space="0"/>
              <w:left w:val="nil"/>
              <w:bottom w:val="single" w:color="auto" w:sz="4" w:space="0"/>
              <w:right w:val="single" w:color="auto" w:sz="4" w:space="0"/>
            </w:tcBorders>
            <w:noWrap w:val="0"/>
            <w:vAlign w:val="center"/>
          </w:tcPr>
          <w:p>
            <w:pPr>
              <w:widowControl/>
              <w:jc w:val="center"/>
              <w:textAlignment w:val="center"/>
              <w:rPr>
                <w:rFonts w:ascii="Times New Roman" w:hAnsi="Times New Roman" w:eastAsia="宋体" w:cs="Times New Roman"/>
                <w:b/>
                <w:color w:val="auto"/>
                <w:kern w:val="0"/>
                <w:sz w:val="22"/>
                <w:highlight w:val="none"/>
                <w:lang w:bidi="ar"/>
              </w:rPr>
            </w:pPr>
            <w:r>
              <w:rPr>
                <w:rFonts w:ascii="Times New Roman" w:hAnsi="Times New Roman" w:eastAsia="宋体" w:cs="Times New Roman"/>
                <w:b/>
                <w:color w:val="auto"/>
                <w:kern w:val="0"/>
                <w:sz w:val="22"/>
                <w:highlight w:val="none"/>
                <w:lang w:bidi="ar"/>
              </w:rPr>
              <w:t>业绩要求（不少于）</w:t>
            </w:r>
          </w:p>
        </w:tc>
        <w:tc>
          <w:tcPr>
            <w:tcW w:w="1674"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Times New Roman" w:hAnsi="Times New Roman" w:eastAsia="宋体" w:cs="Times New Roman"/>
                <w:b/>
                <w:color w:val="auto"/>
                <w:kern w:val="0"/>
                <w:sz w:val="22"/>
                <w:highlight w:val="none"/>
                <w:lang w:bidi="ar"/>
              </w:rPr>
            </w:pPr>
            <w:r>
              <w:rPr>
                <w:rFonts w:ascii="Times New Roman" w:hAnsi="Times New Roman" w:eastAsia="宋体" w:cs="Times New Roman"/>
                <w:b/>
                <w:color w:val="auto"/>
                <w:kern w:val="0"/>
                <w:sz w:val="22"/>
                <w:highlight w:val="none"/>
                <w:lang w:bidi="ar"/>
              </w:rPr>
              <w:t>试验报告</w:t>
            </w:r>
          </w:p>
        </w:tc>
        <w:tc>
          <w:tcPr>
            <w:tcW w:w="2637"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Times New Roman" w:hAnsi="Times New Roman" w:eastAsia="宋体" w:cs="Times New Roman"/>
                <w:b/>
                <w:color w:val="auto"/>
                <w:kern w:val="0"/>
                <w:sz w:val="22"/>
                <w:highlight w:val="none"/>
                <w:lang w:bidi="ar"/>
              </w:rPr>
            </w:pPr>
            <w:r>
              <w:rPr>
                <w:rFonts w:ascii="Times New Roman" w:hAnsi="Times New Roman" w:eastAsia="宋体" w:cs="Times New Roman"/>
                <w:b/>
                <w:color w:val="auto"/>
                <w:kern w:val="0"/>
                <w:sz w:val="22"/>
                <w:highlight w:val="none"/>
                <w:lang w:bidi="ar"/>
              </w:rPr>
              <w:t>关键参数</w:t>
            </w:r>
          </w:p>
        </w:tc>
        <w:tc>
          <w:tcPr>
            <w:tcW w:w="1043" w:type="dxa"/>
            <w:tcBorders>
              <w:top w:val="single" w:color="auto" w:sz="4" w:space="0"/>
              <w:left w:val="nil"/>
              <w:bottom w:val="single" w:color="auto" w:sz="4" w:space="0"/>
              <w:right w:val="single" w:color="auto" w:sz="4" w:space="0"/>
            </w:tcBorders>
            <w:noWrap w:val="0"/>
            <w:vAlign w:val="center"/>
          </w:tcPr>
          <w:p>
            <w:pPr>
              <w:widowControl/>
              <w:jc w:val="center"/>
              <w:textAlignment w:val="center"/>
              <w:rPr>
                <w:rFonts w:ascii="Times New Roman" w:hAnsi="Times New Roman" w:eastAsia="宋体" w:cs="Times New Roman"/>
                <w:b/>
                <w:color w:val="auto"/>
                <w:kern w:val="0"/>
                <w:sz w:val="22"/>
                <w:highlight w:val="none"/>
                <w:lang w:bidi="ar"/>
              </w:rPr>
            </w:pPr>
            <w:r>
              <w:rPr>
                <w:rFonts w:ascii="Times New Roman" w:hAnsi="Times New Roman" w:eastAsia="宋体" w:cs="Times New Roman"/>
                <w:b/>
                <w:color w:val="auto"/>
                <w:kern w:val="0"/>
                <w:sz w:val="22"/>
                <w:highlight w:val="none"/>
                <w:lang w:bidi="ar"/>
              </w:rPr>
              <w:t>生产设备</w:t>
            </w:r>
          </w:p>
        </w:tc>
        <w:tc>
          <w:tcPr>
            <w:tcW w:w="2206" w:type="dxa"/>
            <w:tcBorders>
              <w:top w:val="single" w:color="auto" w:sz="4" w:space="0"/>
              <w:left w:val="nil"/>
              <w:bottom w:val="single" w:color="auto" w:sz="4" w:space="0"/>
              <w:right w:val="single" w:color="auto" w:sz="4" w:space="0"/>
            </w:tcBorders>
            <w:noWrap w:val="0"/>
            <w:vAlign w:val="center"/>
          </w:tcPr>
          <w:p>
            <w:pPr>
              <w:widowControl/>
              <w:jc w:val="center"/>
              <w:textAlignment w:val="center"/>
              <w:rPr>
                <w:rFonts w:ascii="Times New Roman" w:hAnsi="Times New Roman" w:eastAsia="宋体" w:cs="Times New Roman"/>
                <w:b/>
                <w:color w:val="auto"/>
                <w:kern w:val="0"/>
                <w:sz w:val="22"/>
                <w:highlight w:val="none"/>
                <w:lang w:bidi="ar"/>
              </w:rPr>
            </w:pPr>
            <w:r>
              <w:rPr>
                <w:rFonts w:ascii="Times New Roman" w:hAnsi="Times New Roman" w:eastAsia="宋体" w:cs="Times New Roman"/>
                <w:b/>
                <w:color w:val="auto"/>
                <w:kern w:val="0"/>
                <w:sz w:val="22"/>
                <w:highlight w:val="none"/>
                <w:lang w:bidi="ar"/>
              </w:rPr>
              <w:t>试验设备</w:t>
            </w:r>
          </w:p>
        </w:tc>
        <w:tc>
          <w:tcPr>
            <w:tcW w:w="2207" w:type="dxa"/>
            <w:tcBorders>
              <w:top w:val="single" w:color="auto" w:sz="4" w:space="0"/>
              <w:left w:val="nil"/>
              <w:bottom w:val="single" w:color="auto" w:sz="4" w:space="0"/>
              <w:right w:val="single" w:color="auto" w:sz="4" w:space="0"/>
            </w:tcBorders>
            <w:noWrap w:val="0"/>
            <w:vAlign w:val="center"/>
          </w:tcPr>
          <w:p>
            <w:pPr>
              <w:widowControl/>
              <w:jc w:val="center"/>
              <w:textAlignment w:val="center"/>
              <w:rPr>
                <w:rFonts w:ascii="Times New Roman" w:hAnsi="Times New Roman" w:eastAsia="宋体" w:cs="Times New Roman"/>
                <w:b/>
                <w:bCs/>
                <w:color w:val="auto"/>
                <w:kern w:val="0"/>
                <w:szCs w:val="21"/>
                <w:highlight w:val="none"/>
                <w:lang w:bidi="ar"/>
              </w:rPr>
            </w:pPr>
            <w:r>
              <w:rPr>
                <w:rFonts w:ascii="Times New Roman" w:hAnsi="Times New Roman" w:eastAsia="宋体" w:cs="Times New Roman"/>
                <w:b/>
                <w:bCs/>
                <w:color w:val="auto"/>
                <w:kern w:val="0"/>
                <w:szCs w:val="21"/>
                <w:highlight w:val="none"/>
                <w:lang w:bidi="ar"/>
              </w:rPr>
              <w:t>认证证书</w:t>
            </w:r>
          </w:p>
        </w:tc>
        <w:tc>
          <w:tcPr>
            <w:tcW w:w="2206" w:type="dxa"/>
            <w:tcBorders>
              <w:top w:val="single" w:color="auto" w:sz="4" w:space="0"/>
              <w:left w:val="nil"/>
              <w:bottom w:val="single" w:color="auto" w:sz="4" w:space="0"/>
              <w:right w:val="single" w:color="auto" w:sz="4" w:space="0"/>
            </w:tcBorders>
            <w:noWrap w:val="0"/>
            <w:vAlign w:val="center"/>
          </w:tcPr>
          <w:p>
            <w:pPr>
              <w:widowControl/>
              <w:jc w:val="center"/>
              <w:textAlignment w:val="center"/>
              <w:rPr>
                <w:rFonts w:ascii="Times New Roman" w:hAnsi="Times New Roman" w:eastAsia="宋体" w:cs="Times New Roman"/>
                <w:b/>
                <w:bCs/>
                <w:color w:val="auto"/>
                <w:kern w:val="0"/>
                <w:szCs w:val="21"/>
                <w:highlight w:val="none"/>
                <w:lang w:bidi="ar"/>
              </w:rPr>
            </w:pPr>
            <w:r>
              <w:rPr>
                <w:rFonts w:ascii="Times New Roman" w:hAnsi="Times New Roman" w:eastAsia="宋体" w:cs="Times New Roman"/>
                <w:b/>
                <w:bCs/>
                <w:color w:val="auto"/>
                <w:kern w:val="0"/>
                <w:szCs w:val="21"/>
                <w:highlight w:val="none"/>
                <w:lang w:bidi="ar"/>
              </w:rPr>
              <w:t>生产许可证或检测合格证（入网许可证）</w:t>
            </w:r>
          </w:p>
        </w:tc>
      </w:tr>
      <w:tr>
        <w:tblPrEx>
          <w:tblLayout w:type="fixed"/>
          <w:tblCellMar>
            <w:top w:w="0" w:type="dxa"/>
            <w:left w:w="108" w:type="dxa"/>
            <w:bottom w:w="0" w:type="dxa"/>
            <w:right w:w="108" w:type="dxa"/>
          </w:tblCellMar>
        </w:tblPrEx>
        <w:trPr>
          <w:trHeight w:val="20" w:hRule="atLeast"/>
          <w:jc w:val="center"/>
        </w:trPr>
        <w:tc>
          <w:tcPr>
            <w:tcW w:w="147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lang w:bidi="ar"/>
              </w:rPr>
              <w:t>10kV柱上断路器（空气绝缘），优质</w:t>
            </w:r>
          </w:p>
        </w:tc>
        <w:tc>
          <w:tcPr>
            <w:tcW w:w="134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lang w:bidi="ar"/>
              </w:rPr>
              <w:t>300台</w:t>
            </w:r>
          </w:p>
        </w:tc>
        <w:tc>
          <w:tcPr>
            <w:tcW w:w="1674" w:type="dxa"/>
            <w:tcBorders>
              <w:top w:val="single" w:color="auto" w:sz="4" w:space="0"/>
              <w:left w:val="single" w:color="auto" w:sz="4" w:space="0"/>
              <w:bottom w:val="single" w:color="auto" w:sz="4" w:space="0"/>
              <w:right w:val="single" w:color="auto" w:sz="4" w:space="0"/>
            </w:tcBorders>
            <w:noWrap w:val="0"/>
            <w:vAlign w:val="center"/>
          </w:tcPr>
          <w:p>
            <w:pPr>
              <w:jc w:val="left"/>
              <w:rPr>
                <w:rFonts w:ascii="Times New Roman" w:hAnsi="Times New Roman" w:eastAsia="宋体" w:cs="Times New Roman"/>
                <w:color w:val="auto"/>
                <w:szCs w:val="21"/>
                <w:highlight w:val="none"/>
              </w:rPr>
            </w:pPr>
            <w:r>
              <w:rPr>
                <w:rFonts w:ascii="Times New Roman" w:hAnsi="Times New Roman" w:eastAsia="宋体" w:cs="Times New Roman"/>
                <w:bCs/>
                <w:color w:val="auto"/>
                <w:kern w:val="0"/>
                <w:szCs w:val="21"/>
                <w:highlight w:val="none"/>
                <w:lang w:bidi="ar"/>
              </w:rPr>
              <w:t>国家认可的第三方检测机构出具的有效的型式试验报告。</w:t>
            </w:r>
          </w:p>
        </w:tc>
        <w:tc>
          <w:tcPr>
            <w:tcW w:w="263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额定电流≥630A；</w:t>
            </w:r>
          </w:p>
          <w:p>
            <w:pPr>
              <w:widowControl/>
              <w:jc w:val="left"/>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额定短时耐受电流≥20kA；</w:t>
            </w:r>
          </w:p>
          <w:p>
            <w:pPr>
              <w:widowControl/>
              <w:jc w:val="left"/>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操作方式：电动并具备手动操作功能；</w:t>
            </w:r>
          </w:p>
          <w:p>
            <w:pPr>
              <w:widowControl/>
              <w:jc w:val="left"/>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壳体防护等级：不得低于</w:t>
            </w:r>
            <w:r>
              <w:rPr>
                <w:rFonts w:hint="eastAsia" w:ascii="Times New Roman" w:hAnsi="Times New Roman" w:eastAsia="宋体" w:cs="Times New Roman"/>
                <w:color w:val="auto"/>
                <w:szCs w:val="21"/>
                <w:highlight w:val="none"/>
              </w:rPr>
              <w:t>GB</w:t>
            </w:r>
            <w:r>
              <w:rPr>
                <w:rFonts w:ascii="Times New Roman" w:hAnsi="Times New Roman" w:eastAsia="宋体" w:cs="Times New Roman"/>
                <w:color w:val="auto"/>
                <w:szCs w:val="21"/>
                <w:highlight w:val="none"/>
              </w:rPr>
              <w:t>4208-20</w:t>
            </w:r>
            <w:r>
              <w:rPr>
                <w:rFonts w:hint="eastAsia" w:ascii="Times New Roman" w:hAnsi="Times New Roman" w:eastAsia="宋体" w:cs="Times New Roman"/>
                <w:color w:val="auto"/>
                <w:szCs w:val="21"/>
                <w:highlight w:val="none"/>
              </w:rPr>
              <w:t>17</w:t>
            </w:r>
            <w:r>
              <w:rPr>
                <w:rFonts w:ascii="Times New Roman" w:hAnsi="Times New Roman" w:eastAsia="宋体" w:cs="Times New Roman"/>
                <w:color w:val="auto"/>
                <w:szCs w:val="21"/>
                <w:highlight w:val="none"/>
              </w:rPr>
              <w:t>规定的IP67。</w:t>
            </w:r>
          </w:p>
        </w:tc>
        <w:tc>
          <w:tcPr>
            <w:tcW w:w="104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lang w:bidi="ar"/>
              </w:rPr>
              <w:t>—</w:t>
            </w:r>
          </w:p>
        </w:tc>
        <w:tc>
          <w:tcPr>
            <w:tcW w:w="2206" w:type="dxa"/>
            <w:tcBorders>
              <w:top w:val="single" w:color="auto" w:sz="4" w:space="0"/>
              <w:left w:val="single" w:color="auto" w:sz="4" w:space="0"/>
              <w:bottom w:val="single" w:color="auto" w:sz="4" w:space="0"/>
              <w:right w:val="single" w:color="auto" w:sz="4" w:space="0"/>
            </w:tcBorders>
            <w:noWrap w:val="0"/>
            <w:vAlign w:val="center"/>
          </w:tcPr>
          <w:p>
            <w:pPr>
              <w:widowControl/>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1、工频耐压试验装置</w:t>
            </w:r>
          </w:p>
          <w:p>
            <w:pPr>
              <w:widowControl/>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2、二次回路工频耐压试验装置</w:t>
            </w:r>
          </w:p>
          <w:p>
            <w:pPr>
              <w:widowControl/>
              <w:rPr>
                <w:rFonts w:ascii="Times New Roman" w:hAnsi="Times New Roman" w:eastAsia="宋体" w:cs="Times New Roman"/>
                <w:b/>
                <w:bCs/>
                <w:color w:val="auto"/>
                <w:kern w:val="0"/>
                <w:szCs w:val="21"/>
                <w:highlight w:val="none"/>
              </w:rPr>
            </w:pPr>
            <w:r>
              <w:rPr>
                <w:rFonts w:ascii="Times New Roman" w:hAnsi="Times New Roman" w:eastAsia="宋体" w:cs="Times New Roman"/>
                <w:color w:val="auto"/>
                <w:kern w:val="0"/>
                <w:szCs w:val="21"/>
                <w:highlight w:val="none"/>
              </w:rPr>
              <w:t>3、回路电阻测试仪</w:t>
            </w:r>
          </w:p>
          <w:p>
            <w:pPr>
              <w:widowControl/>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4、机械特性测试仪</w:t>
            </w:r>
          </w:p>
          <w:p>
            <w:pPr>
              <w:jc w:val="left"/>
              <w:rPr>
                <w:rFonts w:ascii="Times New Roman" w:hAnsi="Times New Roman" w:eastAsia="宋体" w:cs="Times New Roman"/>
                <w:color w:val="auto"/>
                <w:szCs w:val="21"/>
                <w:highlight w:val="none"/>
              </w:rPr>
            </w:pPr>
            <w:r>
              <w:rPr>
                <w:rFonts w:ascii="Times New Roman" w:hAnsi="Times New Roman" w:eastAsia="宋体" w:cs="Times New Roman"/>
                <w:color w:val="auto"/>
                <w:kern w:val="0"/>
                <w:szCs w:val="21"/>
                <w:highlight w:val="none"/>
              </w:rPr>
              <w:t>5、变比及伏安特性综合测试仪</w:t>
            </w:r>
          </w:p>
        </w:tc>
        <w:tc>
          <w:tcPr>
            <w:tcW w:w="2207"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Times New Roman" w:hAnsi="Times New Roman" w:eastAsia="宋体" w:cs="Times New Roman"/>
                <w:color w:val="auto"/>
                <w:szCs w:val="21"/>
                <w:highlight w:val="none"/>
                <w:lang w:bidi="ar"/>
              </w:rPr>
            </w:pPr>
            <w:r>
              <w:rPr>
                <w:rFonts w:ascii="Times New Roman" w:hAnsi="Times New Roman" w:eastAsia="宋体" w:cs="Times New Roman"/>
                <w:color w:val="auto"/>
                <w:kern w:val="0"/>
                <w:szCs w:val="21"/>
                <w:highlight w:val="none"/>
                <w:lang w:bidi="ar"/>
              </w:rPr>
              <w:t>-</w:t>
            </w:r>
          </w:p>
        </w:tc>
        <w:tc>
          <w:tcPr>
            <w:tcW w:w="220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Times New Roman" w:hAnsi="Times New Roman" w:eastAsia="宋体" w:cs="Times New Roman"/>
                <w:color w:val="auto"/>
                <w:szCs w:val="21"/>
                <w:highlight w:val="none"/>
                <w:lang w:bidi="ar"/>
              </w:rPr>
            </w:pPr>
            <w:r>
              <w:rPr>
                <w:rFonts w:ascii="Times New Roman" w:hAnsi="Times New Roman" w:eastAsia="宋体" w:cs="Times New Roman"/>
                <w:color w:val="auto"/>
                <w:kern w:val="0"/>
                <w:szCs w:val="21"/>
                <w:highlight w:val="none"/>
                <w:lang w:bidi="ar"/>
              </w:rPr>
              <w:t>-</w:t>
            </w:r>
          </w:p>
        </w:tc>
      </w:tr>
      <w:tr>
        <w:tblPrEx>
          <w:tblLayout w:type="fixed"/>
          <w:tblCellMar>
            <w:top w:w="0" w:type="dxa"/>
            <w:left w:w="108" w:type="dxa"/>
            <w:bottom w:w="0" w:type="dxa"/>
            <w:right w:w="108" w:type="dxa"/>
          </w:tblCellMar>
        </w:tblPrEx>
        <w:trPr>
          <w:trHeight w:val="20" w:hRule="atLeast"/>
          <w:jc w:val="center"/>
        </w:trPr>
        <w:tc>
          <w:tcPr>
            <w:tcW w:w="147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lang w:bidi="ar"/>
              </w:rPr>
              <w:t>10kV柱上断路器（空气绝缘）</w:t>
            </w:r>
          </w:p>
        </w:tc>
        <w:tc>
          <w:tcPr>
            <w:tcW w:w="134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lang w:bidi="ar"/>
              </w:rPr>
              <w:t>300台</w:t>
            </w:r>
          </w:p>
        </w:tc>
        <w:tc>
          <w:tcPr>
            <w:tcW w:w="1674" w:type="dxa"/>
            <w:tcBorders>
              <w:top w:val="single" w:color="auto" w:sz="4" w:space="0"/>
              <w:left w:val="single" w:color="auto" w:sz="4" w:space="0"/>
              <w:bottom w:val="single" w:color="auto" w:sz="4" w:space="0"/>
              <w:right w:val="single" w:color="auto" w:sz="4" w:space="0"/>
            </w:tcBorders>
            <w:noWrap w:val="0"/>
            <w:vAlign w:val="center"/>
          </w:tcPr>
          <w:p>
            <w:pPr>
              <w:jc w:val="left"/>
              <w:rPr>
                <w:rFonts w:ascii="Times New Roman" w:hAnsi="Times New Roman" w:eastAsia="宋体" w:cs="Times New Roman"/>
                <w:color w:val="auto"/>
                <w:szCs w:val="21"/>
                <w:highlight w:val="none"/>
              </w:rPr>
            </w:pPr>
            <w:r>
              <w:rPr>
                <w:rFonts w:ascii="Times New Roman" w:hAnsi="Times New Roman" w:eastAsia="宋体" w:cs="Times New Roman"/>
                <w:bCs/>
                <w:color w:val="auto"/>
                <w:kern w:val="0"/>
                <w:szCs w:val="21"/>
                <w:highlight w:val="none"/>
                <w:lang w:bidi="ar"/>
              </w:rPr>
              <w:t>国家认可的第三方检测机构出具的有效的型式试验报告。</w:t>
            </w:r>
          </w:p>
        </w:tc>
        <w:tc>
          <w:tcPr>
            <w:tcW w:w="2637"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额定电流≥630A；</w:t>
            </w:r>
          </w:p>
          <w:p>
            <w:pPr>
              <w:widowControl/>
              <w:jc w:val="left"/>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额定短时耐受电流≥20kA；</w:t>
            </w:r>
          </w:p>
          <w:p>
            <w:pPr>
              <w:widowControl/>
              <w:jc w:val="left"/>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操作方式：电动并具备手动操作功能；</w:t>
            </w:r>
          </w:p>
          <w:p>
            <w:pPr>
              <w:widowControl/>
              <w:jc w:val="left"/>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rPr>
              <w:t>壳体防护等级：不得低于</w:t>
            </w:r>
            <w:r>
              <w:rPr>
                <w:rFonts w:hint="eastAsia" w:ascii="Times New Roman" w:hAnsi="Times New Roman" w:eastAsia="宋体" w:cs="Times New Roman"/>
                <w:color w:val="auto"/>
                <w:szCs w:val="21"/>
                <w:highlight w:val="none"/>
              </w:rPr>
              <w:t>GB</w:t>
            </w:r>
            <w:r>
              <w:rPr>
                <w:rFonts w:ascii="Times New Roman" w:hAnsi="Times New Roman" w:eastAsia="宋体" w:cs="Times New Roman"/>
                <w:color w:val="auto"/>
                <w:szCs w:val="21"/>
                <w:highlight w:val="none"/>
              </w:rPr>
              <w:t>4208-20</w:t>
            </w:r>
            <w:r>
              <w:rPr>
                <w:rFonts w:hint="eastAsia" w:ascii="Times New Roman" w:hAnsi="Times New Roman" w:eastAsia="宋体" w:cs="Times New Roman"/>
                <w:color w:val="auto"/>
                <w:szCs w:val="21"/>
                <w:highlight w:val="none"/>
              </w:rPr>
              <w:t>17</w:t>
            </w:r>
            <w:r>
              <w:rPr>
                <w:rFonts w:ascii="Times New Roman" w:hAnsi="Times New Roman" w:eastAsia="宋体" w:cs="Times New Roman"/>
                <w:color w:val="auto"/>
                <w:szCs w:val="21"/>
                <w:highlight w:val="none"/>
              </w:rPr>
              <w:t>规定的IP65。</w:t>
            </w:r>
          </w:p>
        </w:tc>
        <w:tc>
          <w:tcPr>
            <w:tcW w:w="1043"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color w:val="auto"/>
                <w:szCs w:val="21"/>
                <w:highlight w:val="none"/>
              </w:rPr>
            </w:pPr>
            <w:r>
              <w:rPr>
                <w:rFonts w:ascii="Times New Roman" w:hAnsi="Times New Roman" w:eastAsia="宋体" w:cs="Times New Roman"/>
                <w:color w:val="auto"/>
                <w:szCs w:val="21"/>
                <w:highlight w:val="none"/>
                <w:lang w:bidi="ar"/>
              </w:rPr>
              <w:t>—</w:t>
            </w:r>
          </w:p>
        </w:tc>
        <w:tc>
          <w:tcPr>
            <w:tcW w:w="2206" w:type="dxa"/>
            <w:tcBorders>
              <w:top w:val="single" w:color="auto" w:sz="4" w:space="0"/>
              <w:left w:val="single" w:color="auto" w:sz="4" w:space="0"/>
              <w:bottom w:val="single" w:color="auto" w:sz="4" w:space="0"/>
              <w:right w:val="single" w:color="auto" w:sz="4" w:space="0"/>
            </w:tcBorders>
            <w:noWrap w:val="0"/>
            <w:vAlign w:val="center"/>
          </w:tcPr>
          <w:p>
            <w:pP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1、工频耐压试验装置</w:t>
            </w:r>
          </w:p>
          <w:p>
            <w:pP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2、二次回路工频耐压试验装置</w:t>
            </w:r>
          </w:p>
          <w:p>
            <w:pP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3、回路电阻测试仪</w:t>
            </w:r>
          </w:p>
          <w:p>
            <w:pP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4、机械特性测试仪</w:t>
            </w:r>
          </w:p>
          <w:p>
            <w:pPr>
              <w:rPr>
                <w:rFonts w:ascii="Times New Roman" w:hAnsi="Times New Roman" w:eastAsia="宋体" w:cs="Times New Roman"/>
                <w:color w:val="auto"/>
                <w:szCs w:val="21"/>
                <w:highlight w:val="none"/>
              </w:rPr>
            </w:pPr>
            <w:r>
              <w:rPr>
                <w:rFonts w:ascii="Times New Roman" w:hAnsi="Times New Roman" w:eastAsia="宋体" w:cs="Times New Roman"/>
                <w:color w:val="auto"/>
                <w:kern w:val="0"/>
                <w:szCs w:val="21"/>
                <w:highlight w:val="none"/>
              </w:rPr>
              <w:t>5、变比及伏安特性综合测试仪</w:t>
            </w:r>
          </w:p>
        </w:tc>
        <w:tc>
          <w:tcPr>
            <w:tcW w:w="2207"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Times New Roman" w:hAnsi="Times New Roman" w:eastAsia="宋体" w:cs="Times New Roman"/>
                <w:color w:val="auto"/>
                <w:szCs w:val="21"/>
                <w:highlight w:val="none"/>
                <w:lang w:bidi="ar"/>
              </w:rPr>
            </w:pPr>
            <w:r>
              <w:rPr>
                <w:rFonts w:ascii="Times New Roman" w:hAnsi="Times New Roman" w:eastAsia="宋体" w:cs="Times New Roman"/>
                <w:color w:val="auto"/>
                <w:kern w:val="0"/>
                <w:szCs w:val="21"/>
                <w:highlight w:val="none"/>
                <w:lang w:bidi="ar"/>
              </w:rPr>
              <w:t>-</w:t>
            </w:r>
          </w:p>
        </w:tc>
        <w:tc>
          <w:tcPr>
            <w:tcW w:w="2206" w:type="dxa"/>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ascii="Times New Roman" w:hAnsi="Times New Roman" w:eastAsia="宋体" w:cs="Times New Roman"/>
                <w:color w:val="auto"/>
                <w:szCs w:val="21"/>
                <w:highlight w:val="none"/>
                <w:lang w:bidi="ar"/>
              </w:rPr>
            </w:pPr>
            <w:r>
              <w:rPr>
                <w:rFonts w:ascii="Times New Roman" w:hAnsi="Times New Roman" w:eastAsia="宋体" w:cs="Times New Roman"/>
                <w:color w:val="auto"/>
                <w:kern w:val="0"/>
                <w:szCs w:val="21"/>
                <w:highlight w:val="none"/>
                <w:lang w:bidi="ar"/>
              </w:rPr>
              <w:t>-</w:t>
            </w:r>
          </w:p>
        </w:tc>
      </w:tr>
    </w:tbl>
    <w:p>
      <w:pPr>
        <w:adjustRightInd w:val="0"/>
        <w:snapToGrid w:val="0"/>
        <w:spacing w:before="156" w:beforeLines="50" w:after="156" w:afterLines="50" w:line="400" w:lineRule="exact"/>
        <w:ind w:firstLine="422" w:firstLineChars="200"/>
        <w:rPr>
          <w:rFonts w:hint="default" w:ascii="黑体" w:hAnsi="黑体" w:eastAsia="黑体" w:cs="黑体"/>
          <w:b/>
          <w:color w:val="auto"/>
          <w:szCs w:val="21"/>
          <w:highlight w:val="none"/>
        </w:rPr>
      </w:pPr>
      <w:r>
        <w:rPr>
          <w:rFonts w:hint="default" w:ascii="黑体" w:hAnsi="黑体" w:eastAsia="黑体" w:cs="黑体"/>
          <w:b/>
          <w:color w:val="auto"/>
          <w:szCs w:val="21"/>
          <w:highlight w:val="none"/>
        </w:rPr>
        <w:t>3.</w:t>
      </w:r>
      <w:r>
        <w:rPr>
          <w:rFonts w:hint="eastAsia" w:ascii="黑体" w:hAnsi="黑体" w:eastAsia="黑体" w:cs="黑体"/>
          <w:b/>
          <w:color w:val="auto"/>
          <w:szCs w:val="21"/>
          <w:highlight w:val="none"/>
          <w:lang w:val="en-US" w:eastAsia="zh-CN"/>
        </w:rPr>
        <w:t>7</w:t>
      </w:r>
      <w:r>
        <w:rPr>
          <w:rFonts w:hint="default" w:ascii="黑体" w:hAnsi="黑体" w:eastAsia="黑体" w:cs="黑体"/>
          <w:b/>
          <w:color w:val="auto"/>
          <w:szCs w:val="21"/>
          <w:highlight w:val="none"/>
        </w:rPr>
        <w:t>环保体系及智能制造要求（非否决项）</w:t>
      </w:r>
    </w:p>
    <w:p>
      <w:pPr>
        <w:adjustRightInd w:val="0"/>
        <w:snapToGrid w:val="0"/>
        <w:spacing w:before="156" w:beforeLines="50" w:after="156" w:afterLines="50" w:line="400" w:lineRule="exact"/>
        <w:ind w:firstLine="420" w:firstLineChars="200"/>
        <w:rPr>
          <w:rFonts w:hint="eastAsia" w:ascii="宋体" w:hAnsi="宋体" w:eastAsia="宋体" w:cs="宋体"/>
          <w:b w:val="0"/>
          <w:bCs/>
          <w:iCs w:val="0"/>
          <w:color w:val="auto"/>
          <w:szCs w:val="21"/>
          <w:highlight w:val="none"/>
          <w:lang w:eastAsia="zh-CN"/>
        </w:rPr>
      </w:pPr>
      <w:r>
        <w:rPr>
          <w:rFonts w:hint="eastAsia" w:ascii="宋体" w:hAnsi="宋体" w:eastAsia="宋体" w:cs="宋体"/>
          <w:b w:val="0"/>
          <w:bCs/>
          <w:iCs w:val="0"/>
          <w:color w:val="auto"/>
          <w:szCs w:val="21"/>
          <w:highlight w:val="none"/>
        </w:rPr>
        <w:t>为落实“双碳”目标和新型电力系统建设的相关要求，请申请人提供以下相关支持证明材料，此项内容为非否决项。</w:t>
      </w:r>
    </w:p>
    <w:tbl>
      <w:tblPr>
        <w:tblStyle w:val="14"/>
        <w:tblW w:w="14174" w:type="dxa"/>
        <w:jc w:val="center"/>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786"/>
        <w:gridCol w:w="9187"/>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1" w:type="dxa"/>
            <w:tcBorders>
              <w:tl2br w:val="nil"/>
              <w:tr2bl w:val="nil"/>
            </w:tcBorders>
            <w:noWrap w:val="0"/>
            <w:vAlign w:val="top"/>
          </w:tcPr>
          <w:p>
            <w:pPr>
              <w:pStyle w:val="8"/>
              <w:ind w:firstLine="0" w:firstLineChars="0"/>
              <w:jc w:val="center"/>
              <w:rPr>
                <w:rFonts w:ascii="宋体" w:hAnsi="宋体" w:eastAsia="宋体" w:cs="宋体"/>
                <w:b/>
                <w:bCs/>
                <w:szCs w:val="21"/>
              </w:rPr>
            </w:pPr>
            <w:r>
              <w:rPr>
                <w:rFonts w:hint="eastAsia" w:ascii="宋体" w:hAnsi="宋体" w:eastAsia="宋体" w:cs="宋体"/>
                <w:b/>
                <w:bCs/>
                <w:szCs w:val="21"/>
              </w:rPr>
              <w:t>序号</w:t>
            </w:r>
          </w:p>
        </w:tc>
        <w:tc>
          <w:tcPr>
            <w:tcW w:w="3786" w:type="dxa"/>
            <w:tcBorders>
              <w:tl2br w:val="nil"/>
              <w:tr2bl w:val="nil"/>
            </w:tcBorders>
            <w:noWrap w:val="0"/>
            <w:vAlign w:val="top"/>
          </w:tcPr>
          <w:p>
            <w:pPr>
              <w:pStyle w:val="8"/>
              <w:ind w:firstLine="0" w:firstLineChars="0"/>
              <w:jc w:val="center"/>
              <w:rPr>
                <w:rFonts w:ascii="宋体" w:hAnsi="宋体" w:eastAsia="宋体" w:cs="宋体"/>
                <w:b/>
                <w:bCs/>
                <w:szCs w:val="21"/>
              </w:rPr>
            </w:pPr>
            <w:r>
              <w:rPr>
                <w:rFonts w:hint="eastAsia" w:ascii="宋体" w:hAnsi="宋体" w:eastAsia="宋体" w:cs="宋体"/>
                <w:b/>
                <w:bCs/>
                <w:szCs w:val="21"/>
              </w:rPr>
              <w:t>类型</w:t>
            </w:r>
          </w:p>
        </w:tc>
        <w:tc>
          <w:tcPr>
            <w:tcW w:w="9187" w:type="dxa"/>
            <w:tcBorders>
              <w:tl2br w:val="nil"/>
              <w:tr2bl w:val="nil"/>
            </w:tcBorders>
            <w:noWrap w:val="0"/>
            <w:vAlign w:val="top"/>
          </w:tcPr>
          <w:p>
            <w:pPr>
              <w:pStyle w:val="8"/>
              <w:ind w:firstLine="0" w:firstLineChars="0"/>
              <w:jc w:val="center"/>
              <w:rPr>
                <w:rFonts w:ascii="宋体" w:hAnsi="宋体" w:eastAsia="宋体" w:cs="宋体"/>
                <w:b/>
                <w:bCs/>
                <w:szCs w:val="21"/>
              </w:rPr>
            </w:pPr>
            <w:r>
              <w:rPr>
                <w:rFonts w:hint="eastAsia" w:ascii="宋体" w:hAnsi="宋体" w:eastAsia="宋体" w:cs="宋体"/>
                <w:b/>
                <w:bCs/>
                <w:szCs w:val="21"/>
              </w:rPr>
              <w:t>资料明细</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1" w:type="dxa"/>
            <w:tcBorders>
              <w:tl2br w:val="nil"/>
              <w:tr2bl w:val="nil"/>
            </w:tcBorders>
            <w:noWrap w:val="0"/>
            <w:vAlign w:val="center"/>
          </w:tcPr>
          <w:p>
            <w:pPr>
              <w:pStyle w:val="8"/>
              <w:ind w:firstLine="0" w:firstLineChars="0"/>
              <w:jc w:val="center"/>
              <w:rPr>
                <w:rFonts w:ascii="宋体" w:hAnsi="宋体" w:eastAsia="宋体" w:cs="宋体"/>
                <w:sz w:val="20"/>
                <w:szCs w:val="20"/>
              </w:rPr>
            </w:pPr>
            <w:r>
              <w:rPr>
                <w:rFonts w:hint="eastAsia" w:ascii="宋体" w:hAnsi="宋体" w:eastAsia="宋体" w:cs="宋体"/>
                <w:sz w:val="20"/>
                <w:szCs w:val="20"/>
              </w:rPr>
              <w:t>1</w:t>
            </w:r>
          </w:p>
        </w:tc>
        <w:tc>
          <w:tcPr>
            <w:tcW w:w="3786" w:type="dxa"/>
            <w:tcBorders>
              <w:tl2br w:val="nil"/>
              <w:tr2bl w:val="nil"/>
            </w:tcBorders>
            <w:noWrap w:val="0"/>
            <w:vAlign w:val="center"/>
          </w:tcPr>
          <w:p>
            <w:pPr>
              <w:pStyle w:val="8"/>
              <w:ind w:firstLine="0" w:firstLineChars="0"/>
              <w:rPr>
                <w:rFonts w:ascii="宋体" w:hAnsi="宋体" w:eastAsia="宋体" w:cs="宋体"/>
                <w:sz w:val="20"/>
                <w:szCs w:val="20"/>
              </w:rPr>
            </w:pPr>
            <w:r>
              <w:rPr>
                <w:rFonts w:hint="eastAsia" w:ascii="宋体" w:hAnsi="宋体" w:eastAsia="宋体" w:cs="宋体"/>
                <w:sz w:val="20"/>
                <w:szCs w:val="20"/>
              </w:rPr>
              <w:t>环保体系</w:t>
            </w:r>
          </w:p>
        </w:tc>
        <w:tc>
          <w:tcPr>
            <w:tcW w:w="9187" w:type="dxa"/>
            <w:tcBorders>
              <w:tl2br w:val="nil"/>
              <w:tr2bl w:val="nil"/>
            </w:tcBorders>
            <w:noWrap w:val="0"/>
            <w:vAlign w:val="top"/>
          </w:tcPr>
          <w:p>
            <w:pPr>
              <w:pStyle w:val="8"/>
              <w:ind w:firstLine="0" w:firstLineChars="0"/>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提供具有环境影响评价乙级及以上资质的环评机构出具的环评报告；</w:t>
            </w:r>
          </w:p>
          <w:p>
            <w:pPr>
              <w:pStyle w:val="8"/>
              <w:ind w:firstLine="0" w:firstLineChars="0"/>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提供废水/废气/废固等净化/回收的处理设备购置的证明材料。</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1" w:type="dxa"/>
            <w:tcBorders>
              <w:tl2br w:val="nil"/>
              <w:tr2bl w:val="nil"/>
            </w:tcBorders>
            <w:noWrap w:val="0"/>
            <w:vAlign w:val="center"/>
          </w:tcPr>
          <w:p>
            <w:pPr>
              <w:pStyle w:val="8"/>
              <w:ind w:firstLine="0" w:firstLineChars="0"/>
              <w:jc w:val="center"/>
              <w:rPr>
                <w:rFonts w:ascii="宋体" w:hAnsi="宋体" w:eastAsia="宋体" w:cs="宋体"/>
                <w:sz w:val="20"/>
                <w:szCs w:val="20"/>
              </w:rPr>
            </w:pPr>
            <w:r>
              <w:rPr>
                <w:rFonts w:hint="eastAsia" w:ascii="宋体" w:hAnsi="宋体" w:eastAsia="宋体" w:cs="宋体"/>
                <w:sz w:val="20"/>
                <w:szCs w:val="20"/>
              </w:rPr>
              <w:t>2</w:t>
            </w:r>
          </w:p>
        </w:tc>
        <w:tc>
          <w:tcPr>
            <w:tcW w:w="3786" w:type="dxa"/>
            <w:tcBorders>
              <w:tl2br w:val="nil"/>
              <w:tr2bl w:val="nil"/>
            </w:tcBorders>
            <w:noWrap w:val="0"/>
            <w:vAlign w:val="center"/>
          </w:tcPr>
          <w:p>
            <w:pPr>
              <w:pStyle w:val="8"/>
              <w:ind w:firstLine="0" w:firstLineChars="0"/>
              <w:rPr>
                <w:rFonts w:ascii="宋体" w:hAnsi="宋体" w:eastAsia="宋体" w:cs="宋体"/>
                <w:sz w:val="20"/>
                <w:szCs w:val="20"/>
              </w:rPr>
            </w:pPr>
            <w:r>
              <w:rPr>
                <w:rFonts w:hint="eastAsia" w:ascii="宋体" w:hAnsi="宋体" w:eastAsia="宋体" w:cs="宋体"/>
                <w:sz w:val="20"/>
                <w:szCs w:val="20"/>
              </w:rPr>
              <w:t>智能制造</w:t>
            </w:r>
          </w:p>
        </w:tc>
        <w:tc>
          <w:tcPr>
            <w:tcW w:w="9187" w:type="dxa"/>
            <w:tcBorders>
              <w:tl2br w:val="nil"/>
              <w:tr2bl w:val="nil"/>
            </w:tcBorders>
            <w:noWrap w:val="0"/>
            <w:vAlign w:val="top"/>
          </w:tcPr>
          <w:p>
            <w:pPr>
              <w:pStyle w:val="8"/>
              <w:ind w:firstLine="0" w:firstLineChars="0"/>
              <w:rPr>
                <w:rFonts w:ascii="宋体" w:hAnsi="宋体" w:eastAsia="宋体" w:cs="宋体"/>
                <w:sz w:val="20"/>
                <w:szCs w:val="20"/>
              </w:rPr>
            </w:pPr>
            <w:r>
              <w:rPr>
                <w:rFonts w:hint="eastAsia" w:ascii="宋体" w:hAnsi="宋体" w:eastAsia="宋体" w:cs="宋体"/>
                <w:kern w:val="0"/>
                <w:sz w:val="20"/>
                <w:szCs w:val="20"/>
                <w:lang w:bidi="ar"/>
              </w:rPr>
              <w:t>提供应用CAD设计、MES生产、BIM建造等工业系统软件，进行订单、原材料、工艺、生产、质量、成品全流程智能管理的证明材料。</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1" w:type="dxa"/>
            <w:tcBorders>
              <w:tl2br w:val="nil"/>
              <w:tr2bl w:val="nil"/>
            </w:tcBorders>
            <w:noWrap w:val="0"/>
            <w:vAlign w:val="center"/>
          </w:tcPr>
          <w:p>
            <w:pPr>
              <w:pStyle w:val="8"/>
              <w:ind w:firstLine="0" w:firstLineChars="0"/>
              <w:jc w:val="center"/>
              <w:rPr>
                <w:rFonts w:ascii="宋体" w:hAnsi="宋体" w:eastAsia="宋体" w:cs="宋体"/>
                <w:sz w:val="20"/>
                <w:szCs w:val="20"/>
              </w:rPr>
            </w:pPr>
            <w:r>
              <w:rPr>
                <w:rFonts w:hint="eastAsia" w:ascii="宋体" w:hAnsi="宋体" w:eastAsia="宋体" w:cs="宋体"/>
                <w:sz w:val="20"/>
                <w:szCs w:val="20"/>
              </w:rPr>
              <w:t>3</w:t>
            </w:r>
          </w:p>
        </w:tc>
        <w:tc>
          <w:tcPr>
            <w:tcW w:w="3786" w:type="dxa"/>
            <w:tcBorders>
              <w:tl2br w:val="nil"/>
              <w:tr2bl w:val="nil"/>
            </w:tcBorders>
            <w:noWrap w:val="0"/>
            <w:vAlign w:val="center"/>
          </w:tcPr>
          <w:p>
            <w:pPr>
              <w:pStyle w:val="8"/>
              <w:ind w:firstLine="0" w:firstLineChars="0"/>
              <w:rPr>
                <w:rFonts w:ascii="宋体" w:hAnsi="宋体" w:eastAsia="宋体" w:cs="宋体"/>
                <w:sz w:val="20"/>
                <w:szCs w:val="20"/>
              </w:rPr>
            </w:pPr>
            <w:r>
              <w:rPr>
                <w:rFonts w:hint="eastAsia" w:ascii="宋体" w:hAnsi="宋体" w:eastAsia="宋体" w:cs="宋体"/>
                <w:sz w:val="20"/>
                <w:szCs w:val="20"/>
              </w:rPr>
              <w:t>环境管理体系认证证书</w:t>
            </w:r>
          </w:p>
        </w:tc>
        <w:tc>
          <w:tcPr>
            <w:tcW w:w="9187" w:type="dxa"/>
            <w:tcBorders>
              <w:tl2br w:val="nil"/>
              <w:tr2bl w:val="nil"/>
            </w:tcBorders>
            <w:noWrap w:val="0"/>
            <w:vAlign w:val="top"/>
          </w:tcPr>
          <w:p>
            <w:pPr>
              <w:pStyle w:val="8"/>
              <w:ind w:firstLine="0" w:firstLineChars="0"/>
              <w:rPr>
                <w:rFonts w:hint="eastAsia" w:ascii="宋体" w:hAnsi="宋体" w:eastAsia="宋体" w:cs="宋体"/>
                <w:sz w:val="20"/>
                <w:szCs w:val="20"/>
              </w:rPr>
            </w:pPr>
            <w:r>
              <w:rPr>
                <w:rFonts w:hint="eastAsia" w:ascii="宋体" w:hAnsi="宋体" w:eastAsia="宋体" w:cs="宋体"/>
                <w:kern w:val="0"/>
                <w:sz w:val="20"/>
                <w:szCs w:val="20"/>
                <w:lang w:bidi="ar"/>
              </w:rPr>
              <w:t>提供</w:t>
            </w:r>
            <w:r>
              <w:rPr>
                <w:rFonts w:hint="eastAsia" w:ascii="宋体" w:hAnsi="宋体" w:eastAsia="宋体" w:cs="宋体"/>
                <w:sz w:val="20"/>
                <w:szCs w:val="20"/>
              </w:rPr>
              <w:t>环境管理体系认证证书扫描件。（资格预审申请文件中资质业绩凭证单“有”已核实的环境管理体系认证证书记录的，不需提供相关支持证明材料。）</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1" w:type="dxa"/>
            <w:tcBorders>
              <w:tl2br w:val="nil"/>
              <w:tr2bl w:val="nil"/>
            </w:tcBorders>
            <w:noWrap w:val="0"/>
            <w:vAlign w:val="center"/>
          </w:tcPr>
          <w:p>
            <w:pPr>
              <w:pStyle w:val="8"/>
              <w:ind w:firstLine="0" w:firstLineChars="0"/>
              <w:jc w:val="center"/>
              <w:rPr>
                <w:rFonts w:ascii="宋体" w:hAnsi="宋体" w:eastAsia="宋体" w:cs="宋体"/>
                <w:sz w:val="20"/>
                <w:szCs w:val="20"/>
              </w:rPr>
            </w:pPr>
            <w:r>
              <w:rPr>
                <w:rFonts w:hint="eastAsia" w:ascii="宋体" w:hAnsi="宋体" w:eastAsia="宋体" w:cs="宋体"/>
                <w:sz w:val="20"/>
                <w:szCs w:val="20"/>
              </w:rPr>
              <w:t>4</w:t>
            </w:r>
          </w:p>
        </w:tc>
        <w:tc>
          <w:tcPr>
            <w:tcW w:w="3786" w:type="dxa"/>
            <w:tcBorders>
              <w:tl2br w:val="nil"/>
              <w:tr2bl w:val="nil"/>
            </w:tcBorders>
            <w:noWrap w:val="0"/>
            <w:vAlign w:val="center"/>
          </w:tcPr>
          <w:p>
            <w:pPr>
              <w:pStyle w:val="8"/>
              <w:ind w:firstLine="0" w:firstLineChars="0"/>
              <w:rPr>
                <w:rFonts w:ascii="宋体" w:hAnsi="宋体" w:eastAsia="宋体" w:cs="宋体"/>
                <w:sz w:val="20"/>
                <w:szCs w:val="20"/>
              </w:rPr>
            </w:pPr>
            <w:r>
              <w:rPr>
                <w:rFonts w:hint="eastAsia" w:ascii="宋体" w:hAnsi="宋体" w:eastAsia="宋体" w:cs="宋体"/>
                <w:sz w:val="20"/>
                <w:szCs w:val="20"/>
              </w:rPr>
              <w:t>职业健康安全管理体系认证证书</w:t>
            </w:r>
          </w:p>
        </w:tc>
        <w:tc>
          <w:tcPr>
            <w:tcW w:w="9187" w:type="dxa"/>
            <w:tcBorders>
              <w:tl2br w:val="nil"/>
              <w:tr2bl w:val="nil"/>
            </w:tcBorders>
            <w:noWrap w:val="0"/>
            <w:vAlign w:val="top"/>
          </w:tcPr>
          <w:p>
            <w:pPr>
              <w:pStyle w:val="8"/>
              <w:ind w:firstLine="0" w:firstLineChars="0"/>
              <w:rPr>
                <w:rFonts w:hint="eastAsia" w:ascii="宋体" w:hAnsi="宋体" w:eastAsia="宋体" w:cs="宋体"/>
                <w:kern w:val="0"/>
                <w:sz w:val="20"/>
                <w:szCs w:val="20"/>
                <w:lang w:bidi="ar"/>
              </w:rPr>
            </w:pPr>
            <w:r>
              <w:rPr>
                <w:rFonts w:hint="eastAsia" w:ascii="宋体" w:hAnsi="宋体" w:eastAsia="宋体" w:cs="宋体"/>
                <w:sz w:val="20"/>
                <w:szCs w:val="20"/>
                <w:lang w:bidi="ar"/>
              </w:rPr>
              <w:t>提供</w:t>
            </w:r>
            <w:r>
              <w:rPr>
                <w:rFonts w:hint="eastAsia" w:ascii="宋体" w:hAnsi="宋体" w:eastAsia="宋体" w:cs="宋体"/>
                <w:sz w:val="20"/>
                <w:szCs w:val="20"/>
              </w:rPr>
              <w:t>职业健康安全管理体系认证证书扫描件。（资格预审申请文件中资质业绩凭证单“有”已核实的职业健康安全管理体系认证证书记录的，不需提供相关支持证明材料。）</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1" w:type="dxa"/>
            <w:tcBorders>
              <w:tl2br w:val="nil"/>
              <w:tr2bl w:val="nil"/>
            </w:tcBorders>
            <w:noWrap w:val="0"/>
            <w:vAlign w:val="center"/>
          </w:tcPr>
          <w:p>
            <w:pPr>
              <w:pStyle w:val="8"/>
              <w:ind w:firstLine="0" w:firstLineChars="0"/>
              <w:jc w:val="center"/>
              <w:rPr>
                <w:rFonts w:hint="eastAsia" w:ascii="宋体" w:hAnsi="宋体" w:eastAsia="宋体" w:cs="宋体"/>
                <w:sz w:val="20"/>
                <w:szCs w:val="20"/>
              </w:rPr>
            </w:pPr>
            <w:r>
              <w:rPr>
                <w:rFonts w:hint="eastAsia" w:ascii="宋体" w:hAnsi="宋体" w:eastAsia="宋体" w:cs="宋体"/>
                <w:sz w:val="20"/>
                <w:szCs w:val="20"/>
              </w:rPr>
              <w:t>5</w:t>
            </w:r>
          </w:p>
        </w:tc>
        <w:tc>
          <w:tcPr>
            <w:tcW w:w="3786" w:type="dxa"/>
            <w:tcBorders>
              <w:tl2br w:val="nil"/>
              <w:tr2bl w:val="nil"/>
            </w:tcBorders>
            <w:noWrap w:val="0"/>
            <w:vAlign w:val="center"/>
          </w:tcPr>
          <w:p>
            <w:pPr>
              <w:pStyle w:val="8"/>
              <w:ind w:firstLine="0" w:firstLineChars="0"/>
              <w:rPr>
                <w:rFonts w:hint="eastAsia" w:ascii="宋体" w:hAnsi="宋体" w:eastAsia="宋体" w:cs="宋体"/>
                <w:sz w:val="20"/>
                <w:szCs w:val="20"/>
              </w:rPr>
            </w:pPr>
            <w:r>
              <w:rPr>
                <w:rFonts w:hint="eastAsia" w:ascii="宋体" w:hAnsi="宋体" w:eastAsia="宋体" w:cs="宋体"/>
                <w:sz w:val="20"/>
                <w:szCs w:val="20"/>
              </w:rPr>
              <w:t>产品碳足迹证书</w:t>
            </w:r>
          </w:p>
        </w:tc>
        <w:tc>
          <w:tcPr>
            <w:tcW w:w="9187" w:type="dxa"/>
            <w:tcBorders>
              <w:tl2br w:val="nil"/>
              <w:tr2bl w:val="nil"/>
            </w:tcBorders>
            <w:noWrap w:val="0"/>
            <w:vAlign w:val="top"/>
          </w:tcPr>
          <w:p>
            <w:pPr>
              <w:pStyle w:val="8"/>
              <w:ind w:firstLine="0" w:firstLineChars="0"/>
              <w:rPr>
                <w:rFonts w:hint="eastAsia" w:ascii="宋体" w:hAnsi="宋体" w:eastAsia="宋体" w:cs="宋体"/>
                <w:sz w:val="20"/>
                <w:szCs w:val="20"/>
                <w:lang w:bidi="ar"/>
              </w:rPr>
            </w:pPr>
            <w:r>
              <w:rPr>
                <w:rFonts w:hint="eastAsia" w:ascii="宋体" w:hAnsi="宋体" w:eastAsia="宋体" w:cs="宋体"/>
                <w:kern w:val="0"/>
                <w:sz w:val="20"/>
                <w:szCs w:val="20"/>
                <w:lang w:bidi="ar"/>
              </w:rPr>
              <w:t>提供</w:t>
            </w:r>
            <w:r>
              <w:rPr>
                <w:rFonts w:hint="eastAsia" w:ascii="宋体" w:hAnsi="宋体" w:eastAsia="宋体" w:cs="宋体"/>
                <w:sz w:val="20"/>
                <w:szCs w:val="20"/>
              </w:rPr>
              <w:t>碳足迹体系证书扫描件。</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1" w:type="dxa"/>
            <w:tcBorders>
              <w:tl2br w:val="nil"/>
              <w:tr2bl w:val="nil"/>
            </w:tcBorders>
            <w:noWrap w:val="0"/>
            <w:vAlign w:val="center"/>
          </w:tcPr>
          <w:p>
            <w:pPr>
              <w:pStyle w:val="8"/>
              <w:ind w:firstLine="0" w:firstLineChars="0"/>
              <w:jc w:val="center"/>
              <w:rPr>
                <w:rFonts w:hint="eastAsia" w:ascii="宋体" w:hAnsi="宋体" w:eastAsia="宋体" w:cs="宋体"/>
                <w:sz w:val="20"/>
                <w:szCs w:val="20"/>
              </w:rPr>
            </w:pPr>
            <w:r>
              <w:rPr>
                <w:rFonts w:hint="eastAsia" w:ascii="宋体" w:hAnsi="宋体" w:eastAsia="宋体" w:cs="宋体"/>
                <w:sz w:val="20"/>
                <w:szCs w:val="20"/>
              </w:rPr>
              <w:t>6</w:t>
            </w:r>
          </w:p>
        </w:tc>
        <w:tc>
          <w:tcPr>
            <w:tcW w:w="3786" w:type="dxa"/>
            <w:tcBorders>
              <w:tl2br w:val="nil"/>
              <w:tr2bl w:val="nil"/>
            </w:tcBorders>
            <w:noWrap w:val="0"/>
            <w:vAlign w:val="center"/>
          </w:tcPr>
          <w:p>
            <w:pPr>
              <w:pStyle w:val="8"/>
              <w:ind w:firstLine="0" w:firstLineChars="0"/>
              <w:rPr>
                <w:rFonts w:hint="eastAsia" w:ascii="宋体" w:hAnsi="宋体" w:eastAsia="宋体" w:cs="宋体"/>
                <w:sz w:val="20"/>
                <w:szCs w:val="20"/>
              </w:rPr>
            </w:pPr>
            <w:r>
              <w:rPr>
                <w:rFonts w:hint="eastAsia" w:ascii="宋体" w:hAnsi="宋体" w:eastAsia="宋体" w:cs="宋体"/>
                <w:sz w:val="20"/>
                <w:szCs w:val="20"/>
              </w:rPr>
              <w:t>绿色工厂评价</w:t>
            </w:r>
          </w:p>
        </w:tc>
        <w:tc>
          <w:tcPr>
            <w:tcW w:w="9187" w:type="dxa"/>
            <w:tcBorders>
              <w:tl2br w:val="nil"/>
              <w:tr2bl w:val="nil"/>
            </w:tcBorders>
            <w:noWrap w:val="0"/>
            <w:vAlign w:val="top"/>
          </w:tcPr>
          <w:p>
            <w:pPr>
              <w:pStyle w:val="8"/>
              <w:ind w:firstLine="0" w:firstLineChars="0"/>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提供</w:t>
            </w:r>
            <w:r>
              <w:rPr>
                <w:rFonts w:hint="eastAsia" w:ascii="宋体" w:hAnsi="宋体" w:eastAsia="宋体" w:cs="宋体"/>
                <w:sz w:val="20"/>
                <w:szCs w:val="20"/>
              </w:rPr>
              <w:t>绿色工厂评价相关证明材料扫描件</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1" w:type="dxa"/>
            <w:tcBorders>
              <w:tl2br w:val="nil"/>
              <w:tr2bl w:val="nil"/>
            </w:tcBorders>
            <w:noWrap w:val="0"/>
            <w:vAlign w:val="center"/>
          </w:tcPr>
          <w:p>
            <w:pPr>
              <w:pStyle w:val="8"/>
              <w:ind w:firstLine="0" w:firstLineChars="0"/>
              <w:jc w:val="center"/>
              <w:rPr>
                <w:rFonts w:hint="eastAsia" w:ascii="宋体" w:hAnsi="宋体" w:eastAsia="宋体" w:cs="宋体"/>
                <w:sz w:val="20"/>
                <w:szCs w:val="20"/>
              </w:rPr>
            </w:pPr>
            <w:r>
              <w:rPr>
                <w:rFonts w:hint="eastAsia" w:ascii="宋体" w:hAnsi="宋体" w:eastAsia="宋体" w:cs="宋体"/>
                <w:sz w:val="20"/>
                <w:szCs w:val="20"/>
              </w:rPr>
              <w:t>7</w:t>
            </w:r>
          </w:p>
        </w:tc>
        <w:tc>
          <w:tcPr>
            <w:tcW w:w="3786" w:type="dxa"/>
            <w:tcBorders>
              <w:tl2br w:val="nil"/>
              <w:tr2bl w:val="nil"/>
            </w:tcBorders>
            <w:noWrap w:val="0"/>
            <w:vAlign w:val="center"/>
          </w:tcPr>
          <w:p>
            <w:pPr>
              <w:pStyle w:val="8"/>
              <w:ind w:firstLine="0" w:firstLineChars="0"/>
              <w:rPr>
                <w:rFonts w:hint="eastAsia" w:ascii="宋体" w:hAnsi="宋体" w:eastAsia="宋体" w:cs="宋体"/>
                <w:sz w:val="20"/>
                <w:szCs w:val="20"/>
              </w:rPr>
            </w:pPr>
            <w:r>
              <w:rPr>
                <w:rFonts w:hint="eastAsia" w:ascii="宋体" w:hAnsi="宋体" w:eastAsia="宋体" w:cs="宋体"/>
                <w:sz w:val="20"/>
                <w:szCs w:val="20"/>
              </w:rPr>
              <w:t>绿色设计产品评价</w:t>
            </w:r>
          </w:p>
        </w:tc>
        <w:tc>
          <w:tcPr>
            <w:tcW w:w="9187" w:type="dxa"/>
            <w:tcBorders>
              <w:tl2br w:val="nil"/>
              <w:tr2bl w:val="nil"/>
            </w:tcBorders>
            <w:noWrap w:val="0"/>
            <w:vAlign w:val="top"/>
          </w:tcPr>
          <w:p>
            <w:pPr>
              <w:pStyle w:val="8"/>
              <w:ind w:firstLine="0" w:firstLineChars="0"/>
              <w:rPr>
                <w:rFonts w:hint="eastAsia" w:ascii="宋体" w:hAnsi="宋体" w:eastAsia="宋体" w:cs="宋体"/>
                <w:kern w:val="0"/>
                <w:sz w:val="20"/>
                <w:szCs w:val="20"/>
                <w:lang w:bidi="ar"/>
              </w:rPr>
            </w:pPr>
            <w:r>
              <w:rPr>
                <w:rFonts w:hint="eastAsia" w:ascii="宋体" w:hAnsi="宋体" w:eastAsia="宋体" w:cs="宋体"/>
                <w:kern w:val="0"/>
                <w:sz w:val="20"/>
                <w:szCs w:val="20"/>
                <w:lang w:bidi="ar"/>
              </w:rPr>
              <w:t>提供</w:t>
            </w:r>
            <w:r>
              <w:rPr>
                <w:rFonts w:hint="eastAsia" w:ascii="宋体" w:hAnsi="宋体" w:eastAsia="宋体" w:cs="宋体"/>
                <w:sz w:val="20"/>
                <w:szCs w:val="20"/>
              </w:rPr>
              <w:t>绿色设计产品评价相关证明材料扫描件</w:t>
            </w:r>
          </w:p>
        </w:tc>
      </w:tr>
    </w:tbl>
    <w:p>
      <w:pPr>
        <w:rPr>
          <w:highlight w:val="none"/>
        </w:rPr>
      </w:pPr>
    </w:p>
    <w:p>
      <w:pPr>
        <w:pStyle w:val="8"/>
        <w:rPr>
          <w:highlight w:val="none"/>
        </w:rPr>
        <w:sectPr>
          <w:pgSz w:w="16838" w:h="11905" w:orient="landscape"/>
          <w:pgMar w:top="1803" w:right="1134" w:bottom="1803" w:left="1134" w:header="850" w:footer="992" w:gutter="0"/>
          <w:cols w:space="0" w:num="1"/>
          <w:rtlGutter w:val="0"/>
          <w:docGrid w:type="lines" w:linePitch="319" w:charSpace="0"/>
        </w:sectPr>
      </w:pPr>
    </w:p>
    <w:bookmarkEnd w:id="9"/>
    <w:bookmarkEnd w:id="10"/>
    <w:p>
      <w:pPr>
        <w:numPr>
          <w:ilvl w:val="0"/>
          <w:numId w:val="1"/>
        </w:numPr>
        <w:adjustRightInd w:val="0"/>
        <w:snapToGrid w:val="0"/>
        <w:spacing w:before="240" w:beforeLines="100" w:after="120" w:afterLines="50" w:line="400" w:lineRule="exact"/>
        <w:outlineLvl w:val="1"/>
        <w:rPr>
          <w:rFonts w:hint="eastAsia" w:ascii="黑体" w:hAnsi="黑体" w:eastAsia="黑体" w:cs="黑体"/>
          <w:b/>
          <w:bCs/>
          <w:sz w:val="24"/>
          <w:szCs w:val="24"/>
          <w:highlight w:val="none"/>
        </w:rPr>
      </w:pPr>
      <w:bookmarkStart w:id="11" w:name="_Toc504385828"/>
      <w:r>
        <w:rPr>
          <w:rFonts w:hint="eastAsia" w:ascii="黑体" w:hAnsi="黑体" w:eastAsia="黑体" w:cs="黑体"/>
          <w:b/>
          <w:bCs/>
          <w:sz w:val="24"/>
          <w:szCs w:val="24"/>
          <w:highlight w:val="none"/>
        </w:rPr>
        <w:t>审核标准</w:t>
      </w:r>
      <w:bookmarkEnd w:id="11"/>
    </w:p>
    <w:p>
      <w:pPr>
        <w:adjustRightInd w:val="0"/>
        <w:snapToGrid w:val="0"/>
        <w:spacing w:before="120" w:beforeLines="50" w:after="120" w:afterLines="50" w:line="400" w:lineRule="exact"/>
        <w:ind w:firstLine="422" w:firstLineChars="200"/>
        <w:rPr>
          <w:rFonts w:ascii="黑体" w:hAnsi="黑体" w:eastAsia="黑体" w:cs="黑体"/>
          <w:b/>
          <w:iCs w:val="0"/>
          <w:szCs w:val="21"/>
          <w:highlight w:val="none"/>
        </w:rPr>
      </w:pPr>
      <w:r>
        <w:rPr>
          <w:rFonts w:ascii="黑体" w:hAnsi="黑体" w:eastAsia="黑体" w:cs="黑体"/>
          <w:b/>
          <w:iCs w:val="0"/>
          <w:szCs w:val="21"/>
          <w:highlight w:val="none"/>
        </w:rPr>
        <w:t>4.1总则（适用于各标段）</w:t>
      </w:r>
    </w:p>
    <w:p>
      <w:pPr>
        <w:adjustRightInd w:val="0"/>
        <w:snapToGrid w:val="0"/>
        <w:ind w:firstLine="422" w:firstLineChars="200"/>
        <w:rPr>
          <w:rFonts w:ascii="宋体" w:hAnsi="Arial" w:cs="宋体"/>
          <w:b/>
          <w:i/>
          <w:color w:val="FF0000"/>
          <w:kern w:val="0"/>
          <w:szCs w:val="21"/>
          <w:lang w:val="zh-CN"/>
        </w:rPr>
      </w:pPr>
      <w:r>
        <w:rPr>
          <w:rFonts w:hAnsi="Arial"/>
          <w:b/>
          <w:iCs/>
          <w:szCs w:val="21"/>
        </w:rPr>
        <w:t>对于参加国家电网有限公司供应商资质能力信息核实的申请人：</w:t>
      </w:r>
      <w:r>
        <w:rPr>
          <w:rFonts w:hint="eastAsia" w:ascii="Times New Roman" w:hAnsi="Times New Roman" w:cs="Times New Roman"/>
          <w:iCs/>
          <w:color w:val="FF0000"/>
          <w:szCs w:val="21"/>
          <w:lang w:eastAsia="zh-CN"/>
        </w:rPr>
        <w:t>（</w:t>
      </w:r>
      <w:r>
        <w:rPr>
          <w:rFonts w:hint="eastAsia" w:ascii="Times New Roman" w:hAnsi="Times New Roman" w:cs="Times New Roman"/>
          <w:iCs/>
          <w:color w:val="FF0000"/>
          <w:szCs w:val="21"/>
          <w:lang w:val="en-US" w:eastAsia="zh-CN"/>
        </w:rPr>
        <w:t>本公告及文件中所提及的资质业绩凭证单均特指2024年度柱上断路器供应商资质能力核实所产生的资质业绩凭证单，</w:t>
      </w:r>
      <w:r>
        <w:rPr>
          <w:rFonts w:hint="eastAsia" w:ascii="Times New Roman" w:hAnsi="Times New Roman" w:cs="Times New Roman"/>
          <w:iCs/>
          <w:color w:val="FF0000"/>
          <w:szCs w:val="21"/>
          <w:lang w:eastAsia="zh-CN"/>
        </w:rPr>
        <w:t>本资格预审项目仅接受申请人应用</w:t>
      </w:r>
      <w:r>
        <w:rPr>
          <w:rFonts w:hint="eastAsia" w:ascii="Times New Roman" w:hAnsi="Times New Roman" w:cs="Times New Roman"/>
          <w:iCs/>
          <w:color w:val="FF0000"/>
          <w:szCs w:val="21"/>
          <w:lang w:val="en-US" w:eastAsia="zh-CN"/>
        </w:rPr>
        <w:t>2024年度柱上断路器资质业绩凭证单，请申请人注意，不要误提供其他年度或其他物资品类的资质业绩凭证单，如提供其他年度或其他物资品类的资质业绩凭证单，将按未提供处理</w:t>
      </w:r>
      <w:r>
        <w:rPr>
          <w:rFonts w:hint="eastAsia" w:ascii="Times New Roman" w:hAnsi="Times New Roman" w:cs="Times New Roman"/>
          <w:iCs/>
          <w:color w:val="FF0000"/>
          <w:szCs w:val="21"/>
          <w:lang w:eastAsia="zh-CN"/>
        </w:rPr>
        <w:t>）</w:t>
      </w:r>
    </w:p>
    <w:p>
      <w:pPr>
        <w:adjustRightInd w:val="0"/>
        <w:snapToGrid w:val="0"/>
        <w:spacing w:line="400" w:lineRule="exact"/>
        <w:ind w:firstLine="420" w:firstLineChars="200"/>
        <w:rPr>
          <w:b/>
          <w:bCs/>
        </w:rPr>
      </w:pPr>
      <w:r>
        <w:rPr>
          <w:rFonts w:hint="eastAsia" w:ascii="Times New Roman" w:hAnsi="Times New Roman" w:cs="Times New Roman"/>
          <w:iCs/>
          <w:szCs w:val="21"/>
          <w:lang w:eastAsia="zh-CN"/>
        </w:rPr>
        <w:t>（</w:t>
      </w:r>
      <w:r>
        <w:rPr>
          <w:rFonts w:hint="eastAsia" w:ascii="Times New Roman" w:hAnsi="Times New Roman" w:cs="Times New Roman"/>
          <w:iCs/>
          <w:szCs w:val="21"/>
          <w:lang w:val="en-US" w:eastAsia="zh-CN"/>
        </w:rPr>
        <w:t>1</w:t>
      </w:r>
      <w:r>
        <w:rPr>
          <w:rFonts w:hint="eastAsia" w:ascii="Times New Roman" w:hAnsi="Times New Roman" w:cs="Times New Roman"/>
          <w:iCs/>
          <w:szCs w:val="21"/>
          <w:lang w:eastAsia="zh-CN"/>
        </w:rPr>
        <w:t>）</w:t>
      </w:r>
      <w:r>
        <w:rPr>
          <w:rFonts w:hint="default" w:ascii="Times New Roman" w:hAnsi="Times New Roman" w:cs="Times New Roman"/>
          <w:iCs/>
          <w:szCs w:val="21"/>
        </w:rPr>
        <w:t>应按要求在国家电网有限公司电</w:t>
      </w:r>
      <w:r>
        <w:rPr>
          <w:rFonts w:hAnsi="Arial"/>
          <w:iCs/>
          <w:szCs w:val="21"/>
        </w:rPr>
        <w:t>子商务平台</w:t>
      </w:r>
      <w:r>
        <w:rPr>
          <w:rFonts w:hint="eastAsia" w:hAnsi="Arial"/>
          <w:iCs/>
          <w:szCs w:val="21"/>
        </w:rPr>
        <w:t>（以下简称“</w:t>
      </w:r>
      <w:r>
        <w:rPr>
          <w:rFonts w:hint="default" w:ascii="Times New Roman" w:hAnsi="Times New Roman" w:cs="Times New Roman"/>
          <w:iCs/>
          <w:szCs w:val="21"/>
        </w:rPr>
        <w:t>ECP2.0系统</w:t>
      </w:r>
      <w:r>
        <w:rPr>
          <w:rFonts w:hint="eastAsia" w:hAnsi="Arial"/>
          <w:iCs/>
          <w:szCs w:val="21"/>
        </w:rPr>
        <w:t>”）</w:t>
      </w:r>
      <w:r>
        <w:rPr>
          <w:rFonts w:hAnsi="Arial"/>
          <w:iCs/>
          <w:szCs w:val="21"/>
        </w:rPr>
        <w:t>中生成资质业绩凭证单（以下简称</w:t>
      </w:r>
      <w:r>
        <w:rPr>
          <w:rFonts w:hint="eastAsia" w:hAnsi="Arial"/>
          <w:iCs/>
          <w:szCs w:val="21"/>
        </w:rPr>
        <w:t>“</w:t>
      </w:r>
      <w:r>
        <w:rPr>
          <w:rFonts w:hAnsi="Arial"/>
          <w:iCs/>
          <w:szCs w:val="21"/>
        </w:rPr>
        <w:t>凭证单</w:t>
      </w:r>
      <w:r>
        <w:rPr>
          <w:rFonts w:hint="eastAsia" w:hAnsi="Arial"/>
          <w:iCs/>
          <w:szCs w:val="21"/>
        </w:rPr>
        <w:t>”</w:t>
      </w:r>
      <w:r>
        <w:rPr>
          <w:rFonts w:hAnsi="Arial"/>
          <w:iCs/>
          <w:szCs w:val="21"/>
        </w:rPr>
        <w:t>）并在投标工具</w:t>
      </w:r>
      <w:r>
        <w:rPr>
          <w:iCs/>
          <w:szCs w:val="21"/>
        </w:rPr>
        <w:t>-</w:t>
      </w:r>
      <w:r>
        <w:rPr>
          <w:rFonts w:hAnsi="Arial"/>
          <w:iCs/>
          <w:szCs w:val="21"/>
        </w:rPr>
        <w:t>资质业绩文件处上传提交</w:t>
      </w:r>
      <w:r>
        <w:rPr>
          <w:rFonts w:hint="eastAsia" w:hAnsi="Arial"/>
          <w:iCs/>
          <w:szCs w:val="21"/>
          <w:lang w:eastAsia="zh-CN"/>
        </w:rPr>
        <w:t>（</w:t>
      </w:r>
      <w:r>
        <w:rPr>
          <w:rFonts w:hint="eastAsia" w:hAnsi="Arial"/>
          <w:iCs/>
          <w:szCs w:val="21"/>
          <w:lang w:val="en-US" w:eastAsia="zh-CN"/>
        </w:rPr>
        <w:t>详见附件一：关于投标人应用资质业绩凭证投标的说明、附件二、资格预审申请文件介质及上传端口补充说明</w:t>
      </w:r>
      <w:r>
        <w:rPr>
          <w:rFonts w:hint="eastAsia" w:hAnsi="Arial"/>
          <w:iCs/>
          <w:szCs w:val="21"/>
          <w:lang w:eastAsia="zh-CN"/>
        </w:rPr>
        <w:t>）</w:t>
      </w:r>
      <w:r>
        <w:rPr>
          <w:rFonts w:hAnsi="Arial"/>
          <w:iCs/>
          <w:szCs w:val="21"/>
        </w:rPr>
        <w:t>。凭证单载明的有效已核实数据将作为评审依据，不需提供支持证明文件。</w:t>
      </w:r>
      <w:r>
        <w:rPr>
          <w:rFonts w:hint="eastAsia"/>
          <w:b/>
          <w:bCs/>
        </w:rPr>
        <w:t>未提供（上传）凭证单的申请人，其申请将被否决。</w:t>
      </w:r>
    </w:p>
    <w:p>
      <w:pPr>
        <w:adjustRightInd w:val="0"/>
        <w:snapToGrid w:val="0"/>
        <w:spacing w:line="400" w:lineRule="exact"/>
        <w:ind w:firstLine="420" w:firstLineChars="200"/>
        <w:rPr>
          <w:rFonts w:hint="default" w:ascii="Times New Roman" w:hAnsi="Times New Roman" w:cs="Times New Roman"/>
          <w:iCs/>
          <w:szCs w:val="21"/>
        </w:rPr>
      </w:pPr>
      <w:r>
        <w:rPr>
          <w:rFonts w:hint="eastAsia" w:ascii="Times New Roman" w:hAnsi="Times New Roman" w:cs="Times New Roman"/>
          <w:iCs/>
          <w:szCs w:val="21"/>
          <w:lang w:val="en-US" w:eastAsia="zh-CN"/>
        </w:rPr>
        <w:t>（2）</w:t>
      </w:r>
      <w:r>
        <w:rPr>
          <w:rFonts w:hint="default" w:ascii="Times New Roman" w:hAnsi="Times New Roman" w:cs="Times New Roman"/>
          <w:iCs/>
          <w:szCs w:val="21"/>
        </w:rPr>
        <w:t>业绩以凭证单载明的已核实数据为准，其他业绩及其支持证明文件无需编入申请文件，编入的不作评审。</w:t>
      </w:r>
    </w:p>
    <w:p>
      <w:pPr>
        <w:adjustRightInd w:val="0"/>
        <w:snapToGrid w:val="0"/>
        <w:spacing w:line="400" w:lineRule="exact"/>
        <w:ind w:firstLine="420" w:firstLineChars="200"/>
        <w:rPr>
          <w:rFonts w:hint="default" w:ascii="Times New Roman" w:hAnsi="Times New Roman" w:cs="Times New Roman"/>
          <w:iCs/>
          <w:szCs w:val="21"/>
        </w:rPr>
      </w:pPr>
      <w:r>
        <w:rPr>
          <w:rFonts w:hint="eastAsia" w:ascii="Times New Roman" w:hAnsi="Times New Roman" w:cs="Times New Roman"/>
          <w:iCs/>
          <w:szCs w:val="21"/>
          <w:lang w:eastAsia="zh-CN"/>
        </w:rPr>
        <w:t>（</w:t>
      </w:r>
      <w:r>
        <w:rPr>
          <w:rFonts w:hint="eastAsia" w:ascii="Times New Roman" w:hAnsi="Times New Roman" w:cs="Times New Roman"/>
          <w:iCs/>
          <w:szCs w:val="21"/>
          <w:lang w:val="en-US" w:eastAsia="zh-CN"/>
        </w:rPr>
        <w:t>3</w:t>
      </w:r>
      <w:r>
        <w:rPr>
          <w:rFonts w:hint="eastAsia" w:ascii="Times New Roman" w:hAnsi="Times New Roman" w:cs="Times New Roman"/>
          <w:iCs/>
          <w:szCs w:val="21"/>
          <w:lang w:eastAsia="zh-CN"/>
        </w:rPr>
        <w:t>）</w:t>
      </w:r>
      <w:r>
        <w:rPr>
          <w:rFonts w:hint="default" w:ascii="Times New Roman" w:hAnsi="Times New Roman" w:cs="Times New Roman"/>
          <w:iCs/>
          <w:szCs w:val="21"/>
        </w:rPr>
        <w:t>除供货业绩外需要更新补充已核实范围外相关报告、证书、生产试验设备、生产厂房的，应提交对应支持证明文件扫描件。补充报告（出具时间）、证书（出具时间）、生产试验设备（销售合同签订时间）、生产厂房（</w:t>
      </w:r>
      <w:r>
        <w:rPr>
          <w:rFonts w:hint="default" w:ascii="Times New Roman" w:hAnsi="Times New Roman" w:cs="Times New Roman"/>
        </w:rPr>
        <w:t>土地使用权证或房屋产权证出具时间</w:t>
      </w:r>
      <w:r>
        <w:rPr>
          <w:rFonts w:hint="default" w:ascii="Times New Roman" w:hAnsi="Times New Roman" w:cs="Times New Roman"/>
          <w:iCs/>
          <w:szCs w:val="21"/>
        </w:rPr>
        <w:t>）仅接受</w:t>
      </w:r>
      <w:r>
        <w:rPr>
          <w:rFonts w:hint="default" w:ascii="Times New Roman" w:hAnsi="Times New Roman" w:cs="Times New Roman"/>
          <w:b/>
          <w:iCs/>
          <w:szCs w:val="21"/>
        </w:rPr>
        <w:t>202</w:t>
      </w:r>
      <w:r>
        <w:rPr>
          <w:rFonts w:hint="default" w:ascii="Times New Roman" w:hAnsi="Times New Roman" w:cs="Times New Roman"/>
          <w:b/>
          <w:iCs/>
          <w:szCs w:val="21"/>
          <w:lang w:val="en-US" w:eastAsia="zh-CN"/>
        </w:rPr>
        <w:t>4</w:t>
      </w:r>
      <w:r>
        <w:rPr>
          <w:rFonts w:hint="default" w:ascii="Times New Roman" w:hAnsi="Times New Roman" w:cs="Times New Roman"/>
          <w:b/>
          <w:iCs/>
          <w:szCs w:val="21"/>
        </w:rPr>
        <w:t>年</w:t>
      </w:r>
      <w:r>
        <w:rPr>
          <w:rFonts w:hint="default" w:ascii="Times New Roman" w:hAnsi="Times New Roman" w:cs="Times New Roman"/>
          <w:b/>
          <w:iCs/>
          <w:szCs w:val="21"/>
          <w:lang w:eastAsia="zh-CN"/>
        </w:rPr>
        <w:t>3月29日</w:t>
      </w:r>
      <w:r>
        <w:rPr>
          <w:rFonts w:hint="default" w:ascii="Times New Roman" w:hAnsi="Times New Roman" w:cs="Times New Roman"/>
          <w:iCs/>
          <w:szCs w:val="21"/>
        </w:rPr>
        <w:t>之后出具的支持证明文件扫描件。</w:t>
      </w:r>
    </w:p>
    <w:p>
      <w:pPr>
        <w:adjustRightInd w:val="0"/>
        <w:snapToGrid w:val="0"/>
        <w:spacing w:line="400" w:lineRule="exact"/>
        <w:ind w:firstLine="420" w:firstLineChars="200"/>
        <w:rPr>
          <w:rFonts w:ascii="宋体" w:hAnsi="Arial" w:cs="宋体"/>
          <w:b/>
          <w:i/>
          <w:color w:val="FF0000"/>
          <w:kern w:val="0"/>
          <w:szCs w:val="21"/>
          <w:highlight w:val="yellow"/>
          <w:lang w:val="zh-CN"/>
        </w:rPr>
      </w:pPr>
      <w:r>
        <w:rPr>
          <w:rFonts w:hint="eastAsia" w:ascii="Times New Roman" w:hAnsi="Times New Roman" w:cs="Times New Roman"/>
          <w:iCs/>
          <w:szCs w:val="21"/>
          <w:lang w:val="en-US" w:eastAsia="zh-CN"/>
        </w:rPr>
        <w:t>（4）</w:t>
      </w:r>
      <w:r>
        <w:rPr>
          <w:rFonts w:hint="default" w:ascii="Times New Roman" w:hAnsi="Times New Roman" w:cs="Times New Roman"/>
          <w:iCs/>
          <w:szCs w:val="21"/>
        </w:rPr>
        <w:t>核实范围外的补充内容制作在申请文件中提交。</w:t>
      </w:r>
    </w:p>
    <w:p>
      <w:pPr>
        <w:adjustRightInd w:val="0"/>
        <w:snapToGrid w:val="0"/>
        <w:spacing w:line="400" w:lineRule="exact"/>
        <w:ind w:firstLine="422" w:firstLineChars="200"/>
        <w:rPr>
          <w:rFonts w:hAnsi="Arial"/>
          <w:b/>
          <w:iCs/>
          <w:szCs w:val="21"/>
        </w:rPr>
      </w:pPr>
      <w:r>
        <w:rPr>
          <w:rFonts w:hAnsi="Arial"/>
          <w:b/>
          <w:iCs/>
          <w:szCs w:val="21"/>
        </w:rPr>
        <w:t>对于未参加国家电网有限公司供应商资质能力信息核实的申请人：</w:t>
      </w:r>
    </w:p>
    <w:p>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Times New Roman" w:hAnsi="Times New Roman" w:eastAsia="宋体" w:cs="Times New Roman"/>
          <w:b w:val="0"/>
          <w:bCs w:val="0"/>
          <w:iCs/>
          <w:sz w:val="21"/>
          <w:szCs w:val="21"/>
          <w:highlight w:val="none"/>
        </w:rPr>
      </w:pPr>
      <w:r>
        <w:rPr>
          <w:rFonts w:hint="eastAsia" w:ascii="Times New Roman" w:hAnsi="Times New Roman" w:eastAsia="宋体" w:cs="Times New Roman"/>
          <w:b w:val="0"/>
          <w:bCs w:val="0"/>
          <w:iCs/>
          <w:sz w:val="21"/>
          <w:szCs w:val="21"/>
          <w:highlight w:val="none"/>
        </w:rPr>
        <w:t>（1）需要按《资质业绩信息集中应答文件》格式填写应答文件表格，并提供对应支持证明材料。</w:t>
      </w:r>
    </w:p>
    <w:p>
      <w:pPr>
        <w:adjustRightInd w:val="0"/>
        <w:snapToGrid w:val="0"/>
        <w:spacing w:line="400" w:lineRule="exact"/>
        <w:ind w:firstLine="420" w:firstLineChars="200"/>
        <w:rPr>
          <w:rFonts w:hint="eastAsia" w:ascii="Times New Roman" w:hAnsi="Times New Roman" w:eastAsia="宋体" w:cs="Times New Roman"/>
          <w:b w:val="0"/>
          <w:bCs w:val="0"/>
          <w:iCs/>
          <w:sz w:val="21"/>
          <w:szCs w:val="21"/>
          <w:highlight w:val="none"/>
        </w:rPr>
      </w:pPr>
      <w:r>
        <w:rPr>
          <w:rFonts w:hint="eastAsia" w:ascii="Times New Roman" w:hAnsi="Times New Roman" w:eastAsia="宋体" w:cs="Times New Roman"/>
          <w:b w:val="0"/>
          <w:bCs w:val="0"/>
          <w:iCs/>
          <w:sz w:val="21"/>
          <w:szCs w:val="21"/>
          <w:highlight w:val="none"/>
        </w:rPr>
        <w:t>（2）应按第四章资格预审文件格式要求制作《</w:t>
      </w:r>
      <w:r>
        <w:rPr>
          <w:rFonts w:hAnsi="Arial"/>
          <w:iCs/>
          <w:szCs w:val="21"/>
        </w:rPr>
        <w:t>供应商未参加资质能力核实说明文件及承诺函</w:t>
      </w:r>
      <w:r>
        <w:rPr>
          <w:rFonts w:hint="eastAsia" w:ascii="Times New Roman" w:hAnsi="Times New Roman" w:eastAsia="宋体" w:cs="Times New Roman"/>
          <w:b w:val="0"/>
          <w:bCs w:val="0"/>
          <w:iCs/>
          <w:sz w:val="21"/>
          <w:szCs w:val="21"/>
          <w:highlight w:val="none"/>
        </w:rPr>
        <w:t>》并提交。</w:t>
      </w:r>
    </w:p>
    <w:p>
      <w:pPr>
        <w:adjustRightInd w:val="0"/>
        <w:snapToGrid w:val="0"/>
        <w:spacing w:before="120" w:beforeLines="50" w:after="120" w:afterLines="50" w:line="400" w:lineRule="exact"/>
        <w:ind w:firstLine="422" w:firstLineChars="200"/>
        <w:rPr>
          <w:rFonts w:ascii="黑体" w:hAnsi="黑体" w:eastAsia="黑体" w:cs="黑体"/>
          <w:b/>
          <w:szCs w:val="21"/>
          <w:highlight w:val="none"/>
        </w:rPr>
      </w:pPr>
      <w:r>
        <w:rPr>
          <w:rFonts w:ascii="黑体" w:hAnsi="黑体" w:eastAsia="黑体" w:cs="黑体"/>
          <w:b/>
          <w:szCs w:val="21"/>
          <w:highlight w:val="none"/>
        </w:rPr>
        <w:t>4.</w:t>
      </w:r>
      <w:r>
        <w:rPr>
          <w:rFonts w:hint="eastAsia" w:ascii="黑体" w:hAnsi="黑体" w:eastAsia="黑体" w:cs="黑体"/>
          <w:b/>
          <w:szCs w:val="21"/>
          <w:highlight w:val="none"/>
          <w:lang w:val="en-US" w:eastAsia="zh-CN"/>
        </w:rPr>
        <w:t>2</w:t>
      </w:r>
      <w:r>
        <w:rPr>
          <w:rFonts w:ascii="黑体" w:hAnsi="黑体" w:eastAsia="黑体" w:cs="黑体"/>
          <w:b/>
          <w:szCs w:val="21"/>
          <w:highlight w:val="none"/>
        </w:rPr>
        <w:t>.</w:t>
      </w:r>
      <w:r>
        <w:rPr>
          <w:rFonts w:hint="eastAsia" w:ascii="黑体" w:hAnsi="黑体" w:eastAsia="黑体" w:cs="黑体"/>
          <w:b/>
          <w:szCs w:val="21"/>
          <w:highlight w:val="none"/>
        </w:rPr>
        <w:t>业绩审核标准</w:t>
      </w:r>
    </w:p>
    <w:p>
      <w:pPr>
        <w:spacing w:line="400" w:lineRule="exact"/>
        <w:ind w:firstLine="420" w:firstLineChars="200"/>
        <w:rPr>
          <w:rFonts w:hint="default" w:ascii="Times New Roman" w:hAnsi="Times New Roman" w:eastAsia="宋体" w:cs="Times New Roman"/>
          <w:b/>
          <w:bCs/>
          <w:iCs/>
          <w:szCs w:val="21"/>
          <w:highlight w:val="none"/>
        </w:rPr>
      </w:pPr>
      <w:r>
        <w:rPr>
          <w:rFonts w:hint="default" w:ascii="Times New Roman" w:hAnsi="Times New Roman" w:eastAsia="宋体" w:cs="Times New Roman"/>
          <w:iCs/>
          <w:szCs w:val="21"/>
          <w:highlight w:val="none"/>
        </w:rPr>
        <w:t>4.</w:t>
      </w:r>
      <w:r>
        <w:rPr>
          <w:rFonts w:hint="default" w:ascii="Times New Roman" w:hAnsi="Times New Roman" w:eastAsia="宋体" w:cs="Times New Roman"/>
          <w:iCs/>
          <w:szCs w:val="21"/>
          <w:highlight w:val="none"/>
          <w:lang w:val="en-US" w:eastAsia="zh-CN"/>
        </w:rPr>
        <w:t>2</w:t>
      </w:r>
      <w:r>
        <w:rPr>
          <w:rFonts w:hint="default" w:ascii="Times New Roman" w:hAnsi="Times New Roman" w:eastAsia="宋体" w:cs="Times New Roman"/>
          <w:iCs/>
          <w:szCs w:val="21"/>
          <w:highlight w:val="none"/>
        </w:rPr>
        <w:t>.1.有效供货业绩时间范围：</w:t>
      </w:r>
      <w:r>
        <w:rPr>
          <w:rFonts w:hint="default" w:ascii="Times New Roman" w:hAnsi="Times New Roman" w:eastAsia="宋体" w:cs="Times New Roman"/>
          <w:b/>
          <w:bCs/>
          <w:iCs/>
          <w:szCs w:val="21"/>
          <w:highlight w:val="none"/>
        </w:rPr>
        <w:t>2021年01月01日至2023年12月31日</w:t>
      </w:r>
      <w:r>
        <w:rPr>
          <w:rFonts w:hint="default" w:ascii="Times New Roman" w:hAnsi="Times New Roman" w:eastAsia="宋体" w:cs="Times New Roman"/>
          <w:b/>
          <w:bCs/>
          <w:szCs w:val="21"/>
          <w:highlight w:val="none"/>
        </w:rPr>
        <w:t>。</w:t>
      </w:r>
      <w:r>
        <w:rPr>
          <w:rFonts w:hint="default" w:ascii="Times New Roman" w:hAnsi="Times New Roman" w:eastAsia="宋体" w:cs="Times New Roman"/>
          <w:iCs/>
          <w:szCs w:val="21"/>
          <w:highlight w:val="none"/>
        </w:rPr>
        <w:t>资格预审申请人提供的有效期间内合同业绩数量应满足专用资质条件要求。</w:t>
      </w:r>
      <w:r>
        <w:rPr>
          <w:rFonts w:hint="default" w:ascii="Times New Roman" w:hAnsi="Times New Roman" w:eastAsia="宋体" w:cs="Times New Roman"/>
          <w:b/>
          <w:bCs/>
          <w:iCs/>
          <w:szCs w:val="21"/>
          <w:highlight w:val="none"/>
        </w:rPr>
        <w:t>业绩计算以合同签订时间为准</w:t>
      </w:r>
      <w:r>
        <w:rPr>
          <w:rFonts w:hint="default" w:ascii="Times New Roman" w:hAnsi="Times New Roman" w:eastAsia="宋体" w:cs="Times New Roman"/>
          <w:b/>
          <w:bCs/>
          <w:szCs w:val="21"/>
          <w:highlight w:val="none"/>
        </w:rPr>
        <w:t>，业绩数量（金额）计算以提供发票为准</w:t>
      </w:r>
      <w:r>
        <w:rPr>
          <w:rFonts w:hint="default" w:ascii="Times New Roman" w:hAnsi="Times New Roman" w:eastAsia="宋体" w:cs="Times New Roman"/>
          <w:b/>
          <w:bCs/>
          <w:iCs/>
          <w:szCs w:val="21"/>
          <w:highlight w:val="none"/>
        </w:rPr>
        <w:t>。</w:t>
      </w:r>
    </w:p>
    <w:p>
      <w:pPr>
        <w:spacing w:line="400" w:lineRule="exact"/>
        <w:ind w:firstLine="420" w:firstLineChars="200"/>
        <w:rPr>
          <w:rFonts w:hint="default" w:ascii="Times New Roman" w:hAnsi="Times New Roman" w:eastAsia="宋体" w:cs="Times New Roman"/>
          <w:highlight w:val="none"/>
        </w:rPr>
      </w:pPr>
      <w:r>
        <w:rPr>
          <w:rFonts w:hint="default" w:ascii="Times New Roman" w:hAnsi="Times New Roman" w:eastAsia="宋体" w:cs="Times New Roman"/>
          <w:iCs/>
          <w:szCs w:val="21"/>
          <w:highlight w:val="none"/>
        </w:rPr>
        <w:t>4.</w:t>
      </w:r>
      <w:r>
        <w:rPr>
          <w:rFonts w:hint="default" w:ascii="Times New Roman" w:hAnsi="Times New Roman" w:eastAsia="宋体" w:cs="Times New Roman"/>
          <w:iCs/>
          <w:szCs w:val="21"/>
          <w:highlight w:val="none"/>
          <w:lang w:val="en-US" w:eastAsia="zh-CN"/>
        </w:rPr>
        <w:t>2</w:t>
      </w:r>
      <w:r>
        <w:rPr>
          <w:rFonts w:hint="default" w:ascii="Times New Roman" w:hAnsi="Times New Roman" w:eastAsia="宋体" w:cs="Times New Roman"/>
          <w:iCs/>
          <w:szCs w:val="21"/>
          <w:highlight w:val="none"/>
        </w:rPr>
        <w:t>.</w:t>
      </w:r>
      <w:r>
        <w:rPr>
          <w:rFonts w:hint="default" w:ascii="Times New Roman" w:hAnsi="Times New Roman" w:eastAsia="宋体" w:cs="Times New Roman"/>
          <w:iCs/>
          <w:szCs w:val="21"/>
          <w:highlight w:val="none"/>
          <w:lang w:val="en-US" w:eastAsia="zh-CN"/>
        </w:rPr>
        <w:t>2</w:t>
      </w:r>
      <w:r>
        <w:rPr>
          <w:rFonts w:hint="default" w:ascii="Times New Roman" w:hAnsi="Times New Roman" w:eastAsia="宋体" w:cs="Times New Roman"/>
          <w:iCs/>
          <w:szCs w:val="21"/>
          <w:highlight w:val="none"/>
        </w:rPr>
        <w:t>.</w:t>
      </w:r>
      <w:r>
        <w:rPr>
          <w:rFonts w:hint="default" w:ascii="Times New Roman" w:hAnsi="Times New Roman" w:eastAsia="宋体" w:cs="Times New Roman"/>
          <w:highlight w:val="none"/>
        </w:rPr>
        <w:t>业绩数量按照物资类别计算，具体要求详见第一章资格预审公告3.</w:t>
      </w:r>
      <w:r>
        <w:rPr>
          <w:rFonts w:hint="default" w:ascii="Times New Roman" w:hAnsi="Times New Roman" w:eastAsia="宋体" w:cs="Times New Roman"/>
          <w:highlight w:val="none"/>
          <w:lang w:val="en-US" w:eastAsia="zh-CN"/>
        </w:rPr>
        <w:t>6</w:t>
      </w:r>
      <w:r>
        <w:rPr>
          <w:rFonts w:hint="default" w:ascii="Times New Roman" w:hAnsi="Times New Roman" w:eastAsia="宋体" w:cs="Times New Roman"/>
          <w:highlight w:val="none"/>
        </w:rPr>
        <w:t>各分标相关规定。</w:t>
      </w:r>
    </w:p>
    <w:p>
      <w:pPr>
        <w:spacing w:line="400" w:lineRule="exact"/>
        <w:ind w:firstLine="420" w:firstLineChars="200"/>
        <w:rPr>
          <w:rFonts w:hint="default" w:ascii="Times New Roman" w:hAnsi="Times New Roman" w:eastAsia="宋体" w:cs="Times New Roman"/>
          <w:iCs/>
          <w:szCs w:val="21"/>
          <w:highlight w:val="none"/>
        </w:rPr>
      </w:pPr>
      <w:r>
        <w:rPr>
          <w:rFonts w:hint="default" w:ascii="Times New Roman" w:hAnsi="Times New Roman" w:eastAsia="宋体" w:cs="Times New Roman"/>
          <w:iCs/>
          <w:szCs w:val="21"/>
          <w:highlight w:val="none"/>
        </w:rPr>
        <w:t>4.</w:t>
      </w:r>
      <w:r>
        <w:rPr>
          <w:rFonts w:hint="default" w:ascii="Times New Roman" w:hAnsi="Times New Roman" w:eastAsia="宋体" w:cs="Times New Roman"/>
          <w:iCs/>
          <w:szCs w:val="21"/>
          <w:highlight w:val="none"/>
          <w:lang w:val="en-US" w:eastAsia="zh-CN"/>
        </w:rPr>
        <w:t>2</w:t>
      </w:r>
      <w:r>
        <w:rPr>
          <w:rFonts w:hint="default" w:ascii="Times New Roman" w:hAnsi="Times New Roman" w:eastAsia="宋体" w:cs="Times New Roman"/>
          <w:iCs/>
          <w:szCs w:val="21"/>
          <w:highlight w:val="none"/>
        </w:rPr>
        <w:t>.</w:t>
      </w:r>
      <w:r>
        <w:rPr>
          <w:rFonts w:hint="default" w:ascii="Times New Roman" w:hAnsi="Times New Roman" w:eastAsia="宋体" w:cs="Times New Roman"/>
          <w:iCs/>
          <w:szCs w:val="21"/>
          <w:highlight w:val="none"/>
          <w:lang w:val="en-US" w:eastAsia="zh-CN"/>
        </w:rPr>
        <w:t>3</w:t>
      </w:r>
      <w:r>
        <w:rPr>
          <w:rFonts w:hint="default" w:ascii="Times New Roman" w:hAnsi="Times New Roman" w:eastAsia="宋体" w:cs="Times New Roman"/>
          <w:iCs/>
          <w:szCs w:val="21"/>
          <w:highlight w:val="none"/>
        </w:rPr>
        <w:t>.</w:t>
      </w:r>
      <w:r>
        <w:rPr>
          <w:rFonts w:hint="default" w:ascii="Times New Roman" w:hAnsi="Times New Roman" w:eastAsia="宋体" w:cs="Times New Roman"/>
          <w:highlight w:val="none"/>
        </w:rPr>
        <w:t>供货业绩合同供货方和实际产品生产方必须为同一申请人。</w:t>
      </w:r>
    </w:p>
    <w:p>
      <w:pPr>
        <w:spacing w:line="400" w:lineRule="exact"/>
        <w:ind w:firstLine="420" w:firstLineChars="200"/>
        <w:rPr>
          <w:rFonts w:hint="default" w:ascii="Times New Roman" w:hAnsi="Times New Roman" w:eastAsia="宋体" w:cs="Times New Roman"/>
          <w:highlight w:val="none"/>
        </w:rPr>
      </w:pPr>
      <w:r>
        <w:rPr>
          <w:rFonts w:hint="default" w:ascii="Times New Roman" w:hAnsi="Times New Roman" w:eastAsia="宋体" w:cs="Times New Roman"/>
          <w:iCs/>
          <w:szCs w:val="21"/>
          <w:highlight w:val="none"/>
        </w:rPr>
        <w:t>4.</w:t>
      </w:r>
      <w:r>
        <w:rPr>
          <w:rFonts w:hint="default" w:ascii="Times New Roman" w:hAnsi="Times New Roman" w:eastAsia="宋体" w:cs="Times New Roman"/>
          <w:iCs/>
          <w:szCs w:val="21"/>
          <w:highlight w:val="none"/>
          <w:lang w:val="en-US" w:eastAsia="zh-CN"/>
        </w:rPr>
        <w:t>2</w:t>
      </w:r>
      <w:r>
        <w:rPr>
          <w:rFonts w:hint="default" w:ascii="Times New Roman" w:hAnsi="Times New Roman" w:eastAsia="宋体" w:cs="Times New Roman"/>
          <w:iCs/>
          <w:szCs w:val="21"/>
          <w:highlight w:val="none"/>
        </w:rPr>
        <w:t>.</w:t>
      </w:r>
      <w:r>
        <w:rPr>
          <w:rFonts w:hint="default" w:ascii="Times New Roman" w:hAnsi="Times New Roman" w:eastAsia="宋体" w:cs="Times New Roman"/>
          <w:iCs/>
          <w:szCs w:val="21"/>
          <w:highlight w:val="none"/>
          <w:lang w:val="en-US" w:eastAsia="zh-CN"/>
        </w:rPr>
        <w:t>4</w:t>
      </w:r>
      <w:r>
        <w:rPr>
          <w:rFonts w:hint="default" w:ascii="Times New Roman" w:hAnsi="Times New Roman" w:eastAsia="宋体" w:cs="Times New Roman"/>
          <w:iCs/>
          <w:szCs w:val="21"/>
          <w:highlight w:val="none"/>
        </w:rPr>
        <w:t>.</w:t>
      </w:r>
      <w:r>
        <w:rPr>
          <w:rFonts w:hint="default" w:ascii="Times New Roman" w:hAnsi="Times New Roman" w:eastAsia="宋体" w:cs="Times New Roman"/>
          <w:highlight w:val="none"/>
        </w:rPr>
        <w:t>业绩不认可的有（包括但不限于）：</w:t>
      </w:r>
    </w:p>
    <w:p>
      <w:pPr>
        <w:spacing w:line="400" w:lineRule="exact"/>
        <w:ind w:left="420" w:leftChars="200" w:firstLine="420" w:firstLineChars="200"/>
        <w:rPr>
          <w:rFonts w:hint="default" w:ascii="Times New Roman" w:hAnsi="Times New Roman" w:eastAsia="宋体" w:cs="Times New Roman"/>
          <w:iCs/>
          <w:szCs w:val="21"/>
          <w:highlight w:val="none"/>
        </w:rPr>
      </w:pPr>
      <w:r>
        <w:rPr>
          <w:rFonts w:hint="default" w:ascii="Times New Roman" w:hAnsi="Times New Roman" w:eastAsia="宋体" w:cs="Times New Roman"/>
          <w:iCs/>
          <w:szCs w:val="21"/>
          <w:highlight w:val="none"/>
        </w:rPr>
        <w:t>a.与</w:t>
      </w:r>
      <w:r>
        <w:rPr>
          <w:rFonts w:hint="default" w:ascii="Times New Roman" w:hAnsi="Times New Roman" w:eastAsia="宋体" w:cs="Times New Roman"/>
          <w:highlight w:val="none"/>
        </w:rPr>
        <w:t>同类产品制造厂之间的业绩；</w:t>
      </w:r>
    </w:p>
    <w:p>
      <w:pPr>
        <w:spacing w:line="400" w:lineRule="exact"/>
        <w:ind w:left="420" w:leftChars="200" w:firstLine="420" w:firstLineChars="200"/>
        <w:rPr>
          <w:rFonts w:hint="default" w:ascii="Times New Roman" w:hAnsi="Times New Roman" w:eastAsia="宋体" w:cs="Times New Roman"/>
          <w:iCs/>
          <w:szCs w:val="21"/>
          <w:highlight w:val="none"/>
        </w:rPr>
      </w:pPr>
      <w:r>
        <w:rPr>
          <w:rFonts w:hint="default" w:ascii="Times New Roman" w:hAnsi="Times New Roman" w:eastAsia="宋体" w:cs="Times New Roman"/>
          <w:iCs/>
          <w:szCs w:val="21"/>
          <w:highlight w:val="none"/>
        </w:rPr>
        <w:t>b.在试验室或试验站的业绩；</w:t>
      </w:r>
    </w:p>
    <w:p>
      <w:pPr>
        <w:spacing w:line="400" w:lineRule="exact"/>
        <w:ind w:left="420" w:leftChars="200" w:firstLine="420" w:firstLineChars="200"/>
        <w:rPr>
          <w:rFonts w:hint="default" w:ascii="Times New Roman" w:hAnsi="Times New Roman" w:eastAsia="宋体" w:cs="Times New Roman"/>
          <w:iCs/>
          <w:szCs w:val="21"/>
          <w:highlight w:val="none"/>
        </w:rPr>
      </w:pPr>
      <w:r>
        <w:rPr>
          <w:rFonts w:hint="default" w:ascii="Times New Roman" w:hAnsi="Times New Roman" w:eastAsia="宋体" w:cs="Times New Roman"/>
          <w:iCs/>
          <w:szCs w:val="21"/>
          <w:highlight w:val="none"/>
        </w:rPr>
        <w:t>c.与代理商之间的业绩（出口业绩除外）；</w:t>
      </w:r>
    </w:p>
    <w:p>
      <w:pPr>
        <w:spacing w:line="400" w:lineRule="exact"/>
        <w:ind w:left="420" w:leftChars="200" w:firstLine="420" w:firstLineChars="200"/>
        <w:rPr>
          <w:rFonts w:hint="default" w:ascii="Times New Roman" w:hAnsi="Times New Roman" w:eastAsia="宋体" w:cs="Times New Roman"/>
          <w:iCs/>
          <w:szCs w:val="21"/>
          <w:highlight w:val="yellow"/>
        </w:rPr>
      </w:pPr>
      <w:r>
        <w:rPr>
          <w:rFonts w:hint="default" w:ascii="Times New Roman" w:hAnsi="Times New Roman" w:eastAsia="宋体" w:cs="Times New Roman"/>
          <w:iCs/>
          <w:szCs w:val="21"/>
          <w:highlight w:val="none"/>
        </w:rPr>
        <w:t>d.与非最终用户（即业主单位或负责所供货物运行、生产的单位以外的主体）签订的供货合同</w:t>
      </w:r>
      <w:r>
        <w:rPr>
          <w:rFonts w:hint="eastAsia" w:ascii="Times New Roman" w:hAnsi="Times New Roman" w:eastAsia="宋体" w:cs="Times New Roman"/>
          <w:iCs/>
          <w:szCs w:val="21"/>
          <w:highlight w:val="none"/>
          <w:lang w:eastAsia="zh-CN"/>
        </w:rPr>
        <w:t>，</w:t>
      </w:r>
      <w:r>
        <w:rPr>
          <w:iCs/>
          <w:szCs w:val="21"/>
          <w:highlight w:val="none"/>
        </w:rPr>
        <w:t>但申请人作为外购外协方与配网成套设备的中标人签订的成套设备的供货合同除外；</w:t>
      </w:r>
    </w:p>
    <w:p>
      <w:pPr>
        <w:spacing w:line="400" w:lineRule="exact"/>
        <w:ind w:left="420" w:leftChars="200" w:firstLine="420" w:firstLineChars="200"/>
        <w:rPr>
          <w:rFonts w:hint="default" w:ascii="Times New Roman" w:hAnsi="Times New Roman" w:eastAsia="宋体" w:cs="Times New Roman"/>
          <w:highlight w:val="none"/>
        </w:rPr>
      </w:pPr>
      <w:r>
        <w:rPr>
          <w:rFonts w:hint="default" w:ascii="Times New Roman" w:hAnsi="Times New Roman" w:eastAsia="宋体" w:cs="Times New Roman"/>
          <w:iCs/>
          <w:szCs w:val="21"/>
          <w:highlight w:val="none"/>
        </w:rPr>
        <w:t>e.</w:t>
      </w:r>
      <w:r>
        <w:rPr>
          <w:rFonts w:hint="default" w:ascii="Times New Roman" w:hAnsi="Times New Roman" w:eastAsia="宋体" w:cs="Times New Roman"/>
          <w:highlight w:val="none"/>
        </w:rPr>
        <w:t>出口业绩的外贸合同、发票、报关单及对应产品型号等信息资料难以核实或不全的。</w:t>
      </w:r>
    </w:p>
    <w:p>
      <w:pPr>
        <w:pStyle w:val="8"/>
        <w:ind w:left="840" w:leftChars="400" w:firstLine="0"/>
        <w:rPr>
          <w:rFonts w:hint="default" w:ascii="Times New Roman" w:hAnsi="Times New Roman" w:eastAsia="宋体" w:cs="Times New Roman"/>
          <w:iCs/>
          <w:szCs w:val="21"/>
          <w:highlight w:val="none"/>
          <w:lang w:val="en-US" w:eastAsia="zh-CN"/>
        </w:rPr>
      </w:pPr>
      <w:r>
        <w:rPr>
          <w:rFonts w:hint="default" w:ascii="Times New Roman" w:hAnsi="Times New Roman" w:cs="Times New Roman"/>
          <w:iCs/>
          <w:szCs w:val="21"/>
          <w:highlight w:val="none"/>
          <w:lang w:val="en-US" w:eastAsia="zh-CN"/>
        </w:rPr>
        <w:t>f.</w:t>
      </w:r>
      <w:r>
        <w:rPr>
          <w:rFonts w:hint="default" w:ascii="Times New Roman" w:hAnsi="Times New Roman" w:cs="Times New Roman"/>
          <w:iCs/>
          <w:szCs w:val="21"/>
          <w:highlight w:val="none"/>
        </w:rPr>
        <w:t>作为元器件、组部件的业绩。</w:t>
      </w:r>
    </w:p>
    <w:p>
      <w:pPr>
        <w:spacing w:line="400" w:lineRule="exact"/>
        <w:ind w:firstLine="420" w:firstLineChars="200"/>
        <w:rPr>
          <w:rFonts w:hint="default" w:ascii="Times New Roman" w:hAnsi="Times New Roman" w:eastAsia="宋体" w:cs="Times New Roman"/>
          <w:iCs/>
          <w:szCs w:val="21"/>
          <w:highlight w:val="none"/>
        </w:rPr>
      </w:pPr>
      <w:r>
        <w:rPr>
          <w:rFonts w:hint="default" w:ascii="Times New Roman" w:hAnsi="Times New Roman" w:eastAsia="宋体" w:cs="Times New Roman"/>
          <w:iCs/>
          <w:szCs w:val="21"/>
          <w:highlight w:val="none"/>
        </w:rPr>
        <w:t>4.</w:t>
      </w:r>
      <w:r>
        <w:rPr>
          <w:rFonts w:hint="default" w:ascii="Times New Roman" w:hAnsi="Times New Roman" w:eastAsia="宋体" w:cs="Times New Roman"/>
          <w:iCs/>
          <w:szCs w:val="21"/>
          <w:highlight w:val="none"/>
          <w:lang w:val="en-US" w:eastAsia="zh-CN"/>
        </w:rPr>
        <w:t>2</w:t>
      </w:r>
      <w:r>
        <w:rPr>
          <w:rFonts w:hint="default" w:ascii="Times New Roman" w:hAnsi="Times New Roman" w:eastAsia="宋体" w:cs="Times New Roman"/>
          <w:iCs/>
          <w:szCs w:val="21"/>
          <w:highlight w:val="none"/>
        </w:rPr>
        <w:t>.</w:t>
      </w:r>
      <w:r>
        <w:rPr>
          <w:rFonts w:hint="default" w:ascii="Times New Roman" w:hAnsi="Times New Roman" w:eastAsia="宋体" w:cs="Times New Roman"/>
          <w:iCs/>
          <w:szCs w:val="21"/>
          <w:highlight w:val="none"/>
          <w:lang w:val="en-US" w:eastAsia="zh-CN"/>
        </w:rPr>
        <w:t>5</w:t>
      </w:r>
      <w:r>
        <w:rPr>
          <w:rFonts w:hint="default" w:ascii="Times New Roman" w:hAnsi="Times New Roman" w:eastAsia="宋体" w:cs="Times New Roman"/>
          <w:iCs/>
          <w:szCs w:val="21"/>
          <w:highlight w:val="none"/>
        </w:rPr>
        <w:t>.</w:t>
      </w:r>
      <w:r>
        <w:rPr>
          <w:rFonts w:hint="default" w:ascii="Times New Roman" w:hAnsi="Times New Roman" w:eastAsia="宋体" w:cs="Times New Roman"/>
          <w:highlight w:val="none"/>
        </w:rPr>
        <w:t>母公司与子公司之间、同一母公司下的各个子公司之间、存在控股关系的不同公司之间的业绩不能相互替代。</w:t>
      </w:r>
    </w:p>
    <w:p>
      <w:pPr>
        <w:spacing w:line="400" w:lineRule="exact"/>
        <w:ind w:firstLine="420" w:firstLineChars="200"/>
        <w:rPr>
          <w:rFonts w:hint="default" w:ascii="Times New Roman" w:hAnsi="Times New Roman" w:eastAsia="宋体" w:cs="Times New Roman"/>
          <w:highlight w:val="none"/>
        </w:rPr>
      </w:pPr>
      <w:r>
        <w:rPr>
          <w:rFonts w:hint="default" w:ascii="Times New Roman" w:hAnsi="Times New Roman" w:eastAsia="宋体" w:cs="Times New Roman"/>
          <w:iCs/>
          <w:szCs w:val="21"/>
          <w:highlight w:val="none"/>
        </w:rPr>
        <w:t>4.</w:t>
      </w:r>
      <w:r>
        <w:rPr>
          <w:rFonts w:hint="default" w:ascii="Times New Roman" w:hAnsi="Times New Roman" w:eastAsia="宋体" w:cs="Times New Roman"/>
          <w:iCs/>
          <w:szCs w:val="21"/>
          <w:highlight w:val="none"/>
          <w:lang w:val="en-US" w:eastAsia="zh-CN"/>
        </w:rPr>
        <w:t>2</w:t>
      </w:r>
      <w:r>
        <w:rPr>
          <w:rFonts w:hint="default" w:ascii="Times New Roman" w:hAnsi="Times New Roman" w:eastAsia="宋体" w:cs="Times New Roman"/>
          <w:iCs/>
          <w:szCs w:val="21"/>
          <w:highlight w:val="none"/>
        </w:rPr>
        <w:t>.</w:t>
      </w:r>
      <w:r>
        <w:rPr>
          <w:rFonts w:hint="default" w:ascii="Times New Roman" w:hAnsi="Times New Roman" w:eastAsia="宋体" w:cs="Times New Roman"/>
          <w:iCs/>
          <w:szCs w:val="21"/>
          <w:highlight w:val="none"/>
          <w:lang w:val="en-US" w:eastAsia="zh-CN"/>
        </w:rPr>
        <w:t>6</w:t>
      </w:r>
      <w:r>
        <w:rPr>
          <w:rFonts w:hint="default" w:ascii="Times New Roman" w:hAnsi="Times New Roman" w:eastAsia="宋体" w:cs="Times New Roman"/>
          <w:iCs/>
          <w:szCs w:val="21"/>
          <w:highlight w:val="none"/>
        </w:rPr>
        <w:t>.</w:t>
      </w:r>
      <w:r>
        <w:rPr>
          <w:rFonts w:hint="default" w:ascii="Times New Roman" w:hAnsi="Times New Roman" w:eastAsia="宋体" w:cs="Times New Roman"/>
          <w:highlight w:val="none"/>
        </w:rPr>
        <w:t>申请人如发生收购、重组、改制、合并、分立、名称变更等情况，须提供充分且合法、有效的证明材料，供资格审查委员会审查。</w:t>
      </w:r>
    </w:p>
    <w:p>
      <w:pPr>
        <w:spacing w:line="400" w:lineRule="exact"/>
        <w:ind w:firstLineChars="200"/>
        <w:rPr>
          <w:rFonts w:hint="default" w:ascii="Times New Roman" w:hAnsi="Times New Roman" w:eastAsia="宋体" w:cs="Times New Roman"/>
          <w:iCs/>
          <w:color w:val="auto"/>
          <w:szCs w:val="21"/>
          <w:highlight w:val="none"/>
          <w:lang w:eastAsia="zh-CN"/>
        </w:rPr>
      </w:pPr>
      <w:r>
        <w:rPr>
          <w:rFonts w:hint="default" w:ascii="Times New Roman" w:hAnsi="Times New Roman" w:eastAsia="宋体" w:cs="Times New Roman"/>
          <w:iCs/>
          <w:color w:val="auto"/>
          <w:szCs w:val="21"/>
          <w:highlight w:val="none"/>
        </w:rPr>
        <w:t>4.</w:t>
      </w:r>
      <w:r>
        <w:rPr>
          <w:rFonts w:hint="default" w:ascii="Times New Roman" w:hAnsi="Times New Roman" w:eastAsia="宋体" w:cs="Times New Roman"/>
          <w:iCs/>
          <w:color w:val="auto"/>
          <w:szCs w:val="21"/>
          <w:highlight w:val="none"/>
          <w:lang w:val="en-US" w:eastAsia="zh-CN"/>
        </w:rPr>
        <w:t>2</w:t>
      </w:r>
      <w:r>
        <w:rPr>
          <w:rFonts w:hint="default" w:ascii="Times New Roman" w:hAnsi="Times New Roman" w:eastAsia="宋体" w:cs="Times New Roman"/>
          <w:iCs/>
          <w:color w:val="auto"/>
          <w:szCs w:val="21"/>
          <w:highlight w:val="none"/>
        </w:rPr>
        <w:t>.7 收购其他企业，被收购企业注销的，收购方可继承被收购方的业绩</w:t>
      </w:r>
      <w:r>
        <w:rPr>
          <w:rFonts w:hint="default" w:ascii="Times New Roman" w:hAnsi="Times New Roman" w:eastAsia="宋体" w:cs="Times New Roman"/>
          <w:iCs/>
          <w:color w:val="auto"/>
          <w:szCs w:val="21"/>
          <w:highlight w:val="none"/>
          <w:lang w:eastAsia="zh-CN"/>
        </w:rPr>
        <w:t>。</w:t>
      </w:r>
    </w:p>
    <w:p>
      <w:pPr>
        <w:spacing w:line="400" w:lineRule="exact"/>
        <w:ind w:firstLineChars="200"/>
        <w:rPr>
          <w:rFonts w:hint="eastAsia" w:ascii="宋体" w:hAnsi="宋体" w:eastAsia="宋体" w:cs="宋体"/>
          <w:iCs/>
          <w:color w:val="auto"/>
          <w:szCs w:val="21"/>
          <w:highlight w:val="none"/>
        </w:rPr>
      </w:pPr>
      <w:r>
        <w:rPr>
          <w:rFonts w:hint="default" w:ascii="Times New Roman" w:hAnsi="Times New Roman" w:eastAsia="宋体" w:cs="Times New Roman"/>
          <w:iCs/>
          <w:color w:val="auto"/>
          <w:szCs w:val="21"/>
          <w:highlight w:val="none"/>
        </w:rPr>
        <w:t>4.</w:t>
      </w:r>
      <w:r>
        <w:rPr>
          <w:rFonts w:hint="default" w:ascii="Times New Roman" w:hAnsi="Times New Roman" w:eastAsia="宋体" w:cs="Times New Roman"/>
          <w:iCs/>
          <w:color w:val="auto"/>
          <w:szCs w:val="21"/>
          <w:highlight w:val="none"/>
          <w:lang w:val="en-US" w:eastAsia="zh-CN"/>
        </w:rPr>
        <w:t>2</w:t>
      </w:r>
      <w:r>
        <w:rPr>
          <w:rFonts w:hint="default" w:ascii="Times New Roman" w:hAnsi="Times New Roman" w:eastAsia="宋体" w:cs="Times New Roman"/>
          <w:iCs/>
          <w:color w:val="auto"/>
          <w:szCs w:val="21"/>
          <w:highlight w:val="none"/>
        </w:rPr>
        <w:t>.8.</w:t>
      </w:r>
      <w:r>
        <w:rPr>
          <w:rFonts w:hint="default" w:ascii="Times New Roman" w:hAnsi="Times New Roman" w:eastAsia="宋体" w:cs="Times New Roman"/>
          <w:b/>
          <w:bCs/>
          <w:iCs/>
          <w:color w:val="auto"/>
          <w:szCs w:val="21"/>
          <w:highlight w:val="none"/>
        </w:rPr>
        <w:t xml:space="preserve"> </w:t>
      </w:r>
      <w:r>
        <w:rPr>
          <w:rFonts w:hint="default" w:ascii="Times New Roman" w:hAnsi="Times New Roman" w:eastAsia="宋体" w:cs="Times New Roman"/>
          <w:b/>
          <w:bCs/>
          <w:iCs/>
          <w:szCs w:val="21"/>
        </w:rPr>
        <w:t>对于参加国家电网有限公司供应商资质能力信息核实的申请人，</w:t>
      </w:r>
      <w:r>
        <w:rPr>
          <w:rFonts w:hint="default" w:ascii="Times New Roman" w:hAnsi="Times New Roman" w:eastAsia="宋体" w:cs="Times New Roman"/>
          <w:iCs/>
          <w:szCs w:val="21"/>
        </w:rPr>
        <w:t>其业绩以资质业绩凭证单载明的已核实数据为准，不需提供支持文件，资质业绩凭证单载明的有效的已核实数据作为评审依据。核实时间段内的业绩支持文件无需编入资格预审申请文件，编入的不作评审。</w:t>
      </w:r>
    </w:p>
    <w:p>
      <w:pPr>
        <w:spacing w:line="400" w:lineRule="exact"/>
        <w:ind w:firstLineChars="200"/>
        <w:rPr>
          <w:rFonts w:hint="default" w:ascii="Times New Roman" w:hAnsi="Times New Roman" w:eastAsia="宋体" w:cs="Times New Roman"/>
          <w:iCs/>
          <w:color w:val="auto"/>
          <w:szCs w:val="21"/>
          <w:highlight w:val="none"/>
          <w:lang w:eastAsia="zh-CN"/>
        </w:rPr>
      </w:pPr>
      <w:r>
        <w:rPr>
          <w:rFonts w:hint="default" w:ascii="Times New Roman" w:hAnsi="Times New Roman" w:eastAsia="宋体" w:cs="Times New Roman"/>
          <w:iCs/>
          <w:color w:val="auto"/>
          <w:szCs w:val="21"/>
          <w:highlight w:val="none"/>
        </w:rPr>
        <w:t>4.</w:t>
      </w:r>
      <w:r>
        <w:rPr>
          <w:rFonts w:hint="default" w:ascii="Times New Roman" w:hAnsi="Times New Roman" w:eastAsia="宋体" w:cs="Times New Roman"/>
          <w:iCs/>
          <w:color w:val="auto"/>
          <w:szCs w:val="21"/>
          <w:highlight w:val="none"/>
          <w:lang w:val="en-US" w:eastAsia="zh-CN"/>
        </w:rPr>
        <w:t>2</w:t>
      </w:r>
      <w:r>
        <w:rPr>
          <w:rFonts w:hint="default" w:ascii="Times New Roman" w:hAnsi="Times New Roman" w:eastAsia="宋体" w:cs="Times New Roman"/>
          <w:iCs/>
          <w:color w:val="auto"/>
          <w:szCs w:val="21"/>
          <w:highlight w:val="none"/>
        </w:rPr>
        <w:t>.9.</w:t>
      </w:r>
      <w:r>
        <w:rPr>
          <w:rFonts w:hint="default" w:ascii="Times New Roman" w:hAnsi="Times New Roman" w:eastAsia="宋体" w:cs="Times New Roman"/>
          <w:b/>
          <w:bCs/>
          <w:iCs/>
          <w:color w:val="auto"/>
          <w:szCs w:val="21"/>
          <w:highlight w:val="none"/>
        </w:rPr>
        <w:t>对于未参加国家电网有限公司供应商资质能力信息核实的申请人</w:t>
      </w:r>
      <w:r>
        <w:rPr>
          <w:rFonts w:hint="eastAsia" w:ascii="Times New Roman" w:hAnsi="Times New Roman" w:eastAsia="宋体" w:cs="Times New Roman"/>
          <w:b/>
          <w:bCs/>
          <w:iCs/>
          <w:color w:val="auto"/>
          <w:szCs w:val="21"/>
          <w:highlight w:val="none"/>
          <w:lang w:eastAsia="zh-CN"/>
        </w:rPr>
        <w:t>，</w:t>
      </w:r>
      <w:r>
        <w:rPr>
          <w:rFonts w:hint="eastAsia" w:ascii="Times New Roman" w:hAnsi="Times New Roman" w:eastAsia="宋体" w:cs="Times New Roman"/>
          <w:b w:val="0"/>
          <w:bCs w:val="0"/>
          <w:iCs/>
          <w:color w:val="auto"/>
          <w:szCs w:val="21"/>
          <w:highlight w:val="none"/>
          <w:lang w:val="en-US" w:eastAsia="zh-CN"/>
        </w:rPr>
        <w:t>其</w:t>
      </w:r>
      <w:r>
        <w:rPr>
          <w:rFonts w:hint="default" w:ascii="Times New Roman" w:hAnsi="Times New Roman" w:eastAsia="宋体" w:cs="Times New Roman"/>
          <w:iCs/>
          <w:color w:val="auto"/>
          <w:szCs w:val="21"/>
          <w:highlight w:val="none"/>
        </w:rPr>
        <w:t>业绩支持证明材料要求：销售业绩必须提供对应的合同和发票扫描件，发票开具时间须在2021年01月01日至2024年</w:t>
      </w:r>
      <w:r>
        <w:rPr>
          <w:rFonts w:hint="default" w:ascii="Times New Roman" w:hAnsi="Times New Roman" w:eastAsia="宋体" w:cs="Times New Roman"/>
          <w:iCs/>
          <w:color w:val="auto"/>
          <w:szCs w:val="21"/>
          <w:highlight w:val="none"/>
          <w:lang w:eastAsia="zh-CN"/>
        </w:rPr>
        <w:t>3月29日</w:t>
      </w:r>
      <w:r>
        <w:rPr>
          <w:rFonts w:hint="default" w:ascii="Times New Roman" w:hAnsi="Times New Roman" w:eastAsia="宋体" w:cs="Times New Roman"/>
          <w:iCs/>
          <w:color w:val="auto"/>
          <w:szCs w:val="21"/>
          <w:highlight w:val="none"/>
        </w:rPr>
        <w:t>内，发票扫描件后须附通过国家税务总局全国增值税发票查验平台（网址：https://inv-veri.chinatax.gov.cn/）查验的发票结果截图，</w:t>
      </w:r>
      <w:r>
        <w:rPr>
          <w:rFonts w:hint="eastAsia" w:ascii="宋体" w:hAnsi="宋体" w:eastAsia="宋体" w:cs="宋体"/>
          <w:iCs/>
          <w:color w:val="auto"/>
          <w:szCs w:val="21"/>
          <w:highlight w:val="none"/>
        </w:rPr>
        <w:t>“一发票一截图”</w:t>
      </w:r>
      <w:r>
        <w:rPr>
          <w:rFonts w:hint="default" w:ascii="Times New Roman" w:hAnsi="Times New Roman" w:eastAsia="宋体" w:cs="Times New Roman"/>
          <w:iCs/>
          <w:color w:val="auto"/>
          <w:szCs w:val="21"/>
          <w:highlight w:val="none"/>
        </w:rPr>
        <w:t>，未提供对应发票查验结果截图或结果截图与平台查验结果不一致的发票金额（数量）不予认可。对于存在造假行为的申请人，将严格按照</w:t>
      </w:r>
      <w:r>
        <w:rPr>
          <w:rFonts w:hint="eastAsia" w:asciiTheme="minorEastAsia" w:hAnsiTheme="minorEastAsia" w:eastAsiaTheme="minorEastAsia" w:cstheme="minorEastAsia"/>
          <w:color w:val="000000" w:themeColor="text1"/>
          <w:sz w:val="21"/>
          <w:szCs w:val="22"/>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1"/>
          <w:szCs w:val="22"/>
          <w:highlight w:val="none"/>
          <w:lang w:eastAsia="zh-CN"/>
          <w14:textFill>
            <w14:solidFill>
              <w14:schemeClr w14:val="tx1"/>
            </w14:solidFill>
          </w14:textFill>
        </w:rPr>
        <w:t>国家电网有限公司供应商关系管理办法</w:t>
      </w:r>
      <w:r>
        <w:rPr>
          <w:rFonts w:hint="eastAsia" w:asciiTheme="minorEastAsia" w:hAnsiTheme="minorEastAsia" w:eastAsiaTheme="minorEastAsia" w:cstheme="minorEastAsia"/>
          <w:color w:val="000000" w:themeColor="text1"/>
          <w:sz w:val="21"/>
          <w:szCs w:val="22"/>
          <w:highlight w:val="none"/>
          <w14:textFill>
            <w14:solidFill>
              <w14:schemeClr w14:val="tx1"/>
            </w14:solidFill>
          </w14:textFill>
        </w:rPr>
        <w:t>》</w:t>
      </w:r>
      <w:r>
        <w:rPr>
          <w:rFonts w:hint="default" w:ascii="Times New Roman" w:hAnsi="Times New Roman" w:eastAsia="宋体" w:cs="Times New Roman"/>
          <w:iCs/>
          <w:color w:val="auto"/>
          <w:szCs w:val="21"/>
          <w:highlight w:val="none"/>
        </w:rPr>
        <w:t>进行处理。所有业绩支持证明材料内容须保证清晰、可辨认且不得遮盖、涂抹。合同扫描件可提供合同封面、签字页及其货物清册即可，合同封面、签字页及其货物清册须一一对应，按时间顺序由远及近排列合同及发票扫描件，并制定目录。</w:t>
      </w:r>
    </w:p>
    <w:p>
      <w:pPr>
        <w:adjustRightInd w:val="0"/>
        <w:snapToGrid w:val="0"/>
        <w:spacing w:before="120" w:beforeLines="50" w:after="120" w:afterLines="50" w:line="400" w:lineRule="exact"/>
        <w:ind w:firstLine="422" w:firstLineChars="200"/>
        <w:rPr>
          <w:rFonts w:ascii="黑体" w:hAnsi="黑体" w:eastAsia="黑体" w:cs="黑体"/>
          <w:b/>
          <w:szCs w:val="21"/>
          <w:highlight w:val="none"/>
        </w:rPr>
      </w:pPr>
      <w:r>
        <w:rPr>
          <w:rFonts w:ascii="黑体" w:hAnsi="黑体" w:eastAsia="黑体" w:cs="黑体"/>
          <w:b/>
          <w:szCs w:val="21"/>
          <w:highlight w:val="none"/>
        </w:rPr>
        <w:t>4.</w:t>
      </w:r>
      <w:r>
        <w:rPr>
          <w:rFonts w:hint="eastAsia" w:ascii="黑体" w:hAnsi="黑体" w:eastAsia="黑体" w:cs="黑体"/>
          <w:b/>
          <w:szCs w:val="21"/>
          <w:highlight w:val="none"/>
          <w:lang w:val="en-US" w:eastAsia="zh-CN"/>
        </w:rPr>
        <w:t>3</w:t>
      </w:r>
      <w:r>
        <w:rPr>
          <w:rFonts w:ascii="黑体" w:hAnsi="黑体" w:eastAsia="黑体" w:cs="黑体"/>
          <w:b/>
          <w:szCs w:val="21"/>
          <w:highlight w:val="none"/>
        </w:rPr>
        <w:tab/>
      </w:r>
      <w:r>
        <w:rPr>
          <w:rFonts w:hint="eastAsia" w:ascii="黑体" w:hAnsi="黑体" w:eastAsia="黑体" w:cs="黑体"/>
          <w:b/>
          <w:szCs w:val="21"/>
          <w:highlight w:val="none"/>
        </w:rPr>
        <w:t>试验报告审核标准</w:t>
      </w:r>
    </w:p>
    <w:p>
      <w:pPr>
        <w:spacing w:line="400" w:lineRule="exact"/>
        <w:ind w:firstLine="420" w:firstLineChars="200"/>
        <w:rPr>
          <w:rFonts w:hint="default" w:ascii="Times New Roman" w:hAnsi="Times New Roman" w:eastAsia="宋体" w:cs="Times New Roman"/>
          <w:highlight w:val="none"/>
        </w:rPr>
      </w:pPr>
      <w:r>
        <w:rPr>
          <w:rFonts w:hint="default" w:ascii="Times New Roman" w:hAnsi="Times New Roman" w:eastAsia="宋体" w:cs="Times New Roman"/>
          <w:iCs/>
          <w:szCs w:val="21"/>
          <w:highlight w:val="none"/>
        </w:rPr>
        <w:t>4.</w:t>
      </w:r>
      <w:r>
        <w:rPr>
          <w:rFonts w:hint="default" w:ascii="Times New Roman" w:hAnsi="Times New Roman" w:eastAsia="宋体" w:cs="Times New Roman"/>
          <w:iCs/>
          <w:szCs w:val="21"/>
          <w:highlight w:val="none"/>
          <w:lang w:val="en-US" w:eastAsia="zh-CN"/>
        </w:rPr>
        <w:t>3</w:t>
      </w:r>
      <w:r>
        <w:rPr>
          <w:rFonts w:hint="default" w:ascii="Times New Roman" w:hAnsi="Times New Roman" w:eastAsia="宋体" w:cs="Times New Roman"/>
          <w:iCs/>
          <w:szCs w:val="21"/>
          <w:highlight w:val="none"/>
        </w:rPr>
        <w:t>.1.</w:t>
      </w:r>
      <w:r>
        <w:rPr>
          <w:rFonts w:hint="default" w:ascii="Times New Roman" w:hAnsi="Times New Roman" w:eastAsia="宋体" w:cs="Times New Roman"/>
          <w:highlight w:val="none"/>
        </w:rPr>
        <w:t>申请人应按照资格业绩条件要求提供有效的试验（检验</w:t>
      </w:r>
      <w:r>
        <w:rPr>
          <w:rFonts w:hint="default" w:ascii="Times New Roman" w:hAnsi="Times New Roman" w:eastAsia="宋体" w:cs="Times New Roman"/>
          <w:highlight w:val="none"/>
          <w:lang w:val="en-US" w:eastAsia="zh-CN"/>
        </w:rPr>
        <w:t>/检测</w:t>
      </w:r>
      <w:r>
        <w:rPr>
          <w:rFonts w:hint="default" w:ascii="Times New Roman" w:hAnsi="Times New Roman" w:eastAsia="宋体" w:cs="Times New Roman"/>
          <w:highlight w:val="none"/>
        </w:rPr>
        <w:t>）报告，试验报告等具体要求详见第一章资格预审公告3.</w:t>
      </w:r>
      <w:r>
        <w:rPr>
          <w:rFonts w:hint="default" w:ascii="Times New Roman" w:hAnsi="Times New Roman" w:eastAsia="宋体" w:cs="Times New Roman"/>
          <w:highlight w:val="none"/>
          <w:lang w:val="en-US" w:eastAsia="zh-CN"/>
        </w:rPr>
        <w:t>6</w:t>
      </w:r>
      <w:r>
        <w:rPr>
          <w:rFonts w:hint="default" w:ascii="Times New Roman" w:hAnsi="Times New Roman" w:eastAsia="宋体" w:cs="Times New Roman"/>
          <w:highlight w:val="none"/>
        </w:rPr>
        <w:t>各分标相关规定。</w:t>
      </w:r>
      <w:r>
        <w:rPr>
          <w:rFonts w:hint="default" w:ascii="Times New Roman" w:hAnsi="Times New Roman" w:eastAsia="宋体" w:cs="Times New Roman"/>
          <w:iCs/>
          <w:color w:val="auto"/>
          <w:szCs w:val="21"/>
          <w:highlight w:val="none"/>
        </w:rPr>
        <w:t>关于试验报告出具机构详见招标人招投标交易平台信息系统中发布的相应产品供应商资质能力信息核实规范、核实指南。</w:t>
      </w:r>
    </w:p>
    <w:p>
      <w:pPr>
        <w:spacing w:line="400" w:lineRule="exact"/>
        <w:ind w:firstLine="420" w:firstLineChars="200"/>
        <w:rPr>
          <w:rFonts w:hint="default" w:ascii="Times New Roman" w:hAnsi="Times New Roman" w:eastAsia="宋体" w:cs="Times New Roman"/>
          <w:color w:val="auto"/>
          <w:szCs w:val="21"/>
          <w:highlight w:val="none"/>
        </w:rPr>
      </w:pPr>
      <w:bookmarkStart w:id="12" w:name="_Hlk72771312"/>
      <w:r>
        <w:rPr>
          <w:rFonts w:hint="default" w:ascii="Times New Roman" w:hAnsi="Times New Roman" w:eastAsia="宋体" w:cs="Times New Roman"/>
          <w:iCs/>
          <w:szCs w:val="21"/>
          <w:highlight w:val="none"/>
        </w:rPr>
        <w:t>4.</w:t>
      </w:r>
      <w:r>
        <w:rPr>
          <w:rFonts w:hint="default" w:ascii="Times New Roman" w:hAnsi="Times New Roman" w:eastAsia="宋体" w:cs="Times New Roman"/>
          <w:iCs/>
          <w:szCs w:val="21"/>
          <w:highlight w:val="none"/>
          <w:lang w:val="en-US" w:eastAsia="zh-CN"/>
        </w:rPr>
        <w:t>3</w:t>
      </w:r>
      <w:r>
        <w:rPr>
          <w:rFonts w:hint="default" w:ascii="Times New Roman" w:hAnsi="Times New Roman" w:eastAsia="宋体" w:cs="Times New Roman"/>
          <w:iCs/>
          <w:szCs w:val="21"/>
          <w:highlight w:val="none"/>
        </w:rPr>
        <w:t>.</w:t>
      </w:r>
      <w:r>
        <w:rPr>
          <w:rFonts w:hint="default" w:ascii="Times New Roman" w:hAnsi="Times New Roman" w:eastAsia="宋体" w:cs="Times New Roman"/>
          <w:iCs/>
          <w:szCs w:val="21"/>
          <w:highlight w:val="none"/>
          <w:lang w:val="en-US" w:eastAsia="zh-CN"/>
        </w:rPr>
        <w:t>2</w:t>
      </w:r>
      <w:r>
        <w:rPr>
          <w:rFonts w:hint="default" w:ascii="Times New Roman" w:hAnsi="Times New Roman" w:eastAsia="宋体" w:cs="Times New Roman"/>
          <w:iCs/>
          <w:color w:val="auto"/>
          <w:szCs w:val="21"/>
          <w:highlight w:val="none"/>
        </w:rPr>
        <w:t>.</w:t>
      </w:r>
      <w:r>
        <w:rPr>
          <w:rFonts w:hint="default" w:ascii="Times New Roman" w:hAnsi="Times New Roman" w:eastAsia="宋体" w:cs="Times New Roman"/>
          <w:color w:val="auto"/>
          <w:szCs w:val="21"/>
          <w:highlight w:val="none"/>
        </w:rPr>
        <w:t>试验（检</w:t>
      </w:r>
      <w:r>
        <w:rPr>
          <w:rFonts w:hint="default" w:ascii="Times New Roman" w:hAnsi="Times New Roman" w:eastAsia="宋体" w:cs="Times New Roman"/>
          <w:color w:val="auto"/>
          <w:szCs w:val="21"/>
          <w:highlight w:val="none"/>
          <w:lang w:eastAsia="zh-CN"/>
        </w:rPr>
        <w:t>验</w:t>
      </w:r>
      <w:r>
        <w:rPr>
          <w:rFonts w:hint="default" w:ascii="Times New Roman" w:hAnsi="Times New Roman" w:eastAsia="宋体" w:cs="Times New Roman"/>
          <w:color w:val="auto"/>
          <w:szCs w:val="21"/>
          <w:highlight w:val="none"/>
          <w:lang w:val="en-US" w:eastAsia="zh-CN"/>
        </w:rPr>
        <w:t>/检测</w:t>
      </w:r>
      <w:r>
        <w:rPr>
          <w:rFonts w:hint="default" w:ascii="Times New Roman" w:hAnsi="Times New Roman" w:eastAsia="宋体" w:cs="Times New Roman"/>
          <w:color w:val="auto"/>
          <w:szCs w:val="21"/>
          <w:highlight w:val="none"/>
        </w:rPr>
        <w:t>）报告检测项目、结果数据、检测有效期应符合相应产品最新国家或者行业标准的规定以及本次资格预审文件要求。国家、行业已经发布相应产品标准的，申请人须取得</w:t>
      </w:r>
      <w:r>
        <w:rPr>
          <w:rFonts w:hint="default" w:ascii="Times New Roman" w:hAnsi="Times New Roman" w:eastAsia="宋体" w:cs="Times New Roman"/>
          <w:iCs/>
          <w:color w:val="auto"/>
          <w:szCs w:val="21"/>
          <w:highlight w:val="none"/>
        </w:rPr>
        <w:t>国家授权的专业检测机构或者国际专业权威机构</w:t>
      </w:r>
      <w:r>
        <w:rPr>
          <w:rFonts w:hint="default" w:ascii="Times New Roman" w:hAnsi="Times New Roman" w:eastAsia="宋体" w:cs="Times New Roman"/>
          <w:color w:val="auto"/>
          <w:szCs w:val="21"/>
          <w:highlight w:val="none"/>
        </w:rPr>
        <w:t>出具的型式试验报告；国家、行业尚未发布相应产品标准的，申请人须取得</w:t>
      </w:r>
      <w:r>
        <w:rPr>
          <w:rFonts w:hint="default" w:ascii="Times New Roman" w:hAnsi="Times New Roman" w:eastAsia="宋体" w:cs="Times New Roman"/>
          <w:iCs/>
          <w:color w:val="auto"/>
          <w:szCs w:val="21"/>
          <w:highlight w:val="none"/>
        </w:rPr>
        <w:t>国家授权的专业检测机构或者国际专业权威机构</w:t>
      </w:r>
      <w:r>
        <w:rPr>
          <w:rFonts w:hint="default" w:ascii="Times New Roman" w:hAnsi="Times New Roman" w:eastAsia="宋体" w:cs="Times New Roman"/>
          <w:color w:val="auto"/>
          <w:szCs w:val="21"/>
          <w:highlight w:val="none"/>
        </w:rPr>
        <w:t>依据国家电网有限公司企业标准出具的检验检测报告。</w:t>
      </w:r>
    </w:p>
    <w:p>
      <w:pPr>
        <w:spacing w:line="400" w:lineRule="exact"/>
        <w:ind w:firstLineChars="200"/>
        <w:rPr>
          <w:rFonts w:hAnsi="Arial"/>
          <w:b/>
          <w:iCs/>
          <w:szCs w:val="21"/>
          <w:highlight w:val="yellow"/>
        </w:rPr>
      </w:pPr>
      <w:r>
        <w:rPr>
          <w:rFonts w:hint="default" w:ascii="Times New Roman" w:hAnsi="Times New Roman" w:eastAsia="宋体" w:cs="Times New Roman"/>
          <w:iCs/>
          <w:color w:val="auto"/>
          <w:szCs w:val="21"/>
          <w:highlight w:val="none"/>
        </w:rPr>
        <w:t>4.</w:t>
      </w:r>
      <w:r>
        <w:rPr>
          <w:rFonts w:hint="default" w:ascii="Times New Roman" w:hAnsi="Times New Roman" w:eastAsia="宋体" w:cs="Times New Roman"/>
          <w:iCs/>
          <w:color w:val="auto"/>
          <w:szCs w:val="21"/>
          <w:highlight w:val="none"/>
          <w:lang w:val="en-US" w:eastAsia="zh-CN"/>
        </w:rPr>
        <w:t>3</w:t>
      </w:r>
      <w:r>
        <w:rPr>
          <w:rFonts w:hint="default" w:ascii="Times New Roman" w:hAnsi="Times New Roman" w:eastAsia="宋体" w:cs="Times New Roman"/>
          <w:iCs/>
          <w:color w:val="auto"/>
          <w:szCs w:val="21"/>
          <w:highlight w:val="none"/>
        </w:rPr>
        <w:t>.3 资格预审申请文件中资</w:t>
      </w:r>
      <w:r>
        <w:rPr>
          <w:rFonts w:hint="eastAsia" w:ascii="宋体" w:hAnsi="宋体" w:eastAsia="宋体" w:cs="宋体"/>
          <w:iCs/>
          <w:color w:val="auto"/>
          <w:szCs w:val="21"/>
          <w:highlight w:val="none"/>
        </w:rPr>
        <w:t>质业绩凭证单</w:t>
      </w:r>
      <w:r>
        <w:rPr>
          <w:rFonts w:hint="eastAsia" w:ascii="宋体" w:hAnsi="宋体" w:eastAsia="宋体" w:cs="宋体"/>
          <w:iCs/>
          <w:color w:val="auto"/>
          <w:szCs w:val="21"/>
          <w:highlight w:val="none"/>
          <w:lang w:eastAsia="zh-CN"/>
        </w:rPr>
        <w:t>“</w:t>
      </w:r>
      <w:r>
        <w:rPr>
          <w:rFonts w:hint="eastAsia" w:ascii="宋体" w:hAnsi="宋体" w:eastAsia="宋体" w:cs="宋体"/>
          <w:iCs/>
          <w:color w:val="auto"/>
          <w:szCs w:val="21"/>
          <w:highlight w:val="none"/>
        </w:rPr>
        <w:t>有</w:t>
      </w:r>
      <w:r>
        <w:rPr>
          <w:rFonts w:hint="eastAsia" w:ascii="宋体" w:hAnsi="宋体" w:eastAsia="宋体" w:cs="宋体"/>
          <w:iCs/>
          <w:color w:val="auto"/>
          <w:szCs w:val="21"/>
          <w:highlight w:val="none"/>
          <w:lang w:eastAsia="zh-CN"/>
        </w:rPr>
        <w:t>”</w:t>
      </w:r>
      <w:r>
        <w:rPr>
          <w:rFonts w:hint="eastAsia" w:ascii="宋体" w:hAnsi="宋体" w:eastAsia="宋体" w:cs="宋体"/>
          <w:iCs/>
          <w:color w:val="auto"/>
          <w:szCs w:val="21"/>
          <w:highlight w:val="none"/>
        </w:rPr>
        <w:t>有</w:t>
      </w:r>
      <w:r>
        <w:rPr>
          <w:rFonts w:hint="eastAsia" w:hAnsi="宋体"/>
          <w:iCs/>
          <w:szCs w:val="21"/>
          <w:highlight w:val="none"/>
        </w:rPr>
        <w:t>已核实的</w:t>
      </w:r>
      <w:r>
        <w:rPr>
          <w:rFonts w:hint="eastAsia" w:ascii="宋体" w:hAnsi="宋体" w:eastAsia="宋体" w:cs="宋体"/>
          <w:iCs/>
          <w:color w:val="auto"/>
          <w:szCs w:val="21"/>
          <w:highlight w:val="none"/>
        </w:rPr>
        <w:t>试验报告记录且记载数据满足资格预审要求的，不需提供证明材料</w:t>
      </w:r>
      <w:r>
        <w:rPr>
          <w:rFonts w:hint="eastAsia" w:ascii="宋体" w:hAnsi="宋体" w:eastAsia="宋体" w:cs="宋体"/>
          <w:iCs/>
          <w:color w:val="auto"/>
          <w:szCs w:val="21"/>
          <w:highlight w:val="none"/>
          <w:lang w:eastAsia="zh-CN"/>
        </w:rPr>
        <w:t>扫描件</w:t>
      </w:r>
      <w:r>
        <w:rPr>
          <w:rFonts w:hint="eastAsia" w:ascii="宋体" w:hAnsi="宋体" w:eastAsia="宋体" w:cs="宋体"/>
          <w:iCs/>
          <w:color w:val="auto"/>
          <w:szCs w:val="21"/>
          <w:highlight w:val="none"/>
        </w:rPr>
        <w:t>。</w:t>
      </w:r>
      <w:r>
        <w:rPr>
          <w:rFonts w:hAnsi="宋体"/>
          <w:iCs/>
          <w:szCs w:val="21"/>
          <w:highlight w:val="none"/>
        </w:rPr>
        <w:t>资格预审申请文件中</w:t>
      </w:r>
      <w:r>
        <w:rPr>
          <w:rFonts w:hint="eastAsia" w:hAnsi="宋体"/>
          <w:iCs/>
          <w:szCs w:val="21"/>
          <w:highlight w:val="none"/>
        </w:rPr>
        <w:t>资质业绩凭证单“无”已核实的</w:t>
      </w:r>
      <w:r>
        <w:rPr>
          <w:rFonts w:hint="eastAsia" w:ascii="宋体" w:hAnsi="宋体" w:eastAsia="宋体" w:cs="宋体"/>
          <w:iCs/>
          <w:color w:val="auto"/>
          <w:szCs w:val="21"/>
          <w:highlight w:val="none"/>
        </w:rPr>
        <w:t>试验报告</w:t>
      </w:r>
      <w:r>
        <w:rPr>
          <w:rFonts w:hAnsi="宋体"/>
          <w:iCs/>
          <w:szCs w:val="21"/>
          <w:highlight w:val="none"/>
        </w:rPr>
        <w:t>记录</w:t>
      </w:r>
      <w:r>
        <w:rPr>
          <w:rFonts w:hint="eastAsia" w:hAnsi="宋体"/>
          <w:iCs/>
          <w:szCs w:val="21"/>
          <w:highlight w:val="none"/>
        </w:rPr>
        <w:t>或已核实的</w:t>
      </w:r>
      <w:r>
        <w:rPr>
          <w:rFonts w:hint="eastAsia" w:ascii="宋体" w:hAnsi="宋体" w:eastAsia="宋体" w:cs="宋体"/>
          <w:iCs/>
          <w:color w:val="auto"/>
          <w:szCs w:val="21"/>
          <w:highlight w:val="none"/>
        </w:rPr>
        <w:t>试验报告</w:t>
      </w:r>
      <w:r>
        <w:rPr>
          <w:rFonts w:hAnsi="宋体"/>
          <w:iCs/>
          <w:szCs w:val="21"/>
          <w:highlight w:val="none"/>
        </w:rPr>
        <w:t>记录记载数据</w:t>
      </w:r>
      <w:r>
        <w:rPr>
          <w:rFonts w:hint="eastAsia" w:hAnsi="宋体"/>
          <w:iCs/>
          <w:szCs w:val="21"/>
          <w:highlight w:val="none"/>
        </w:rPr>
        <w:t>不</w:t>
      </w:r>
      <w:r>
        <w:rPr>
          <w:rFonts w:hAnsi="宋体"/>
          <w:iCs/>
          <w:szCs w:val="21"/>
          <w:highlight w:val="none"/>
        </w:rPr>
        <w:t>满足资格预审要求须提供</w:t>
      </w:r>
      <w:r>
        <w:rPr>
          <w:rFonts w:hint="eastAsia" w:ascii="宋体" w:hAnsi="宋体" w:eastAsia="宋体" w:cs="宋体"/>
          <w:iCs/>
          <w:color w:val="auto"/>
          <w:szCs w:val="21"/>
          <w:highlight w:val="none"/>
        </w:rPr>
        <w:t>试验报告</w:t>
      </w:r>
      <w:r>
        <w:rPr>
          <w:rFonts w:hint="eastAsia" w:hAnsi="宋体"/>
          <w:iCs/>
          <w:szCs w:val="21"/>
          <w:highlight w:val="none"/>
        </w:rPr>
        <w:t>扫描件</w:t>
      </w:r>
      <w:r>
        <w:rPr>
          <w:rFonts w:hAnsi="宋体"/>
          <w:iCs/>
          <w:szCs w:val="21"/>
          <w:highlight w:val="none"/>
        </w:rPr>
        <w:t>。</w:t>
      </w:r>
      <w:r>
        <w:rPr>
          <w:rFonts w:hAnsi="Arial"/>
          <w:b/>
          <w:iCs/>
          <w:szCs w:val="21"/>
          <w:highlight w:val="none"/>
        </w:rPr>
        <w:t>对于未参加国家电网有限公司供应商资质能力信息核实的申请人</w:t>
      </w:r>
      <w:r>
        <w:rPr>
          <w:rFonts w:hint="eastAsia" w:hAnsi="Arial"/>
          <w:b/>
          <w:iCs/>
          <w:szCs w:val="21"/>
          <w:highlight w:val="none"/>
        </w:rPr>
        <w:t>，</w:t>
      </w:r>
      <w:r>
        <w:rPr>
          <w:rFonts w:hAnsi="Arial"/>
          <w:b/>
          <w:iCs/>
          <w:szCs w:val="21"/>
          <w:highlight w:val="none"/>
        </w:rPr>
        <w:t>须提供</w:t>
      </w:r>
      <w:r>
        <w:rPr>
          <w:rFonts w:hint="eastAsia" w:hAnsi="Arial"/>
          <w:b/>
          <w:iCs/>
          <w:szCs w:val="21"/>
          <w:highlight w:val="none"/>
        </w:rPr>
        <w:t>检验（检测）</w:t>
      </w:r>
      <w:r>
        <w:rPr>
          <w:rFonts w:hAnsi="Arial"/>
          <w:b/>
          <w:iCs/>
          <w:szCs w:val="21"/>
          <w:highlight w:val="none"/>
        </w:rPr>
        <w:t>报告</w:t>
      </w:r>
      <w:r>
        <w:rPr>
          <w:rFonts w:hint="eastAsia" w:hAnsi="Arial"/>
          <w:b/>
          <w:iCs/>
          <w:szCs w:val="21"/>
          <w:highlight w:val="none"/>
        </w:rPr>
        <w:t>扫描件</w:t>
      </w:r>
      <w:r>
        <w:rPr>
          <w:rFonts w:hAnsi="Arial"/>
          <w:b/>
          <w:iCs/>
          <w:szCs w:val="21"/>
          <w:highlight w:val="none"/>
        </w:rPr>
        <w:t>。</w:t>
      </w:r>
    </w:p>
    <w:p>
      <w:pPr>
        <w:pStyle w:val="8"/>
        <w:spacing w:line="400" w:lineRule="exact"/>
        <w:rPr>
          <w:rFonts w:hint="default" w:ascii="Times New Roman" w:hAnsi="Times New Roman" w:eastAsia="宋体" w:cs="Times New Roman"/>
          <w:iCs/>
          <w:color w:val="auto"/>
          <w:szCs w:val="21"/>
          <w:highlight w:val="none"/>
        </w:rPr>
      </w:pPr>
      <w:r>
        <w:rPr>
          <w:rFonts w:hint="default" w:ascii="Times New Roman" w:hAnsi="Times New Roman" w:eastAsia="宋体" w:cs="Times New Roman"/>
          <w:iCs/>
          <w:color w:val="auto"/>
          <w:szCs w:val="21"/>
          <w:highlight w:val="none"/>
        </w:rPr>
        <w:t>4.</w:t>
      </w:r>
      <w:r>
        <w:rPr>
          <w:rFonts w:hint="default" w:ascii="Times New Roman" w:hAnsi="Times New Roman" w:cs="Times New Roman"/>
          <w:iCs/>
          <w:color w:val="auto"/>
          <w:szCs w:val="21"/>
          <w:highlight w:val="none"/>
          <w:lang w:val="en-US" w:eastAsia="zh-CN"/>
        </w:rPr>
        <w:t>3</w:t>
      </w:r>
      <w:r>
        <w:rPr>
          <w:rFonts w:hint="default" w:ascii="Times New Roman" w:hAnsi="Times New Roman" w:eastAsia="宋体" w:cs="Times New Roman"/>
          <w:iCs/>
          <w:color w:val="auto"/>
          <w:szCs w:val="21"/>
          <w:highlight w:val="none"/>
        </w:rPr>
        <w:t>.4 报告证书的有效期将根据资格预审文件要求、国家电网有限公司相关采购标准进行评审。</w:t>
      </w:r>
    </w:p>
    <w:p>
      <w:pPr>
        <w:pStyle w:val="8"/>
        <w:spacing w:line="400" w:lineRule="exact"/>
        <w:rPr>
          <w:rFonts w:hint="default" w:ascii="Times New Roman" w:hAnsi="Times New Roman" w:eastAsia="宋体" w:cs="Times New Roman"/>
          <w:iCs/>
          <w:szCs w:val="21"/>
          <w:highlight w:val="yellow"/>
        </w:rPr>
      </w:pPr>
      <w:r>
        <w:rPr>
          <w:rFonts w:hint="default" w:ascii="Times New Roman" w:hAnsi="Times New Roman" w:eastAsia="宋体" w:cs="Times New Roman"/>
          <w:iCs/>
          <w:szCs w:val="21"/>
          <w:highlight w:val="none"/>
          <w:lang w:val="en-US" w:eastAsia="zh-CN"/>
        </w:rPr>
        <w:t>4.3.5</w:t>
      </w:r>
      <w:r>
        <w:rPr>
          <w:rFonts w:hint="default" w:ascii="Times New Roman" w:hAnsi="Times New Roman" w:eastAsia="宋体" w:cs="Times New Roman"/>
          <w:iCs/>
          <w:szCs w:val="21"/>
          <w:highlight w:val="none"/>
        </w:rPr>
        <w:t>不同电压等级型式试验报告不能互相替代。</w:t>
      </w:r>
    </w:p>
    <w:p>
      <w:pPr>
        <w:pStyle w:val="8"/>
        <w:spacing w:line="400" w:lineRule="exact"/>
        <w:rPr>
          <w:rFonts w:hint="default" w:ascii="Times New Roman" w:hAnsi="Times New Roman" w:eastAsia="宋体" w:cs="Times New Roman"/>
          <w:iCs/>
          <w:szCs w:val="21"/>
          <w:highlight w:val="none"/>
          <w:lang w:eastAsia="zh-CN"/>
        </w:rPr>
      </w:pPr>
      <w:r>
        <w:rPr>
          <w:rFonts w:hint="default" w:ascii="Times New Roman" w:hAnsi="Times New Roman" w:eastAsia="宋体" w:cs="Times New Roman"/>
          <w:iCs/>
          <w:szCs w:val="21"/>
          <w:highlight w:val="none"/>
          <w:lang w:val="en-US" w:eastAsia="zh-CN"/>
        </w:rPr>
        <w:t>4.3.6</w:t>
      </w:r>
      <w:r>
        <w:rPr>
          <w:rFonts w:hint="default" w:ascii="Times New Roman" w:hAnsi="Times New Roman" w:eastAsia="宋体" w:cs="Times New Roman"/>
          <w:iCs/>
          <w:szCs w:val="21"/>
          <w:highlight w:val="none"/>
        </w:rPr>
        <w:t>试验</w:t>
      </w:r>
      <w:r>
        <w:rPr>
          <w:rFonts w:hint="default" w:ascii="Times New Roman" w:hAnsi="Times New Roman" w:eastAsia="宋体" w:cs="Times New Roman"/>
          <w:iCs/>
          <w:szCs w:val="21"/>
          <w:highlight w:val="none"/>
          <w:lang w:eastAsia="zh-CN"/>
        </w:rPr>
        <w:t>（</w:t>
      </w:r>
      <w:r>
        <w:rPr>
          <w:rFonts w:hint="default" w:ascii="Times New Roman" w:hAnsi="Times New Roman" w:eastAsia="宋体" w:cs="Times New Roman"/>
          <w:iCs/>
          <w:szCs w:val="21"/>
          <w:highlight w:val="none"/>
          <w:lang w:val="en-US" w:eastAsia="zh-CN"/>
        </w:rPr>
        <w:t>检验/检测</w:t>
      </w:r>
      <w:r>
        <w:rPr>
          <w:rFonts w:hint="default" w:ascii="Times New Roman" w:hAnsi="Times New Roman" w:eastAsia="宋体" w:cs="Times New Roman"/>
          <w:iCs/>
          <w:szCs w:val="21"/>
          <w:highlight w:val="none"/>
          <w:lang w:eastAsia="zh-CN"/>
        </w:rPr>
        <w:t>）</w:t>
      </w:r>
      <w:r>
        <w:rPr>
          <w:rFonts w:hint="default" w:ascii="Times New Roman" w:hAnsi="Times New Roman" w:eastAsia="宋体" w:cs="Times New Roman"/>
          <w:iCs/>
          <w:szCs w:val="21"/>
          <w:highlight w:val="none"/>
        </w:rPr>
        <w:t>报告的委托方和产品制造方是申请人自身</w:t>
      </w:r>
      <w:r>
        <w:rPr>
          <w:rFonts w:hint="default" w:ascii="Times New Roman" w:hAnsi="Times New Roman" w:eastAsia="宋体" w:cs="Times New Roman"/>
          <w:iCs/>
          <w:szCs w:val="21"/>
          <w:highlight w:val="none"/>
          <w:lang w:eastAsia="zh-CN"/>
        </w:rPr>
        <w:t>。</w:t>
      </w:r>
    </w:p>
    <w:p>
      <w:pPr>
        <w:spacing w:line="400" w:lineRule="exact"/>
        <w:ind w:firstLine="420" w:firstLineChars="200"/>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lang w:val="en-US" w:eastAsia="zh-CN"/>
        </w:rPr>
        <w:t>4.3.7</w:t>
      </w:r>
      <w:r>
        <w:rPr>
          <w:rFonts w:hint="default" w:ascii="Times New Roman" w:hAnsi="Times New Roman" w:eastAsia="宋体" w:cs="Times New Roman"/>
          <w:color w:val="auto"/>
          <w:szCs w:val="21"/>
          <w:highlight w:val="none"/>
        </w:rPr>
        <w:t>各类试验</w:t>
      </w:r>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lang w:val="en-US" w:eastAsia="zh-CN"/>
        </w:rPr>
        <w:t>检验/检测</w:t>
      </w:r>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rPr>
        <w:t>报告均系针对具体型式规格产品</w:t>
      </w:r>
      <w:r>
        <w:rPr>
          <w:rFonts w:hint="default" w:ascii="Times New Roman" w:hAnsi="Times New Roman" w:eastAsia="宋体" w:cs="Times New Roman"/>
          <w:color w:val="auto"/>
          <w:szCs w:val="21"/>
          <w:highlight w:val="none"/>
          <w:lang w:eastAsia="zh-CN"/>
        </w:rPr>
        <w:t>。</w:t>
      </w:r>
    </w:p>
    <w:p>
      <w:pPr>
        <w:spacing w:line="400" w:lineRule="exact"/>
        <w:ind w:firstLine="420" w:firstLineChars="200"/>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lang w:val="en-US" w:eastAsia="zh-CN"/>
        </w:rPr>
        <w:t>4.3.8</w:t>
      </w:r>
      <w:r>
        <w:rPr>
          <w:rFonts w:hint="default" w:ascii="Times New Roman" w:hAnsi="Times New Roman" w:eastAsia="宋体" w:cs="Times New Roman"/>
          <w:color w:val="auto"/>
          <w:szCs w:val="21"/>
          <w:highlight w:val="none"/>
        </w:rPr>
        <w:t>外文报告必须提供经公证的中文译本</w:t>
      </w:r>
      <w:r>
        <w:rPr>
          <w:rFonts w:hint="default" w:ascii="Times New Roman" w:hAnsi="Times New Roman" w:eastAsia="宋体" w:cs="Times New Roman"/>
          <w:color w:val="auto"/>
          <w:szCs w:val="21"/>
          <w:highlight w:val="none"/>
          <w:lang w:eastAsia="zh-CN"/>
        </w:rPr>
        <w:t>。</w:t>
      </w:r>
    </w:p>
    <w:p>
      <w:pPr>
        <w:spacing w:line="400" w:lineRule="exact"/>
        <w:ind w:firstLine="420" w:firstLineChars="200"/>
        <w:rPr>
          <w:rFonts w:hint="eastAsia"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lang w:val="en-US" w:eastAsia="zh-CN"/>
        </w:rPr>
        <w:t>4.3.9</w:t>
      </w:r>
      <w:r>
        <w:rPr>
          <w:rFonts w:hint="default" w:ascii="Times New Roman" w:hAnsi="Times New Roman" w:eastAsia="宋体" w:cs="Times New Roman"/>
          <w:color w:val="auto"/>
          <w:szCs w:val="21"/>
          <w:highlight w:val="none"/>
        </w:rPr>
        <w:t>在后续招标</w:t>
      </w:r>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lang w:val="en-US" w:eastAsia="zh-CN"/>
        </w:rPr>
        <w:t>采购）</w:t>
      </w:r>
      <w:r>
        <w:rPr>
          <w:rFonts w:hint="default" w:ascii="Times New Roman" w:hAnsi="Times New Roman" w:eastAsia="宋体" w:cs="Times New Roman"/>
          <w:color w:val="auto"/>
          <w:szCs w:val="21"/>
          <w:highlight w:val="none"/>
        </w:rPr>
        <w:t>中，如招标</w:t>
      </w:r>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lang w:val="en-US" w:eastAsia="zh-CN"/>
        </w:rPr>
        <w:t>采购）</w:t>
      </w:r>
      <w:r>
        <w:rPr>
          <w:rFonts w:hint="default" w:ascii="Times New Roman" w:hAnsi="Times New Roman" w:eastAsia="宋体" w:cs="Times New Roman"/>
          <w:color w:val="auto"/>
          <w:szCs w:val="21"/>
          <w:highlight w:val="none"/>
        </w:rPr>
        <w:t>人在2.2物料清单外，增加特殊物料需求的，申请人按照招标</w:t>
      </w:r>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lang w:val="en-US" w:eastAsia="zh-CN"/>
        </w:rPr>
        <w:t>采购）</w:t>
      </w:r>
      <w:r>
        <w:rPr>
          <w:rFonts w:hint="default" w:ascii="Times New Roman" w:hAnsi="Times New Roman" w:eastAsia="宋体" w:cs="Times New Roman"/>
          <w:color w:val="auto"/>
          <w:szCs w:val="21"/>
          <w:highlight w:val="none"/>
        </w:rPr>
        <w:t>文件要求，在投标时或供货前补充相关试验报告</w:t>
      </w:r>
      <w:r>
        <w:rPr>
          <w:rFonts w:hint="eastAsia" w:ascii="Times New Roman" w:hAnsi="Times New Roman" w:eastAsia="宋体" w:cs="Times New Roman"/>
          <w:color w:val="auto"/>
          <w:szCs w:val="21"/>
          <w:highlight w:val="none"/>
          <w:lang w:eastAsia="zh-CN"/>
        </w:rPr>
        <w:t>。</w:t>
      </w:r>
    </w:p>
    <w:p>
      <w:pPr>
        <w:spacing w:line="400" w:lineRule="exact"/>
        <w:ind w:firstLine="42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lang w:val="en-US" w:eastAsia="zh-CN"/>
        </w:rPr>
        <w:t>4.3.10</w:t>
      </w:r>
      <w:r>
        <w:rPr>
          <w:rFonts w:hint="default" w:ascii="Times New Roman" w:hAnsi="Times New Roman" w:eastAsia="宋体" w:cs="Times New Roman"/>
          <w:color w:val="auto"/>
          <w:szCs w:val="21"/>
          <w:highlight w:val="none"/>
        </w:rPr>
        <w:t>补充报告（出具时间）仅接受2024年</w:t>
      </w:r>
      <w:r>
        <w:rPr>
          <w:rFonts w:hint="default" w:ascii="Times New Roman" w:hAnsi="Times New Roman" w:eastAsia="宋体" w:cs="Times New Roman"/>
          <w:color w:val="auto"/>
          <w:szCs w:val="21"/>
          <w:highlight w:val="none"/>
          <w:lang w:eastAsia="zh-CN"/>
        </w:rPr>
        <w:t>3月29日</w:t>
      </w:r>
      <w:r>
        <w:rPr>
          <w:rFonts w:hint="default" w:ascii="Times New Roman" w:hAnsi="Times New Roman" w:eastAsia="宋体" w:cs="Times New Roman"/>
          <w:color w:val="auto"/>
          <w:szCs w:val="21"/>
          <w:highlight w:val="none"/>
        </w:rPr>
        <w:t>之后出具的支持证明文件扫描件。</w:t>
      </w:r>
    </w:p>
    <w:bookmarkEnd w:id="12"/>
    <w:p>
      <w:pPr>
        <w:adjustRightInd w:val="0"/>
        <w:snapToGrid w:val="0"/>
        <w:spacing w:before="120" w:beforeLines="50" w:after="120" w:afterLines="50" w:line="400" w:lineRule="exact"/>
        <w:ind w:firstLine="422" w:firstLineChars="200"/>
        <w:rPr>
          <w:rFonts w:ascii="黑体" w:hAnsi="黑体" w:eastAsia="黑体" w:cs="黑体"/>
          <w:b/>
          <w:szCs w:val="21"/>
          <w:highlight w:val="none"/>
        </w:rPr>
      </w:pPr>
      <w:r>
        <w:rPr>
          <w:rFonts w:ascii="黑体" w:hAnsi="黑体" w:eastAsia="黑体" w:cs="黑体"/>
          <w:b/>
          <w:szCs w:val="21"/>
          <w:highlight w:val="none"/>
        </w:rPr>
        <w:t>4.</w:t>
      </w:r>
      <w:r>
        <w:rPr>
          <w:rFonts w:hint="eastAsia" w:ascii="黑体" w:hAnsi="黑体" w:eastAsia="黑体" w:cs="黑体"/>
          <w:b/>
          <w:szCs w:val="21"/>
          <w:highlight w:val="none"/>
          <w:lang w:val="en-US" w:eastAsia="zh-CN"/>
        </w:rPr>
        <w:t>4</w:t>
      </w:r>
      <w:r>
        <w:rPr>
          <w:rFonts w:ascii="黑体" w:hAnsi="黑体" w:eastAsia="黑体" w:cs="黑体"/>
          <w:b/>
          <w:szCs w:val="21"/>
          <w:highlight w:val="none"/>
        </w:rPr>
        <w:t>.</w:t>
      </w:r>
      <w:r>
        <w:rPr>
          <w:rFonts w:hint="eastAsia" w:ascii="黑体" w:hAnsi="黑体" w:eastAsia="黑体" w:cs="黑体"/>
          <w:b/>
          <w:szCs w:val="21"/>
          <w:highlight w:val="none"/>
        </w:rPr>
        <w:t>生产许可证或其他证书审核标准</w:t>
      </w:r>
    </w:p>
    <w:p>
      <w:pPr>
        <w:spacing w:line="400" w:lineRule="exact"/>
        <w:ind w:firstLine="420" w:firstLineChars="200"/>
        <w:rPr>
          <w:rFonts w:hint="eastAsia" w:ascii="宋体" w:hAnsi="宋体" w:eastAsia="宋体" w:cs="宋体"/>
          <w:iCs/>
          <w:szCs w:val="21"/>
          <w:highlight w:val="none"/>
        </w:rPr>
      </w:pPr>
      <w:r>
        <w:rPr>
          <w:rFonts w:hint="default" w:ascii="Times New Roman" w:hAnsi="Times New Roman" w:eastAsia="宋体" w:cs="Times New Roman"/>
          <w:iCs/>
          <w:szCs w:val="21"/>
          <w:highlight w:val="none"/>
        </w:rPr>
        <w:t>4.</w:t>
      </w:r>
      <w:r>
        <w:rPr>
          <w:rFonts w:hint="default" w:ascii="Times New Roman" w:hAnsi="Times New Roman" w:eastAsia="宋体" w:cs="Times New Roman"/>
          <w:iCs/>
          <w:szCs w:val="21"/>
          <w:highlight w:val="none"/>
          <w:lang w:val="en-US" w:eastAsia="zh-CN"/>
        </w:rPr>
        <w:t>4</w:t>
      </w:r>
      <w:r>
        <w:rPr>
          <w:rFonts w:hint="default" w:ascii="Times New Roman" w:hAnsi="Times New Roman" w:eastAsia="宋体" w:cs="Times New Roman"/>
          <w:iCs/>
          <w:szCs w:val="21"/>
          <w:highlight w:val="none"/>
        </w:rPr>
        <w:t>.1.</w:t>
      </w:r>
      <w:r>
        <w:rPr>
          <w:rFonts w:hint="eastAsia" w:ascii="宋体" w:hAnsi="宋体" w:eastAsia="宋体" w:cs="宋体"/>
          <w:iCs/>
          <w:szCs w:val="21"/>
          <w:highlight w:val="none"/>
        </w:rPr>
        <w:t>资格预审申请文件中资质业绩凭证单“有”已核实的生产许可证记录的，不需提供相关支持证明材料。资格预审申请文件中资质业绩凭证单“无”已核实的生产许可证记录或已核实的生产许可证记载数据不满足资格预审要求的须提供生产许可证扫描件。</w:t>
      </w:r>
      <w:r>
        <w:rPr>
          <w:rFonts w:hint="eastAsia" w:ascii="宋体" w:hAnsi="宋体" w:eastAsia="宋体" w:cs="宋体"/>
          <w:b/>
          <w:bCs/>
          <w:iCs/>
          <w:szCs w:val="21"/>
          <w:highlight w:val="none"/>
        </w:rPr>
        <w:t>对于未参加国家电网有限公司供应商资质能力信息核实的申请人，须提供生产许可证扫描件。</w:t>
      </w:r>
    </w:p>
    <w:p>
      <w:pPr>
        <w:spacing w:line="400" w:lineRule="exact"/>
        <w:ind w:firstLine="420" w:firstLineChars="200"/>
        <w:rPr>
          <w:rFonts w:hint="default" w:ascii="Times New Roman" w:hAnsi="Times New Roman" w:eastAsia="宋体" w:cs="Times New Roman"/>
          <w:iCs/>
          <w:szCs w:val="21"/>
          <w:highlight w:val="none"/>
        </w:rPr>
      </w:pPr>
      <w:r>
        <w:rPr>
          <w:rFonts w:hint="default" w:ascii="Times New Roman" w:hAnsi="Times New Roman" w:eastAsia="宋体" w:cs="Times New Roman"/>
          <w:iCs/>
          <w:szCs w:val="21"/>
          <w:highlight w:val="none"/>
        </w:rPr>
        <w:t>4.</w:t>
      </w:r>
      <w:r>
        <w:rPr>
          <w:rFonts w:hint="default" w:ascii="Times New Roman" w:hAnsi="Times New Roman" w:eastAsia="宋体" w:cs="Times New Roman"/>
          <w:iCs/>
          <w:szCs w:val="21"/>
          <w:highlight w:val="none"/>
          <w:lang w:val="en-US" w:eastAsia="zh-CN"/>
        </w:rPr>
        <w:t>4</w:t>
      </w:r>
      <w:r>
        <w:rPr>
          <w:rFonts w:hint="default" w:ascii="Times New Roman" w:hAnsi="Times New Roman" w:eastAsia="宋体" w:cs="Times New Roman"/>
          <w:iCs/>
          <w:szCs w:val="21"/>
          <w:highlight w:val="none"/>
        </w:rPr>
        <w:t>.2.关于生产许可证或其他证书具体要求详见第一章资格预审公告3.</w:t>
      </w:r>
      <w:r>
        <w:rPr>
          <w:rFonts w:hint="eastAsia" w:ascii="Times New Roman" w:hAnsi="Times New Roman" w:eastAsia="宋体" w:cs="Times New Roman"/>
          <w:iCs/>
          <w:szCs w:val="21"/>
          <w:highlight w:val="none"/>
          <w:lang w:val="en-US" w:eastAsia="zh-CN"/>
        </w:rPr>
        <w:t>6</w:t>
      </w:r>
      <w:r>
        <w:rPr>
          <w:rFonts w:hint="default" w:ascii="Times New Roman" w:hAnsi="Times New Roman" w:eastAsia="宋体" w:cs="Times New Roman"/>
          <w:iCs/>
          <w:szCs w:val="21"/>
          <w:highlight w:val="none"/>
        </w:rPr>
        <w:t>各分标相关规定。申请人提供的生产许可证应在有效期内，应与资格预审产品种类对应。需提供入网许可证等其他证书的，相关文件应覆盖资格预审产品种类，且在有效期内。</w:t>
      </w:r>
    </w:p>
    <w:p>
      <w:pPr>
        <w:spacing w:line="400" w:lineRule="exact"/>
        <w:ind w:firstLine="420" w:firstLineChars="200"/>
        <w:rPr>
          <w:rFonts w:hint="default" w:ascii="Times New Roman" w:hAnsi="Times New Roman" w:eastAsia="宋体" w:cs="Times New Roman"/>
          <w:iCs/>
          <w:szCs w:val="21"/>
          <w:highlight w:val="none"/>
        </w:rPr>
      </w:pPr>
      <w:r>
        <w:rPr>
          <w:rFonts w:hint="default" w:ascii="Times New Roman" w:hAnsi="Times New Roman" w:eastAsia="宋体" w:cs="Times New Roman"/>
          <w:iCs/>
          <w:szCs w:val="21"/>
          <w:highlight w:val="none"/>
          <w:lang w:val="en-US" w:eastAsia="zh-CN"/>
        </w:rPr>
        <w:t>4.4.3</w:t>
      </w:r>
      <w:r>
        <w:rPr>
          <w:rFonts w:hint="default" w:ascii="Times New Roman" w:hAnsi="Times New Roman" w:eastAsia="宋体" w:cs="Times New Roman"/>
          <w:iCs/>
          <w:szCs w:val="21"/>
          <w:highlight w:val="none"/>
        </w:rPr>
        <w:t>补充证书（出具时间）仅接受202</w:t>
      </w:r>
      <w:r>
        <w:rPr>
          <w:rFonts w:hint="default" w:ascii="Times New Roman" w:hAnsi="Times New Roman" w:eastAsia="宋体" w:cs="Times New Roman"/>
          <w:iCs/>
          <w:szCs w:val="21"/>
          <w:highlight w:val="none"/>
          <w:lang w:val="en-US" w:eastAsia="zh-CN"/>
        </w:rPr>
        <w:t>4</w:t>
      </w:r>
      <w:r>
        <w:rPr>
          <w:rFonts w:hint="default" w:ascii="Times New Roman" w:hAnsi="Times New Roman" w:eastAsia="宋体" w:cs="Times New Roman"/>
          <w:iCs/>
          <w:szCs w:val="21"/>
          <w:highlight w:val="none"/>
        </w:rPr>
        <w:t>年</w:t>
      </w:r>
      <w:r>
        <w:rPr>
          <w:rFonts w:hint="default" w:ascii="Times New Roman" w:hAnsi="Times New Roman" w:eastAsia="宋体" w:cs="Times New Roman"/>
          <w:iCs/>
          <w:szCs w:val="21"/>
          <w:highlight w:val="none"/>
          <w:lang w:eastAsia="zh-CN"/>
        </w:rPr>
        <w:t>3月29日</w:t>
      </w:r>
      <w:r>
        <w:rPr>
          <w:rFonts w:hint="default" w:ascii="Times New Roman" w:hAnsi="Times New Roman" w:eastAsia="宋体" w:cs="Times New Roman"/>
          <w:iCs/>
          <w:szCs w:val="21"/>
          <w:highlight w:val="none"/>
        </w:rPr>
        <w:t>之后出具的支持证明文件扫描件。</w:t>
      </w:r>
    </w:p>
    <w:p>
      <w:pPr>
        <w:adjustRightInd w:val="0"/>
        <w:snapToGrid w:val="0"/>
        <w:spacing w:before="120" w:beforeLines="50" w:after="120" w:afterLines="50" w:line="400" w:lineRule="exact"/>
        <w:ind w:firstLine="422" w:firstLineChars="200"/>
        <w:rPr>
          <w:rFonts w:hint="eastAsia" w:ascii="黑体" w:hAnsi="黑体" w:eastAsia="黑体" w:cs="黑体"/>
          <w:b/>
          <w:szCs w:val="21"/>
          <w:highlight w:val="none"/>
          <w:lang w:eastAsia="zh-CN"/>
        </w:rPr>
      </w:pPr>
      <w:r>
        <w:rPr>
          <w:rFonts w:ascii="黑体" w:hAnsi="黑体" w:eastAsia="黑体" w:cs="黑体"/>
          <w:b/>
          <w:szCs w:val="21"/>
          <w:highlight w:val="none"/>
        </w:rPr>
        <w:t>4.</w:t>
      </w:r>
      <w:r>
        <w:rPr>
          <w:rFonts w:hint="eastAsia" w:ascii="黑体" w:hAnsi="黑体" w:eastAsia="黑体" w:cs="黑体"/>
          <w:b/>
          <w:szCs w:val="21"/>
          <w:highlight w:val="none"/>
          <w:lang w:val="en-US" w:eastAsia="zh-CN"/>
        </w:rPr>
        <w:t>5</w:t>
      </w:r>
      <w:r>
        <w:rPr>
          <w:rFonts w:ascii="黑体" w:hAnsi="黑体" w:eastAsia="黑体" w:cs="黑体"/>
          <w:b/>
          <w:szCs w:val="21"/>
          <w:highlight w:val="none"/>
        </w:rPr>
        <w:t>.</w:t>
      </w:r>
      <w:r>
        <w:rPr>
          <w:rFonts w:hint="eastAsia" w:ascii="黑体" w:hAnsi="黑体" w:eastAsia="黑体" w:cs="黑体"/>
          <w:b/>
          <w:szCs w:val="21"/>
          <w:highlight w:val="none"/>
        </w:rPr>
        <w:t>必要装备审核标准</w:t>
      </w:r>
    </w:p>
    <w:p>
      <w:pPr>
        <w:numPr>
          <w:ilvl w:val="-1"/>
          <w:numId w:val="0"/>
        </w:numPr>
        <w:adjustRightInd/>
        <w:snapToGrid/>
        <w:spacing w:before="0" w:beforeLines="-2147483648" w:after="0" w:afterLines="-2147483648" w:line="400" w:lineRule="exact"/>
        <w:ind w:firstLine="420" w:firstLineChars="200"/>
        <w:textAlignment w:val="auto"/>
        <w:rPr>
          <w:rFonts w:hint="eastAsia" w:ascii="Times New Roman" w:hAnsi="Times New Roman" w:eastAsia="宋体" w:cs="Times New Roman"/>
          <w:iCs/>
          <w:szCs w:val="21"/>
          <w:highlight w:val="none"/>
        </w:rPr>
      </w:pPr>
      <w:r>
        <w:rPr>
          <w:rFonts w:hint="default" w:ascii="Times New Roman" w:hAnsi="Times New Roman" w:eastAsia="宋体" w:cs="Times New Roman"/>
          <w:iCs/>
          <w:szCs w:val="21"/>
          <w:highlight w:val="none"/>
        </w:rPr>
        <w:t>4.</w:t>
      </w:r>
      <w:r>
        <w:rPr>
          <w:rFonts w:hint="default" w:ascii="Times New Roman" w:hAnsi="Times New Roman" w:eastAsia="宋体" w:cs="Times New Roman"/>
          <w:iCs/>
          <w:szCs w:val="21"/>
          <w:highlight w:val="none"/>
          <w:lang w:val="en-US" w:eastAsia="zh-CN"/>
        </w:rPr>
        <w:t>5</w:t>
      </w:r>
      <w:r>
        <w:rPr>
          <w:rFonts w:hint="default" w:ascii="Times New Roman" w:hAnsi="Times New Roman" w:eastAsia="宋体" w:cs="Times New Roman"/>
          <w:iCs/>
          <w:szCs w:val="21"/>
          <w:highlight w:val="none"/>
        </w:rPr>
        <w:t>.1.资格预审申请文件中资质业绩凭证单</w:t>
      </w:r>
      <w:r>
        <w:rPr>
          <w:rFonts w:hint="eastAsia" w:ascii="Times New Roman" w:hAnsi="Times New Roman" w:eastAsia="宋体" w:cs="Times New Roman"/>
          <w:iCs/>
          <w:szCs w:val="21"/>
          <w:highlight w:val="none"/>
        </w:rPr>
        <w:t>“</w:t>
      </w:r>
      <w:r>
        <w:rPr>
          <w:rFonts w:hint="default" w:ascii="Times New Roman" w:hAnsi="Times New Roman" w:eastAsia="宋体" w:cs="Times New Roman"/>
          <w:iCs/>
          <w:szCs w:val="21"/>
          <w:highlight w:val="none"/>
        </w:rPr>
        <w:t>有</w:t>
      </w:r>
      <w:r>
        <w:rPr>
          <w:rFonts w:hint="eastAsia" w:ascii="Times New Roman" w:hAnsi="Times New Roman" w:eastAsia="宋体" w:cs="Times New Roman"/>
          <w:iCs/>
          <w:szCs w:val="21"/>
          <w:highlight w:val="none"/>
        </w:rPr>
        <w:t>”</w:t>
      </w:r>
      <w:r>
        <w:rPr>
          <w:rFonts w:hint="default" w:ascii="Times New Roman" w:hAnsi="Times New Roman" w:eastAsia="宋体" w:cs="Times New Roman"/>
          <w:iCs/>
          <w:szCs w:val="21"/>
          <w:highlight w:val="none"/>
        </w:rPr>
        <w:t>已核实的生产试验设备记录的，不需提供相关</w:t>
      </w:r>
      <w:r>
        <w:rPr>
          <w:rFonts w:hint="eastAsia" w:ascii="Times New Roman" w:hAnsi="Times New Roman" w:eastAsia="宋体" w:cs="Times New Roman"/>
          <w:iCs/>
          <w:szCs w:val="21"/>
          <w:highlight w:val="none"/>
        </w:rPr>
        <w:t>支持</w:t>
      </w:r>
      <w:r>
        <w:rPr>
          <w:rFonts w:hint="default" w:ascii="Times New Roman" w:hAnsi="Times New Roman" w:eastAsia="宋体" w:cs="Times New Roman"/>
          <w:iCs/>
          <w:szCs w:val="21"/>
          <w:highlight w:val="none"/>
        </w:rPr>
        <w:t>证明材料。资格预审申请文件中资质业绩凭证单</w:t>
      </w:r>
      <w:r>
        <w:rPr>
          <w:rFonts w:hint="eastAsia" w:ascii="Times New Roman" w:hAnsi="Times New Roman" w:eastAsia="宋体" w:cs="Times New Roman"/>
          <w:iCs/>
          <w:szCs w:val="21"/>
          <w:highlight w:val="none"/>
        </w:rPr>
        <w:t>“无”</w:t>
      </w:r>
      <w:r>
        <w:rPr>
          <w:rFonts w:hint="default" w:ascii="Times New Roman" w:hAnsi="Times New Roman" w:eastAsia="宋体" w:cs="Times New Roman"/>
          <w:iCs/>
          <w:szCs w:val="21"/>
          <w:highlight w:val="none"/>
        </w:rPr>
        <w:t>已核实的生产试验设备记录</w:t>
      </w:r>
      <w:r>
        <w:rPr>
          <w:rFonts w:hint="eastAsia" w:ascii="Times New Roman" w:hAnsi="Times New Roman" w:eastAsia="宋体" w:cs="Times New Roman"/>
          <w:iCs/>
          <w:szCs w:val="21"/>
          <w:highlight w:val="none"/>
        </w:rPr>
        <w:t>或已核实的</w:t>
      </w:r>
      <w:r>
        <w:rPr>
          <w:rFonts w:hint="default" w:ascii="Times New Roman" w:hAnsi="Times New Roman" w:eastAsia="宋体" w:cs="Times New Roman"/>
          <w:iCs/>
          <w:szCs w:val="21"/>
          <w:highlight w:val="none"/>
        </w:rPr>
        <w:t>生产试验设备</w:t>
      </w:r>
      <w:r>
        <w:rPr>
          <w:rFonts w:hint="eastAsia" w:ascii="Times New Roman" w:hAnsi="Times New Roman" w:eastAsia="宋体" w:cs="Times New Roman"/>
          <w:iCs/>
          <w:szCs w:val="21"/>
          <w:highlight w:val="none"/>
        </w:rPr>
        <w:t>记</w:t>
      </w:r>
      <w:r>
        <w:rPr>
          <w:rFonts w:hint="default" w:ascii="Times New Roman" w:hAnsi="Times New Roman" w:eastAsia="宋体" w:cs="Times New Roman"/>
          <w:iCs/>
          <w:szCs w:val="21"/>
          <w:highlight w:val="none"/>
        </w:rPr>
        <w:t>载数据</w:t>
      </w:r>
      <w:r>
        <w:rPr>
          <w:rFonts w:hint="eastAsia" w:ascii="Times New Roman" w:hAnsi="Times New Roman" w:eastAsia="宋体" w:cs="Times New Roman"/>
          <w:iCs/>
          <w:szCs w:val="21"/>
          <w:highlight w:val="none"/>
        </w:rPr>
        <w:t>不</w:t>
      </w:r>
      <w:r>
        <w:rPr>
          <w:rFonts w:hint="default" w:ascii="Times New Roman" w:hAnsi="Times New Roman" w:eastAsia="宋体" w:cs="Times New Roman"/>
          <w:iCs/>
          <w:szCs w:val="21"/>
          <w:highlight w:val="none"/>
        </w:rPr>
        <w:t>满足资格预审要求的须</w:t>
      </w:r>
      <w:r>
        <w:rPr>
          <w:rFonts w:hint="eastAsia" w:ascii="Times New Roman" w:hAnsi="Times New Roman" w:eastAsia="宋体" w:cs="Times New Roman"/>
          <w:iCs/>
          <w:szCs w:val="21"/>
          <w:highlight w:val="none"/>
        </w:rPr>
        <w:t>提供生产</w:t>
      </w:r>
      <w:r>
        <w:rPr>
          <w:rFonts w:hint="default" w:ascii="Times New Roman" w:hAnsi="Times New Roman" w:eastAsia="宋体" w:cs="Times New Roman"/>
          <w:iCs/>
          <w:szCs w:val="21"/>
          <w:highlight w:val="none"/>
        </w:rPr>
        <w:t>试验设备合同和发票等</w:t>
      </w:r>
      <w:r>
        <w:rPr>
          <w:rFonts w:hint="eastAsia" w:ascii="Times New Roman" w:hAnsi="Times New Roman" w:eastAsia="宋体" w:cs="Times New Roman"/>
          <w:iCs/>
          <w:szCs w:val="21"/>
          <w:highlight w:val="none"/>
          <w:lang w:val="en-US" w:eastAsia="zh-CN"/>
        </w:rPr>
        <w:t>支持证明材料</w:t>
      </w:r>
      <w:r>
        <w:rPr>
          <w:rFonts w:hint="default" w:ascii="Times New Roman" w:hAnsi="Times New Roman" w:eastAsia="宋体" w:cs="Times New Roman"/>
          <w:iCs/>
          <w:szCs w:val="21"/>
          <w:highlight w:val="none"/>
        </w:rPr>
        <w:t>扫描件。</w:t>
      </w:r>
      <w:r>
        <w:rPr>
          <w:rFonts w:hint="default" w:ascii="Times New Roman" w:hAnsi="Times New Roman" w:eastAsia="宋体" w:cs="Times New Roman"/>
          <w:b/>
          <w:bCs/>
          <w:iCs/>
          <w:szCs w:val="21"/>
          <w:highlight w:val="none"/>
        </w:rPr>
        <w:t>对于未参加国家电网有限公司供应商资质能力信息核实的申请人</w:t>
      </w:r>
      <w:r>
        <w:rPr>
          <w:rFonts w:hint="eastAsia" w:ascii="Times New Roman" w:hAnsi="Times New Roman" w:eastAsia="宋体" w:cs="Times New Roman"/>
          <w:b/>
          <w:bCs/>
          <w:iCs/>
          <w:szCs w:val="21"/>
          <w:highlight w:val="none"/>
        </w:rPr>
        <w:t>，</w:t>
      </w:r>
      <w:r>
        <w:rPr>
          <w:rFonts w:hint="default" w:ascii="Times New Roman" w:hAnsi="Times New Roman" w:eastAsia="宋体" w:cs="Times New Roman"/>
          <w:b/>
          <w:bCs/>
          <w:iCs/>
          <w:szCs w:val="21"/>
          <w:highlight w:val="none"/>
        </w:rPr>
        <w:t>须</w:t>
      </w:r>
      <w:r>
        <w:rPr>
          <w:rFonts w:hint="eastAsia" w:ascii="Times New Roman" w:hAnsi="Times New Roman" w:eastAsia="宋体" w:cs="Times New Roman"/>
          <w:b/>
          <w:bCs/>
          <w:iCs/>
          <w:szCs w:val="21"/>
          <w:highlight w:val="none"/>
        </w:rPr>
        <w:t>提供生产</w:t>
      </w:r>
      <w:r>
        <w:rPr>
          <w:rFonts w:hint="default" w:ascii="Times New Roman" w:hAnsi="Times New Roman" w:eastAsia="宋体" w:cs="Times New Roman"/>
          <w:b/>
          <w:bCs/>
          <w:iCs/>
          <w:szCs w:val="21"/>
          <w:highlight w:val="none"/>
        </w:rPr>
        <w:t>试验设备合同和发票等</w:t>
      </w:r>
      <w:r>
        <w:rPr>
          <w:rFonts w:hint="eastAsia" w:ascii="Times New Roman" w:hAnsi="Times New Roman" w:eastAsia="宋体" w:cs="Times New Roman"/>
          <w:b/>
          <w:bCs/>
          <w:iCs/>
          <w:szCs w:val="21"/>
          <w:highlight w:val="none"/>
          <w:lang w:val="en-US" w:eastAsia="zh-CN"/>
        </w:rPr>
        <w:t>支持证明材料</w:t>
      </w:r>
      <w:r>
        <w:rPr>
          <w:rFonts w:hint="default" w:ascii="Times New Roman" w:hAnsi="Times New Roman" w:eastAsia="宋体" w:cs="Times New Roman"/>
          <w:b/>
          <w:bCs/>
          <w:iCs/>
          <w:szCs w:val="21"/>
          <w:highlight w:val="none"/>
        </w:rPr>
        <w:t>扫描件。</w:t>
      </w:r>
    </w:p>
    <w:p>
      <w:pPr>
        <w:numPr>
          <w:ilvl w:val="-1"/>
          <w:numId w:val="0"/>
        </w:numPr>
        <w:adjustRightInd/>
        <w:snapToGrid/>
        <w:spacing w:before="0" w:beforeLines="-2147483648" w:after="0" w:afterLines="-2147483648" w:line="400" w:lineRule="exact"/>
        <w:ind w:firstLine="420" w:firstLineChars="200"/>
        <w:textAlignment w:val="auto"/>
        <w:rPr>
          <w:rFonts w:hint="default" w:ascii="Times New Roman" w:hAnsi="Times New Roman" w:eastAsia="宋体" w:cs="Times New Roman"/>
          <w:iCs/>
          <w:szCs w:val="21"/>
          <w:highlight w:val="none"/>
        </w:rPr>
      </w:pPr>
      <w:r>
        <w:rPr>
          <w:rFonts w:hint="default" w:ascii="Times New Roman" w:hAnsi="Times New Roman" w:eastAsia="宋体" w:cs="Times New Roman"/>
          <w:iCs/>
          <w:szCs w:val="21"/>
          <w:highlight w:val="none"/>
        </w:rPr>
        <w:t>4.</w:t>
      </w:r>
      <w:r>
        <w:rPr>
          <w:rFonts w:hint="default" w:ascii="Times New Roman" w:hAnsi="Times New Roman" w:eastAsia="宋体" w:cs="Times New Roman"/>
          <w:iCs/>
          <w:szCs w:val="21"/>
          <w:highlight w:val="none"/>
          <w:lang w:val="en-US" w:eastAsia="zh-CN"/>
        </w:rPr>
        <w:t>5.2</w:t>
      </w:r>
      <w:r>
        <w:rPr>
          <w:rFonts w:hint="default" w:ascii="Times New Roman" w:hAnsi="Times New Roman" w:eastAsia="宋体" w:cs="Times New Roman"/>
          <w:iCs/>
          <w:szCs w:val="21"/>
          <w:highlight w:val="none"/>
        </w:rPr>
        <w:t>对于生产试验设备等，支持证明文件中的设备名称与资格预审公告要求的设备名称不一致，但申请人认为满足要求的，应在资格预审申请文件中提供说明及证明材料。</w:t>
      </w:r>
    </w:p>
    <w:p>
      <w:pPr>
        <w:spacing w:line="400" w:lineRule="exact"/>
        <w:ind w:firstLine="420" w:firstLineChars="200"/>
        <w:rPr>
          <w:rFonts w:hint="default" w:ascii="Times New Roman" w:hAnsi="Times New Roman" w:eastAsia="宋体" w:cs="Times New Roman"/>
          <w:iCs/>
          <w:szCs w:val="21"/>
          <w:highlight w:val="none"/>
        </w:rPr>
      </w:pPr>
      <w:r>
        <w:rPr>
          <w:rFonts w:hint="default" w:ascii="Times New Roman" w:hAnsi="Times New Roman" w:eastAsia="宋体" w:cs="Times New Roman"/>
          <w:iCs/>
          <w:szCs w:val="21"/>
          <w:highlight w:val="none"/>
          <w:lang w:val="en-US" w:eastAsia="zh-CN"/>
        </w:rPr>
        <w:t>4.5.3</w:t>
      </w:r>
      <w:r>
        <w:rPr>
          <w:rFonts w:hint="default" w:ascii="Times New Roman" w:hAnsi="Times New Roman" w:eastAsia="宋体" w:cs="Times New Roman"/>
          <w:iCs/>
          <w:szCs w:val="21"/>
          <w:highlight w:val="none"/>
        </w:rPr>
        <w:t>补充生产试验设备（销售合同签订时间）仅接受202</w:t>
      </w:r>
      <w:r>
        <w:rPr>
          <w:rFonts w:hint="default" w:ascii="Times New Roman" w:hAnsi="Times New Roman" w:eastAsia="宋体" w:cs="Times New Roman"/>
          <w:iCs/>
          <w:szCs w:val="21"/>
          <w:highlight w:val="none"/>
          <w:lang w:val="en-US" w:eastAsia="zh-CN"/>
        </w:rPr>
        <w:t>4</w:t>
      </w:r>
      <w:r>
        <w:rPr>
          <w:rFonts w:hint="default" w:ascii="Times New Roman" w:hAnsi="Times New Roman" w:eastAsia="宋体" w:cs="Times New Roman"/>
          <w:iCs/>
          <w:szCs w:val="21"/>
          <w:highlight w:val="none"/>
        </w:rPr>
        <w:t>年</w:t>
      </w:r>
      <w:r>
        <w:rPr>
          <w:rFonts w:hint="default" w:ascii="Times New Roman" w:hAnsi="Times New Roman" w:eastAsia="宋体" w:cs="Times New Roman"/>
          <w:iCs/>
          <w:szCs w:val="21"/>
          <w:highlight w:val="none"/>
          <w:lang w:eastAsia="zh-CN"/>
        </w:rPr>
        <w:t>3月29日</w:t>
      </w:r>
      <w:r>
        <w:rPr>
          <w:rFonts w:hint="default" w:ascii="Times New Roman" w:hAnsi="Times New Roman" w:eastAsia="宋体" w:cs="Times New Roman"/>
          <w:iCs/>
          <w:szCs w:val="21"/>
          <w:highlight w:val="none"/>
        </w:rPr>
        <w:t>之后出具的支持证明文件扫描件。</w:t>
      </w:r>
    </w:p>
    <w:p>
      <w:pPr>
        <w:adjustRightInd w:val="0"/>
        <w:snapToGrid w:val="0"/>
        <w:spacing w:before="120" w:beforeLines="50" w:after="120" w:afterLines="50" w:line="400" w:lineRule="exact"/>
        <w:ind w:firstLine="422" w:firstLineChars="200"/>
        <w:rPr>
          <w:rFonts w:hint="eastAsia" w:ascii="黑体" w:hAnsi="黑体" w:eastAsia="黑体" w:cs="黑体"/>
          <w:b/>
          <w:szCs w:val="21"/>
          <w:highlight w:val="none"/>
          <w:lang w:eastAsia="zh-CN"/>
        </w:rPr>
      </w:pPr>
      <w:r>
        <w:rPr>
          <w:rFonts w:ascii="黑体" w:hAnsi="黑体" w:eastAsia="黑体" w:cs="黑体"/>
          <w:b/>
          <w:szCs w:val="21"/>
          <w:highlight w:val="none"/>
        </w:rPr>
        <w:t>4.</w:t>
      </w:r>
      <w:r>
        <w:rPr>
          <w:rFonts w:hint="eastAsia" w:ascii="黑体" w:hAnsi="黑体" w:eastAsia="黑体" w:cs="黑体"/>
          <w:b/>
          <w:szCs w:val="21"/>
          <w:highlight w:val="none"/>
          <w:lang w:val="en-US" w:eastAsia="zh-CN"/>
        </w:rPr>
        <w:t>6</w:t>
      </w:r>
      <w:r>
        <w:rPr>
          <w:rFonts w:ascii="黑体" w:hAnsi="黑体" w:eastAsia="黑体" w:cs="黑体"/>
          <w:b/>
          <w:szCs w:val="21"/>
          <w:highlight w:val="none"/>
        </w:rPr>
        <w:t>.</w:t>
      </w:r>
      <w:r>
        <w:rPr>
          <w:rFonts w:hint="eastAsia" w:ascii="黑体" w:hAnsi="黑体" w:eastAsia="黑体" w:cs="黑体"/>
          <w:b/>
          <w:szCs w:val="21"/>
          <w:highlight w:val="none"/>
        </w:rPr>
        <w:t>关键岗位人员审核标准</w:t>
      </w:r>
    </w:p>
    <w:p>
      <w:pPr>
        <w:numPr>
          <w:ilvl w:val="-1"/>
          <w:numId w:val="0"/>
        </w:numPr>
        <w:adjustRightInd/>
        <w:snapToGrid/>
        <w:spacing w:before="0" w:beforeLines="-2147483648" w:after="0" w:afterLines="-2147483648" w:line="400" w:lineRule="exact"/>
        <w:ind w:firstLine="420" w:firstLineChars="200"/>
        <w:textAlignment w:val="auto"/>
        <w:rPr>
          <w:rFonts w:hint="eastAsia" w:ascii="Times New Roman" w:hAnsi="Times New Roman" w:eastAsia="宋体" w:cs="Times New Roman"/>
          <w:iCs/>
          <w:szCs w:val="21"/>
          <w:highlight w:val="none"/>
        </w:rPr>
      </w:pPr>
      <w:r>
        <w:rPr>
          <w:rFonts w:hint="eastAsia" w:ascii="Times New Roman" w:hAnsi="Times New Roman" w:eastAsia="宋体" w:cs="Times New Roman"/>
          <w:iCs/>
          <w:szCs w:val="21"/>
          <w:highlight w:val="none"/>
        </w:rPr>
        <w:t>4.</w:t>
      </w:r>
      <w:r>
        <w:rPr>
          <w:rFonts w:hint="eastAsia" w:ascii="Times New Roman" w:hAnsi="Times New Roman" w:eastAsia="宋体" w:cs="Times New Roman"/>
          <w:iCs/>
          <w:szCs w:val="21"/>
          <w:highlight w:val="none"/>
          <w:lang w:val="en-US" w:eastAsia="zh-CN"/>
        </w:rPr>
        <w:t>6</w:t>
      </w:r>
      <w:r>
        <w:rPr>
          <w:rFonts w:hint="eastAsia" w:ascii="Times New Roman" w:hAnsi="Times New Roman" w:eastAsia="宋体" w:cs="Times New Roman"/>
          <w:iCs/>
          <w:szCs w:val="21"/>
          <w:highlight w:val="none"/>
        </w:rPr>
        <w:t>.1.</w:t>
      </w:r>
      <w:r>
        <w:rPr>
          <w:rFonts w:hint="default" w:ascii="Times New Roman" w:hAnsi="Times New Roman" w:eastAsia="宋体" w:cs="Times New Roman"/>
          <w:iCs/>
          <w:szCs w:val="21"/>
          <w:highlight w:val="none"/>
        </w:rPr>
        <w:t>资格预审申请文件中资质业绩凭证单</w:t>
      </w:r>
      <w:r>
        <w:rPr>
          <w:rFonts w:hint="eastAsia" w:ascii="Times New Roman" w:hAnsi="Times New Roman" w:eastAsia="宋体" w:cs="Times New Roman"/>
          <w:iCs/>
          <w:szCs w:val="21"/>
          <w:highlight w:val="none"/>
        </w:rPr>
        <w:t>“</w:t>
      </w:r>
      <w:r>
        <w:rPr>
          <w:rFonts w:hint="default" w:ascii="Times New Roman" w:hAnsi="Times New Roman" w:eastAsia="宋体" w:cs="Times New Roman"/>
          <w:iCs/>
          <w:szCs w:val="21"/>
          <w:highlight w:val="none"/>
        </w:rPr>
        <w:t>有</w:t>
      </w:r>
      <w:r>
        <w:rPr>
          <w:rFonts w:hint="eastAsia" w:ascii="Times New Roman" w:hAnsi="Times New Roman" w:eastAsia="宋体" w:cs="Times New Roman"/>
          <w:iCs/>
          <w:szCs w:val="21"/>
          <w:highlight w:val="none"/>
        </w:rPr>
        <w:t>”</w:t>
      </w:r>
      <w:r>
        <w:rPr>
          <w:rFonts w:hint="default" w:ascii="Times New Roman" w:hAnsi="Times New Roman" w:eastAsia="宋体" w:cs="Times New Roman"/>
          <w:iCs/>
          <w:szCs w:val="21"/>
          <w:highlight w:val="none"/>
        </w:rPr>
        <w:t>已核实的</w:t>
      </w:r>
      <w:r>
        <w:rPr>
          <w:rFonts w:hint="eastAsia" w:ascii="Times New Roman" w:hAnsi="Times New Roman" w:eastAsia="宋体" w:cs="Times New Roman"/>
          <w:iCs/>
          <w:szCs w:val="21"/>
          <w:highlight w:val="none"/>
        </w:rPr>
        <w:t>关键岗位持证人员记录，且在有效期内的，不需提供资质证书、劳动合同、社保证明、人员花名册等支持</w:t>
      </w:r>
      <w:r>
        <w:rPr>
          <w:rFonts w:hint="default" w:ascii="Times New Roman" w:hAnsi="Times New Roman" w:eastAsia="宋体" w:cs="Times New Roman"/>
          <w:iCs/>
          <w:szCs w:val="21"/>
          <w:highlight w:val="none"/>
        </w:rPr>
        <w:t>证明材料</w:t>
      </w:r>
      <w:r>
        <w:rPr>
          <w:rFonts w:hint="eastAsia" w:ascii="Times New Roman" w:hAnsi="Times New Roman" w:eastAsia="宋体" w:cs="Times New Roman"/>
          <w:iCs/>
          <w:szCs w:val="21"/>
          <w:highlight w:val="none"/>
        </w:rPr>
        <w:t>。</w:t>
      </w:r>
      <w:r>
        <w:rPr>
          <w:rFonts w:hint="default" w:ascii="Times New Roman" w:hAnsi="Times New Roman" w:eastAsia="宋体" w:cs="Times New Roman"/>
          <w:iCs/>
          <w:szCs w:val="21"/>
          <w:highlight w:val="none"/>
        </w:rPr>
        <w:t>资格预审申请文件中资质业绩凭证单</w:t>
      </w:r>
      <w:r>
        <w:rPr>
          <w:rFonts w:hint="eastAsia" w:ascii="Times New Roman" w:hAnsi="Times New Roman" w:eastAsia="宋体" w:cs="Times New Roman"/>
          <w:iCs/>
          <w:szCs w:val="21"/>
          <w:highlight w:val="none"/>
        </w:rPr>
        <w:t>“无”关键岗位持证人员记录的或</w:t>
      </w:r>
      <w:r>
        <w:rPr>
          <w:rFonts w:hint="default" w:ascii="Times New Roman" w:hAnsi="Times New Roman" w:eastAsia="宋体" w:cs="Times New Roman"/>
          <w:iCs/>
          <w:szCs w:val="21"/>
          <w:highlight w:val="none"/>
        </w:rPr>
        <w:t>已核实的</w:t>
      </w:r>
      <w:r>
        <w:rPr>
          <w:rFonts w:hint="eastAsia" w:ascii="Times New Roman" w:hAnsi="Times New Roman" w:eastAsia="宋体" w:cs="Times New Roman"/>
          <w:iCs/>
          <w:szCs w:val="21"/>
          <w:highlight w:val="none"/>
        </w:rPr>
        <w:t>关键岗位持证人员记录</w:t>
      </w:r>
      <w:r>
        <w:rPr>
          <w:rFonts w:hint="eastAsia" w:ascii="Times New Roman" w:hAnsi="Times New Roman" w:eastAsia="宋体" w:cs="Times New Roman"/>
          <w:iCs/>
          <w:szCs w:val="21"/>
          <w:highlight w:val="none"/>
          <w:lang w:val="en-US" w:eastAsia="zh-CN"/>
        </w:rPr>
        <w:t>不满足资格预审要求的</w:t>
      </w:r>
      <w:r>
        <w:rPr>
          <w:rFonts w:hint="eastAsia" w:ascii="Times New Roman" w:hAnsi="Times New Roman" w:eastAsia="宋体" w:cs="Times New Roman"/>
          <w:iCs/>
          <w:szCs w:val="21"/>
          <w:highlight w:val="none"/>
        </w:rPr>
        <w:t>须提供资质证书、劳动合同、社保证明、人员花名册等支持</w:t>
      </w:r>
      <w:r>
        <w:rPr>
          <w:rFonts w:hint="default" w:ascii="Times New Roman" w:hAnsi="Times New Roman" w:eastAsia="宋体" w:cs="Times New Roman"/>
          <w:iCs/>
          <w:szCs w:val="21"/>
          <w:highlight w:val="none"/>
        </w:rPr>
        <w:t>证明材料</w:t>
      </w:r>
      <w:r>
        <w:rPr>
          <w:rFonts w:hint="eastAsia" w:ascii="Times New Roman" w:hAnsi="Times New Roman" w:eastAsia="宋体" w:cs="Times New Roman"/>
          <w:iCs/>
          <w:szCs w:val="21"/>
          <w:highlight w:val="none"/>
        </w:rPr>
        <w:t>扫描件，且在有效期内。</w:t>
      </w:r>
      <w:r>
        <w:rPr>
          <w:rFonts w:hint="eastAsia" w:ascii="宋体" w:hAnsi="宋体" w:eastAsia="宋体" w:cs="宋体"/>
          <w:b/>
          <w:bCs w:val="0"/>
          <w:iCs/>
          <w:szCs w:val="21"/>
          <w:highlight w:val="none"/>
        </w:rPr>
        <w:t>对于未参加国家电网有限公司供应商资质能力信息核实的申请人，须</w:t>
      </w:r>
      <w:r>
        <w:rPr>
          <w:rFonts w:hint="eastAsia" w:ascii="Times New Roman" w:hAnsi="Times New Roman" w:eastAsia="宋体" w:cs="Times New Roman"/>
          <w:b/>
          <w:bCs w:val="0"/>
          <w:iCs/>
          <w:szCs w:val="21"/>
          <w:highlight w:val="none"/>
        </w:rPr>
        <w:t>提供</w:t>
      </w:r>
      <w:r>
        <w:rPr>
          <w:rFonts w:hint="eastAsia" w:ascii="宋体" w:hAnsi="宋体" w:eastAsia="宋体" w:cs="宋体"/>
          <w:b/>
          <w:bCs w:val="0"/>
          <w:iCs/>
          <w:szCs w:val="21"/>
          <w:highlight w:val="none"/>
          <w:lang w:val="en-US" w:eastAsia="zh-CN"/>
        </w:rPr>
        <w:t>关键岗位人员</w:t>
      </w:r>
      <w:r>
        <w:rPr>
          <w:rFonts w:hint="eastAsia" w:ascii="Times New Roman" w:hAnsi="Times New Roman" w:eastAsia="宋体" w:cs="Times New Roman"/>
          <w:b/>
          <w:bCs w:val="0"/>
          <w:iCs/>
          <w:szCs w:val="21"/>
          <w:highlight w:val="none"/>
        </w:rPr>
        <w:t>资质证书、劳动合同、社保证明、人员花名册等支持</w:t>
      </w:r>
      <w:r>
        <w:rPr>
          <w:rFonts w:hint="default" w:ascii="Times New Roman" w:hAnsi="Times New Roman" w:eastAsia="宋体" w:cs="Times New Roman"/>
          <w:b/>
          <w:bCs w:val="0"/>
          <w:iCs/>
          <w:szCs w:val="21"/>
          <w:highlight w:val="none"/>
        </w:rPr>
        <w:t>证明材料</w:t>
      </w:r>
      <w:r>
        <w:rPr>
          <w:rFonts w:hint="eastAsia" w:ascii="Times New Roman" w:hAnsi="Times New Roman" w:eastAsia="宋体" w:cs="Times New Roman"/>
          <w:b/>
          <w:bCs w:val="0"/>
          <w:iCs/>
          <w:szCs w:val="21"/>
          <w:highlight w:val="none"/>
        </w:rPr>
        <w:t>，且在有效期内</w:t>
      </w:r>
      <w:r>
        <w:rPr>
          <w:rFonts w:hint="eastAsia" w:ascii="宋体" w:hAnsi="宋体" w:eastAsia="宋体" w:cs="宋体"/>
          <w:b/>
          <w:bCs w:val="0"/>
          <w:iCs/>
          <w:szCs w:val="21"/>
          <w:highlight w:val="none"/>
        </w:rPr>
        <w:t>。</w:t>
      </w:r>
    </w:p>
    <w:p>
      <w:pPr>
        <w:numPr>
          <w:ilvl w:val="-1"/>
          <w:numId w:val="0"/>
        </w:numPr>
        <w:adjustRightInd/>
        <w:snapToGrid/>
        <w:spacing w:before="0" w:beforeLines="-2147483648" w:after="0" w:afterLines="-2147483648" w:line="400" w:lineRule="exact"/>
        <w:ind w:firstLine="420" w:firstLineChars="200"/>
        <w:textAlignment w:val="auto"/>
        <w:rPr>
          <w:rFonts w:hint="default" w:ascii="Times New Roman" w:hAnsi="Times New Roman" w:eastAsia="宋体" w:cs="Times New Roman"/>
          <w:iCs/>
          <w:szCs w:val="21"/>
          <w:highlight w:val="none"/>
        </w:rPr>
      </w:pPr>
      <w:r>
        <w:rPr>
          <w:rFonts w:hint="eastAsia" w:ascii="Times New Roman" w:hAnsi="Times New Roman" w:eastAsia="宋体" w:cs="Times New Roman"/>
          <w:iCs/>
          <w:szCs w:val="21"/>
          <w:highlight w:val="none"/>
          <w:lang w:val="en-US" w:eastAsia="zh-CN"/>
        </w:rPr>
        <w:t>4.6.2</w:t>
      </w:r>
      <w:r>
        <w:rPr>
          <w:rFonts w:hint="eastAsia" w:ascii="Times New Roman" w:hAnsi="Times New Roman" w:eastAsia="宋体" w:cs="Times New Roman"/>
          <w:iCs/>
          <w:szCs w:val="21"/>
          <w:highlight w:val="none"/>
        </w:rPr>
        <w:t>补充关键岗位人员资质证书、劳动合同、社保证明、人员花名册等（</w:t>
      </w:r>
      <w:r>
        <w:rPr>
          <w:rFonts w:hint="eastAsia" w:ascii="Times New Roman" w:hAnsi="Times New Roman" w:eastAsia="宋体" w:cs="Times New Roman"/>
          <w:iCs/>
          <w:szCs w:val="21"/>
          <w:highlight w:val="none"/>
          <w:lang w:val="en-US" w:eastAsia="zh-CN"/>
        </w:rPr>
        <w:t>出具</w:t>
      </w:r>
      <w:r>
        <w:rPr>
          <w:rFonts w:hint="eastAsia" w:ascii="Times New Roman" w:hAnsi="Times New Roman" w:eastAsia="宋体" w:cs="Times New Roman"/>
          <w:iCs/>
          <w:szCs w:val="21"/>
          <w:highlight w:val="none"/>
        </w:rPr>
        <w:t>时间）仅接受202</w:t>
      </w:r>
      <w:r>
        <w:rPr>
          <w:rFonts w:hint="eastAsia" w:ascii="Times New Roman" w:hAnsi="Times New Roman" w:eastAsia="宋体" w:cs="Times New Roman"/>
          <w:iCs/>
          <w:szCs w:val="21"/>
          <w:highlight w:val="none"/>
          <w:lang w:val="en-US" w:eastAsia="zh-CN"/>
        </w:rPr>
        <w:t>4</w:t>
      </w:r>
      <w:r>
        <w:rPr>
          <w:rFonts w:hint="eastAsia" w:ascii="Times New Roman" w:hAnsi="Times New Roman" w:eastAsia="宋体" w:cs="Times New Roman"/>
          <w:iCs/>
          <w:szCs w:val="21"/>
          <w:highlight w:val="none"/>
        </w:rPr>
        <w:t>年</w:t>
      </w:r>
      <w:r>
        <w:rPr>
          <w:rFonts w:hint="eastAsia" w:ascii="Times New Roman" w:hAnsi="Times New Roman" w:eastAsia="宋体" w:cs="Times New Roman"/>
          <w:iCs/>
          <w:szCs w:val="21"/>
          <w:highlight w:val="none"/>
          <w:lang w:eastAsia="zh-CN"/>
        </w:rPr>
        <w:t>3月29日</w:t>
      </w:r>
      <w:r>
        <w:rPr>
          <w:rFonts w:hint="eastAsia" w:ascii="Times New Roman" w:hAnsi="Times New Roman" w:eastAsia="宋体" w:cs="Times New Roman"/>
          <w:iCs/>
          <w:szCs w:val="21"/>
          <w:highlight w:val="none"/>
        </w:rPr>
        <w:t>之后出具的支持证明文件扫描件。</w:t>
      </w:r>
    </w:p>
    <w:p>
      <w:pPr>
        <w:adjustRightInd w:val="0"/>
        <w:snapToGrid w:val="0"/>
        <w:spacing w:before="120" w:beforeLines="50" w:after="120" w:afterLines="50" w:line="400" w:lineRule="exact"/>
        <w:ind w:firstLine="422" w:firstLineChars="200"/>
        <w:rPr>
          <w:rFonts w:hint="default" w:ascii="黑体" w:hAnsi="黑体" w:eastAsia="黑体" w:cs="黑体"/>
          <w:b/>
          <w:szCs w:val="21"/>
          <w:highlight w:val="none"/>
        </w:rPr>
      </w:pPr>
      <w:r>
        <w:rPr>
          <w:rFonts w:hint="default" w:ascii="黑体" w:hAnsi="黑体" w:eastAsia="黑体" w:cs="黑体"/>
          <w:b/>
          <w:szCs w:val="21"/>
          <w:highlight w:val="none"/>
        </w:rPr>
        <w:t>4.</w:t>
      </w:r>
      <w:r>
        <w:rPr>
          <w:rFonts w:hint="default" w:ascii="黑体" w:hAnsi="黑体" w:eastAsia="黑体" w:cs="黑体"/>
          <w:b/>
          <w:szCs w:val="21"/>
          <w:highlight w:val="none"/>
          <w:lang w:val="en-US" w:eastAsia="zh-CN"/>
        </w:rPr>
        <w:t>7</w:t>
      </w:r>
      <w:r>
        <w:rPr>
          <w:rFonts w:hint="default" w:ascii="黑体" w:hAnsi="黑体" w:eastAsia="黑体" w:cs="黑体"/>
          <w:b/>
          <w:szCs w:val="21"/>
          <w:highlight w:val="none"/>
        </w:rPr>
        <w:t xml:space="preserve"> 生产厂房审核标准</w:t>
      </w:r>
    </w:p>
    <w:p>
      <w:pPr>
        <w:adjustRightInd w:val="0"/>
        <w:snapToGrid w:val="0"/>
        <w:spacing w:line="400" w:lineRule="exact"/>
        <w:ind w:firstLine="420" w:firstLineChars="200"/>
        <w:rPr>
          <w:rFonts w:ascii="宋体" w:hAnsi="宋体" w:eastAsia="宋体" w:cs="宋体"/>
          <w:bCs/>
          <w:iCs/>
          <w:szCs w:val="21"/>
          <w:highlight w:val="none"/>
        </w:rPr>
      </w:pPr>
      <w:r>
        <w:rPr>
          <w:rFonts w:hint="default" w:ascii="Times New Roman" w:hAnsi="Times New Roman" w:eastAsia="宋体" w:cs="Times New Roman"/>
          <w:b w:val="0"/>
          <w:bCs/>
          <w:iCs/>
          <w:szCs w:val="21"/>
          <w:highlight w:val="none"/>
        </w:rPr>
        <w:t>4.</w:t>
      </w:r>
      <w:r>
        <w:rPr>
          <w:rFonts w:hint="default" w:ascii="Times New Roman" w:hAnsi="Times New Roman" w:eastAsia="宋体" w:cs="Times New Roman"/>
          <w:b w:val="0"/>
          <w:bCs/>
          <w:iCs/>
          <w:szCs w:val="21"/>
          <w:highlight w:val="none"/>
          <w:lang w:val="en-US" w:eastAsia="zh-CN"/>
        </w:rPr>
        <w:t>7</w:t>
      </w:r>
      <w:r>
        <w:rPr>
          <w:rFonts w:hint="default" w:ascii="Times New Roman" w:hAnsi="Times New Roman" w:eastAsia="宋体" w:cs="Times New Roman"/>
          <w:b w:val="0"/>
          <w:bCs/>
          <w:iCs/>
          <w:szCs w:val="21"/>
          <w:highlight w:val="none"/>
        </w:rPr>
        <w:t>.1</w:t>
      </w:r>
      <w:r>
        <w:rPr>
          <w:rFonts w:hint="default" w:ascii="Times New Roman" w:hAnsi="Times New Roman" w:eastAsia="宋体" w:cs="Times New Roman"/>
          <w:bCs/>
          <w:iCs/>
          <w:szCs w:val="21"/>
          <w:highlight w:val="none"/>
        </w:rPr>
        <w:t>资格预</w:t>
      </w:r>
      <w:r>
        <w:rPr>
          <w:rFonts w:hint="eastAsia" w:ascii="宋体" w:hAnsi="宋体" w:eastAsia="宋体" w:cs="宋体"/>
          <w:bCs/>
          <w:iCs/>
          <w:szCs w:val="21"/>
          <w:highlight w:val="none"/>
        </w:rPr>
        <w:t>审申请文件中资质业绩凭证单“有”已核实的生产厂房记录的，不需提供相关支持证明材料。资格预审申请文件中资质业绩凭证单“无”已核实的生产厂房记录或已核实的生产厂房记载数据不满足资格预审要求的须提供土地使用权证或房屋产权证等支持证明材料扫描件。</w:t>
      </w:r>
      <w:r>
        <w:rPr>
          <w:rFonts w:hint="eastAsia" w:ascii="宋体" w:hAnsi="宋体" w:eastAsia="宋体" w:cs="宋体"/>
          <w:b/>
          <w:bCs w:val="0"/>
          <w:iCs/>
          <w:szCs w:val="21"/>
          <w:highlight w:val="none"/>
        </w:rPr>
        <w:t>对于未参加国家电网有限公司供应商资质能力信息核实的申请人，须提供生产厂房土地使用权证或房屋产权证等</w:t>
      </w:r>
      <w:r>
        <w:rPr>
          <w:rFonts w:hint="eastAsia" w:ascii="Times New Roman" w:hAnsi="Times New Roman" w:eastAsia="宋体" w:cs="Times New Roman"/>
          <w:b/>
          <w:bCs/>
          <w:iCs/>
          <w:szCs w:val="21"/>
          <w:highlight w:val="none"/>
          <w:lang w:val="en-US" w:eastAsia="zh-CN"/>
        </w:rPr>
        <w:t>支持证明材料</w:t>
      </w:r>
      <w:r>
        <w:rPr>
          <w:rFonts w:hint="eastAsia" w:ascii="宋体" w:hAnsi="宋体" w:eastAsia="宋体" w:cs="宋体"/>
          <w:b/>
          <w:bCs w:val="0"/>
          <w:iCs/>
          <w:szCs w:val="21"/>
          <w:highlight w:val="none"/>
        </w:rPr>
        <w:t>扫描件。</w:t>
      </w:r>
    </w:p>
    <w:p>
      <w:pPr>
        <w:adjustRightInd w:val="0"/>
        <w:snapToGrid w:val="0"/>
        <w:spacing w:line="400" w:lineRule="exact"/>
        <w:ind w:firstLine="420" w:firstLineChars="200"/>
        <w:rPr>
          <w:rFonts w:hint="default" w:ascii="Times New Roman" w:hAnsi="Times New Roman" w:eastAsia="宋体" w:cs="Times New Roman"/>
          <w:bCs/>
          <w:iCs/>
          <w:szCs w:val="21"/>
          <w:highlight w:val="none"/>
        </w:rPr>
      </w:pPr>
      <w:r>
        <w:rPr>
          <w:rFonts w:hint="default" w:ascii="Times New Roman" w:hAnsi="Times New Roman" w:eastAsia="宋体" w:cs="Times New Roman"/>
          <w:b w:val="0"/>
          <w:bCs/>
          <w:iCs/>
          <w:szCs w:val="21"/>
          <w:highlight w:val="none"/>
        </w:rPr>
        <w:t>4.</w:t>
      </w:r>
      <w:r>
        <w:rPr>
          <w:rFonts w:hint="default" w:ascii="Times New Roman" w:hAnsi="Times New Roman" w:eastAsia="宋体" w:cs="Times New Roman"/>
          <w:b w:val="0"/>
          <w:bCs/>
          <w:iCs/>
          <w:szCs w:val="21"/>
          <w:highlight w:val="none"/>
          <w:lang w:val="en-US" w:eastAsia="zh-CN"/>
        </w:rPr>
        <w:t>7.</w:t>
      </w:r>
      <w:r>
        <w:rPr>
          <w:rFonts w:hint="default" w:ascii="Times New Roman" w:hAnsi="Times New Roman" w:eastAsia="宋体" w:cs="Times New Roman"/>
          <w:b w:val="0"/>
          <w:bCs/>
          <w:iCs/>
          <w:szCs w:val="21"/>
          <w:highlight w:val="none"/>
        </w:rPr>
        <w:t>2</w:t>
      </w:r>
      <w:r>
        <w:rPr>
          <w:rFonts w:hint="default" w:ascii="Times New Roman" w:hAnsi="Times New Roman" w:eastAsia="宋体" w:cs="Times New Roman"/>
          <w:bCs/>
          <w:iCs/>
          <w:szCs w:val="21"/>
          <w:highlight w:val="none"/>
        </w:rPr>
        <w:t>补充生产厂房（</w:t>
      </w:r>
      <w:r>
        <w:rPr>
          <w:rFonts w:hint="default" w:ascii="Times New Roman" w:hAnsi="Times New Roman" w:eastAsia="宋体" w:cs="Times New Roman"/>
          <w:bCs/>
          <w:iCs/>
          <w:highlight w:val="none"/>
        </w:rPr>
        <w:t>土地使用权证或房屋产权证出具时间</w:t>
      </w:r>
      <w:r>
        <w:rPr>
          <w:rFonts w:hint="default" w:ascii="Times New Roman" w:hAnsi="Times New Roman" w:eastAsia="宋体" w:cs="Times New Roman"/>
          <w:bCs/>
          <w:iCs/>
          <w:szCs w:val="21"/>
          <w:highlight w:val="none"/>
        </w:rPr>
        <w:t>）仅接受</w:t>
      </w:r>
      <w:r>
        <w:rPr>
          <w:rFonts w:hint="default" w:ascii="Times New Roman" w:hAnsi="Times New Roman" w:cs="Times New Roman"/>
          <w:b w:val="0"/>
          <w:bCs/>
          <w:iCs/>
          <w:szCs w:val="21"/>
          <w:highlight w:val="none"/>
        </w:rPr>
        <w:t>202</w:t>
      </w:r>
      <w:r>
        <w:rPr>
          <w:rFonts w:hint="default" w:ascii="Times New Roman" w:hAnsi="Times New Roman" w:cs="Times New Roman"/>
          <w:b w:val="0"/>
          <w:bCs/>
          <w:iCs/>
          <w:szCs w:val="21"/>
          <w:highlight w:val="none"/>
          <w:lang w:val="en-US" w:eastAsia="zh-CN"/>
        </w:rPr>
        <w:t>4</w:t>
      </w:r>
      <w:r>
        <w:rPr>
          <w:rFonts w:hint="default" w:ascii="Times New Roman" w:hAnsi="Times New Roman" w:cs="Times New Roman"/>
          <w:b w:val="0"/>
          <w:bCs/>
          <w:iCs/>
          <w:szCs w:val="21"/>
          <w:highlight w:val="none"/>
        </w:rPr>
        <w:t>年</w:t>
      </w:r>
      <w:r>
        <w:rPr>
          <w:rFonts w:hint="default" w:ascii="Times New Roman" w:hAnsi="Times New Roman" w:cs="Times New Roman"/>
          <w:b w:val="0"/>
          <w:bCs/>
          <w:iCs/>
          <w:szCs w:val="21"/>
          <w:highlight w:val="none"/>
          <w:lang w:eastAsia="zh-CN"/>
        </w:rPr>
        <w:t>3月29日</w:t>
      </w:r>
      <w:r>
        <w:rPr>
          <w:rFonts w:hint="default" w:ascii="Times New Roman" w:hAnsi="Times New Roman" w:eastAsia="宋体" w:cs="Times New Roman"/>
          <w:bCs/>
          <w:iCs/>
          <w:szCs w:val="21"/>
          <w:highlight w:val="none"/>
        </w:rPr>
        <w:t>之后出具的支持证明文件扫描件。</w:t>
      </w:r>
    </w:p>
    <w:p>
      <w:pPr>
        <w:adjustRightInd w:val="0"/>
        <w:snapToGrid w:val="0"/>
        <w:spacing w:line="400" w:lineRule="exact"/>
        <w:ind w:firstLine="420" w:firstLineChars="200"/>
        <w:rPr>
          <w:rFonts w:ascii="宋体" w:hAnsi="宋体" w:eastAsia="宋体" w:cs="宋体"/>
          <w:bCs/>
          <w:iCs/>
          <w:szCs w:val="21"/>
          <w:highlight w:val="none"/>
        </w:rPr>
      </w:pPr>
      <w:r>
        <w:rPr>
          <w:rFonts w:hint="default" w:ascii="Times New Roman" w:hAnsi="Times New Roman" w:eastAsia="宋体" w:cs="Times New Roman"/>
          <w:b w:val="0"/>
          <w:bCs/>
          <w:iCs/>
          <w:szCs w:val="21"/>
          <w:highlight w:val="none"/>
        </w:rPr>
        <w:t>4.</w:t>
      </w:r>
      <w:r>
        <w:rPr>
          <w:rFonts w:hint="default" w:ascii="Times New Roman" w:hAnsi="Times New Roman" w:eastAsia="宋体" w:cs="Times New Roman"/>
          <w:b w:val="0"/>
          <w:bCs/>
          <w:iCs/>
          <w:szCs w:val="21"/>
          <w:highlight w:val="none"/>
          <w:lang w:val="en-US" w:eastAsia="zh-CN"/>
        </w:rPr>
        <w:t>7</w:t>
      </w:r>
      <w:r>
        <w:rPr>
          <w:rFonts w:hint="default" w:ascii="Times New Roman" w:hAnsi="Times New Roman" w:eastAsia="宋体" w:cs="Times New Roman"/>
          <w:b w:val="0"/>
          <w:bCs/>
          <w:iCs/>
          <w:szCs w:val="21"/>
          <w:highlight w:val="none"/>
        </w:rPr>
        <w:t>.3申</w:t>
      </w:r>
      <w:r>
        <w:rPr>
          <w:rFonts w:hint="default" w:ascii="Times New Roman" w:hAnsi="Times New Roman" w:eastAsia="宋体" w:cs="Times New Roman"/>
          <w:bCs/>
          <w:iCs/>
          <w:szCs w:val="21"/>
          <w:highlight w:val="none"/>
        </w:rPr>
        <w:t>请人提供的生产厂房信息应满足通用资格要求。</w:t>
      </w:r>
    </w:p>
    <w:p>
      <w:pPr>
        <w:adjustRightInd w:val="0"/>
        <w:snapToGrid w:val="0"/>
        <w:spacing w:before="240" w:beforeLines="100" w:after="120" w:afterLines="50" w:line="400" w:lineRule="exact"/>
        <w:outlineLvl w:val="1"/>
        <w:rPr>
          <w:rFonts w:ascii="黑体" w:hAnsi="黑体" w:eastAsia="黑体" w:cs="黑体"/>
          <w:b/>
          <w:bCs/>
          <w:sz w:val="24"/>
          <w:szCs w:val="24"/>
          <w:highlight w:val="none"/>
        </w:rPr>
      </w:pPr>
      <w:bookmarkStart w:id="13" w:name="_Toc504385829"/>
      <w:r>
        <w:rPr>
          <w:rFonts w:ascii="黑体" w:hAnsi="黑体" w:eastAsia="黑体" w:cs="黑体"/>
          <w:b/>
          <w:bCs/>
          <w:sz w:val="24"/>
          <w:szCs w:val="24"/>
          <w:highlight w:val="none"/>
        </w:rPr>
        <w:t>5.</w:t>
      </w:r>
      <w:r>
        <w:rPr>
          <w:rFonts w:hint="eastAsia" w:ascii="黑体" w:hAnsi="黑体" w:eastAsia="黑体" w:cs="黑体"/>
          <w:b/>
          <w:bCs/>
          <w:sz w:val="24"/>
          <w:szCs w:val="24"/>
          <w:highlight w:val="none"/>
        </w:rPr>
        <w:t>资格预审方法</w:t>
      </w:r>
      <w:bookmarkEnd w:id="13"/>
    </w:p>
    <w:p>
      <w:pPr>
        <w:spacing w:line="400" w:lineRule="exact"/>
        <w:ind w:firstLine="420" w:firstLineChars="200"/>
        <w:rPr>
          <w:rFonts w:ascii="Arial" w:hAnsi="Arial" w:cs="Arial"/>
          <w:highlight w:val="none"/>
        </w:rPr>
      </w:pPr>
      <w:r>
        <w:rPr>
          <w:rFonts w:ascii="Arial" w:hAnsi="Arial" w:cs="Arial"/>
          <w:highlight w:val="none"/>
        </w:rPr>
        <w:t>本次资格预审采用</w:t>
      </w:r>
      <w:r>
        <w:rPr>
          <w:rFonts w:ascii="Arial" w:hAnsi="Arial" w:cs="Arial"/>
          <w:highlight w:val="none"/>
          <w:u w:val="single"/>
        </w:rPr>
        <w:t xml:space="preserve"> 合格制 </w:t>
      </w:r>
      <w:r>
        <w:rPr>
          <w:rFonts w:ascii="Arial" w:hAnsi="Arial" w:cs="Arial"/>
          <w:highlight w:val="none"/>
        </w:rPr>
        <w:t>。</w:t>
      </w:r>
    </w:p>
    <w:p>
      <w:pPr>
        <w:adjustRightInd w:val="0"/>
        <w:snapToGrid w:val="0"/>
        <w:spacing w:before="240" w:beforeLines="100" w:after="120" w:afterLines="50" w:line="400" w:lineRule="exact"/>
        <w:outlineLvl w:val="1"/>
        <w:rPr>
          <w:rFonts w:ascii="黑体" w:hAnsi="黑体" w:eastAsia="黑体" w:cs="黑体"/>
          <w:b/>
          <w:bCs/>
          <w:sz w:val="24"/>
          <w:szCs w:val="24"/>
          <w:highlight w:val="none"/>
        </w:rPr>
      </w:pPr>
      <w:bookmarkStart w:id="14" w:name="_Toc152047195"/>
      <w:bookmarkStart w:id="15" w:name="_Toc408358705"/>
      <w:bookmarkStart w:id="16" w:name="_Toc144974398"/>
      <w:bookmarkStart w:id="17" w:name="_Toc504385830"/>
      <w:r>
        <w:rPr>
          <w:rFonts w:ascii="黑体" w:hAnsi="黑体" w:eastAsia="黑体" w:cs="黑体"/>
          <w:b/>
          <w:bCs/>
          <w:sz w:val="24"/>
          <w:szCs w:val="24"/>
          <w:highlight w:val="none"/>
        </w:rPr>
        <w:t>6.</w:t>
      </w:r>
      <w:r>
        <w:rPr>
          <w:rFonts w:hint="eastAsia" w:ascii="黑体" w:hAnsi="黑体" w:eastAsia="黑体" w:cs="黑体"/>
          <w:b/>
          <w:bCs/>
          <w:sz w:val="24"/>
          <w:szCs w:val="24"/>
          <w:highlight w:val="none"/>
        </w:rPr>
        <w:t>资格预审文件的获取</w:t>
      </w:r>
      <w:bookmarkEnd w:id="14"/>
      <w:bookmarkEnd w:id="15"/>
      <w:bookmarkEnd w:id="16"/>
      <w:bookmarkEnd w:id="17"/>
    </w:p>
    <w:p>
      <w:pPr>
        <w:wordWrap w:val="0"/>
        <w:spacing w:line="400" w:lineRule="exact"/>
        <w:ind w:firstLine="420" w:firstLineChars="200"/>
        <w:rPr>
          <w:rFonts w:hint="default" w:ascii="Times New Roman" w:hAnsi="Times New Roman" w:eastAsia="宋体" w:cs="Times New Roman"/>
          <w:highlight w:val="none"/>
        </w:rPr>
      </w:pPr>
      <w:bookmarkStart w:id="18" w:name="_Toc152047196"/>
      <w:bookmarkStart w:id="19" w:name="_Toc144974400"/>
      <w:bookmarkStart w:id="20" w:name="_Toc408358706"/>
      <w:r>
        <w:rPr>
          <w:rFonts w:hint="default" w:ascii="Times New Roman" w:hAnsi="Times New Roman" w:eastAsia="宋体" w:cs="Times New Roman"/>
          <w:highlight w:val="none"/>
        </w:rPr>
        <w:t>6.1凡有意参加的申请人，请于资格预审公告发布之日起至</w:t>
      </w:r>
      <w:r>
        <w:rPr>
          <w:rFonts w:hint="default" w:ascii="Times New Roman" w:hAnsi="Times New Roman" w:eastAsia="宋体" w:cs="Times New Roman"/>
          <w:b/>
          <w:color w:val="auto"/>
          <w:highlight w:val="none"/>
        </w:rPr>
        <w:t>202</w:t>
      </w:r>
      <w:r>
        <w:rPr>
          <w:rFonts w:hint="eastAsia" w:ascii="Times New Roman" w:hAnsi="Times New Roman" w:eastAsia="宋体" w:cs="Times New Roman"/>
          <w:b/>
          <w:color w:val="auto"/>
          <w:highlight w:val="none"/>
          <w:lang w:val="en-US" w:eastAsia="zh-CN"/>
        </w:rPr>
        <w:t>5</w:t>
      </w:r>
      <w:r>
        <w:rPr>
          <w:rFonts w:hint="default" w:ascii="Times New Roman" w:hAnsi="Times New Roman" w:eastAsia="宋体" w:cs="Times New Roman"/>
          <w:b/>
          <w:color w:val="auto"/>
          <w:highlight w:val="none"/>
        </w:rPr>
        <w:t>年</w:t>
      </w:r>
      <w:r>
        <w:rPr>
          <w:rFonts w:hint="eastAsia" w:ascii="Times New Roman" w:hAnsi="Times New Roman" w:eastAsia="宋体" w:cs="Times New Roman"/>
          <w:b/>
          <w:color w:val="auto"/>
          <w:highlight w:val="none"/>
          <w:lang w:val="en-US" w:eastAsia="zh-CN"/>
        </w:rPr>
        <w:t>7</w:t>
      </w:r>
      <w:r>
        <w:rPr>
          <w:rFonts w:hint="default" w:ascii="Times New Roman" w:hAnsi="Times New Roman" w:eastAsia="宋体" w:cs="Times New Roman"/>
          <w:b/>
          <w:color w:val="auto"/>
          <w:highlight w:val="none"/>
        </w:rPr>
        <w:t>月</w:t>
      </w:r>
      <w:r>
        <w:rPr>
          <w:rFonts w:hint="eastAsia" w:ascii="Times New Roman" w:hAnsi="Times New Roman" w:eastAsia="宋体" w:cs="Times New Roman"/>
          <w:b/>
          <w:color w:val="auto"/>
          <w:highlight w:val="none"/>
          <w:lang w:val="en-US" w:eastAsia="zh-CN"/>
        </w:rPr>
        <w:t>10</w:t>
      </w:r>
      <w:r>
        <w:rPr>
          <w:rFonts w:hint="default" w:ascii="Times New Roman" w:hAnsi="Times New Roman" w:eastAsia="宋体" w:cs="Times New Roman"/>
          <w:b/>
          <w:color w:val="auto"/>
          <w:highlight w:val="none"/>
        </w:rPr>
        <w:t>日</w:t>
      </w:r>
      <w:r>
        <w:rPr>
          <w:rFonts w:hint="eastAsia" w:ascii="Times New Roman" w:hAnsi="Times New Roman" w:eastAsia="宋体" w:cs="Times New Roman"/>
          <w:b/>
          <w:color w:val="auto"/>
          <w:highlight w:val="none"/>
          <w:lang w:val="en-US" w:eastAsia="zh-CN"/>
        </w:rPr>
        <w:t>17</w:t>
      </w:r>
      <w:r>
        <w:rPr>
          <w:rFonts w:hint="default" w:ascii="Times New Roman" w:hAnsi="Times New Roman" w:eastAsia="宋体" w:cs="Times New Roman"/>
          <w:b/>
          <w:color w:val="auto"/>
          <w:highlight w:val="none"/>
        </w:rPr>
        <w:t>时</w:t>
      </w:r>
      <w:r>
        <w:rPr>
          <w:rFonts w:hint="default" w:ascii="Times New Roman" w:hAnsi="Times New Roman" w:eastAsia="宋体" w:cs="Times New Roman"/>
          <w:szCs w:val="21"/>
          <w:highlight w:val="none"/>
        </w:rPr>
        <w:t>（北京时间，下同）</w:t>
      </w:r>
      <w:r>
        <w:rPr>
          <w:rFonts w:hint="default" w:ascii="Times New Roman" w:hAnsi="Times New Roman" w:eastAsia="宋体" w:cs="Times New Roman"/>
          <w:highlight w:val="none"/>
        </w:rPr>
        <w:t>，登陆</w:t>
      </w:r>
      <w:r>
        <w:rPr>
          <w:rFonts w:hint="default" w:ascii="Times New Roman" w:hAnsi="Times New Roman" w:eastAsia="宋体" w:cs="Times New Roman"/>
          <w:color w:val="auto"/>
          <w:highlight w:val="none"/>
        </w:rPr>
        <w:t>招标人招投标交易平台信息系统（</w:t>
      </w:r>
      <w:r>
        <w:rPr>
          <w:rFonts w:hint="default" w:ascii="Times New Roman" w:hAnsi="Times New Roman" w:eastAsia="宋体" w:cs="Times New Roman"/>
          <w:color w:val="000000" w:themeColor="text1"/>
          <w:highlight w:val="none"/>
          <w14:textFill>
            <w14:solidFill>
              <w14:schemeClr w14:val="tx1"/>
            </w14:solidFill>
          </w14:textFill>
        </w:rPr>
        <w:t>国家电网有限公司电子商务平台</w:t>
      </w:r>
      <w:r>
        <w:rPr>
          <w:rFonts w:hint="default" w:ascii="Times New Roman" w:hAnsi="Times New Roman" w:eastAsia="宋体" w:cs="Times New Roman"/>
          <w:color w:val="000000" w:themeColor="text1"/>
          <w:highlight w:val="none"/>
          <w:lang w:eastAsia="zh-CN"/>
          <w14:textFill>
            <w14:solidFill>
              <w14:schemeClr w14:val="tx1"/>
            </w14:solidFill>
          </w14:textFill>
        </w:rPr>
        <w:t>（</w:t>
      </w:r>
      <w:r>
        <w:rPr>
          <w:rFonts w:hint="default" w:ascii="Times New Roman" w:hAnsi="Times New Roman" w:eastAsia="宋体" w:cs="Times New Roman"/>
          <w:color w:val="000000" w:themeColor="text1"/>
          <w:highlight w:val="none"/>
          <w14:textFill>
            <w14:solidFill>
              <w14:schemeClr w14:val="tx1"/>
            </w14:solidFill>
          </w14:textFill>
        </w:rPr>
        <w:t>https://ecp.sgcc.com.cn</w:t>
      </w:r>
      <w:r>
        <w:rPr>
          <w:rFonts w:hint="default" w:ascii="Times New Roman" w:hAnsi="Times New Roman" w:eastAsia="宋体"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eastAsia="宋体" w:cs="Times New Roman"/>
          <w:color w:val="auto"/>
          <w:highlight w:val="none"/>
        </w:rPr>
        <w:t>以下简称电子商务平台）</w:t>
      </w:r>
      <w:r>
        <w:rPr>
          <w:rFonts w:hint="default" w:ascii="Times New Roman" w:hAnsi="Times New Roman" w:eastAsia="宋体" w:cs="Times New Roman"/>
          <w:highlight w:val="none"/>
        </w:rPr>
        <w:t>下载资格预审文件，并按《电子招标投标办法》等国家法律法规要求，到第三方认证机构办理CA证书电子钥匙。申请</w:t>
      </w:r>
      <w:bookmarkStart w:id="29" w:name="_GoBack"/>
      <w:bookmarkEnd w:id="29"/>
      <w:r>
        <w:rPr>
          <w:rFonts w:hint="default" w:ascii="Times New Roman" w:hAnsi="Times New Roman" w:eastAsia="宋体" w:cs="Times New Roman"/>
          <w:highlight w:val="none"/>
        </w:rPr>
        <w:t>人应妥善保管</w:t>
      </w:r>
      <w:r>
        <w:rPr>
          <w:rFonts w:hint="default" w:ascii="Times New Roman" w:hAnsi="Times New Roman" w:eastAsia="宋体" w:cs="Times New Roman"/>
          <w:kern w:val="0"/>
          <w:szCs w:val="21"/>
          <w:highlight w:val="none"/>
        </w:rPr>
        <w:t>招标人招投标交易平台信息系统</w:t>
      </w:r>
      <w:r>
        <w:rPr>
          <w:rFonts w:hint="default" w:ascii="Times New Roman" w:hAnsi="Times New Roman" w:eastAsia="宋体" w:cs="Times New Roman"/>
          <w:highlight w:val="none"/>
        </w:rPr>
        <w:t>账号和密码，以及CFCA数字证书和密码，因上述账号、数字证书或密码保管不当造成的损失，由申请人自行承担。</w:t>
      </w:r>
    </w:p>
    <w:p>
      <w:pPr>
        <w:spacing w:line="400" w:lineRule="exact"/>
        <w:ind w:firstLine="420" w:firstLineChars="200"/>
        <w:rPr>
          <w:rFonts w:hint="default" w:ascii="Times New Roman" w:hAnsi="Times New Roman" w:eastAsia="宋体" w:cs="Times New Roman"/>
          <w:highlight w:val="none"/>
        </w:rPr>
      </w:pPr>
      <w:r>
        <w:rPr>
          <w:rFonts w:hint="default" w:ascii="Times New Roman" w:hAnsi="Times New Roman" w:eastAsia="宋体" w:cs="Times New Roman"/>
          <w:highlight w:val="none"/>
        </w:rPr>
        <w:t>6.2资格预审文件（电子文件）免费获取。</w:t>
      </w:r>
    </w:p>
    <w:p>
      <w:pPr>
        <w:spacing w:line="400" w:lineRule="exact"/>
        <w:ind w:firstLine="420" w:firstLineChars="200"/>
        <w:rPr>
          <w:rFonts w:hint="default" w:ascii="Times New Roman" w:hAnsi="Times New Roman" w:eastAsia="宋体" w:cs="Times New Roman"/>
          <w:highlight w:val="none"/>
        </w:rPr>
      </w:pPr>
      <w:r>
        <w:rPr>
          <w:rFonts w:hint="default" w:ascii="Times New Roman" w:hAnsi="Times New Roman" w:eastAsia="宋体" w:cs="Times New Roman"/>
          <w:highlight w:val="none"/>
        </w:rPr>
        <w:t>6.3申请人需利用离线投标工具进行电子申请文件编制。离线投标工具下载方式：请各</w:t>
      </w:r>
      <w:r>
        <w:rPr>
          <w:rFonts w:hint="default" w:ascii="Times New Roman" w:hAnsi="Times New Roman" w:eastAsia="宋体" w:cs="Times New Roman"/>
          <w:highlight w:val="none"/>
          <w:lang w:val="en-US" w:eastAsia="zh-CN"/>
        </w:rPr>
        <w:t>申请</w:t>
      </w:r>
      <w:r>
        <w:rPr>
          <w:rFonts w:hint="default" w:ascii="Times New Roman" w:hAnsi="Times New Roman" w:eastAsia="宋体" w:cs="Times New Roman"/>
          <w:highlight w:val="none"/>
        </w:rPr>
        <w:t>人在招标人招投标交易</w:t>
      </w:r>
      <w:r>
        <w:rPr>
          <w:rFonts w:hint="eastAsia" w:ascii="宋体" w:hAnsi="宋体" w:eastAsia="宋体" w:cs="宋体"/>
          <w:highlight w:val="none"/>
        </w:rPr>
        <w:t>平台信息系统</w:t>
      </w:r>
      <w:r>
        <w:rPr>
          <w:rFonts w:hint="eastAsia" w:ascii="宋体" w:hAnsi="宋体" w:eastAsia="宋体" w:cs="宋体"/>
          <w:color w:val="auto"/>
          <w:highlight w:val="none"/>
        </w:rPr>
        <w:t>首页“下载专区→供应商投标工具”下载并安装。操作手册及注意事项见首页“操作说明→</w:t>
      </w:r>
      <w:r>
        <w:rPr>
          <w:rFonts w:hint="default" w:ascii="Times New Roman" w:hAnsi="Times New Roman" w:eastAsia="宋体" w:cs="Times New Roman"/>
          <w:color w:val="auto"/>
          <w:highlight w:val="none"/>
        </w:rPr>
        <w:t>ECP2.0</w:t>
      </w:r>
      <w:r>
        <w:rPr>
          <w:rFonts w:hint="eastAsia" w:ascii="宋体" w:hAnsi="宋体" w:eastAsia="宋体" w:cs="宋体"/>
          <w:color w:val="auto"/>
          <w:highlight w:val="none"/>
        </w:rPr>
        <w:t>招标采购流程供应商操作手册“或“演示视频→投标工具新U+操作指导视频”</w:t>
      </w:r>
      <w:r>
        <w:rPr>
          <w:rFonts w:hint="eastAsia" w:ascii="宋体" w:hAnsi="宋体" w:eastAsia="宋体" w:cs="宋体"/>
          <w:color w:val="auto"/>
          <w:highlight w:val="none"/>
          <w:lang w:eastAsia="zh-CN"/>
        </w:rPr>
        <w:t>。</w:t>
      </w:r>
      <w:r>
        <w:rPr>
          <w:rFonts w:hint="eastAsia" w:ascii="宋体" w:hAnsi="宋体" w:eastAsia="宋体" w:cs="宋体"/>
          <w:highlight w:val="none"/>
        </w:rPr>
        <w:t>离</w:t>
      </w:r>
      <w:r>
        <w:rPr>
          <w:rFonts w:hint="default" w:ascii="Times New Roman" w:hAnsi="Times New Roman" w:eastAsia="宋体" w:cs="Times New Roman"/>
          <w:highlight w:val="none"/>
        </w:rPr>
        <w:t>线投标工具操作问题联系招标人招投标交易平台信息系统运维支持电话：010-63411000。使用投标工具电脑配置要求：内存大于8GB，64位操作系统。</w:t>
      </w:r>
    </w:p>
    <w:p>
      <w:pPr>
        <w:adjustRightInd w:val="0"/>
        <w:snapToGrid w:val="0"/>
        <w:spacing w:before="240" w:beforeLines="100" w:after="120" w:afterLines="50" w:line="400" w:lineRule="exact"/>
        <w:outlineLvl w:val="1"/>
        <w:rPr>
          <w:rFonts w:ascii="黑体" w:hAnsi="黑体" w:eastAsia="黑体" w:cs="黑体"/>
          <w:b/>
          <w:bCs/>
          <w:sz w:val="24"/>
          <w:szCs w:val="24"/>
          <w:highlight w:val="none"/>
        </w:rPr>
      </w:pPr>
      <w:bookmarkStart w:id="21" w:name="_Toc504385831"/>
      <w:r>
        <w:rPr>
          <w:rFonts w:ascii="黑体" w:hAnsi="黑体" w:eastAsia="黑体" w:cs="黑体"/>
          <w:b/>
          <w:bCs/>
          <w:sz w:val="24"/>
          <w:szCs w:val="24"/>
          <w:highlight w:val="none"/>
        </w:rPr>
        <w:t>7.</w:t>
      </w:r>
      <w:r>
        <w:rPr>
          <w:rFonts w:hint="eastAsia" w:ascii="黑体" w:hAnsi="黑体" w:eastAsia="黑体" w:cs="黑体"/>
          <w:b/>
          <w:bCs/>
          <w:sz w:val="24"/>
          <w:szCs w:val="24"/>
          <w:highlight w:val="none"/>
        </w:rPr>
        <w:t>资格预审申请文件的递交</w:t>
      </w:r>
      <w:bookmarkEnd w:id="18"/>
      <w:bookmarkEnd w:id="19"/>
      <w:bookmarkEnd w:id="20"/>
      <w:bookmarkEnd w:id="21"/>
    </w:p>
    <w:p>
      <w:pPr>
        <w:adjustRightInd w:val="0"/>
        <w:snapToGrid w:val="0"/>
        <w:spacing w:line="400" w:lineRule="exact"/>
        <w:ind w:firstLine="437"/>
        <w:rPr>
          <w:rFonts w:ascii="宋体" w:hAnsi="宋体" w:eastAsia="宋体" w:cs="宋体"/>
          <w:highlight w:val="none"/>
        </w:rPr>
      </w:pPr>
      <w:bookmarkStart w:id="22" w:name="_Toc408358707"/>
      <w:bookmarkStart w:id="23" w:name="_Toc152047197"/>
      <w:bookmarkStart w:id="24" w:name="_Toc144974401"/>
      <w:r>
        <w:rPr>
          <w:rFonts w:hint="eastAsia" w:ascii="宋体" w:hAnsi="宋体" w:eastAsia="宋体" w:cs="宋体"/>
          <w:highlight w:val="none"/>
        </w:rPr>
        <w:t>7.1资格预审申请文件递交（提交）的截止时间为：</w:t>
      </w:r>
      <w:r>
        <w:rPr>
          <w:rFonts w:hint="eastAsia" w:ascii="宋体" w:hAnsi="宋体" w:eastAsia="宋体" w:cs="宋体"/>
          <w:highlight w:val="none"/>
          <w:lang w:val="en-US" w:eastAsia="zh-CN"/>
        </w:rPr>
        <w:t>2025</w:t>
      </w:r>
      <w:r>
        <w:rPr>
          <w:rFonts w:hint="default" w:ascii="Times New Roman" w:hAnsi="Times New Roman" w:eastAsia="宋体" w:cs="Times New Roman"/>
          <w:highlight w:val="none"/>
        </w:rPr>
        <w:t>年</w:t>
      </w:r>
      <w:r>
        <w:rPr>
          <w:rFonts w:hint="eastAsia" w:ascii="Times New Roman" w:hAnsi="Times New Roman" w:eastAsia="宋体" w:cs="Times New Roman"/>
          <w:highlight w:val="none"/>
          <w:lang w:val="en-US" w:eastAsia="zh-CN"/>
        </w:rPr>
        <w:t>7</w:t>
      </w:r>
      <w:r>
        <w:rPr>
          <w:rFonts w:hint="default" w:ascii="Times New Roman" w:hAnsi="Times New Roman" w:eastAsia="宋体" w:cs="Times New Roman"/>
          <w:highlight w:val="none"/>
        </w:rPr>
        <w:t>月</w:t>
      </w:r>
      <w:r>
        <w:rPr>
          <w:rFonts w:hint="eastAsia" w:ascii="Times New Roman" w:hAnsi="Times New Roman" w:eastAsia="宋体" w:cs="Times New Roman"/>
          <w:highlight w:val="none"/>
          <w:lang w:val="en-US" w:eastAsia="zh-CN"/>
        </w:rPr>
        <w:t>16</w:t>
      </w:r>
      <w:r>
        <w:rPr>
          <w:rFonts w:hint="default" w:ascii="Times New Roman" w:hAnsi="Times New Roman" w:eastAsia="宋体" w:cs="Times New Roman"/>
          <w:highlight w:val="none"/>
        </w:rPr>
        <w:t>日</w:t>
      </w:r>
      <w:r>
        <w:rPr>
          <w:rFonts w:hint="eastAsia" w:ascii="Times New Roman" w:hAnsi="Times New Roman" w:eastAsia="宋体" w:cs="Times New Roman"/>
          <w:highlight w:val="none"/>
          <w:lang w:val="en-US" w:eastAsia="zh-CN"/>
        </w:rPr>
        <w:t>9</w:t>
      </w:r>
      <w:r>
        <w:rPr>
          <w:rFonts w:hint="default" w:ascii="Times New Roman" w:hAnsi="Times New Roman" w:eastAsia="宋体" w:cs="Times New Roman"/>
          <w:highlight w:val="none"/>
        </w:rPr>
        <w:t>:</w:t>
      </w:r>
      <w:r>
        <w:rPr>
          <w:rFonts w:hint="eastAsia" w:ascii="Times New Roman" w:hAnsi="Times New Roman" w:eastAsia="宋体" w:cs="Times New Roman"/>
          <w:highlight w:val="none"/>
          <w:lang w:val="en-US" w:eastAsia="zh-CN"/>
        </w:rPr>
        <w:t>00</w:t>
      </w:r>
      <w:r>
        <w:rPr>
          <w:rFonts w:hint="default" w:ascii="Times New Roman" w:hAnsi="Times New Roman" w:eastAsia="宋体" w:cs="Times New Roman"/>
          <w:highlight w:val="none"/>
        </w:rPr>
        <w:t>时</w:t>
      </w:r>
      <w:r>
        <w:rPr>
          <w:rFonts w:hint="eastAsia" w:ascii="宋体" w:hAnsi="宋体" w:eastAsia="宋体" w:cs="宋体"/>
          <w:highlight w:val="none"/>
        </w:rPr>
        <w:t>。申请人应在截止时间前通过招标人招投标交易平台信息系统</w:t>
      </w:r>
      <w:r>
        <w:rPr>
          <w:rFonts w:hint="eastAsia" w:ascii="宋体" w:hAnsi="宋体" w:eastAsia="宋体" w:cs="宋体"/>
          <w:highlight w:val="none"/>
          <w:lang w:eastAsia="zh-CN"/>
        </w:rPr>
        <w:t>、</w:t>
      </w:r>
      <w:r>
        <w:rPr>
          <w:rFonts w:hint="eastAsia" w:ascii="宋体" w:hAnsi="宋体" w:cs="宋体"/>
          <w:color w:val="000000" w:themeColor="text1"/>
          <w:highlight w:val="none"/>
          <w:lang w:eastAsia="zh-CN"/>
          <w14:textFill>
            <w14:solidFill>
              <w14:schemeClr w14:val="tx1"/>
            </w14:solidFill>
          </w14:textFill>
        </w:rPr>
        <w:t>“国网辽宁电力数字化采购辅助工具”</w:t>
      </w:r>
      <w:r>
        <w:rPr>
          <w:rFonts w:hint="eastAsia" w:ascii="宋体" w:hAnsi="宋体" w:eastAsia="宋体" w:cs="宋体"/>
          <w:highlight w:val="none"/>
        </w:rPr>
        <w:t>递交电子申请文件，</w:t>
      </w:r>
      <w:r>
        <w:rPr>
          <w:rFonts w:hint="eastAsia" w:ascii="宋体" w:hAnsi="宋体" w:eastAsia="宋体" w:cs="宋体"/>
          <w:szCs w:val="21"/>
          <w:highlight w:val="none"/>
        </w:rPr>
        <w:t>本次预审项目不接受其他形式的申请文件。</w:t>
      </w:r>
    </w:p>
    <w:p>
      <w:pPr>
        <w:pStyle w:val="9"/>
        <w:tabs>
          <w:tab w:val="left" w:pos="3460"/>
        </w:tabs>
        <w:spacing w:after="0"/>
        <w:ind w:right="102" w:firstLine="420" w:firstLineChars="200"/>
        <w:rPr>
          <w:sz w:val="21"/>
          <w:szCs w:val="21"/>
          <w:highlight w:val="none"/>
        </w:rPr>
      </w:pPr>
      <w:r>
        <w:rPr>
          <w:sz w:val="21"/>
          <w:szCs w:val="21"/>
          <w:highlight w:val="none"/>
        </w:rPr>
        <w:t>7.2</w:t>
      </w:r>
      <w:r>
        <w:rPr>
          <w:rFonts w:hint="eastAsia"/>
          <w:b/>
          <w:sz w:val="21"/>
          <w:szCs w:val="21"/>
          <w:highlight w:val="none"/>
        </w:rPr>
        <w:t>申请文件递交</w:t>
      </w:r>
      <w:r>
        <w:rPr>
          <w:b/>
          <w:sz w:val="21"/>
          <w:szCs w:val="21"/>
          <w:highlight w:val="none"/>
        </w:rPr>
        <w:t>的截止时间为：</w:t>
      </w:r>
      <w:r>
        <w:rPr>
          <w:rFonts w:hint="eastAsia"/>
          <w:sz w:val="21"/>
          <w:szCs w:val="21"/>
          <w:highlight w:val="none"/>
        </w:rPr>
        <w:t>所有申请文件应当在截止时间前递交（提交）招标人。（如招标人因特殊原因，对该时间进行调整，将在实际的递交截止时间前至少5个工作日另行通知申请人）。</w:t>
      </w:r>
    </w:p>
    <w:p>
      <w:pPr>
        <w:adjustRightInd w:val="0"/>
        <w:snapToGrid w:val="0"/>
        <w:ind w:firstLine="422"/>
        <w:rPr>
          <w:b/>
          <w:szCs w:val="21"/>
          <w:highlight w:val="none"/>
        </w:rPr>
      </w:pPr>
      <w:r>
        <w:rPr>
          <w:b/>
          <w:szCs w:val="21"/>
          <w:highlight w:val="none"/>
        </w:rPr>
        <w:t xml:space="preserve">7.3 </w:t>
      </w:r>
      <w:r>
        <w:rPr>
          <w:rFonts w:hint="eastAsia"/>
          <w:b/>
          <w:szCs w:val="21"/>
          <w:highlight w:val="none"/>
        </w:rPr>
        <w:t>申请文件的制作</w:t>
      </w:r>
    </w:p>
    <w:p>
      <w:pPr>
        <w:adjustRightInd w:val="0"/>
        <w:snapToGrid w:val="0"/>
        <w:ind w:firstLine="435"/>
        <w:rPr>
          <w:szCs w:val="21"/>
          <w:highlight w:val="none"/>
        </w:rPr>
      </w:pPr>
      <w:r>
        <w:rPr>
          <w:rFonts w:hint="eastAsia"/>
          <w:szCs w:val="21"/>
          <w:highlight w:val="none"/>
        </w:rPr>
        <w:t>申请文件应以</w:t>
      </w:r>
      <w:r>
        <w:rPr>
          <w:rFonts w:hint="eastAsia" w:ascii="Times New Roman" w:hAnsi="Times New Roman" w:eastAsia="宋体" w:cs="Times New Roman"/>
          <w:b/>
          <w:color w:val="00B0F0"/>
          <w:szCs w:val="21"/>
          <w:highlight w:val="none"/>
        </w:rPr>
        <w:t>预审标段</w:t>
      </w:r>
      <w:r>
        <w:rPr>
          <w:rFonts w:hint="eastAsia"/>
          <w:szCs w:val="21"/>
          <w:highlight w:val="none"/>
        </w:rPr>
        <w:t>为单位，按照“第四章</w:t>
      </w:r>
      <w:r>
        <w:rPr>
          <w:szCs w:val="21"/>
          <w:highlight w:val="none"/>
        </w:rPr>
        <w:t xml:space="preserve"> </w:t>
      </w:r>
      <w:r>
        <w:rPr>
          <w:rFonts w:hint="eastAsia"/>
          <w:szCs w:val="21"/>
          <w:highlight w:val="none"/>
        </w:rPr>
        <w:t>资格预审申请文件格式”进行编制，文件大小请控制在</w:t>
      </w:r>
      <w:r>
        <w:rPr>
          <w:b/>
          <w:szCs w:val="21"/>
          <w:highlight w:val="none"/>
        </w:rPr>
        <w:t>60</w:t>
      </w:r>
      <w:r>
        <w:rPr>
          <w:rFonts w:hint="eastAsia"/>
          <w:b/>
          <w:szCs w:val="21"/>
          <w:highlight w:val="none"/>
        </w:rPr>
        <w:t>兆以内</w:t>
      </w:r>
      <w:r>
        <w:rPr>
          <w:rFonts w:hint="eastAsia"/>
          <w:szCs w:val="21"/>
          <w:highlight w:val="none"/>
        </w:rPr>
        <w:t>。</w:t>
      </w:r>
    </w:p>
    <w:p>
      <w:pPr>
        <w:adjustRightInd w:val="0"/>
        <w:snapToGrid w:val="0"/>
        <w:ind w:firstLine="422" w:firstLineChars="200"/>
        <w:rPr>
          <w:szCs w:val="21"/>
          <w:highlight w:val="none"/>
        </w:rPr>
      </w:pPr>
      <w:r>
        <w:rPr>
          <w:rFonts w:hint="eastAsia"/>
          <w:b/>
          <w:color w:val="FF0000"/>
          <w:szCs w:val="21"/>
          <w:highlight w:val="none"/>
        </w:rPr>
        <w:t>温馨提示：</w:t>
      </w:r>
      <w:r>
        <w:rPr>
          <w:rFonts w:hint="eastAsia"/>
          <w:szCs w:val="21"/>
          <w:highlight w:val="none"/>
        </w:rPr>
        <w:t>若申请文件超过</w:t>
      </w:r>
      <w:r>
        <w:rPr>
          <w:szCs w:val="21"/>
          <w:highlight w:val="none"/>
        </w:rPr>
        <w:t>60</w:t>
      </w:r>
      <w:r>
        <w:rPr>
          <w:rFonts w:hint="eastAsia"/>
          <w:szCs w:val="21"/>
          <w:highlight w:val="none"/>
        </w:rPr>
        <w:t>兆，建议申请人首先应用</w:t>
      </w:r>
      <w:r>
        <w:rPr>
          <w:szCs w:val="21"/>
          <w:highlight w:val="none"/>
        </w:rPr>
        <w:t>word</w:t>
      </w:r>
      <w:r>
        <w:rPr>
          <w:rFonts w:hint="eastAsia"/>
          <w:szCs w:val="21"/>
          <w:highlight w:val="none"/>
        </w:rPr>
        <w:t>自带压缩功能对文件进行压缩，操作步骤：文件另存为-工具-压缩图片，选择屏幕（150ppi）的图片质量，然后将word另存为一个较小的docx文件。</w:t>
      </w:r>
      <w:r>
        <w:rPr>
          <w:rFonts w:hint="eastAsia"/>
          <w:b/>
          <w:szCs w:val="21"/>
          <w:highlight w:val="none"/>
        </w:rPr>
        <w:t>请申请人压缩文件同时保证清晰度，因清晰度不足无法辨认造成对申请人不利的预审结果，后果由申请人自行承担。</w:t>
      </w:r>
    </w:p>
    <w:p>
      <w:pPr>
        <w:adjustRightInd w:val="0"/>
        <w:snapToGrid w:val="0"/>
        <w:ind w:firstLine="435"/>
        <w:rPr>
          <w:b/>
          <w:szCs w:val="21"/>
          <w:highlight w:val="none"/>
        </w:rPr>
      </w:pPr>
      <w:r>
        <w:rPr>
          <w:b/>
          <w:szCs w:val="21"/>
          <w:highlight w:val="none"/>
        </w:rPr>
        <w:t>7.4</w:t>
      </w:r>
      <w:r>
        <w:rPr>
          <w:rFonts w:hint="eastAsia"/>
          <w:b/>
          <w:szCs w:val="21"/>
          <w:highlight w:val="none"/>
        </w:rPr>
        <w:t>申请文件递交（上传）方式</w:t>
      </w:r>
    </w:p>
    <w:p>
      <w:pPr>
        <w:adjustRightInd w:val="0"/>
        <w:snapToGrid w:val="0"/>
        <w:ind w:firstLine="422" w:firstLineChars="200"/>
        <w:rPr>
          <w:szCs w:val="21"/>
          <w:highlight w:val="none"/>
        </w:rPr>
      </w:pPr>
      <w:r>
        <w:rPr>
          <w:b/>
          <w:color w:val="FF0000"/>
          <w:szCs w:val="21"/>
          <w:highlight w:val="none"/>
        </w:rPr>
        <w:t>E</w:t>
      </w:r>
      <w:r>
        <w:rPr>
          <w:rFonts w:hAnsi="Arial"/>
          <w:b/>
          <w:iCs/>
          <w:color w:val="FF0000"/>
          <w:szCs w:val="21"/>
          <w:highlight w:val="none"/>
        </w:rPr>
        <w:t>CP2.0</w:t>
      </w:r>
      <w:r>
        <w:rPr>
          <w:rFonts w:hint="eastAsia"/>
          <w:b/>
          <w:color w:val="FF0000"/>
          <w:szCs w:val="21"/>
          <w:highlight w:val="none"/>
        </w:rPr>
        <w:t>电子申请文件：</w:t>
      </w:r>
      <w:r>
        <w:rPr>
          <w:rFonts w:hint="eastAsia"/>
          <w:b/>
          <w:szCs w:val="21"/>
          <w:highlight w:val="none"/>
        </w:rPr>
        <w:t>指申请人上传至</w:t>
      </w:r>
      <w:r>
        <w:rPr>
          <w:b/>
          <w:szCs w:val="21"/>
          <w:highlight w:val="none"/>
        </w:rPr>
        <w:t>E</w:t>
      </w:r>
      <w:r>
        <w:rPr>
          <w:rFonts w:hAnsi="Arial"/>
          <w:b/>
          <w:iCs/>
          <w:szCs w:val="21"/>
          <w:highlight w:val="none"/>
        </w:rPr>
        <w:t>CP2.0</w:t>
      </w:r>
      <w:r>
        <w:rPr>
          <w:rFonts w:hint="eastAsia" w:hAnsi="Arial"/>
          <w:b/>
          <w:iCs/>
          <w:szCs w:val="21"/>
          <w:highlight w:val="none"/>
        </w:rPr>
        <w:t>系统</w:t>
      </w:r>
      <w:r>
        <w:rPr>
          <w:rFonts w:hint="eastAsia"/>
          <w:b/>
          <w:szCs w:val="21"/>
          <w:highlight w:val="none"/>
        </w:rPr>
        <w:t>的资格预审申请文件。</w:t>
      </w:r>
    </w:p>
    <w:p>
      <w:pPr>
        <w:adjustRightInd w:val="0"/>
        <w:snapToGrid w:val="0"/>
        <w:ind w:firstLine="420" w:firstLineChars="200"/>
        <w:textAlignment w:val="baseline"/>
        <w:rPr>
          <w:rFonts w:hAnsi="Arial"/>
          <w:iCs/>
          <w:szCs w:val="21"/>
          <w:highlight w:val="none"/>
        </w:rPr>
      </w:pPr>
      <w:r>
        <w:rPr>
          <w:rFonts w:hint="eastAsia"/>
          <w:szCs w:val="21"/>
          <w:highlight w:val="none"/>
        </w:rPr>
        <w:t>按</w:t>
      </w:r>
      <w:r>
        <w:rPr>
          <w:rFonts w:hint="eastAsia" w:ascii="Times New Roman" w:hAnsi="Times New Roman" w:eastAsia="宋体" w:cs="Times New Roman"/>
          <w:b/>
          <w:color w:val="00B0F0"/>
          <w:szCs w:val="21"/>
          <w:highlight w:val="none"/>
        </w:rPr>
        <w:t>预审标段</w:t>
      </w:r>
      <w:r>
        <w:rPr>
          <w:rFonts w:hint="eastAsia"/>
          <w:szCs w:val="21"/>
          <w:highlight w:val="none"/>
        </w:rPr>
        <w:t>制作为</w:t>
      </w:r>
      <w:r>
        <w:rPr>
          <w:szCs w:val="21"/>
          <w:highlight w:val="none"/>
        </w:rPr>
        <w:t>DOCX\PDF</w:t>
      </w:r>
      <w:r>
        <w:rPr>
          <w:rFonts w:hint="eastAsia"/>
          <w:szCs w:val="21"/>
          <w:highlight w:val="none"/>
        </w:rPr>
        <w:t>格式，使用离线投标工具（最新版）按包（预审标段）批量在</w:t>
      </w:r>
      <w:r>
        <w:rPr>
          <w:rFonts w:hint="eastAsia"/>
          <w:b/>
          <w:szCs w:val="21"/>
          <w:highlight w:val="none"/>
        </w:rPr>
        <w:t>技术部分</w:t>
      </w:r>
      <w:r>
        <w:rPr>
          <w:rFonts w:hint="eastAsia"/>
          <w:szCs w:val="21"/>
          <w:highlight w:val="none"/>
        </w:rPr>
        <w:t>“投标工具</w:t>
      </w:r>
      <w:r>
        <w:rPr>
          <w:szCs w:val="21"/>
          <w:highlight w:val="none"/>
        </w:rPr>
        <w:t>-</w:t>
      </w:r>
      <w:r>
        <w:rPr>
          <w:rFonts w:hint="eastAsia"/>
          <w:szCs w:val="21"/>
          <w:highlight w:val="none"/>
        </w:rPr>
        <w:t>其他技术应答文件</w:t>
      </w:r>
      <w:r>
        <w:rPr>
          <w:szCs w:val="21"/>
          <w:highlight w:val="none"/>
        </w:rPr>
        <w:t>-</w:t>
      </w:r>
      <w:r>
        <w:rPr>
          <w:rFonts w:hint="eastAsia"/>
          <w:szCs w:val="21"/>
          <w:highlight w:val="none"/>
        </w:rPr>
        <w:t>维护其他技术应答文件</w:t>
      </w:r>
      <w:r>
        <w:rPr>
          <w:szCs w:val="21"/>
          <w:highlight w:val="none"/>
        </w:rPr>
        <w:t>-</w:t>
      </w:r>
      <w:r>
        <w:rPr>
          <w:rFonts w:hint="eastAsia"/>
          <w:szCs w:val="21"/>
          <w:highlight w:val="none"/>
        </w:rPr>
        <w:t>专用技术规范要求的图纸”端口上传。</w:t>
      </w:r>
    </w:p>
    <w:p>
      <w:pPr>
        <w:pStyle w:val="8"/>
        <w:ind w:firstLine="0" w:firstLineChars="0"/>
        <w:jc w:val="center"/>
        <w:rPr>
          <w:highlight w:val="none"/>
        </w:rPr>
      </w:pPr>
      <w:r>
        <w:rPr>
          <w:b/>
          <w:color w:val="FF0000"/>
          <w:szCs w:val="21"/>
          <w:highlight w:val="none"/>
        </w:rPr>
        <w:drawing>
          <wp:inline distT="0" distB="0" distL="0" distR="0">
            <wp:extent cx="5102225" cy="2747010"/>
            <wp:effectExtent l="0" t="0" r="3175" b="152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102225" cy="2747010"/>
                    </a:xfrm>
                    <a:prstGeom prst="rect">
                      <a:avLst/>
                    </a:prstGeom>
                    <a:noFill/>
                    <a:ln>
                      <a:noFill/>
                    </a:ln>
                  </pic:spPr>
                </pic:pic>
              </a:graphicData>
            </a:graphic>
          </wp:inline>
        </w:drawing>
      </w:r>
    </w:p>
    <w:p>
      <w:pPr>
        <w:adjustRightInd w:val="0"/>
        <w:snapToGrid w:val="0"/>
        <w:ind w:firstLine="422" w:firstLineChars="200"/>
        <w:textAlignment w:val="baseline"/>
        <w:rPr>
          <w:rFonts w:hint="default" w:eastAsia="宋体"/>
          <w:szCs w:val="21"/>
          <w:highlight w:val="none"/>
          <w:lang w:val="en-US" w:eastAsia="zh-CN"/>
        </w:rPr>
      </w:pPr>
      <w:r>
        <w:rPr>
          <w:rFonts w:hint="eastAsia"/>
          <w:b/>
          <w:color w:val="FF0000"/>
          <w:szCs w:val="21"/>
          <w:highlight w:val="none"/>
        </w:rPr>
        <w:t>“国网辽宁电力数字化采购辅助工具”</w:t>
      </w:r>
      <w:r>
        <w:rPr>
          <w:rFonts w:hint="eastAsia"/>
          <w:b/>
          <w:color w:val="FF0000"/>
          <w:szCs w:val="21"/>
          <w:highlight w:val="none"/>
          <w:lang w:val="en-US" w:eastAsia="zh-CN"/>
        </w:rPr>
        <w:t>申请文件</w:t>
      </w:r>
      <w:r>
        <w:rPr>
          <w:rFonts w:hint="eastAsia"/>
          <w:b/>
          <w:color w:val="FF0000"/>
          <w:szCs w:val="21"/>
          <w:highlight w:val="none"/>
        </w:rPr>
        <w:t>：</w:t>
      </w:r>
      <w:r>
        <w:rPr>
          <w:rFonts w:hint="eastAsia"/>
          <w:b/>
          <w:szCs w:val="21"/>
          <w:highlight w:val="none"/>
        </w:rPr>
        <w:t>指申请人上传至“国网辽宁电力数字化采购辅助工具”的资格预审申请文件（辅助工具下载地址：http://47.100.70.249/ln-web/）。</w:t>
      </w:r>
      <w:r>
        <w:rPr>
          <w:rFonts w:hint="eastAsia"/>
          <w:b/>
          <w:szCs w:val="21"/>
          <w:highlight w:val="none"/>
          <w:lang w:val="en-US" w:eastAsia="zh-CN"/>
        </w:rPr>
        <w:t>具体操作详见“第四章 资格预审申请文件格式”。</w:t>
      </w:r>
    </w:p>
    <w:p>
      <w:pPr>
        <w:adjustRightInd w:val="0"/>
        <w:snapToGrid w:val="0"/>
        <w:ind w:firstLine="422" w:firstLineChars="200"/>
        <w:textAlignment w:val="baseline"/>
        <w:rPr>
          <w:b/>
          <w:color w:val="FF0000"/>
          <w:szCs w:val="21"/>
          <w:highlight w:val="none"/>
        </w:rPr>
      </w:pPr>
      <w:r>
        <w:rPr>
          <w:b/>
          <w:color w:val="FF0000"/>
          <w:szCs w:val="21"/>
          <w:highlight w:val="none"/>
        </w:rPr>
        <w:t>7.5</w:t>
      </w:r>
      <w:r>
        <w:rPr>
          <w:rFonts w:hint="eastAsia"/>
          <w:b/>
          <w:color w:val="FF0000"/>
          <w:szCs w:val="21"/>
          <w:highlight w:val="none"/>
        </w:rPr>
        <w:t>申请人应在ECP2.0及“国网辽宁电力数字化采购辅助工具”同时上传申请文件，保证ECP2.0电子申请文件和“国网辽宁电力数字化采购辅助工具”电子申请文件内容的一致性。如资质业绩信息集中应答文件支持证明材料较大无法上传至ECP2.0系统，请在ECP2.0上传说明文件（格式见“第四章</w:t>
      </w:r>
      <w:r>
        <w:rPr>
          <w:b/>
          <w:color w:val="FF0000"/>
          <w:szCs w:val="21"/>
          <w:highlight w:val="none"/>
        </w:rPr>
        <w:t xml:space="preserve"> </w:t>
      </w:r>
      <w:r>
        <w:rPr>
          <w:rFonts w:hint="eastAsia"/>
          <w:b/>
          <w:color w:val="FF0000"/>
          <w:szCs w:val="21"/>
          <w:highlight w:val="none"/>
        </w:rPr>
        <w:t>资格预审申请文件格式”），同时在“国网辽宁电力数字化采购辅助工具”按预审标段上传完整、清晰的电子申请文件。</w:t>
      </w:r>
    </w:p>
    <w:p>
      <w:pPr>
        <w:adjustRightInd w:val="0"/>
        <w:snapToGrid w:val="0"/>
        <w:ind w:firstLine="422" w:firstLineChars="200"/>
        <w:textAlignment w:val="baseline"/>
        <w:rPr>
          <w:b/>
          <w:color w:val="FF0000"/>
          <w:szCs w:val="21"/>
          <w:highlight w:val="none"/>
        </w:rPr>
      </w:pPr>
      <w:r>
        <w:rPr>
          <w:rFonts w:hint="eastAsia"/>
          <w:b/>
          <w:color w:val="FF0000"/>
          <w:szCs w:val="21"/>
          <w:highlight w:val="none"/>
        </w:rPr>
        <w:t>未在ECP2.0上传文件的视为申请文件内容不全，其申请将被否决。</w:t>
      </w:r>
    </w:p>
    <w:p>
      <w:pPr>
        <w:adjustRightInd w:val="0"/>
        <w:snapToGrid w:val="0"/>
        <w:ind w:firstLine="420" w:firstLineChars="200"/>
        <w:rPr>
          <w:highlight w:val="none"/>
        </w:rPr>
      </w:pPr>
      <w:r>
        <w:rPr>
          <w:highlight w:val="none"/>
        </w:rPr>
        <w:t>7.</w:t>
      </w:r>
      <w:r>
        <w:rPr>
          <w:rFonts w:hint="eastAsia"/>
          <w:highlight w:val="none"/>
        </w:rPr>
        <w:t xml:space="preserve">6 </w:t>
      </w:r>
      <w:r>
        <w:rPr>
          <w:rFonts w:ascii="Arial" w:hAnsi="Arial" w:cs="Arial"/>
          <w:highlight w:val="none"/>
        </w:rPr>
        <w:t>逾期</w:t>
      </w:r>
      <w:r>
        <w:rPr>
          <w:rFonts w:hint="eastAsia" w:ascii="Arial" w:hAnsi="Arial" w:cs="Arial"/>
          <w:highlight w:val="none"/>
        </w:rPr>
        <w:t>提交</w:t>
      </w:r>
      <w:r>
        <w:rPr>
          <w:rFonts w:ascii="Arial" w:hAnsi="Arial" w:cs="Arial"/>
          <w:highlight w:val="none"/>
        </w:rPr>
        <w:t>的申请文件，</w:t>
      </w:r>
      <w:r>
        <w:rPr>
          <w:rFonts w:hAnsi="Arial"/>
          <w:iCs/>
          <w:szCs w:val="21"/>
          <w:highlight w:val="none"/>
        </w:rPr>
        <w:t>ECP2.0系统</w:t>
      </w:r>
      <w:r>
        <w:rPr>
          <w:rFonts w:hint="eastAsia" w:hAnsi="Arial"/>
          <w:iCs/>
          <w:szCs w:val="21"/>
          <w:highlight w:val="none"/>
        </w:rPr>
        <w:t>、“国网辽宁电力数字化采购辅助工具”</w:t>
      </w:r>
      <w:r>
        <w:rPr>
          <w:rFonts w:ascii="Arial" w:hAnsi="Arial" w:cs="Arial"/>
          <w:highlight w:val="none"/>
        </w:rPr>
        <w:t>将予以拒收。</w:t>
      </w:r>
      <w:r>
        <w:rPr>
          <w:rFonts w:hint="eastAsia" w:ascii="Arial" w:hAnsi="Arial" w:cs="Arial"/>
          <w:highlight w:val="none"/>
        </w:rPr>
        <w:t>申请文件递交</w:t>
      </w:r>
      <w:r>
        <w:rPr>
          <w:rFonts w:ascii="Arial" w:hAnsi="Arial" w:cs="Arial"/>
          <w:highlight w:val="none"/>
        </w:rPr>
        <w:t>截止时间之前未成功提交至</w:t>
      </w:r>
      <w:r>
        <w:rPr>
          <w:rFonts w:hAnsi="Arial"/>
          <w:iCs/>
          <w:szCs w:val="21"/>
          <w:highlight w:val="none"/>
        </w:rPr>
        <w:t>ECP2.0系统</w:t>
      </w:r>
      <w:r>
        <w:rPr>
          <w:rFonts w:hint="eastAsia" w:hAnsi="Arial"/>
          <w:iCs/>
          <w:szCs w:val="21"/>
          <w:highlight w:val="none"/>
        </w:rPr>
        <w:t>、“国网辽宁电力数字化采购辅助工具”</w:t>
      </w:r>
      <w:r>
        <w:rPr>
          <w:rFonts w:ascii="Arial" w:hAnsi="Arial" w:cs="Arial"/>
          <w:highlight w:val="none"/>
        </w:rPr>
        <w:t>的电子</w:t>
      </w:r>
      <w:r>
        <w:rPr>
          <w:rFonts w:hint="eastAsia" w:ascii="Arial" w:hAnsi="Arial" w:cs="Arial"/>
          <w:highlight w:val="none"/>
        </w:rPr>
        <w:t>申请</w:t>
      </w:r>
      <w:r>
        <w:rPr>
          <w:rFonts w:ascii="Arial" w:hAnsi="Arial" w:cs="Arial"/>
          <w:highlight w:val="none"/>
        </w:rPr>
        <w:t>文件，招标人不予受理。</w:t>
      </w:r>
      <w:r>
        <w:rPr>
          <w:highlight w:val="none"/>
        </w:rPr>
        <w:t>招标人不接受邮寄的申请文件。</w:t>
      </w:r>
    </w:p>
    <w:p>
      <w:pPr>
        <w:adjustRightInd w:val="0"/>
        <w:snapToGrid w:val="0"/>
        <w:ind w:firstLine="420" w:firstLineChars="200"/>
        <w:rPr>
          <w:highlight w:val="none"/>
        </w:rPr>
      </w:pPr>
      <w:r>
        <w:rPr>
          <w:rFonts w:hint="eastAsia"/>
          <w:highlight w:val="none"/>
        </w:rPr>
        <w:t>7.7申请人放弃全部或部分标段的资格预审，申请人必须在</w:t>
      </w:r>
      <w:r>
        <w:rPr>
          <w:rFonts w:hint="eastAsia" w:ascii="Arial" w:hAnsi="Arial" w:cs="Arial"/>
          <w:highlight w:val="none"/>
        </w:rPr>
        <w:t>申请文件递交截止时间</w:t>
      </w:r>
      <w:r>
        <w:rPr>
          <w:rFonts w:hint="eastAsia"/>
          <w:highlight w:val="none"/>
        </w:rPr>
        <w:t>前在ECP2.0系统撤回已提交的申请文件。如申请人未撤回所弃标包申请文件，视为申请人正常参与预审。</w:t>
      </w:r>
      <w:r>
        <w:rPr>
          <w:highlight w:val="none"/>
        </w:rPr>
        <w:t xml:space="preserve"> </w:t>
      </w:r>
    </w:p>
    <w:p>
      <w:pPr>
        <w:adjustRightInd w:val="0"/>
        <w:snapToGrid w:val="0"/>
        <w:ind w:firstLine="420" w:firstLineChars="200"/>
        <w:rPr>
          <w:rFonts w:hint="eastAsia" w:ascii="宋体" w:hAnsi="宋体" w:eastAsia="宋体" w:cs="宋体"/>
        </w:rPr>
      </w:pPr>
      <w:r>
        <w:rPr>
          <w:bCs/>
          <w:highlight w:val="none"/>
        </w:rPr>
        <w:t>7.</w:t>
      </w:r>
      <w:r>
        <w:rPr>
          <w:rFonts w:hint="eastAsia"/>
          <w:bCs/>
          <w:highlight w:val="none"/>
        </w:rPr>
        <w:t>8</w:t>
      </w:r>
      <w:r>
        <w:rPr>
          <w:bCs/>
          <w:highlight w:val="none"/>
        </w:rPr>
        <w:t>请各申请人在申请文件递交后，在评审期间保持电话畅通，</w:t>
      </w:r>
      <w:r>
        <w:rPr>
          <w:rFonts w:hint="eastAsia"/>
          <w:bCs/>
          <w:highlight w:val="none"/>
        </w:rPr>
        <w:t>及时关注电子商务平台及手机短信信息</w:t>
      </w:r>
      <w:r>
        <w:rPr>
          <w:bCs/>
          <w:highlight w:val="none"/>
        </w:rPr>
        <w:t>，以便及时</w:t>
      </w:r>
      <w:r>
        <w:rPr>
          <w:rFonts w:hint="eastAsia"/>
          <w:bCs/>
          <w:highlight w:val="none"/>
        </w:rPr>
        <w:t>反馈</w:t>
      </w:r>
      <w:r>
        <w:rPr>
          <w:bCs/>
          <w:highlight w:val="none"/>
        </w:rPr>
        <w:t>相关问题。</w:t>
      </w:r>
      <w:r>
        <w:rPr>
          <w:rFonts w:hint="default" w:ascii="Times New Roman" w:hAnsi="Times New Roman" w:eastAsia="宋体" w:cs="Times New Roman"/>
        </w:rPr>
        <w:t xml:space="preserve"> </w:t>
      </w:r>
    </w:p>
    <w:p>
      <w:pPr>
        <w:adjustRightInd w:val="0"/>
        <w:snapToGrid w:val="0"/>
        <w:spacing w:before="240" w:beforeLines="100" w:after="120" w:afterLines="50" w:line="400" w:lineRule="exact"/>
        <w:outlineLvl w:val="1"/>
        <w:rPr>
          <w:rFonts w:ascii="黑体" w:hAnsi="黑体" w:eastAsia="黑体" w:cs="黑体"/>
          <w:b/>
          <w:bCs/>
          <w:sz w:val="24"/>
          <w:szCs w:val="24"/>
          <w:highlight w:val="none"/>
        </w:rPr>
      </w:pPr>
      <w:bookmarkStart w:id="25" w:name="_Toc504385832"/>
      <w:r>
        <w:rPr>
          <w:rFonts w:ascii="黑体" w:hAnsi="黑体" w:eastAsia="黑体" w:cs="黑体"/>
          <w:b/>
          <w:bCs/>
          <w:sz w:val="24"/>
          <w:szCs w:val="24"/>
          <w:highlight w:val="none"/>
        </w:rPr>
        <w:t>8.</w:t>
      </w:r>
      <w:bookmarkEnd w:id="22"/>
      <w:r>
        <w:rPr>
          <w:rFonts w:hint="eastAsia" w:ascii="黑体" w:hAnsi="黑体" w:eastAsia="黑体" w:cs="黑体"/>
          <w:b/>
          <w:bCs/>
          <w:sz w:val="24"/>
          <w:szCs w:val="24"/>
          <w:highlight w:val="none"/>
        </w:rPr>
        <w:t>发布公告的媒介</w:t>
      </w:r>
      <w:bookmarkEnd w:id="25"/>
    </w:p>
    <w:p>
      <w:pPr>
        <w:wordWrap w:val="0"/>
        <w:adjustRightInd w:val="0"/>
        <w:snapToGrid w:val="0"/>
        <w:spacing w:line="400" w:lineRule="exact"/>
        <w:ind w:firstLine="437"/>
        <w:rPr>
          <w:rFonts w:hint="default" w:ascii="Times New Roman" w:hAnsi="Times New Roman" w:eastAsia="宋体" w:cs="Times New Roman"/>
          <w:highlight w:val="none"/>
        </w:rPr>
      </w:pPr>
      <w:r>
        <w:rPr>
          <w:rFonts w:hint="default" w:ascii="Times New Roman" w:hAnsi="Times New Roman" w:eastAsia="宋体" w:cs="Times New Roman"/>
          <w:highlight w:val="none"/>
        </w:rPr>
        <w:t>本次资格预审公告同时在中国招标投标公共服务平台（www.cebpubservice.com）和招标人招投标交易平台信息系统上发布。</w:t>
      </w:r>
    </w:p>
    <w:p>
      <w:pPr>
        <w:adjustRightInd w:val="0"/>
        <w:snapToGrid w:val="0"/>
        <w:spacing w:before="240" w:beforeLines="100" w:after="120" w:afterLines="50" w:line="400" w:lineRule="exact"/>
        <w:outlineLvl w:val="1"/>
        <w:rPr>
          <w:rFonts w:ascii="黑体" w:hAnsi="黑体" w:eastAsia="黑体" w:cs="黑体"/>
          <w:b/>
          <w:bCs/>
          <w:sz w:val="24"/>
          <w:szCs w:val="24"/>
          <w:highlight w:val="none"/>
        </w:rPr>
      </w:pPr>
      <w:bookmarkStart w:id="26" w:name="_Toc504385833"/>
      <w:bookmarkStart w:id="27" w:name="_Toc408358708"/>
      <w:r>
        <w:rPr>
          <w:rFonts w:ascii="黑体" w:hAnsi="黑体" w:eastAsia="黑体" w:cs="黑体"/>
          <w:b/>
          <w:bCs/>
          <w:sz w:val="24"/>
          <w:szCs w:val="24"/>
          <w:highlight w:val="none"/>
        </w:rPr>
        <w:t>9.</w:t>
      </w:r>
      <w:r>
        <w:rPr>
          <w:rFonts w:hint="eastAsia" w:ascii="黑体" w:hAnsi="黑体" w:eastAsia="黑体" w:cs="黑体"/>
          <w:b/>
          <w:bCs/>
          <w:sz w:val="24"/>
          <w:szCs w:val="24"/>
          <w:highlight w:val="none"/>
        </w:rPr>
        <w:t>联系方式</w:t>
      </w:r>
      <w:bookmarkEnd w:id="23"/>
      <w:bookmarkEnd w:id="24"/>
      <w:bookmarkEnd w:id="26"/>
      <w:bookmarkEnd w:id="27"/>
    </w:p>
    <w:p>
      <w:pPr>
        <w:tabs>
          <w:tab w:val="left" w:pos="1134"/>
        </w:tabs>
        <w:adjustRightInd w:val="0"/>
        <w:snapToGrid w:val="0"/>
        <w:spacing w:line="40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bookmarkStart w:id="28" w:name="_Toc504385834"/>
      <w:r>
        <w:rPr>
          <w:rFonts w:hint="eastAsia" w:ascii="宋体" w:hAnsi="宋体" w:eastAsia="宋体" w:cs="宋体"/>
          <w:color w:val="000000" w:themeColor="text1"/>
          <w:szCs w:val="21"/>
          <w:highlight w:val="none"/>
          <w14:textFill>
            <w14:solidFill>
              <w14:schemeClr w14:val="tx1"/>
            </w14:solidFill>
          </w14:textFill>
        </w:rPr>
        <w:t>招标代理机构：国网辽宁招标有限公司</w:t>
      </w:r>
    </w:p>
    <w:p>
      <w:pPr>
        <w:tabs>
          <w:tab w:val="left" w:pos="1134"/>
        </w:tabs>
        <w:adjustRightInd w:val="0"/>
        <w:snapToGrid w:val="0"/>
        <w:spacing w:line="40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地址：沈阳和平区文化路63号</w:t>
      </w:r>
    </w:p>
    <w:p>
      <w:pPr>
        <w:tabs>
          <w:tab w:val="left" w:pos="1134"/>
        </w:tabs>
        <w:adjustRightInd w:val="0"/>
        <w:snapToGrid w:val="0"/>
        <w:spacing w:line="40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邮编：110000</w:t>
      </w:r>
    </w:p>
    <w:p>
      <w:pPr>
        <w:tabs>
          <w:tab w:val="left" w:pos="1134"/>
        </w:tabs>
        <w:adjustRightInd w:val="0"/>
        <w:snapToGrid w:val="0"/>
        <w:spacing w:line="40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业务联系人：</w:t>
      </w:r>
      <w:r>
        <w:rPr>
          <w:rFonts w:hint="eastAsia" w:ascii="宋体" w:hAnsi="宋体" w:eastAsia="宋体" w:cs="宋体"/>
          <w:color w:val="000000" w:themeColor="text1"/>
          <w:szCs w:val="21"/>
          <w:highlight w:val="none"/>
          <w:lang w:val="en-US" w:eastAsia="zh-CN"/>
          <w14:textFill>
            <w14:solidFill>
              <w14:schemeClr w14:val="tx1"/>
            </w14:solidFill>
          </w14:textFill>
        </w:rPr>
        <w:t>李</w:t>
      </w:r>
      <w:r>
        <w:rPr>
          <w:rFonts w:hint="eastAsia" w:ascii="宋体" w:hAnsi="宋体" w:eastAsia="宋体" w:cs="宋体"/>
          <w:color w:val="000000" w:themeColor="text1"/>
          <w:szCs w:val="21"/>
          <w:highlight w:val="none"/>
          <w14:textFill>
            <w14:solidFill>
              <w14:schemeClr w14:val="tx1"/>
            </w14:solidFill>
          </w14:textFill>
        </w:rPr>
        <w:t>工024-23138</w:t>
      </w:r>
      <w:r>
        <w:rPr>
          <w:rFonts w:hint="eastAsia" w:ascii="宋体" w:hAnsi="宋体" w:eastAsia="宋体" w:cs="宋体"/>
          <w:color w:val="000000" w:themeColor="text1"/>
          <w:szCs w:val="21"/>
          <w:highlight w:val="none"/>
          <w:lang w:val="en-US" w:eastAsia="zh-CN"/>
          <w14:textFill>
            <w14:solidFill>
              <w14:schemeClr w14:val="tx1"/>
            </w14:solidFill>
          </w14:textFill>
        </w:rPr>
        <w:t>28</w:t>
      </w:r>
      <w:r>
        <w:rPr>
          <w:rFonts w:hint="eastAsia" w:ascii="宋体" w:hAnsi="宋体" w:eastAsia="宋体" w:cs="宋体"/>
          <w:color w:val="000000" w:themeColor="text1"/>
          <w:szCs w:val="21"/>
          <w:highlight w:val="none"/>
          <w14:textFill>
            <w14:solidFill>
              <w14:schemeClr w14:val="tx1"/>
            </w14:solidFill>
          </w14:textFill>
        </w:rPr>
        <w:t>0</w:t>
      </w:r>
    </w:p>
    <w:p>
      <w:pPr>
        <w:tabs>
          <w:tab w:val="left" w:pos="1134"/>
        </w:tabs>
        <w:adjustRightInd w:val="0"/>
        <w:snapToGrid w:val="0"/>
        <w:spacing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财务联系人：</w:t>
      </w:r>
      <w:r>
        <w:rPr>
          <w:rFonts w:hint="eastAsia" w:ascii="宋体" w:hAnsi="宋体" w:eastAsia="宋体" w:cs="宋体"/>
          <w:color w:val="000000" w:themeColor="text1"/>
          <w:szCs w:val="21"/>
          <w:highlight w:val="none"/>
          <w:lang w:val="en-US" w:eastAsia="zh-CN"/>
          <w14:textFill>
            <w14:solidFill>
              <w14:schemeClr w14:val="tx1"/>
            </w14:solidFill>
          </w14:textFill>
        </w:rPr>
        <w:t>/</w:t>
      </w:r>
    </w:p>
    <w:p>
      <w:pPr>
        <w:tabs>
          <w:tab w:val="left" w:pos="1134"/>
        </w:tabs>
        <w:adjustRightInd w:val="0"/>
        <w:snapToGrid w:val="0"/>
        <w:spacing w:line="400" w:lineRule="exact"/>
        <w:ind w:firstLine="420" w:firstLineChars="200"/>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传真：</w:t>
      </w:r>
      <w:r>
        <w:rPr>
          <w:rFonts w:hint="eastAsia" w:ascii="宋体" w:hAnsi="宋体" w:eastAsia="宋体" w:cs="宋体"/>
          <w:color w:val="000000" w:themeColor="text1"/>
          <w:szCs w:val="21"/>
          <w:highlight w:val="none"/>
          <w:lang w:val="en-US" w:eastAsia="zh-CN"/>
          <w14:textFill>
            <w14:solidFill>
              <w14:schemeClr w14:val="tx1"/>
            </w14:solidFill>
          </w14:textFill>
        </w:rPr>
        <w:t>/</w:t>
      </w:r>
    </w:p>
    <w:p>
      <w:pPr>
        <w:tabs>
          <w:tab w:val="left" w:pos="1134"/>
        </w:tabs>
        <w:adjustRightInd w:val="0"/>
        <w:snapToGrid w:val="0"/>
        <w:spacing w:line="40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电子邮件：lndl_wzzb@163.com</w:t>
      </w:r>
    </w:p>
    <w:p>
      <w:pPr>
        <w:tabs>
          <w:tab w:val="left" w:pos="1134"/>
        </w:tabs>
        <w:adjustRightInd w:val="0"/>
        <w:snapToGrid w:val="0"/>
        <w:spacing w:line="40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网址：https://ecp.sgcc.com.cn/ecp2.0/portal/</w:t>
      </w:r>
    </w:p>
    <w:p>
      <w:pPr>
        <w:adjustRightInd w:val="0"/>
        <w:snapToGrid w:val="0"/>
        <w:spacing w:before="240" w:beforeLines="100" w:after="120" w:afterLines="50" w:line="400" w:lineRule="exact"/>
        <w:outlineLvl w:val="1"/>
        <w:rPr>
          <w:rFonts w:ascii="黑体" w:hAnsi="黑体" w:eastAsia="黑体" w:cs="黑体"/>
          <w:b/>
          <w:bCs/>
          <w:sz w:val="24"/>
          <w:szCs w:val="24"/>
          <w:highlight w:val="none"/>
        </w:rPr>
      </w:pPr>
      <w:r>
        <w:rPr>
          <w:rFonts w:ascii="黑体" w:hAnsi="黑体" w:eastAsia="黑体" w:cs="黑体"/>
          <w:b/>
          <w:bCs/>
          <w:sz w:val="24"/>
          <w:szCs w:val="24"/>
          <w:highlight w:val="none"/>
        </w:rPr>
        <w:t>10.</w:t>
      </w:r>
      <w:r>
        <w:rPr>
          <w:rFonts w:hint="eastAsia" w:ascii="黑体" w:hAnsi="黑体" w:eastAsia="黑体" w:cs="黑体"/>
          <w:b/>
          <w:bCs/>
          <w:sz w:val="24"/>
          <w:szCs w:val="24"/>
          <w:highlight w:val="none"/>
        </w:rPr>
        <w:t>合规声明</w:t>
      </w:r>
      <w:bookmarkEnd w:id="28"/>
    </w:p>
    <w:p>
      <w:pPr>
        <w:adjustRightInd w:val="0"/>
        <w:snapToGrid w:val="0"/>
        <w:spacing w:line="400" w:lineRule="exact"/>
        <w:ind w:firstLine="437"/>
        <w:rPr>
          <w:rFonts w:hint="eastAsia" w:ascii="宋体" w:hAnsi="宋体" w:eastAsia="宋体" w:cs="宋体"/>
          <w:color w:val="auto"/>
          <w:highlight w:val="none"/>
        </w:rPr>
      </w:pPr>
      <w:r>
        <w:rPr>
          <w:rFonts w:hint="eastAsia" w:ascii="宋体" w:hAnsi="宋体" w:eastAsia="宋体" w:cs="宋体"/>
          <w:highlight w:val="none"/>
        </w:rPr>
        <w:t>本资格预审文件符合国家相关法律法规规定，若国家颁布新的法律法规或对原有法律法规进行修订，</w:t>
      </w:r>
      <w:r>
        <w:rPr>
          <w:rFonts w:hint="eastAsia" w:ascii="宋体" w:hAnsi="宋体" w:eastAsia="宋体" w:cs="宋体"/>
          <w:color w:val="auto"/>
          <w:highlight w:val="none"/>
        </w:rPr>
        <w:t>以新施行的法律法规规定为准。本项目行政监督部门为项目所在地的发展和改革部门。</w:t>
      </w:r>
    </w:p>
    <w:p>
      <w:pPr>
        <w:adjustRightInd w:val="0"/>
        <w:snapToGrid w:val="0"/>
        <w:spacing w:before="240" w:beforeLines="100" w:after="120" w:afterLines="50" w:line="400" w:lineRule="exact"/>
        <w:outlineLvl w:val="1"/>
        <w:rPr>
          <w:rFonts w:hint="default" w:ascii="黑体" w:hAnsi="黑体" w:eastAsia="黑体" w:cs="黑体"/>
          <w:b/>
          <w:bCs/>
          <w:color w:val="auto"/>
          <w:sz w:val="24"/>
          <w:szCs w:val="24"/>
          <w:highlight w:val="none"/>
        </w:rPr>
      </w:pPr>
      <w:r>
        <w:rPr>
          <w:rFonts w:hint="default" w:ascii="黑体" w:hAnsi="黑体" w:eastAsia="黑体" w:cs="黑体"/>
          <w:b/>
          <w:bCs/>
          <w:color w:val="auto"/>
          <w:sz w:val="24"/>
          <w:szCs w:val="24"/>
          <w:highlight w:val="none"/>
        </w:rPr>
        <w:t>11．其他事项</w:t>
      </w:r>
    </w:p>
    <w:p>
      <w:pPr>
        <w:adjustRightInd w:val="0"/>
        <w:snapToGrid w:val="0"/>
        <w:spacing w:line="400" w:lineRule="exact"/>
        <w:ind w:firstLine="437"/>
        <w:rPr>
          <w:rFonts w:hint="default"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eastAsia="zh-CN"/>
        </w:rPr>
        <w:t>11.1</w:t>
      </w:r>
      <w:r>
        <w:rPr>
          <w:rFonts w:hint="default" w:ascii="Times New Roman" w:hAnsi="Times New Roman" w:eastAsia="宋体" w:cs="Times New Roman"/>
          <w:color w:val="auto"/>
          <w:highlight w:val="none"/>
        </w:rPr>
        <w:t>根据2023年8月工业和信息化部、国家发展改革委、国务院国资委印发的《关于支持首台（套）重大技术装备平等参与企业招标投标活动的指导意见》，现明确首台（套）重大技术装备参与招标投标活动，仅需提交首台（套）相关证明材料，即视同满足市场占有率、应用业绩等要求。</w:t>
      </w:r>
    </w:p>
    <w:p>
      <w:pPr>
        <w:pStyle w:val="8"/>
        <w:rPr>
          <w:rFonts w:hint="eastAsia" w:ascii="Arial" w:hAnsi="Arial" w:cs="Arial"/>
          <w:color w:val="000000"/>
          <w:highlight w:val="none"/>
        </w:rPr>
      </w:pPr>
      <w:r>
        <w:rPr>
          <w:rFonts w:hint="eastAsia" w:cs="Times New Roman"/>
          <w:color w:val="auto"/>
          <w:highlight w:val="none"/>
          <w:lang w:val="en-US" w:eastAsia="zh-CN"/>
        </w:rPr>
        <w:t>11.2</w:t>
      </w:r>
      <w:r>
        <w:rPr>
          <w:rFonts w:ascii="Arial" w:hAnsi="Arial" w:cs="Arial"/>
          <w:color w:val="000000"/>
          <w:highlight w:val="none"/>
        </w:rPr>
        <w:t>供应商资质</w:t>
      </w:r>
      <w:r>
        <w:rPr>
          <w:rFonts w:hint="eastAsia" w:ascii="Arial" w:hAnsi="Arial" w:cs="Arial"/>
          <w:color w:val="000000"/>
          <w:highlight w:val="none"/>
          <w:lang w:eastAsia="zh-CN"/>
        </w:rPr>
        <w:t>信息</w:t>
      </w:r>
      <w:r>
        <w:rPr>
          <w:rFonts w:hint="eastAsia" w:ascii="Arial" w:hAnsi="Arial" w:cs="Arial"/>
          <w:color w:val="000000"/>
          <w:highlight w:val="none"/>
        </w:rPr>
        <w:t>的填报要求</w:t>
      </w:r>
    </w:p>
    <w:p>
      <w:pPr>
        <w:pStyle w:val="8"/>
        <w:rPr>
          <w:highlight w:val="none"/>
          <w:lang w:val="zh-CN"/>
        </w:rPr>
      </w:pPr>
      <w:r>
        <w:rPr>
          <w:rFonts w:hint="eastAsia" w:ascii="宋体" w:hAnsi="宋体"/>
          <w:bCs/>
          <w:szCs w:val="21"/>
          <w:highlight w:val="none"/>
        </w:rPr>
        <w:t>①.申请人须</w:t>
      </w:r>
      <w:r>
        <w:rPr>
          <w:rFonts w:hint="eastAsia" w:ascii="宋体" w:hAnsi="宋体"/>
          <w:bCs/>
          <w:szCs w:val="21"/>
          <w:highlight w:val="none"/>
          <w:lang w:eastAsia="zh-CN"/>
        </w:rPr>
        <w:t>使用“国网辽宁电力数字化采购辅助工具”（辅助工具下载地址：http://47.100.70.249/ln-web/）填报供应商资质信息。</w:t>
      </w:r>
    </w:p>
    <w:p>
      <w:pPr>
        <w:adjustRightInd w:val="0"/>
        <w:ind w:firstLine="420" w:firstLineChars="200"/>
        <w:jc w:val="left"/>
        <w:rPr>
          <w:rFonts w:hint="eastAsia" w:ascii="宋体" w:hAnsi="宋体"/>
          <w:bCs/>
          <w:szCs w:val="21"/>
          <w:highlight w:val="none"/>
          <w:lang w:val="en-US" w:eastAsia="zh-CN"/>
        </w:rPr>
      </w:pPr>
      <w:r>
        <w:rPr>
          <w:rFonts w:hint="eastAsia" w:ascii="宋体" w:hAnsi="宋体"/>
          <w:bCs/>
          <w:szCs w:val="21"/>
          <w:highlight w:val="none"/>
        </w:rPr>
        <w:t>②.</w:t>
      </w:r>
      <w:r>
        <w:rPr>
          <w:rFonts w:hint="eastAsia" w:ascii="宋体" w:hAnsi="宋体"/>
          <w:bCs/>
          <w:szCs w:val="21"/>
          <w:highlight w:val="none"/>
          <w:lang w:eastAsia="zh-CN"/>
        </w:rPr>
        <w:t>填报供应商资质信息</w:t>
      </w:r>
      <w:r>
        <w:rPr>
          <w:rFonts w:hint="eastAsia" w:ascii="宋体" w:hAnsi="宋体"/>
          <w:bCs/>
          <w:szCs w:val="21"/>
          <w:highlight w:val="none"/>
        </w:rPr>
        <w:t>。请申请人</w:t>
      </w:r>
      <w:r>
        <w:rPr>
          <w:rFonts w:hint="eastAsia" w:ascii="宋体" w:hAnsi="宋体"/>
          <w:bCs/>
          <w:szCs w:val="21"/>
          <w:highlight w:val="none"/>
          <w:lang w:val="en-US" w:eastAsia="zh-CN"/>
        </w:rPr>
        <w:t>可</w:t>
      </w:r>
      <w:r>
        <w:rPr>
          <w:rFonts w:hint="eastAsia" w:ascii="Times New Roman" w:hAnsi="Times New Roman"/>
          <w:b w:val="0"/>
          <w:bCs w:val="0"/>
          <w:color w:val="auto"/>
          <w:szCs w:val="21"/>
          <w:highlight w:val="none"/>
        </w:rPr>
        <w:t>在</w:t>
      </w:r>
      <w:r>
        <w:rPr>
          <w:rFonts w:hint="eastAsia" w:ascii="Times New Roman" w:hAnsi="Times New Roman"/>
          <w:b/>
          <w:bCs/>
          <w:color w:val="auto"/>
          <w:szCs w:val="21"/>
          <w:highlight w:val="none"/>
          <w:lang w:val="en-US" w:eastAsia="zh-CN"/>
        </w:rPr>
        <w:t>公告发布之日后</w:t>
      </w:r>
      <w:r>
        <w:rPr>
          <w:rFonts w:hint="eastAsia" w:ascii="宋体" w:hAnsi="宋体"/>
          <w:bCs/>
          <w:szCs w:val="21"/>
          <w:highlight w:val="none"/>
        </w:rPr>
        <w:t>，</w:t>
      </w:r>
      <w:r>
        <w:rPr>
          <w:rFonts w:hint="eastAsia" w:ascii="宋体" w:hAnsi="宋体"/>
          <w:b/>
          <w:szCs w:val="21"/>
          <w:highlight w:val="none"/>
          <w:lang w:eastAsia="zh-CN"/>
        </w:rPr>
        <w:t>使用“国网辽宁电力数字化采购辅助工具”</w:t>
      </w:r>
      <w:r>
        <w:rPr>
          <w:rFonts w:hint="eastAsia"/>
          <w:szCs w:val="21"/>
          <w:highlight w:val="none"/>
        </w:rPr>
        <w:t>按</w:t>
      </w:r>
      <w:r>
        <w:rPr>
          <w:rFonts w:hint="eastAsia" w:ascii="Times New Roman" w:hAnsi="Times New Roman" w:eastAsia="宋体" w:cs="Times New Roman"/>
          <w:b/>
          <w:color w:val="00B0F0"/>
          <w:szCs w:val="21"/>
          <w:highlight w:val="none"/>
        </w:rPr>
        <w:t>预审标段</w:t>
      </w:r>
      <w:r>
        <w:rPr>
          <w:rFonts w:hint="eastAsia" w:ascii="宋体" w:hAnsi="宋体"/>
          <w:b/>
          <w:bCs/>
          <w:color w:val="FF0000"/>
          <w:szCs w:val="21"/>
          <w:highlight w:val="none"/>
          <w:lang w:eastAsia="zh-CN"/>
        </w:rPr>
        <w:t>填报</w:t>
      </w:r>
      <w:r>
        <w:rPr>
          <w:rFonts w:hint="eastAsia" w:ascii="宋体" w:hAnsi="宋体"/>
          <w:b/>
          <w:bCs/>
          <w:color w:val="FF0000"/>
          <w:szCs w:val="21"/>
          <w:highlight w:val="none"/>
        </w:rPr>
        <w:t>供应商资质信息</w:t>
      </w:r>
      <w:r>
        <w:rPr>
          <w:rFonts w:hint="eastAsia" w:ascii="宋体" w:hAnsi="宋体"/>
          <w:bCs/>
          <w:szCs w:val="21"/>
          <w:highlight w:val="none"/>
        </w:rPr>
        <w:t>。</w:t>
      </w:r>
      <w:r>
        <w:rPr>
          <w:rFonts w:hint="eastAsia" w:ascii="宋体" w:hAnsi="宋体"/>
          <w:b/>
          <w:bCs/>
          <w:szCs w:val="21"/>
          <w:highlight w:val="none"/>
        </w:rPr>
        <w:t>申请人在</w:t>
      </w:r>
      <w:r>
        <w:rPr>
          <w:rFonts w:hint="eastAsia"/>
          <w:b/>
          <w:sz w:val="21"/>
          <w:szCs w:val="21"/>
          <w:highlight w:val="none"/>
        </w:rPr>
        <w:t>申请文件递交</w:t>
      </w:r>
      <w:r>
        <w:rPr>
          <w:b/>
          <w:sz w:val="21"/>
          <w:szCs w:val="21"/>
          <w:highlight w:val="none"/>
        </w:rPr>
        <w:t>的截止时间</w:t>
      </w:r>
      <w:r>
        <w:rPr>
          <w:rFonts w:hint="eastAsia" w:ascii="宋体" w:hAnsi="宋体"/>
          <w:b/>
          <w:bCs/>
          <w:szCs w:val="21"/>
          <w:highlight w:val="none"/>
          <w:lang w:eastAsia="zh-CN"/>
        </w:rPr>
        <w:t>前</w:t>
      </w:r>
      <w:r>
        <w:rPr>
          <w:rFonts w:hint="eastAsia" w:ascii="宋体" w:hAnsi="宋体"/>
          <w:b/>
          <w:bCs/>
          <w:szCs w:val="21"/>
          <w:highlight w:val="none"/>
        </w:rPr>
        <w:t>须完成“供应商资质信息”</w:t>
      </w:r>
      <w:r>
        <w:rPr>
          <w:rFonts w:hint="eastAsia" w:ascii="宋体" w:hAnsi="宋体"/>
          <w:b/>
          <w:bCs/>
          <w:szCs w:val="21"/>
          <w:highlight w:val="none"/>
          <w:lang w:eastAsia="zh-CN"/>
        </w:rPr>
        <w:t>填报并上传完整版电子申请文件</w:t>
      </w:r>
      <w:r>
        <w:rPr>
          <w:rFonts w:hint="eastAsia" w:ascii="宋体" w:hAnsi="宋体"/>
          <w:b/>
          <w:bCs/>
          <w:szCs w:val="21"/>
          <w:highlight w:val="none"/>
        </w:rPr>
        <w:t>。</w:t>
      </w:r>
      <w:r>
        <w:rPr>
          <w:rFonts w:hint="eastAsia" w:ascii="宋体" w:hAnsi="宋体"/>
          <w:bCs/>
          <w:szCs w:val="21"/>
          <w:highlight w:val="none"/>
        </w:rPr>
        <w:t>申请人务必确保信息填写准确，内容格式严格按照</w:t>
      </w:r>
      <w:r>
        <w:rPr>
          <w:rFonts w:hint="eastAsia" w:ascii="宋体" w:hAnsi="宋体"/>
          <w:bCs/>
          <w:szCs w:val="21"/>
          <w:highlight w:val="none"/>
          <w:lang w:eastAsia="zh-CN"/>
        </w:rPr>
        <w:t>要求</w:t>
      </w:r>
      <w:r>
        <w:rPr>
          <w:rFonts w:hint="eastAsia" w:ascii="宋体" w:hAnsi="宋体"/>
          <w:bCs/>
          <w:szCs w:val="21"/>
          <w:highlight w:val="none"/>
        </w:rPr>
        <w:t>填写，且数据与申请文件保持一致。如申请文件与申请人所</w:t>
      </w:r>
      <w:r>
        <w:rPr>
          <w:rFonts w:hint="eastAsia" w:ascii="宋体" w:hAnsi="宋体"/>
          <w:bCs/>
          <w:szCs w:val="21"/>
          <w:highlight w:val="none"/>
          <w:lang w:eastAsia="zh-CN"/>
        </w:rPr>
        <w:t>填报</w:t>
      </w:r>
      <w:r>
        <w:rPr>
          <w:rFonts w:hint="eastAsia" w:ascii="宋体" w:hAnsi="宋体"/>
          <w:bCs/>
          <w:szCs w:val="21"/>
          <w:highlight w:val="none"/>
        </w:rPr>
        <w:t>“供应商资质信息”经评定不一致的，审查委员会有权在评审中对申请人的资质业绩等信息进行修改，并予以记录。</w:t>
      </w:r>
      <w:r>
        <w:rPr>
          <w:rFonts w:hint="eastAsia" w:ascii="宋体" w:hAnsi="宋体"/>
          <w:b/>
          <w:bCs/>
          <w:color w:val="FF0000"/>
          <w:szCs w:val="21"/>
          <w:highlight w:val="none"/>
        </w:rPr>
        <w:t>【重要：供应商资质信息</w:t>
      </w:r>
      <w:r>
        <w:rPr>
          <w:rFonts w:hint="eastAsia" w:ascii="宋体" w:hAnsi="宋体"/>
          <w:b/>
          <w:bCs/>
          <w:color w:val="FF0000"/>
          <w:szCs w:val="21"/>
          <w:highlight w:val="none"/>
          <w:lang w:eastAsia="zh-CN"/>
        </w:rPr>
        <w:t>填报数据缺失</w:t>
      </w:r>
      <w:r>
        <w:rPr>
          <w:rFonts w:hint="eastAsia" w:ascii="宋体" w:hAnsi="宋体"/>
          <w:b/>
          <w:bCs/>
          <w:color w:val="FF0000"/>
          <w:szCs w:val="21"/>
          <w:highlight w:val="none"/>
        </w:rPr>
        <w:t>或数据不一致都可能导致对申请人不利的预审结果，后果由申请人自行承担！！！】</w:t>
      </w:r>
    </w:p>
    <w:p>
      <w:pPr>
        <w:adjustRightInd w:val="0"/>
        <w:snapToGrid w:val="0"/>
        <w:spacing w:line="240" w:lineRule="auto"/>
        <w:ind w:firstLine="422" w:firstLineChars="200"/>
        <w:textAlignment w:val="baseline"/>
        <w:rPr>
          <w:rFonts w:hint="eastAsia"/>
          <w:b/>
          <w:color w:val="auto"/>
          <w:szCs w:val="21"/>
          <w:highlight w:val="none"/>
          <w:lang w:eastAsia="zh-CN"/>
        </w:rPr>
      </w:pPr>
      <w:r>
        <w:rPr>
          <w:rFonts w:hint="eastAsia"/>
          <w:b/>
          <w:color w:val="auto"/>
          <w:szCs w:val="21"/>
          <w:highlight w:val="none"/>
          <w:lang w:val="en-US" w:eastAsia="zh-CN"/>
        </w:rPr>
        <w:t>“国网辽宁电力数字化采购辅助工具”技术支持人员联系方式详见工具下载网址首页</w:t>
      </w:r>
    </w:p>
    <w:p>
      <w:pPr>
        <w:adjustRightInd w:val="0"/>
        <w:ind w:firstLine="420" w:firstLineChars="200"/>
        <w:jc w:val="left"/>
        <w:rPr>
          <w:rFonts w:hint="eastAsia" w:ascii="宋体" w:hAnsi="宋体"/>
          <w:bCs/>
          <w:szCs w:val="21"/>
          <w:highlight w:val="none"/>
          <w:lang w:eastAsia="zh-CN"/>
        </w:rPr>
      </w:pPr>
      <w:r>
        <w:rPr>
          <w:rFonts w:hint="eastAsia" w:ascii="宋体" w:hAnsi="宋体"/>
          <w:bCs/>
          <w:szCs w:val="21"/>
          <w:highlight w:val="none"/>
        </w:rPr>
        <w:t>③</w:t>
      </w:r>
      <w:r>
        <w:rPr>
          <w:rFonts w:hint="eastAsia" w:ascii="宋体" w:hAnsi="宋体"/>
          <w:bCs/>
          <w:szCs w:val="21"/>
          <w:highlight w:val="none"/>
          <w:lang w:val="en-US" w:eastAsia="zh-CN"/>
        </w:rPr>
        <w:t>.</w:t>
      </w:r>
      <w:r>
        <w:rPr>
          <w:rFonts w:hint="eastAsia" w:ascii="宋体" w:hAnsi="宋体"/>
          <w:bCs/>
          <w:szCs w:val="21"/>
          <w:highlight w:val="none"/>
          <w:lang w:eastAsia="zh-CN"/>
        </w:rPr>
        <w:t>供应商资质信息填报完成后需修改的，申请人可在申请文件递交的截止时间前重新填报并同步。</w:t>
      </w:r>
    </w:p>
    <w:p>
      <w:pPr>
        <w:pStyle w:val="8"/>
        <w:rPr>
          <w:rFonts w:hint="eastAsia" w:ascii="宋体" w:hAnsi="宋体" w:cs="宋体"/>
          <w:highlight w:val="none"/>
          <w:lang w:val="en-US" w:eastAsia="zh-CN"/>
        </w:rPr>
      </w:pPr>
      <w:r>
        <w:rPr>
          <w:rFonts w:hint="eastAsia" w:ascii="宋体" w:hAnsi="宋体" w:cs="宋体"/>
          <w:bCs/>
          <w:szCs w:val="21"/>
          <w:highlight w:val="none"/>
          <w:lang w:val="en-US" w:eastAsia="zh-CN"/>
        </w:rPr>
        <w:t>④</w:t>
      </w:r>
      <w:r>
        <w:rPr>
          <w:rFonts w:hint="eastAsia" w:ascii="宋体" w:hAnsi="宋体" w:cs="宋体"/>
          <w:bCs/>
          <w:szCs w:val="21"/>
          <w:highlight w:val="none"/>
          <w:lang w:eastAsia="zh-CN"/>
        </w:rPr>
        <w:t>．</w:t>
      </w:r>
      <w:r>
        <w:rPr>
          <w:rFonts w:hint="eastAsia" w:ascii="宋体" w:hAnsi="宋体" w:cs="宋体"/>
          <w:bCs/>
          <w:szCs w:val="21"/>
          <w:highlight w:val="none"/>
          <w:lang w:val="en-US" w:eastAsia="zh-CN"/>
        </w:rPr>
        <w:t>申请人在运用“国网辽宁电力数字化采购辅助工具”</w:t>
      </w:r>
      <w:r>
        <w:rPr>
          <w:rFonts w:hint="eastAsia" w:ascii="宋体" w:hAnsi="宋体" w:cs="宋体"/>
          <w:highlight w:val="none"/>
          <w:lang w:val="en-US" w:eastAsia="zh-CN"/>
        </w:rPr>
        <w:t>制作资格预审申请文件前，请在</w:t>
      </w:r>
      <w:r>
        <w:rPr>
          <w:rFonts w:hint="eastAsia" w:ascii="宋体" w:hAnsi="宋体"/>
          <w:bCs/>
          <w:szCs w:val="21"/>
          <w:highlight w:val="none"/>
        </w:rPr>
        <w:t>网站首页</w:t>
      </w:r>
      <w:r>
        <w:rPr>
          <w:rFonts w:hint="eastAsia" w:ascii="宋体" w:hAnsi="宋体"/>
          <w:bCs/>
          <w:szCs w:val="21"/>
          <w:highlight w:val="none"/>
          <w:lang w:eastAsia="zh-CN"/>
        </w:rPr>
        <w:t>“</w:t>
      </w:r>
      <w:r>
        <w:rPr>
          <w:rFonts w:hint="eastAsia" w:ascii="宋体" w:hAnsi="宋体"/>
          <w:bCs/>
          <w:szCs w:val="21"/>
          <w:highlight w:val="none"/>
          <w:lang w:val="en-US" w:eastAsia="zh-CN"/>
        </w:rPr>
        <w:t>下载操作说明</w:t>
      </w:r>
      <w:r>
        <w:rPr>
          <w:rFonts w:hint="eastAsia" w:ascii="宋体" w:hAnsi="宋体"/>
          <w:bCs/>
          <w:szCs w:val="21"/>
          <w:highlight w:val="none"/>
          <w:lang w:eastAsia="zh-CN"/>
        </w:rPr>
        <w:t>”</w:t>
      </w:r>
      <w:r>
        <w:rPr>
          <w:rFonts w:hint="eastAsia" w:ascii="宋体" w:hAnsi="宋体" w:cs="宋体"/>
          <w:highlight w:val="none"/>
          <w:lang w:val="en-US" w:eastAsia="zh-CN"/>
        </w:rPr>
        <w:t xml:space="preserve">下载制作教学视频并仔细观看，严格按照操作流程制作相关文件内容。 </w:t>
      </w:r>
    </w:p>
    <w:p>
      <w:pPr>
        <w:pStyle w:val="8"/>
        <w:rPr>
          <w:rFonts w:hAnsi="宋体"/>
          <w:b/>
          <w:bCs/>
          <w:color w:val="auto"/>
          <w:szCs w:val="21"/>
          <w:highlight w:val="none"/>
        </w:rPr>
      </w:pPr>
      <w:r>
        <w:rPr>
          <w:rFonts w:hAnsi="宋体"/>
          <w:b/>
          <w:bCs/>
          <w:color w:val="auto"/>
          <w:szCs w:val="21"/>
          <w:highlight w:val="none"/>
        </w:rPr>
        <w:t xml:space="preserve">11.2 </w:t>
      </w:r>
      <w:r>
        <w:rPr>
          <w:rFonts w:hint="eastAsia" w:ascii="宋体" w:hAnsi="宋体"/>
          <w:b/>
          <w:bCs/>
          <w:color w:val="auto"/>
          <w:szCs w:val="21"/>
          <w:highlight w:val="none"/>
        </w:rPr>
        <w:t>供应商资质信息</w:t>
      </w:r>
      <w:r>
        <w:rPr>
          <w:rFonts w:hint="eastAsia" w:ascii="宋体" w:hAnsi="宋体"/>
          <w:b/>
          <w:bCs/>
          <w:color w:val="auto"/>
          <w:szCs w:val="21"/>
          <w:highlight w:val="none"/>
          <w:lang w:eastAsia="zh-CN"/>
        </w:rPr>
        <w:t>填报数据缺失</w:t>
      </w:r>
      <w:r>
        <w:rPr>
          <w:rFonts w:hint="eastAsia" w:ascii="宋体" w:hAnsi="宋体"/>
          <w:b/>
          <w:bCs/>
          <w:color w:val="auto"/>
          <w:szCs w:val="21"/>
          <w:highlight w:val="none"/>
        </w:rPr>
        <w:t>或数据不一致都可能导致对申请人不利的预审结果，后果由申请人自行承担！！！</w:t>
      </w:r>
    </w:p>
    <w:p>
      <w:pPr>
        <w:adjustRightInd w:val="0"/>
        <w:ind w:firstLine="422" w:firstLineChars="200"/>
        <w:jc w:val="left"/>
        <w:rPr>
          <w:rFonts w:hAnsi="宋体"/>
          <w:b/>
          <w:bCs/>
          <w:szCs w:val="21"/>
          <w:highlight w:val="none"/>
        </w:rPr>
      </w:pPr>
      <w:r>
        <w:rPr>
          <w:b/>
          <w:bCs/>
          <w:szCs w:val="21"/>
          <w:highlight w:val="none"/>
        </w:rPr>
        <w:t>11.3</w:t>
      </w:r>
      <w:r>
        <w:rPr>
          <w:rFonts w:hAnsi="宋体"/>
          <w:b/>
          <w:bCs/>
          <w:szCs w:val="21"/>
          <w:highlight w:val="none"/>
        </w:rPr>
        <w:t>评审期间，通过</w:t>
      </w:r>
      <w:r>
        <w:rPr>
          <w:b/>
          <w:bCs/>
          <w:color w:val="FF0000"/>
          <w:szCs w:val="21"/>
          <w:highlight w:val="none"/>
        </w:rPr>
        <w:t>ECP2.0</w:t>
      </w:r>
      <w:r>
        <w:rPr>
          <w:rFonts w:hAnsi="宋体"/>
          <w:b/>
          <w:bCs/>
          <w:color w:val="FF0000"/>
          <w:szCs w:val="21"/>
          <w:highlight w:val="none"/>
        </w:rPr>
        <w:t>系统向申请人反馈不合格事项</w:t>
      </w:r>
      <w:r>
        <w:rPr>
          <w:rFonts w:hAnsi="宋体"/>
          <w:b/>
          <w:bCs/>
          <w:szCs w:val="21"/>
          <w:highlight w:val="none"/>
        </w:rPr>
        <w:t>，请申请人关注</w:t>
      </w:r>
      <w:r>
        <w:rPr>
          <w:b/>
          <w:bCs/>
          <w:szCs w:val="21"/>
          <w:highlight w:val="none"/>
        </w:rPr>
        <w:t>ECP2.0</w:t>
      </w:r>
      <w:r>
        <w:rPr>
          <w:rFonts w:hAnsi="宋体"/>
          <w:b/>
          <w:bCs/>
          <w:szCs w:val="21"/>
          <w:highlight w:val="none"/>
        </w:rPr>
        <w:t>系统的</w:t>
      </w:r>
      <w:r>
        <w:rPr>
          <w:rFonts w:hint="eastAsia" w:hAnsi="宋体"/>
          <w:b/>
          <w:bCs/>
          <w:szCs w:val="21"/>
          <w:highlight w:val="none"/>
        </w:rPr>
        <w:t>通知</w:t>
      </w:r>
      <w:r>
        <w:rPr>
          <w:rFonts w:hAnsi="宋体"/>
          <w:b/>
          <w:bCs/>
          <w:szCs w:val="21"/>
          <w:highlight w:val="none"/>
        </w:rPr>
        <w:t>内容，并通过</w:t>
      </w:r>
      <w:r>
        <w:rPr>
          <w:b/>
          <w:bCs/>
          <w:color w:val="FF0000"/>
          <w:szCs w:val="21"/>
          <w:highlight w:val="none"/>
        </w:rPr>
        <w:t>ECP2.0</w:t>
      </w:r>
      <w:r>
        <w:rPr>
          <w:rFonts w:hAnsi="宋体"/>
          <w:b/>
          <w:bCs/>
          <w:color w:val="FF0000"/>
          <w:szCs w:val="21"/>
          <w:highlight w:val="none"/>
        </w:rPr>
        <w:t>系统</w:t>
      </w:r>
      <w:r>
        <w:rPr>
          <w:rFonts w:hAnsi="宋体"/>
          <w:b/>
          <w:bCs/>
          <w:szCs w:val="21"/>
          <w:highlight w:val="none"/>
        </w:rPr>
        <w:t>及时反馈意见。</w:t>
      </w:r>
    </w:p>
    <w:p>
      <w:pPr>
        <w:adjustRightInd w:val="0"/>
        <w:ind w:firstLine="422" w:firstLineChars="200"/>
        <w:jc w:val="left"/>
        <w:rPr>
          <w:rFonts w:hAnsi="宋体"/>
          <w:bCs/>
          <w:szCs w:val="21"/>
          <w:highlight w:val="none"/>
        </w:rPr>
      </w:pPr>
      <w:r>
        <w:rPr>
          <w:rFonts w:hint="eastAsia" w:hAnsi="宋体"/>
          <w:b/>
          <w:bCs w:val="0"/>
          <w:szCs w:val="21"/>
          <w:highlight w:val="none"/>
        </w:rPr>
        <w:t>11.</w:t>
      </w:r>
      <w:r>
        <w:rPr>
          <w:rFonts w:hint="eastAsia" w:hAnsi="宋体"/>
          <w:b/>
          <w:bCs w:val="0"/>
          <w:szCs w:val="21"/>
          <w:highlight w:val="none"/>
          <w:lang w:val="en-US" w:eastAsia="zh-CN"/>
        </w:rPr>
        <w:t>4</w:t>
      </w:r>
      <w:r>
        <w:rPr>
          <w:rFonts w:hint="eastAsia" w:hAnsi="宋体"/>
          <w:bCs/>
          <w:szCs w:val="21"/>
          <w:highlight w:val="none"/>
        </w:rPr>
        <w:t>资格预审有效期内，如申请人未配合开展资质能力现场核实工作，或经资质能力现场核实不具备生产资格预审产品所需的相关资质能力，将承担取消资格预审合格资格的后果</w:t>
      </w:r>
      <w:r>
        <w:rPr>
          <w:rFonts w:hAnsi="宋体"/>
          <w:bCs/>
          <w:szCs w:val="21"/>
          <w:highlight w:val="none"/>
        </w:rPr>
        <w:t>。</w:t>
      </w:r>
    </w:p>
    <w:p>
      <w:pPr>
        <w:spacing w:beforeLines="0" w:afterLines="0" w:line="240" w:lineRule="auto"/>
        <w:ind w:firstLine="422" w:firstLineChars="200"/>
        <w:jc w:val="left"/>
        <w:outlineLvl w:val="9"/>
        <w:rPr>
          <w:szCs w:val="21"/>
          <w:highlight w:val="none"/>
        </w:rPr>
      </w:pPr>
      <w:r>
        <w:rPr>
          <w:rFonts w:hint="eastAsia" w:hAnsi="宋体"/>
          <w:b/>
          <w:bCs/>
          <w:szCs w:val="21"/>
          <w:highlight w:val="none"/>
        </w:rPr>
        <w:t>11.</w:t>
      </w:r>
      <w:r>
        <w:rPr>
          <w:rFonts w:hint="eastAsia" w:hAnsi="宋体"/>
          <w:b/>
          <w:bCs/>
          <w:szCs w:val="21"/>
          <w:highlight w:val="none"/>
          <w:lang w:val="en-US" w:eastAsia="zh-CN"/>
        </w:rPr>
        <w:t>5</w:t>
      </w:r>
      <w:r>
        <w:rPr>
          <w:rFonts w:hint="eastAsia"/>
          <w:b/>
          <w:color w:val="FF0000"/>
          <w:szCs w:val="21"/>
          <w:highlight w:val="none"/>
        </w:rPr>
        <w:t>未在ECP2.0上传文件的视为申请文件内容不全，其申请将被否决。</w:t>
      </w:r>
    </w:p>
    <w:p>
      <w:pPr>
        <w:pStyle w:val="8"/>
        <w:rPr>
          <w:rFonts w:hint="default" w:eastAsia="宋体"/>
          <w:lang w:val="en-US" w:eastAsia="zh-CN"/>
        </w:rPr>
      </w:pPr>
      <w:r>
        <w:rPr>
          <w:rFonts w:hint="eastAsia" w:hAnsi="宋体"/>
          <w:bCs/>
          <w:szCs w:val="21"/>
          <w:highlight w:val="none"/>
        </w:rPr>
        <w:t>11.</w:t>
      </w:r>
      <w:r>
        <w:rPr>
          <w:rFonts w:hint="eastAsia" w:hAnsi="宋体"/>
          <w:bCs/>
          <w:szCs w:val="21"/>
          <w:highlight w:val="none"/>
          <w:lang w:val="en-US" w:eastAsia="zh-CN"/>
        </w:rPr>
        <w:t>6</w:t>
      </w:r>
      <w:r>
        <w:rPr>
          <w:rFonts w:hint="eastAsia" w:hAnsi="宋体"/>
          <w:bCs/>
          <w:szCs w:val="21"/>
          <w:highlight w:val="none"/>
        </w:rPr>
        <w:t>申请人如通过资格预审但未参加资质能力核实，须配合开展补充资质能力核实工作，如经补充资质能力核实不具备生产资格预审产品所需的相关资质能力的，将承担取消资格预审合格资格的后果。</w:t>
      </w:r>
    </w:p>
    <w:p>
      <w:pPr>
        <w:adjustRightInd w:val="0"/>
        <w:snapToGrid w:val="0"/>
        <w:spacing w:before="240" w:beforeLines="100" w:after="120" w:afterLines="50" w:line="400" w:lineRule="exact"/>
        <w:outlineLvl w:val="1"/>
        <w:rPr>
          <w:rFonts w:ascii="黑体" w:hAnsi="黑体" w:eastAsia="黑体" w:cs="黑体"/>
          <w:b/>
          <w:bCs/>
          <w:sz w:val="24"/>
          <w:szCs w:val="24"/>
          <w:highlight w:val="none"/>
        </w:rPr>
      </w:pPr>
      <w:r>
        <w:rPr>
          <w:rFonts w:ascii="黑体" w:hAnsi="黑体" w:eastAsia="黑体" w:cs="黑体"/>
          <w:b/>
          <w:bCs/>
          <w:sz w:val="24"/>
          <w:szCs w:val="24"/>
          <w:highlight w:val="none"/>
        </w:rPr>
        <w:t>1</w:t>
      </w:r>
      <w:r>
        <w:rPr>
          <w:rFonts w:hint="eastAsia" w:ascii="黑体" w:hAnsi="黑体" w:eastAsia="黑体" w:cs="黑体"/>
          <w:b/>
          <w:bCs/>
          <w:sz w:val="24"/>
          <w:szCs w:val="24"/>
          <w:highlight w:val="none"/>
          <w:lang w:val="en-US" w:eastAsia="zh-CN"/>
        </w:rPr>
        <w:t>2</w:t>
      </w:r>
      <w:r>
        <w:rPr>
          <w:rFonts w:ascii="黑体" w:hAnsi="黑体" w:eastAsia="黑体" w:cs="黑体"/>
          <w:b/>
          <w:bCs/>
          <w:sz w:val="24"/>
          <w:szCs w:val="24"/>
          <w:highlight w:val="none"/>
        </w:rPr>
        <w:t>.</w:t>
      </w:r>
      <w:r>
        <w:rPr>
          <w:rFonts w:hint="eastAsia" w:ascii="黑体" w:hAnsi="黑体" w:eastAsia="黑体" w:cs="黑体"/>
          <w:b/>
          <w:bCs/>
          <w:sz w:val="24"/>
          <w:szCs w:val="24"/>
          <w:highlight w:val="none"/>
        </w:rPr>
        <w:t>权利声明</w:t>
      </w:r>
    </w:p>
    <w:p>
      <w:pPr>
        <w:snapToGrid w:val="0"/>
        <w:spacing w:line="400" w:lineRule="exact"/>
        <w:ind w:firstLine="420" w:firstLineChars="200"/>
        <w:rPr>
          <w:rFonts w:hint="default" w:ascii="Times New Roman" w:hAnsi="Times New Roman" w:eastAsia="宋体" w:cs="Times New Roman"/>
          <w:szCs w:val="21"/>
          <w:highlight w:val="none"/>
        </w:rPr>
      </w:pPr>
      <w:r>
        <w:rPr>
          <w:rFonts w:hint="default" w:ascii="Times New Roman" w:hAnsi="Times New Roman" w:eastAsia="宋体" w:cs="Times New Roman"/>
          <w:szCs w:val="21"/>
          <w:highlight w:val="none"/>
        </w:rPr>
        <w:t>禁止对本资格预审文件（依法必须招标项目的资格预审公告部分除外）进行任何形式的转载（包括但不限于部分或全文转载、修改后转载）或任何未经书面授权的使用。转载依法必须招标项目的资格预审公告的，不得改变资格预审公告的内容，须注明信息来源，不得用于非法用途。任何单位或个人不得违法转载（包括但不限于改变内容转载、转载不注明来源、遗漏或不及时转载修改或补充内容等）资格预审公告、不得对资格预审公告等内容进行不全面、不准确、不客观地分析或使用，任何单位或个人违法或违反本条规定转载、使用本资格预审文件的，招标人将依法追究法律责任。</w:t>
      </w:r>
    </w:p>
    <w:p>
      <w:pPr>
        <w:wordWrap w:val="0"/>
        <w:spacing w:line="400" w:lineRule="exact"/>
        <w:rPr>
          <w:rFonts w:ascii="Arial" w:hAnsi="Arial" w:cs="Arial"/>
          <w:szCs w:val="21"/>
          <w:highlight w:val="none"/>
        </w:rPr>
      </w:pPr>
      <w:r>
        <w:rPr>
          <w:rFonts w:ascii="Arial" w:hAnsi="Arial" w:cs="Arial"/>
          <w:szCs w:val="21"/>
          <w:highlight w:val="none"/>
        </w:rPr>
        <w:t xml:space="preserve">                       </w:t>
      </w:r>
      <w:r>
        <w:rPr>
          <w:rFonts w:hint="eastAsia" w:ascii="Arial" w:hAnsi="Arial" w:cs="Arial"/>
          <w:szCs w:val="21"/>
          <w:highlight w:val="none"/>
        </w:rPr>
        <w:t xml:space="preserve">                                    </w:t>
      </w:r>
      <w:r>
        <w:rPr>
          <w:rFonts w:ascii="Arial" w:hAnsi="Arial" w:cs="Arial"/>
          <w:szCs w:val="21"/>
          <w:highlight w:val="none"/>
        </w:rPr>
        <w:t xml:space="preserve">     </w:t>
      </w:r>
    </w:p>
    <w:p>
      <w:pPr>
        <w:wordWrap w:val="0"/>
        <w:spacing w:line="400" w:lineRule="exact"/>
        <w:rPr>
          <w:rFonts w:ascii="Arial" w:hAnsi="Arial" w:cs="Arial"/>
          <w:szCs w:val="21"/>
          <w:highlight w:val="none"/>
        </w:rPr>
      </w:pPr>
    </w:p>
    <w:p>
      <w:pPr>
        <w:wordWrap w:val="0"/>
        <w:spacing w:line="400" w:lineRule="exact"/>
        <w:rPr>
          <w:rFonts w:ascii="Arial" w:hAnsi="Arial" w:cs="Arial"/>
          <w:szCs w:val="21"/>
          <w:highlight w:val="none"/>
        </w:rPr>
      </w:pPr>
    </w:p>
    <w:p>
      <w:pPr>
        <w:wordWrap w:val="0"/>
        <w:spacing w:line="400" w:lineRule="exact"/>
        <w:rPr>
          <w:rFonts w:ascii="Arial" w:hAnsi="Arial" w:cs="Arial"/>
          <w:szCs w:val="21"/>
          <w:highlight w:val="none"/>
        </w:rPr>
      </w:pPr>
    </w:p>
    <w:p>
      <w:pPr>
        <w:wordWrap w:val="0"/>
        <w:spacing w:line="400" w:lineRule="exact"/>
        <w:rPr>
          <w:rFonts w:ascii="Arial" w:hAnsi="Arial" w:cs="Arial"/>
          <w:szCs w:val="21"/>
          <w:highlight w:val="none"/>
        </w:rPr>
      </w:pPr>
    </w:p>
    <w:p>
      <w:pPr>
        <w:wordWrap w:val="0"/>
        <w:spacing w:line="400" w:lineRule="exact"/>
        <w:jc w:val="right"/>
        <w:rPr>
          <w:rFonts w:ascii="Arial" w:hAnsi="Arial" w:cs="Arial"/>
          <w:szCs w:val="21"/>
          <w:highlight w:val="none"/>
        </w:rPr>
      </w:pPr>
      <w:r>
        <w:rPr>
          <w:rFonts w:hint="default" w:ascii="Times New Roman" w:hAnsi="Times New Roman" w:cs="Times New Roman"/>
          <w:color w:val="000000"/>
          <w:szCs w:val="21"/>
        </w:rPr>
        <w:t>202</w:t>
      </w:r>
      <w:r>
        <w:rPr>
          <w:rFonts w:hint="eastAsia" w:ascii="Times New Roman" w:hAnsi="Times New Roman" w:cs="Times New Roman"/>
          <w:color w:val="000000"/>
          <w:szCs w:val="21"/>
          <w:lang w:val="en-US" w:eastAsia="zh-CN"/>
        </w:rPr>
        <w:t>5</w:t>
      </w:r>
      <w:r>
        <w:rPr>
          <w:rFonts w:hint="default" w:ascii="Times New Roman" w:hAnsi="Times New Roman" w:cs="Times New Roman"/>
          <w:color w:val="000000"/>
          <w:szCs w:val="21"/>
        </w:rPr>
        <w:t>年</w:t>
      </w:r>
      <w:r>
        <w:rPr>
          <w:rFonts w:hint="eastAsia" w:ascii="Times New Roman" w:hAnsi="Times New Roman" w:cs="Times New Roman"/>
          <w:color w:val="000000"/>
          <w:szCs w:val="21"/>
          <w:lang w:val="en-US" w:eastAsia="zh-CN"/>
        </w:rPr>
        <w:t>7</w:t>
      </w:r>
      <w:r>
        <w:rPr>
          <w:rFonts w:hint="default" w:ascii="Times New Roman" w:hAnsi="Times New Roman" w:cs="Times New Roman"/>
          <w:color w:val="000000"/>
          <w:szCs w:val="21"/>
        </w:rPr>
        <w:t>月</w:t>
      </w:r>
      <w:r>
        <w:rPr>
          <w:rFonts w:hint="eastAsia" w:ascii="Times New Roman" w:hAnsi="Times New Roman" w:cs="Times New Roman"/>
          <w:color w:val="000000"/>
          <w:szCs w:val="21"/>
          <w:lang w:val="en-US" w:eastAsia="zh-CN"/>
        </w:rPr>
        <w:t>4</w:t>
      </w:r>
      <w:r>
        <w:rPr>
          <w:rFonts w:hint="default" w:ascii="Times New Roman" w:hAnsi="Times New Roman" w:cs="Times New Roman"/>
          <w:color w:val="000000"/>
          <w:szCs w:val="21"/>
        </w:rPr>
        <w:t>日</w:t>
      </w:r>
      <w:r>
        <w:rPr>
          <w:rFonts w:ascii="Arial" w:hAnsi="Arial" w:cs="Arial"/>
          <w:szCs w:val="21"/>
          <w:highlight w:val="none"/>
        </w:rPr>
        <w:t xml:space="preserve"> </w:t>
      </w:r>
    </w:p>
    <w:p>
      <w:pPr>
        <w:widowControl/>
        <w:jc w:val="left"/>
        <w:rPr>
          <w:rFonts w:ascii="Arial" w:hAnsi="Arial" w:eastAsia="黑体" w:cs="Arial"/>
          <w:sz w:val="36"/>
          <w:szCs w:val="36"/>
          <w:highlight w:val="none"/>
        </w:rPr>
      </w:pPr>
      <w:r>
        <w:rPr>
          <w:rFonts w:ascii="Arial" w:hAnsi="Arial" w:eastAsia="黑体" w:cs="Arial"/>
          <w:sz w:val="36"/>
          <w:szCs w:val="36"/>
          <w:highlight w:val="none"/>
        </w:rPr>
        <w:br w:type="page"/>
      </w:r>
    </w:p>
    <w:p>
      <w:pPr>
        <w:widowControl/>
        <w:jc w:val="left"/>
        <w:rPr>
          <w:rFonts w:hint="default" w:ascii="Times New Roman" w:hAnsi="Times New Roman" w:cs="Times New Roman" w:eastAsiaTheme="minorEastAsia"/>
          <w:sz w:val="28"/>
          <w:lang w:val="en-US" w:eastAsia="zh-CN"/>
        </w:rPr>
      </w:pPr>
      <w:r>
        <w:rPr>
          <w:rFonts w:hint="default" w:ascii="Times New Roman" w:hAnsi="Times New Roman" w:cs="Times New Roman"/>
          <w:sz w:val="28"/>
        </w:rPr>
        <w:t>附表1：国家电网有限公司所属各省（市、自治区）公司</w:t>
      </w:r>
    </w:p>
    <w:tbl>
      <w:tblPr>
        <w:tblStyle w:val="13"/>
        <w:tblW w:w="8522" w:type="dxa"/>
        <w:tblInd w:w="0" w:type="dxa"/>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41"/>
        <w:gridCol w:w="6881"/>
      </w:tblGrid>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b/>
                <w:bCs/>
                <w:color w:val="000000"/>
                <w:kern w:val="0"/>
                <w:szCs w:val="21"/>
              </w:rPr>
            </w:pPr>
            <w:r>
              <w:rPr>
                <w:rFonts w:hAnsi="宋体"/>
                <w:b/>
                <w:bCs/>
                <w:color w:val="000000"/>
                <w:kern w:val="0"/>
                <w:szCs w:val="21"/>
              </w:rPr>
              <w:t>序号</w:t>
            </w:r>
          </w:p>
        </w:tc>
        <w:tc>
          <w:tcPr>
            <w:tcW w:w="6881" w:type="dxa"/>
            <w:tcBorders>
              <w:tl2br w:val="nil"/>
              <w:tr2bl w:val="nil"/>
            </w:tcBorders>
            <w:vAlign w:val="center"/>
          </w:tcPr>
          <w:p>
            <w:pPr>
              <w:widowControl/>
              <w:adjustRightInd w:val="0"/>
              <w:snapToGrid w:val="0"/>
              <w:jc w:val="center"/>
              <w:rPr>
                <w:b/>
                <w:bCs/>
                <w:color w:val="000000"/>
                <w:kern w:val="0"/>
                <w:szCs w:val="21"/>
              </w:rPr>
            </w:pPr>
            <w:r>
              <w:rPr>
                <w:rFonts w:hAnsi="宋体"/>
                <w:b/>
                <w:bCs/>
                <w:color w:val="000000"/>
                <w:kern w:val="0"/>
                <w:szCs w:val="21"/>
              </w:rPr>
              <w:t>项目单位</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国网北京市电力公司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2</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国网天津市电力公司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3</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国网河北省电力有限公司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4</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国网冀北电力有限公司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5</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国网山西省电力公司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6</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国网山东省电力公司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7</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国网上海市电力公司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8</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国网江苏省电力有限公司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9</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国网浙江省电力有限公司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10</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国网安徽省电力有限公司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11</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国网福建省电力有限公司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12</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国网湖北省电力有限公司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13</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国网湖南省电力有限公司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14</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国网河南省电力公司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15</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国网江西省电力有限公司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16</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国网四川省电力公司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17</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国网重庆市电力公司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18</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国网辽宁省电力有限公司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19</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国网吉林省电力有限公司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20</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国网黑龙江省电力有限公司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21</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国网内蒙古东部电力有限公司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22</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国网陕西省电力有限公司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23</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国网甘肃省电力公司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24</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国网青海省电力公司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25</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国网宁夏电力有限公司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26</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国网新疆电力有限公司</w:t>
            </w:r>
          </w:p>
        </w:tc>
      </w:tr>
      <w:tr>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2" w:hRule="atLeast"/>
        </w:trPr>
        <w:tc>
          <w:tcPr>
            <w:tcW w:w="164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27</w:t>
            </w:r>
          </w:p>
        </w:tc>
        <w:tc>
          <w:tcPr>
            <w:tcW w:w="6881" w:type="dxa"/>
            <w:tcBorders>
              <w:tl2br w:val="nil"/>
              <w:tr2bl w:val="nil"/>
            </w:tcBorders>
            <w:vAlign w:val="center"/>
          </w:tcPr>
          <w:p>
            <w:pPr>
              <w:widowControl/>
              <w:adjustRightInd w:val="0"/>
              <w:snapToGrid w:val="0"/>
              <w:jc w:val="center"/>
              <w:rPr>
                <w:rFonts w:hint="default" w:ascii="Times New Roman" w:hAnsi="Times New Roman" w:cs="Times New Roman"/>
                <w:color w:val="000000"/>
                <w:kern w:val="0"/>
                <w:szCs w:val="21"/>
              </w:rPr>
            </w:pPr>
            <w:r>
              <w:rPr>
                <w:rFonts w:hint="default" w:ascii="Times New Roman" w:hAnsi="Times New Roman" w:cs="Times New Roman"/>
                <w:color w:val="000000"/>
                <w:kern w:val="0"/>
                <w:szCs w:val="21"/>
              </w:rPr>
              <w:t>国网西藏电力有限公司</w:t>
            </w:r>
          </w:p>
        </w:tc>
      </w:tr>
    </w:tbl>
    <w:p>
      <w:pPr>
        <w:pStyle w:val="8"/>
      </w:pPr>
    </w:p>
    <w:p>
      <w:pPr>
        <w:tabs>
          <w:tab w:val="left" w:pos="1228"/>
        </w:tabs>
        <w:bidi w:val="0"/>
        <w:jc w:val="left"/>
        <w:rPr>
          <w:lang w:val="en-US" w:eastAsia="zh-CN"/>
        </w:rPr>
      </w:pPr>
    </w:p>
    <w:sectPr>
      <w:headerReference r:id="rId11" w:type="default"/>
      <w:footerReference r:id="rId12"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pPr>
    <w:r>
      <w:fldChar w:fldCharType="begin"/>
    </w:r>
    <w:r>
      <w:instrText xml:space="preserve"> PAGE   \* MERGEFORMAT </w:instrText>
    </w:r>
    <w:r>
      <w:fldChar w:fldCharType="separate"/>
    </w:r>
    <w:r>
      <w:t>97</w:t>
    </w:r>
    <w:r>
      <w:fldChar w:fldCharType="end"/>
    </w:r>
  </w:p>
  <w:p>
    <w:pPr>
      <w:pStyle w:val="9"/>
      <w:spacing w:line="14" w:lineRule="auto"/>
      <w:ind w:firstLine="240"/>
      <w:rPr>
        <w:sz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4" name="文本框 4"/>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Style w:val="16"/>
                            </w:rPr>
                          </w:pPr>
                          <w:r>
                            <w:fldChar w:fldCharType="begin"/>
                          </w:r>
                          <w:r>
                            <w:rPr>
                              <w:rStyle w:val="16"/>
                            </w:rPr>
                            <w:instrText xml:space="preserve">PAGE  </w:instrText>
                          </w:r>
                          <w:r>
                            <w:fldChar w:fldCharType="separate"/>
                          </w:r>
                          <w:r>
                            <w:rPr>
                              <w:rStyle w:val="16"/>
                            </w:rP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u8AFjRAAAAAgEAAA8AAAAAAAAAAQAg&#10;AAAAIgAAAGRycy9kb3ducmV2LnhtbFBLAQIUABQAAAAIAIdO4kBIElBQFQIAAAQEAAAOAAAAAAAA&#10;AAEAIAAAACABAABkcnMvZTJvRG9jLnhtbFBLBQYAAAAABgAGAFkBAACnBQAAAAA=&#10;">
              <v:fill on="f" focussize="0,0"/>
              <v:stroke on="f" weight="0.5pt"/>
              <v:imagedata o:title=""/>
              <o:lock v:ext="edit" aspectratio="f"/>
              <v:textbox inset="0mm,0mm,0mm,0mm" style="mso-fit-shape-to-text:t;">
                <w:txbxContent>
                  <w:p>
                    <w:pPr>
                      <w:pStyle w:val="11"/>
                      <w:rPr>
                        <w:rStyle w:val="16"/>
                      </w:rPr>
                    </w:pPr>
                    <w:r>
                      <w:fldChar w:fldCharType="begin"/>
                    </w:r>
                    <w:r>
                      <w:rPr>
                        <w:rStyle w:val="16"/>
                      </w:rPr>
                      <w:instrText xml:space="preserve">PAGE  </w:instrText>
                    </w:r>
                    <w:r>
                      <w:fldChar w:fldCharType="separate"/>
                    </w:r>
                    <w:r>
                      <w:rPr>
                        <w:rStyle w:val="16"/>
                      </w:rPr>
                      <w:t>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jc w:val="center"/>
    </w:pPr>
    <w:r>
      <w:fldChar w:fldCharType="begin"/>
    </w:r>
    <w:r>
      <w:instrText xml:space="preserve"> PAGE   \* MERGEFORMAT </w:instrText>
    </w:r>
    <w:r>
      <w:fldChar w:fldCharType="separate"/>
    </w:r>
    <w:r>
      <w:t>97</w:t>
    </w:r>
    <w:r>
      <w:fldChar w:fldCharType="end"/>
    </w:r>
  </w:p>
  <w:p>
    <w:pPr>
      <w:pStyle w:val="9"/>
      <w:spacing w:line="14" w:lineRule="auto"/>
      <w:ind w:firstLine="240"/>
      <w:rPr>
        <w:sz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471305"/>
    <w:multiLevelType w:val="singleLevel"/>
    <w:tmpl w:val="6A471305"/>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lNjNhYzU0MzMwOGQ4MzkxYzIyZmQxNmE5NDNkNjkifQ=="/>
  </w:docVars>
  <w:rsids>
    <w:rsidRoot w:val="00000000"/>
    <w:rsid w:val="0AFF4C18"/>
    <w:rsid w:val="15141863"/>
    <w:rsid w:val="23EE1B97"/>
    <w:rsid w:val="2EF55080"/>
    <w:rsid w:val="34FF1866"/>
    <w:rsid w:val="42656859"/>
    <w:rsid w:val="475B1AD1"/>
    <w:rsid w:val="5F7F5833"/>
    <w:rsid w:val="663A52B6"/>
    <w:rsid w:val="693A7687"/>
    <w:rsid w:val="6BC22D3F"/>
    <w:rsid w:val="77513D07"/>
    <w:rsid w:val="7DE53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7">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15">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next w:val="5"/>
    <w:qFormat/>
    <w:uiPriority w:val="0"/>
    <w:pPr>
      <w:ind w:firstLine="420"/>
    </w:pPr>
  </w:style>
  <w:style w:type="paragraph" w:styleId="3">
    <w:name w:val="Body Text Indent"/>
    <w:basedOn w:val="1"/>
    <w:next w:val="4"/>
    <w:qFormat/>
    <w:uiPriority w:val="0"/>
    <w:pPr>
      <w:spacing w:after="120"/>
      <w:ind w:left="420"/>
    </w:pPr>
    <w:rPr>
      <w:rFonts w:ascii="Times New Roman" w:hAnsi="Times New Roman" w:cs="Times New Roman"/>
      <w:szCs w:val="24"/>
    </w:rPr>
  </w:style>
  <w:style w:type="paragraph" w:styleId="4">
    <w:name w:val="envelope return"/>
    <w:basedOn w:val="1"/>
    <w:qFormat/>
    <w:uiPriority w:val="0"/>
    <w:pPr>
      <w:snapToGrid w:val="0"/>
    </w:pPr>
    <w:rPr>
      <w:rFonts w:hint="eastAsia" w:ascii="Arial" w:hAnsi="Arial" w:eastAsia="宋体" w:cs="Times New Roman"/>
      <w:szCs w:val="20"/>
    </w:rPr>
  </w:style>
  <w:style w:type="paragraph" w:customStyle="1" w:styleId="5">
    <w:name w:val="表格文字"/>
    <w:basedOn w:val="6"/>
    <w:next w:val="1"/>
    <w:qFormat/>
    <w:uiPriority w:val="0"/>
    <w:pPr>
      <w:spacing w:line="420" w:lineRule="atLeast"/>
      <w:jc w:val="left"/>
      <w:textAlignment w:val="baseline"/>
    </w:pPr>
  </w:style>
  <w:style w:type="paragraph" w:styleId="6">
    <w:name w:val="List"/>
    <w:basedOn w:val="1"/>
    <w:qFormat/>
    <w:uiPriority w:val="0"/>
    <w:pPr>
      <w:ind w:left="420" w:hanging="420"/>
    </w:pPr>
    <w:rPr>
      <w:rFonts w:hint="eastAsia" w:ascii="Times New Roman" w:hAnsi="Times New Roman" w:eastAsia="宋体" w:cs="Times New Roman"/>
      <w:szCs w:val="20"/>
    </w:rPr>
  </w:style>
  <w:style w:type="paragraph" w:styleId="8">
    <w:name w:val="Normal Indent"/>
    <w:basedOn w:val="1"/>
    <w:next w:val="9"/>
    <w:qFormat/>
    <w:uiPriority w:val="0"/>
    <w:pPr>
      <w:ind w:firstLine="420"/>
    </w:pPr>
    <w:rPr>
      <w:rFonts w:ascii="Times New Roman" w:hAnsi="Times New Roman" w:eastAsia="宋体" w:cs="Times New Roman"/>
      <w:szCs w:val="24"/>
    </w:rPr>
  </w:style>
  <w:style w:type="paragraph" w:styleId="9">
    <w:name w:val="Body Text"/>
    <w:basedOn w:val="1"/>
    <w:next w:val="1"/>
    <w:unhideWhenUsed/>
    <w:qFormat/>
    <w:uiPriority w:val="99"/>
    <w:pPr>
      <w:spacing w:after="120"/>
    </w:pPr>
  </w:style>
  <w:style w:type="paragraph" w:styleId="10">
    <w:name w:val="Body Text 3"/>
    <w:basedOn w:val="1"/>
    <w:qFormat/>
    <w:uiPriority w:val="0"/>
    <w:rPr>
      <w:rFonts w:ascii="宋体"/>
      <w:kern w:val="0"/>
      <w:sz w:val="24"/>
      <w:szCs w:val="20"/>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6">
    <w:name w:val="page number"/>
    <w:basedOn w:val="15"/>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11209</Words>
  <Characters>12633</Characters>
  <Lines>0</Lines>
  <Paragraphs>0</Paragraphs>
  <TotalTime>16</TotalTime>
  <ScaleCrop>false</ScaleCrop>
  <LinksUpToDate>false</LinksUpToDate>
  <CharactersWithSpaces>12722</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2024-10-21T03:15:00Z</dcterms:created>
  <dc:creator>Administrator</dc:creator>
  <cp:lastModifiedBy>Administrator</cp:lastModifiedBy>
  <dcterms:modified xsi:type="dcterms:W3CDTF">2025-07-04T07:48:29Z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F54211DC2C5340EC9D3359A8E9DE8AF2</vt:lpwstr>
  </property>
</Properties>
</file>