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eastAsia="华文中宋"/>
          <w:b/>
          <w:color w:val="auto"/>
          <w:sz w:val="52"/>
          <w:szCs w:val="52"/>
          <w:highlight w:val="none"/>
        </w:rPr>
      </w:pPr>
      <w:bookmarkStart w:id="0" w:name="_Hlt125258977"/>
      <w:bookmarkStart w:id="1" w:name="_Hlt125259581"/>
      <w:bookmarkStart w:id="2" w:name="_Hlt125258978"/>
      <w:bookmarkStart w:id="3" w:name="_Toc30052"/>
      <w:bookmarkStart w:id="4" w:name="_Toc25792"/>
      <w:bookmarkStart w:id="5" w:name="_Toc105809090"/>
      <w:bookmarkStart w:id="6" w:name="_Toc19263"/>
      <w:bookmarkStart w:id="730" w:name="_GoBack"/>
      <w:bookmarkEnd w:id="730"/>
    </w:p>
    <w:p>
      <w:pPr>
        <w:pStyle w:val="2"/>
        <w:rPr>
          <w:rFonts w:eastAsia="华文中宋"/>
          <w:b/>
          <w:color w:val="auto"/>
          <w:sz w:val="52"/>
          <w:szCs w:val="52"/>
          <w:highlight w:val="none"/>
        </w:rPr>
      </w:pPr>
    </w:p>
    <w:p/>
    <w:p>
      <w:pPr>
        <w:adjustRightInd w:val="0"/>
        <w:snapToGrid w:val="0"/>
        <w:jc w:val="center"/>
        <w:rPr>
          <w:rFonts w:hint="eastAsia" w:ascii="宋体" w:hAnsi="宋体" w:eastAsia="宋体" w:cs="宋体"/>
          <w:b/>
          <w:color w:val="auto"/>
          <w:sz w:val="72"/>
          <w:szCs w:val="52"/>
          <w:highlight w:val="none"/>
          <w:lang w:eastAsia="zh-CN"/>
        </w:rPr>
      </w:pPr>
      <w:r>
        <w:rPr>
          <w:rFonts w:hint="eastAsia" w:ascii="宋体" w:hAnsi="宋体" w:cs="宋体"/>
          <w:b/>
          <w:color w:val="auto"/>
          <w:sz w:val="72"/>
          <w:szCs w:val="52"/>
          <w:highlight w:val="none"/>
        </w:rPr>
        <w:t>施工合同</w:t>
      </w:r>
      <w:bookmarkStart w:id="7" w:name="_Toc60061567"/>
      <w:bookmarkStart w:id="8" w:name="_Toc506107333"/>
      <w:bookmarkStart w:id="9" w:name="_Toc15058927"/>
    </w:p>
    <w:p>
      <w:pPr>
        <w:pStyle w:val="45"/>
        <w:rPr>
          <w:rFonts w:hint="eastAsia"/>
          <w:color w:val="auto"/>
          <w:highlight w:val="none"/>
          <w:lang w:eastAsia="zh-CN"/>
        </w:rPr>
      </w:pPr>
    </w:p>
    <w:p>
      <w:pPr>
        <w:pStyle w:val="2"/>
        <w:ind w:firstLine="420"/>
        <w:rPr>
          <w:color w:val="auto"/>
          <w:highlight w:val="none"/>
        </w:rPr>
      </w:pPr>
    </w:p>
    <w:p>
      <w:pPr>
        <w:adjustRightInd w:val="0"/>
        <w:snapToGrid w:val="0"/>
        <w:spacing w:line="560" w:lineRule="exact"/>
        <w:jc w:val="center"/>
        <w:rPr>
          <w:rFonts w:hint="eastAsia"/>
          <w:b/>
          <w:color w:val="auto"/>
          <w:sz w:val="32"/>
          <w:szCs w:val="28"/>
          <w:highlight w:val="none"/>
        </w:rPr>
      </w:pPr>
    </w:p>
    <w:p>
      <w:pPr>
        <w:adjustRightInd w:val="0"/>
        <w:snapToGrid w:val="0"/>
        <w:spacing w:line="560" w:lineRule="exact"/>
        <w:jc w:val="center"/>
        <w:rPr>
          <w:rFonts w:hint="eastAsia"/>
          <w:b/>
          <w:color w:val="auto"/>
          <w:sz w:val="32"/>
          <w:szCs w:val="28"/>
          <w:highlight w:val="none"/>
        </w:rPr>
      </w:pPr>
    </w:p>
    <w:p>
      <w:pPr>
        <w:adjustRightInd w:val="0"/>
        <w:snapToGrid w:val="0"/>
        <w:spacing w:line="560" w:lineRule="exact"/>
        <w:jc w:val="center"/>
        <w:rPr>
          <w:rFonts w:hint="eastAsia"/>
          <w:b/>
          <w:color w:val="auto"/>
          <w:sz w:val="32"/>
          <w:szCs w:val="28"/>
          <w:highlight w:val="none"/>
        </w:rPr>
      </w:pPr>
    </w:p>
    <w:p>
      <w:pPr>
        <w:adjustRightInd w:val="0"/>
        <w:snapToGrid w:val="0"/>
        <w:spacing w:line="560" w:lineRule="exact"/>
        <w:jc w:val="center"/>
        <w:rPr>
          <w:rFonts w:hint="eastAsia"/>
          <w:b/>
          <w:color w:val="auto"/>
          <w:sz w:val="32"/>
          <w:szCs w:val="28"/>
          <w:highlight w:val="none"/>
        </w:rPr>
      </w:pPr>
    </w:p>
    <w:p>
      <w:pPr>
        <w:adjustRightInd w:val="0"/>
        <w:snapToGrid w:val="0"/>
        <w:spacing w:line="560" w:lineRule="exact"/>
        <w:jc w:val="center"/>
        <w:rPr>
          <w:rFonts w:hint="eastAsia"/>
          <w:b/>
          <w:color w:val="auto"/>
          <w:sz w:val="32"/>
          <w:szCs w:val="28"/>
          <w:highlight w:val="none"/>
        </w:rPr>
      </w:pPr>
    </w:p>
    <w:p>
      <w:pPr>
        <w:pStyle w:val="2"/>
        <w:rPr>
          <w:rFonts w:hint="eastAsia"/>
          <w:b/>
          <w:color w:val="auto"/>
          <w:sz w:val="32"/>
          <w:szCs w:val="28"/>
          <w:highlight w:val="none"/>
        </w:rPr>
      </w:pPr>
    </w:p>
    <w:p>
      <w:pPr>
        <w:rPr>
          <w:rFonts w:hint="eastAsia"/>
          <w:b/>
          <w:color w:val="auto"/>
          <w:sz w:val="32"/>
          <w:szCs w:val="28"/>
          <w:highlight w:val="none"/>
        </w:rPr>
      </w:pPr>
    </w:p>
    <w:p>
      <w:pPr>
        <w:pStyle w:val="2"/>
        <w:rPr>
          <w:rFonts w:hint="eastAsia"/>
          <w:b/>
          <w:color w:val="auto"/>
          <w:sz w:val="32"/>
          <w:szCs w:val="28"/>
          <w:highlight w:val="none"/>
        </w:rPr>
      </w:pPr>
    </w:p>
    <w:p>
      <w:pPr>
        <w:rPr>
          <w:rFonts w:hint="eastAsia"/>
          <w:b/>
          <w:color w:val="auto"/>
          <w:sz w:val="32"/>
          <w:szCs w:val="28"/>
          <w:highlight w:val="none"/>
        </w:rPr>
      </w:pPr>
    </w:p>
    <w:p>
      <w:pPr>
        <w:pStyle w:val="2"/>
        <w:rPr>
          <w:rFonts w:hint="eastAsia"/>
          <w:b/>
          <w:color w:val="auto"/>
          <w:sz w:val="32"/>
          <w:szCs w:val="28"/>
          <w:highlight w:val="none"/>
        </w:rPr>
      </w:pPr>
    </w:p>
    <w:p>
      <w:pPr>
        <w:rPr>
          <w:rFonts w:hint="eastAsia"/>
          <w:b/>
          <w:color w:val="auto"/>
          <w:sz w:val="32"/>
          <w:szCs w:val="28"/>
          <w:highlight w:val="none"/>
        </w:rPr>
      </w:pPr>
    </w:p>
    <w:p>
      <w:pPr>
        <w:pStyle w:val="2"/>
        <w:rPr>
          <w:rFonts w:hint="eastAsia"/>
          <w:b/>
          <w:color w:val="auto"/>
          <w:sz w:val="32"/>
          <w:szCs w:val="28"/>
          <w:highlight w:val="none"/>
        </w:rPr>
      </w:pPr>
    </w:p>
    <w:p>
      <w:pPr>
        <w:rPr>
          <w:rFonts w:hint="eastAsia"/>
          <w:b/>
          <w:color w:val="auto"/>
          <w:sz w:val="32"/>
          <w:szCs w:val="28"/>
          <w:highlight w:val="none"/>
        </w:rPr>
      </w:pPr>
    </w:p>
    <w:p>
      <w:pPr>
        <w:pStyle w:val="2"/>
        <w:rPr>
          <w:rFonts w:hint="eastAsia"/>
          <w:b/>
          <w:color w:val="auto"/>
          <w:sz w:val="32"/>
          <w:szCs w:val="28"/>
          <w:highlight w:val="none"/>
        </w:rPr>
      </w:pPr>
    </w:p>
    <w:p>
      <w:pPr>
        <w:rPr>
          <w:rFonts w:hint="eastAsia"/>
          <w:b/>
          <w:color w:val="auto"/>
          <w:sz w:val="32"/>
          <w:szCs w:val="28"/>
          <w:highlight w:val="none"/>
        </w:rPr>
      </w:pPr>
    </w:p>
    <w:p>
      <w:pPr>
        <w:rPr>
          <w:rFonts w:hint="eastAsia"/>
        </w:rPr>
      </w:pPr>
    </w:p>
    <w:p>
      <w:pPr>
        <w:pStyle w:val="2"/>
        <w:rPr>
          <w:rFonts w:hint="eastAsia"/>
        </w:rPr>
      </w:pPr>
    </w:p>
    <w:p>
      <w:pPr>
        <w:adjustRightInd w:val="0"/>
        <w:snapToGrid w:val="0"/>
        <w:spacing w:line="560" w:lineRule="exact"/>
        <w:jc w:val="center"/>
        <w:rPr>
          <w:rFonts w:hint="eastAsia"/>
          <w:b/>
          <w:color w:val="auto"/>
          <w:sz w:val="32"/>
          <w:szCs w:val="28"/>
          <w:highlight w:val="none"/>
        </w:rPr>
      </w:pPr>
    </w:p>
    <w:p>
      <w:pPr>
        <w:adjustRightInd w:val="0"/>
        <w:snapToGrid w:val="0"/>
        <w:spacing w:line="560" w:lineRule="exact"/>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8415" b="1079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3MqatkAAAAKAQAADwAAAAAAAAABACAAAAAi&#10;AAAAZHJzL2Rvd25yZXYueG1sUEsBAhQAFAAAAAgAh07iQOSHZIoJAgAAGgQAAA4AAAAAAAAAAQAg&#10;AAAAKAEAAGRycy9lMm9Eb2MueG1sUEsFBgAAAAAGAAYAWQEAAKMFAAAAAA==&#10;">
                <v:fill on="f" focussize="0,0"/>
                <v:stroke color="#FFFFFF" joinstyle="miter"/>
                <v:imagedata o:title=""/>
                <o:lock v:ext="edit" aspectratio="f"/>
                <v:textbox>
                  <w:txbxContent>
                    <w:p/>
                  </w:txbxContent>
                </v:textbox>
              </v:shape>
            </w:pict>
          </mc:Fallback>
        </mc:AlternateContent>
      </w:r>
      <w:bookmarkEnd w:id="7"/>
      <w:bookmarkEnd w:id="8"/>
      <w:bookmarkEnd w:id="9"/>
      <w:r>
        <w:rPr>
          <w:rFonts w:hint="eastAsia"/>
          <w:b/>
          <w:color w:val="auto"/>
          <w:sz w:val="32"/>
          <w:szCs w:val="28"/>
          <w:highlight w:val="none"/>
        </w:rPr>
        <w:t>住房和城乡建设部</w:t>
      </w:r>
    </w:p>
    <w:p>
      <w:pPr>
        <w:adjustRightInd w:val="0"/>
        <w:snapToGrid w:val="0"/>
        <w:spacing w:line="560" w:lineRule="exact"/>
        <w:jc w:val="center"/>
        <w:rPr>
          <w:b/>
          <w:color w:val="auto"/>
          <w:sz w:val="32"/>
          <w:szCs w:val="28"/>
          <w:highlight w:val="none"/>
        </w:rPr>
      </w:pPr>
      <w:r>
        <w:rPr>
          <w:rFonts w:hint="eastAsia"/>
          <w:b/>
          <w:color w:val="auto"/>
          <w:sz w:val="32"/>
          <w:szCs w:val="28"/>
          <w:highlight w:val="none"/>
        </w:rPr>
        <w:t>国家工商行政管理总局</w:t>
      </w:r>
    </w:p>
    <w:p>
      <w:pPr>
        <w:adjustRightInd w:val="0"/>
        <w:snapToGrid w:val="0"/>
        <w:spacing w:line="560" w:lineRule="exact"/>
        <w:rPr>
          <w:rFonts w:ascii="仿宋_GB2312" w:eastAsia="仿宋_GB2312"/>
          <w:color w:val="auto"/>
          <w:szCs w:val="21"/>
          <w:highlight w:val="none"/>
          <w:u w:val="single"/>
        </w:rPr>
      </w:pPr>
    </w:p>
    <w:p>
      <w:pPr>
        <w:keepNext/>
        <w:keepLines/>
        <w:spacing w:line="360" w:lineRule="auto"/>
        <w:jc w:val="center"/>
        <w:outlineLvl w:val="1"/>
        <w:rPr>
          <w:rFonts w:hint="eastAsia" w:ascii="宋体" w:hAnsi="宋体" w:cs="宋体"/>
          <w:b/>
          <w:bCs/>
          <w:color w:val="auto"/>
          <w:sz w:val="32"/>
          <w:szCs w:val="32"/>
          <w:highlight w:val="none"/>
        </w:rPr>
      </w:pPr>
      <w:bookmarkStart w:id="10" w:name="_Toc95223459"/>
      <w:bookmarkStart w:id="11" w:name="_Toc3977"/>
      <w:bookmarkStart w:id="12" w:name="_Toc28799376"/>
    </w:p>
    <w:p>
      <w:pPr>
        <w:pStyle w:val="45"/>
        <w:rPr>
          <w:rFonts w:hint="eastAsia"/>
          <w:color w:val="auto"/>
          <w:highlight w:val="none"/>
        </w:rPr>
      </w:pPr>
    </w:p>
    <w:p>
      <w:pPr>
        <w:keepNext/>
        <w:keepLines/>
        <w:spacing w:line="360" w:lineRule="auto"/>
        <w:jc w:val="center"/>
        <w:outlineLvl w:val="1"/>
        <w:rPr>
          <w:rFonts w:ascii="宋体" w:hAnsi="宋体" w:cs="宋体"/>
          <w:b/>
          <w:bCs/>
          <w:color w:val="auto"/>
          <w:sz w:val="32"/>
          <w:szCs w:val="32"/>
          <w:highlight w:val="none"/>
        </w:rPr>
      </w:pPr>
      <w:bookmarkStart w:id="13" w:name="_Toc23581"/>
      <w:bookmarkStart w:id="14" w:name="_Toc11293"/>
      <w:r>
        <w:rPr>
          <w:rFonts w:hint="eastAsia" w:ascii="宋体" w:hAnsi="宋体" w:cs="宋体"/>
          <w:b/>
          <w:bCs/>
          <w:color w:val="auto"/>
          <w:sz w:val="32"/>
          <w:szCs w:val="32"/>
          <w:highlight w:val="none"/>
        </w:rPr>
        <w:t>第一节  合同协议书</w:t>
      </w:r>
      <w:bookmarkEnd w:id="10"/>
      <w:bookmarkEnd w:id="11"/>
      <w:bookmarkEnd w:id="12"/>
      <w:bookmarkEnd w:id="13"/>
      <w:bookmarkEnd w:id="14"/>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eastAsia="zh-CN"/>
        </w:rPr>
        <w:t>滁州经济技术开发区城北新区办事处</w:t>
      </w:r>
      <w:r>
        <w:rPr>
          <w:rFonts w:hint="eastAsia" w:ascii="宋体" w:hAnsi="宋体" w:cs="宋体"/>
          <w:b/>
          <w:color w:val="auto"/>
          <w:sz w:val="24"/>
          <w:highlight w:val="none"/>
          <w:u w:val="single"/>
        </w:rPr>
        <w:t></w:t>
      </w:r>
      <w:r>
        <w:rPr>
          <w:rFonts w:hint="eastAsia" w:ascii="宋体" w:hAnsi="宋体" w:cs="宋体"/>
          <w:b/>
          <w:color w:val="auto"/>
          <w:sz w:val="24"/>
          <w:highlight w:val="none"/>
        </w:rPr>
        <w:t xml:space="preserve">                </w:t>
      </w:r>
    </w:p>
    <w:p>
      <w:pPr>
        <w:spacing w:line="360" w:lineRule="auto"/>
        <w:rPr>
          <w:rFonts w:ascii="宋体" w:hAnsi="宋体" w:cs="宋体"/>
          <w:b/>
          <w:color w:val="auto"/>
          <w:sz w:val="30"/>
          <w:szCs w:val="30"/>
          <w:highlight w:val="none"/>
          <w:u w:val="single"/>
        </w:rPr>
      </w:pPr>
      <w:r>
        <w:rPr>
          <w:rFonts w:hint="eastAsia" w:ascii="宋体" w:hAnsi="宋体" w:cs="宋体"/>
          <w:b/>
          <w:color w:val="auto"/>
          <w:sz w:val="24"/>
          <w:highlight w:val="none"/>
          <w:u w:val="single"/>
        </w:rPr>
        <w:t>承包人（全称）：</w:t>
      </w:r>
      <w:r>
        <w:rPr>
          <w:rFonts w:hint="eastAsia" w:ascii="宋体" w:hAnsi="宋体" w:eastAsia="宋体" w:cs="宋体"/>
          <w:b/>
          <w:color w:val="auto"/>
          <w:sz w:val="24"/>
          <w:highlight w:val="none"/>
          <w:u w:val="single"/>
          <w:lang w:eastAsia="zh-CN"/>
        </w:rPr>
        <w:t>安徽金孔雀环境建设有限公司</w:t>
      </w:r>
      <w:r>
        <w:rPr>
          <w:rFonts w:hint="eastAsia" w:ascii="宋体" w:hAnsi="宋体" w:cs="宋体"/>
          <w:b/>
          <w:color w:val="auto"/>
          <w:sz w:val="24"/>
          <w:highlight w:val="none"/>
          <w:u w:val="single"/>
        </w:rPr>
        <w:t xml:space="preserve">     </w:t>
      </w:r>
    </w:p>
    <w:p>
      <w:pPr>
        <w:spacing w:line="360" w:lineRule="auto"/>
        <w:ind w:firstLine="420" w:firstLineChars="200"/>
        <w:rPr>
          <w:rFonts w:ascii="宋体" w:hAnsi="宋体" w:cs="宋体"/>
          <w:color w:val="auto"/>
          <w:szCs w:val="21"/>
          <w:highlight w:val="none"/>
          <w:u w:val="single"/>
        </w:rPr>
      </w:pP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eastAsia="宋体" w:cs="宋体"/>
          <w:color w:val="auto"/>
          <w:szCs w:val="21"/>
          <w:highlight w:val="none"/>
          <w:u w:val="single"/>
          <w:lang w:val="en-US" w:eastAsia="zh-CN"/>
        </w:rPr>
        <w:t>滁州经开区城北新区办事处夏岗社区党群服务中心装修项目</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rPr>
        <w:t xml:space="preserve">                 工程施工及有关事项协商一致，共同达成如下协议：</w:t>
      </w:r>
      <w:bookmarkStart w:id="15" w:name="_Toc351203481"/>
    </w:p>
    <w:p>
      <w:pP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15"/>
    </w:p>
    <w:p>
      <w:pPr>
        <w:spacing w:line="360" w:lineRule="auto"/>
        <w:ind w:firstLine="411" w:firstLineChars="196"/>
        <w:rPr>
          <w:rFonts w:ascii="宋体" w:hAnsi="宋体" w:cs="宋体"/>
          <w:color w:val="auto"/>
          <w:szCs w:val="21"/>
          <w:highlight w:val="none"/>
          <w:u w:val="single"/>
        </w:rPr>
      </w:pPr>
      <w:r>
        <w:rPr>
          <w:rFonts w:hint="eastAsia" w:ascii="宋体" w:hAnsi="宋体" w:eastAsia="宋体" w:cs="宋体"/>
          <w:bCs/>
          <w:color w:val="auto"/>
          <w:szCs w:val="21"/>
          <w:highlight w:val="none"/>
          <w:u w:val="single"/>
        </w:rPr>
        <w:t>1. 工程名称：</w:t>
      </w:r>
      <w:r>
        <w:rPr>
          <w:rFonts w:hint="eastAsia" w:ascii="宋体" w:hAnsi="宋体" w:eastAsia="宋体" w:cs="宋体"/>
          <w:bCs/>
          <w:color w:val="auto"/>
          <w:szCs w:val="21"/>
          <w:highlight w:val="none"/>
          <w:u w:val="single"/>
          <w:lang w:eastAsia="zh-CN"/>
        </w:rPr>
        <w:t>滁州经开区城北新区办事处夏岗社区党群服务中心装修项目</w:t>
      </w:r>
      <w:r>
        <w:rPr>
          <w:rFonts w:hint="eastAsia" w:ascii="宋体" w:hAnsi="宋体" w:cs="宋体"/>
          <w:color w:val="auto"/>
          <w:szCs w:val="21"/>
          <w:highlight w:val="none"/>
          <w:u w:val="single"/>
        </w:rPr>
        <w:t xml:space="preserve">  。</w:t>
      </w:r>
    </w:p>
    <w:p>
      <w:pPr>
        <w:spacing w:line="360" w:lineRule="auto"/>
        <w:ind w:firstLine="411" w:firstLineChars="196"/>
        <w:rPr>
          <w:rFonts w:ascii="宋体" w:hAnsi="宋体" w:cs="宋体"/>
          <w:bCs/>
          <w:color w:val="auto"/>
          <w:szCs w:val="21"/>
          <w:highlight w:val="none"/>
          <w:u w:val="single"/>
        </w:rPr>
      </w:pPr>
      <w:r>
        <w:rPr>
          <w:rFonts w:hint="eastAsia" w:ascii="宋体" w:hAnsi="宋体" w:cs="宋体"/>
          <w:bCs/>
          <w:color w:val="auto"/>
          <w:szCs w:val="21"/>
          <w:highlight w:val="none"/>
          <w:u w:val="single"/>
        </w:rPr>
        <w:t>2. 工程地点：</w:t>
      </w:r>
      <w:r>
        <w:rPr>
          <w:rFonts w:hint="eastAsia" w:ascii="宋体" w:hAnsi="宋体" w:cs="宋体"/>
          <w:color w:val="auto"/>
          <w:szCs w:val="21"/>
          <w:highlight w:val="none"/>
          <w:u w:val="single"/>
          <w:lang w:eastAsia="zh-CN"/>
        </w:rPr>
        <w:t>滁州市夏岗社区</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pPr>
        <w:spacing w:line="360" w:lineRule="auto"/>
        <w:ind w:firstLine="411" w:firstLineChars="196"/>
        <w:rPr>
          <w:rFonts w:ascii="宋体" w:hAnsi="宋体" w:cs="宋体"/>
          <w:bCs/>
          <w:color w:val="auto"/>
          <w:szCs w:val="21"/>
          <w:highlight w:val="none"/>
          <w:u w:val="single"/>
        </w:rPr>
      </w:pPr>
      <w:r>
        <w:rPr>
          <w:rFonts w:hint="eastAsia" w:ascii="宋体" w:hAnsi="宋体" w:cs="宋体"/>
          <w:bCs/>
          <w:color w:val="auto"/>
          <w:szCs w:val="21"/>
          <w:highlight w:val="none"/>
          <w:u w:val="single"/>
        </w:rPr>
        <w:t xml:space="preserve">3. 工程立项批准文号：  </w:t>
      </w:r>
      <w:r>
        <w:rPr>
          <w:rFonts w:hint="eastAsia" w:ascii="宋体" w:hAnsi="宋体" w:cs="宋体"/>
          <w:bCs/>
          <w:color w:val="auto"/>
          <w:szCs w:val="21"/>
          <w:highlight w:val="none"/>
          <w:u w:val="single"/>
          <w:lang w:eastAsia="zh-CN"/>
        </w:rPr>
        <w:t>czsjcg202404-012</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pPr>
        <w:spacing w:line="360" w:lineRule="auto"/>
        <w:ind w:firstLine="411" w:firstLineChars="196"/>
        <w:rPr>
          <w:rFonts w:ascii="宋体" w:hAnsi="宋体" w:cs="宋体"/>
          <w:bCs/>
          <w:color w:val="auto"/>
          <w:szCs w:val="21"/>
          <w:highlight w:val="none"/>
          <w:u w:val="single"/>
        </w:rPr>
      </w:pPr>
      <w:r>
        <w:rPr>
          <w:rFonts w:hint="eastAsia" w:ascii="宋体" w:hAnsi="宋体" w:cs="宋体"/>
          <w:bCs/>
          <w:color w:val="auto"/>
          <w:szCs w:val="21"/>
          <w:highlight w:val="none"/>
          <w:u w:val="single"/>
        </w:rPr>
        <w:t>4. 资金来源：</w:t>
      </w:r>
      <w:r>
        <w:rPr>
          <w:rFonts w:hint="eastAsia" w:ascii="宋体" w:hAnsi="宋体" w:cs="宋体"/>
          <w:color w:val="auto"/>
          <w:szCs w:val="21"/>
          <w:highlight w:val="none"/>
          <w:u w:val="single"/>
        </w:rPr>
        <w:t>资金来源：财政资金；比例：100%</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w:t>
      </w:r>
    </w:p>
    <w:p>
      <w:pPr>
        <w:spacing w:line="360" w:lineRule="auto"/>
        <w:ind w:firstLine="411" w:firstLineChars="196"/>
        <w:rPr>
          <w:rFonts w:ascii="宋体" w:hAnsi="宋体" w:cs="宋体"/>
          <w:bCs/>
          <w:color w:val="auto"/>
          <w:szCs w:val="21"/>
          <w:highlight w:val="none"/>
          <w:u w:val="single"/>
        </w:rPr>
      </w:pPr>
      <w:r>
        <w:rPr>
          <w:rFonts w:hint="eastAsia" w:ascii="宋体" w:hAnsi="宋体" w:cs="宋体"/>
          <w:bCs/>
          <w:color w:val="auto"/>
          <w:szCs w:val="21"/>
          <w:highlight w:val="none"/>
          <w:u w:val="single"/>
        </w:rPr>
        <w:t>5. 工程内容：</w:t>
      </w:r>
      <w:r>
        <w:rPr>
          <w:rFonts w:hint="default" w:ascii="宋体" w:hAnsi="宋体" w:eastAsia="宋体" w:cs="宋体"/>
          <w:color w:val="auto"/>
          <w:szCs w:val="21"/>
          <w:highlight w:val="none"/>
          <w:u w:val="single"/>
          <w:lang w:val="en-US" w:eastAsia="zh-CN"/>
        </w:rPr>
        <w:t>包括拆除原有建筑，室内3层内墙面、地面、天棚面装饰工程，门窗安装，室外改造工程，绿化种植，电气设备安装等其他相关配套工程。具体内容详见工程量清单及图纸。</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pPr>
        <w:spacing w:line="360" w:lineRule="auto"/>
        <w:ind w:firstLine="411" w:firstLineChars="196"/>
        <w:rPr>
          <w:rFonts w:ascii="宋体" w:hAnsi="宋体" w:cs="宋体"/>
          <w:bCs/>
          <w:color w:val="auto"/>
          <w:szCs w:val="21"/>
          <w:highlight w:val="none"/>
          <w:u w:val="single"/>
        </w:rPr>
      </w:pPr>
      <w:r>
        <w:rPr>
          <w:rFonts w:hint="eastAsia" w:ascii="宋体" w:hAnsi="宋体" w:cs="宋体"/>
          <w:color w:val="auto"/>
          <w:szCs w:val="21"/>
          <w:highlight w:val="none"/>
          <w:u w:val="single"/>
        </w:rPr>
        <w:t>群体工程应附《承包人承揽工程项目一览表》（附件1）。</w:t>
      </w:r>
    </w:p>
    <w:p>
      <w:pPr>
        <w:spacing w:line="360" w:lineRule="auto"/>
        <w:ind w:firstLine="411" w:firstLineChars="196"/>
        <w:rPr>
          <w:rFonts w:ascii="宋体" w:hAnsi="宋体" w:cs="宋体"/>
          <w:color w:val="auto"/>
          <w:szCs w:val="21"/>
          <w:highlight w:val="none"/>
          <w:u w:val="single"/>
        </w:rPr>
      </w:pPr>
      <w:r>
        <w:rPr>
          <w:rFonts w:hint="eastAsia" w:ascii="宋体" w:hAnsi="宋体" w:cs="宋体"/>
          <w:bCs/>
          <w:color w:val="auto"/>
          <w:szCs w:val="21"/>
          <w:highlight w:val="none"/>
          <w:u w:val="single"/>
        </w:rPr>
        <w:t>6. 工程承包范围：</w:t>
      </w:r>
      <w:r>
        <w:rPr>
          <w:rFonts w:hint="eastAsia" w:ascii="宋体" w:hAnsi="宋体" w:cs="宋体"/>
          <w:color w:val="auto"/>
          <w:szCs w:val="21"/>
          <w:highlight w:val="none"/>
          <w:u w:val="single"/>
        </w:rPr>
        <w:t xml:space="preserve">  工程量清单及图纸</w:t>
      </w:r>
      <w:r>
        <w:rPr>
          <w:rFonts w:hint="eastAsia" w:ascii="宋体" w:hAnsi="宋体" w:cs="宋体"/>
          <w:color w:val="auto"/>
          <w:szCs w:val="21"/>
          <w:highlight w:val="none"/>
          <w:u w:val="single"/>
          <w:lang w:val="en-US" w:eastAsia="zh-CN"/>
        </w:rPr>
        <w:t>范围内。</w:t>
      </w:r>
      <w:r>
        <w:rPr>
          <w:rFonts w:hint="eastAsia" w:ascii="宋体" w:hAnsi="宋体" w:cs="宋体"/>
          <w:color w:val="auto"/>
          <w:szCs w:val="21"/>
          <w:highlight w:val="none"/>
          <w:u w:val="single"/>
        </w:rPr>
        <w:t xml:space="preserve">         </w:t>
      </w:r>
    </w:p>
    <w:p>
      <w:pPr>
        <w:spacing w:line="360" w:lineRule="auto"/>
        <w:ind w:firstLine="422" w:firstLineChars="200"/>
        <w:rPr>
          <w:rFonts w:ascii="宋体" w:hAnsi="宋体" w:cs="宋体"/>
          <w:b/>
          <w:color w:val="auto"/>
          <w:szCs w:val="21"/>
          <w:highlight w:val="none"/>
          <w:u w:val="single"/>
        </w:rPr>
      </w:pPr>
      <w:bookmarkStart w:id="16" w:name="_Toc351203482"/>
      <w:r>
        <w:rPr>
          <w:rFonts w:hint="eastAsia" w:ascii="宋体" w:hAnsi="宋体" w:cs="宋体"/>
          <w:b/>
          <w:color w:val="auto"/>
          <w:szCs w:val="21"/>
          <w:highlight w:val="none"/>
          <w:u w:val="single"/>
        </w:rPr>
        <w:t>二、合同工期</w:t>
      </w:r>
      <w:bookmarkEnd w:id="16"/>
    </w:p>
    <w:p>
      <w:pPr>
        <w:spacing w:line="360" w:lineRule="auto"/>
        <w:ind w:firstLine="459"/>
        <w:rPr>
          <w:rFonts w:ascii="宋体" w:hAnsi="宋体" w:cs="宋体"/>
          <w:color w:val="auto"/>
          <w:szCs w:val="21"/>
          <w:highlight w:val="none"/>
          <w:u w:val="single"/>
        </w:rPr>
      </w:pPr>
      <w:r>
        <w:rPr>
          <w:rFonts w:hint="eastAsia" w:ascii="宋体" w:hAnsi="宋体" w:cs="宋体"/>
          <w:color w:val="auto"/>
          <w:szCs w:val="21"/>
          <w:highlight w:val="none"/>
          <w:u w:val="single"/>
        </w:rPr>
        <w:t xml:space="preserve">计划开工日期： </w:t>
      </w:r>
      <w:r>
        <w:rPr>
          <w:rFonts w:hint="eastAsia" w:ascii="宋体" w:hAnsi="宋体" w:cs="宋体"/>
          <w:color w:val="auto"/>
          <w:szCs w:val="21"/>
          <w:highlight w:val="none"/>
          <w:u w:val="single"/>
          <w:lang w:val="en-US" w:eastAsia="zh-CN"/>
        </w:rPr>
        <w:t>2024</w:t>
      </w:r>
      <w:r>
        <w:rPr>
          <w:rFonts w:hint="eastAsia" w:ascii="宋体" w:hAnsi="宋体" w:cs="宋体"/>
          <w:color w:val="auto"/>
          <w:szCs w:val="21"/>
          <w:highlight w:val="none"/>
          <w:u w:val="single"/>
        </w:rPr>
        <w:t xml:space="preserve">  年      月      日。</w:t>
      </w:r>
    </w:p>
    <w:p>
      <w:pPr>
        <w:spacing w:line="360" w:lineRule="auto"/>
        <w:ind w:firstLine="459"/>
        <w:rPr>
          <w:rFonts w:ascii="宋体" w:hAnsi="宋体" w:cs="宋体"/>
          <w:color w:val="auto"/>
          <w:szCs w:val="21"/>
          <w:highlight w:val="none"/>
          <w:u w:val="single"/>
        </w:rPr>
      </w:pPr>
      <w:r>
        <w:rPr>
          <w:rFonts w:hint="eastAsia" w:ascii="宋体" w:hAnsi="宋体" w:cs="宋体"/>
          <w:color w:val="auto"/>
          <w:szCs w:val="21"/>
          <w:highlight w:val="none"/>
          <w:u w:val="single"/>
        </w:rPr>
        <w:t xml:space="preserve">计划竣工日期：  </w:t>
      </w:r>
      <w:r>
        <w:rPr>
          <w:rFonts w:hint="eastAsia" w:ascii="宋体" w:hAnsi="宋体" w:cs="宋体"/>
          <w:color w:val="auto"/>
          <w:szCs w:val="21"/>
          <w:highlight w:val="none"/>
          <w:u w:val="single"/>
          <w:lang w:val="en-US" w:eastAsia="zh-CN"/>
        </w:rPr>
        <w:t>2024</w:t>
      </w:r>
      <w:r>
        <w:rPr>
          <w:rFonts w:hint="eastAsia" w:ascii="宋体" w:hAnsi="宋体" w:cs="宋体"/>
          <w:color w:val="auto"/>
          <w:szCs w:val="21"/>
          <w:highlight w:val="none"/>
          <w:u w:val="single"/>
        </w:rPr>
        <w:t xml:space="preserve"> 年      月      日。</w:t>
      </w:r>
    </w:p>
    <w:p>
      <w:pPr>
        <w:spacing w:line="360" w:lineRule="auto"/>
        <w:ind w:firstLine="459"/>
        <w:rPr>
          <w:rFonts w:ascii="宋体" w:hAnsi="宋体" w:cs="宋体"/>
          <w:color w:val="auto"/>
          <w:szCs w:val="21"/>
          <w:highlight w:val="none"/>
          <w:u w:val="single"/>
        </w:rPr>
      </w:pPr>
      <w:r>
        <w:rPr>
          <w:rFonts w:hint="eastAsia" w:ascii="宋体" w:hAnsi="宋体" w:cs="宋体"/>
          <w:color w:val="auto"/>
          <w:szCs w:val="21"/>
          <w:highlight w:val="none"/>
          <w:u w:val="single"/>
        </w:rPr>
        <w:t xml:space="preserve">工期总日历天数：    </w:t>
      </w:r>
      <w:r>
        <w:rPr>
          <w:rFonts w:hint="eastAsia" w:ascii="宋体" w:hAnsi="宋体" w:cs="宋体"/>
          <w:color w:val="auto"/>
          <w:szCs w:val="21"/>
          <w:highlight w:val="none"/>
          <w:u w:val="single"/>
          <w:lang w:val="en-US" w:eastAsia="zh-CN"/>
        </w:rPr>
        <w:t>不高于90</w:t>
      </w:r>
      <w:r>
        <w:rPr>
          <w:rFonts w:hint="eastAsia" w:ascii="宋体" w:hAnsi="宋体" w:cs="宋体"/>
          <w:color w:val="auto"/>
          <w:szCs w:val="21"/>
          <w:highlight w:val="none"/>
          <w:u w:val="single"/>
        </w:rPr>
        <w:t xml:space="preserve"> 天。工期总日历天数与根据前述计划开竣工日期计算的工期天数不一致的，以工期总日历天数为准。</w:t>
      </w:r>
    </w:p>
    <w:p>
      <w:pPr>
        <w:spacing w:line="360" w:lineRule="auto"/>
        <w:ind w:firstLine="422" w:firstLineChars="200"/>
        <w:rPr>
          <w:rFonts w:ascii="宋体" w:hAnsi="宋体" w:cs="宋体"/>
          <w:b/>
          <w:color w:val="auto"/>
          <w:szCs w:val="21"/>
          <w:highlight w:val="none"/>
          <w:u w:val="single"/>
        </w:rPr>
      </w:pPr>
      <w:bookmarkStart w:id="17" w:name="_Toc351203483"/>
      <w:r>
        <w:rPr>
          <w:rFonts w:hint="eastAsia" w:ascii="宋体" w:hAnsi="宋体" w:cs="宋体"/>
          <w:b/>
          <w:color w:val="auto"/>
          <w:szCs w:val="21"/>
          <w:highlight w:val="none"/>
          <w:u w:val="single"/>
        </w:rPr>
        <w:t>三、质量标准</w:t>
      </w:r>
      <w:bookmarkEnd w:id="17"/>
    </w:p>
    <w:p>
      <w:pPr>
        <w:spacing w:line="360" w:lineRule="auto"/>
        <w:ind w:firstLine="459"/>
        <w:rPr>
          <w:rFonts w:ascii="宋体" w:hAnsi="宋体" w:cs="宋体"/>
          <w:color w:val="auto"/>
          <w:szCs w:val="21"/>
          <w:highlight w:val="none"/>
          <w:u w:val="single"/>
        </w:rPr>
      </w:pPr>
      <w:r>
        <w:rPr>
          <w:rFonts w:hint="eastAsia" w:ascii="宋体" w:hAnsi="宋体" w:cs="宋体"/>
          <w:color w:val="auto"/>
          <w:szCs w:val="21"/>
          <w:highlight w:val="none"/>
          <w:u w:val="single"/>
        </w:rPr>
        <w:t>工程质量符合  国家工程施工质量验收</w:t>
      </w:r>
      <w:r>
        <w:rPr>
          <w:rFonts w:hint="eastAsia" w:ascii="宋体" w:hAnsi="宋体" w:cs="宋体"/>
          <w:b/>
          <w:color w:val="auto"/>
          <w:szCs w:val="21"/>
          <w:highlight w:val="none"/>
          <w:u w:val="single"/>
        </w:rPr>
        <w:t xml:space="preserve"> 合格 </w:t>
      </w:r>
      <w:r>
        <w:rPr>
          <w:rFonts w:hint="eastAsia" w:ascii="宋体" w:hAnsi="宋体" w:cs="宋体"/>
          <w:color w:val="auto"/>
          <w:szCs w:val="21"/>
          <w:highlight w:val="none"/>
          <w:u w:val="single"/>
        </w:rPr>
        <w:t xml:space="preserve"> 标准。</w:t>
      </w:r>
    </w:p>
    <w:p>
      <w:pPr>
        <w:spacing w:line="360" w:lineRule="auto"/>
        <w:ind w:firstLine="422" w:firstLineChars="200"/>
        <w:rPr>
          <w:rFonts w:ascii="宋体" w:hAnsi="宋体" w:cs="宋体"/>
          <w:b/>
          <w:color w:val="auto"/>
          <w:szCs w:val="21"/>
          <w:highlight w:val="none"/>
          <w:u w:val="single"/>
        </w:rPr>
      </w:pPr>
      <w:bookmarkStart w:id="18" w:name="_Toc351203484"/>
      <w:r>
        <w:rPr>
          <w:rFonts w:hint="eastAsia" w:ascii="宋体" w:hAnsi="宋体" w:cs="宋体"/>
          <w:b/>
          <w:color w:val="auto"/>
          <w:szCs w:val="21"/>
          <w:highlight w:val="none"/>
          <w:u w:val="single"/>
        </w:rPr>
        <w:t>四、签约合同价与合同价格形式</w:t>
      </w:r>
      <w:bookmarkEnd w:id="18"/>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 签约合同价为：</w:t>
      </w:r>
    </w:p>
    <w:p>
      <w:pP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人民币（大写）</w:t>
      </w:r>
      <w:r>
        <w:rPr>
          <w:rFonts w:hint="eastAsia" w:ascii="宋体" w:hAnsi="宋体" w:cs="宋体"/>
          <w:color w:val="auto"/>
          <w:szCs w:val="21"/>
          <w:highlight w:val="none"/>
          <w:u w:val="single"/>
          <w:lang w:val="en-US" w:eastAsia="zh-CN"/>
        </w:rPr>
        <w:t>贰佰伍拾叁万陆仟陆佰柒拾玖元贰角整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2536679.20</w:t>
      </w:r>
      <w:r>
        <w:rPr>
          <w:rFonts w:hint="eastAsia" w:ascii="宋体" w:hAnsi="宋体" w:cs="宋体"/>
          <w:color w:val="auto"/>
          <w:szCs w:val="21"/>
          <w:highlight w:val="none"/>
          <w:u w:val="single"/>
        </w:rPr>
        <w:t xml:space="preserve">  元</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其中：</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（1）安全文明施工费：</w:t>
      </w:r>
    </w:p>
    <w:p>
      <w:pPr>
        <w:spacing w:line="360" w:lineRule="auto"/>
        <w:ind w:firstLine="945" w:firstLineChars="450"/>
        <w:rPr>
          <w:rFonts w:ascii="宋体" w:hAnsi="宋体" w:cs="宋体"/>
          <w:color w:val="auto"/>
          <w:szCs w:val="21"/>
          <w:highlight w:val="none"/>
          <w:u w:val="single"/>
        </w:rPr>
      </w:pPr>
      <w:r>
        <w:rPr>
          <w:rFonts w:hint="eastAsia" w:ascii="宋体" w:hAnsi="宋体" w:cs="宋体"/>
          <w:color w:val="auto"/>
          <w:szCs w:val="21"/>
          <w:highlight w:val="none"/>
          <w:u w:val="single"/>
        </w:rPr>
        <w:t xml:space="preserve">人民币（大写）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元</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（2）材料和工程设备暂估价金额：</w:t>
      </w:r>
    </w:p>
    <w:p>
      <w:pPr>
        <w:spacing w:line="360" w:lineRule="auto"/>
        <w:ind w:firstLine="945" w:firstLineChars="450"/>
        <w:rPr>
          <w:rFonts w:ascii="宋体" w:hAnsi="宋体" w:cs="宋体"/>
          <w:color w:val="auto"/>
          <w:szCs w:val="21"/>
          <w:highlight w:val="none"/>
          <w:u w:val="single"/>
        </w:rPr>
      </w:pPr>
      <w:r>
        <w:rPr>
          <w:rFonts w:hint="eastAsia" w:ascii="宋体" w:hAnsi="宋体" w:cs="宋体"/>
          <w:color w:val="auto"/>
          <w:szCs w:val="21"/>
          <w:highlight w:val="none"/>
          <w:u w:val="single"/>
        </w:rPr>
        <w:t xml:space="preserve">人民币（大写）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元</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（3）专业工程暂估价金额：</w:t>
      </w:r>
    </w:p>
    <w:p>
      <w:pPr>
        <w:spacing w:line="360" w:lineRule="auto"/>
        <w:ind w:firstLine="945" w:firstLineChars="450"/>
        <w:rPr>
          <w:rFonts w:ascii="宋体" w:hAnsi="宋体" w:cs="宋体"/>
          <w:color w:val="auto"/>
          <w:szCs w:val="21"/>
          <w:highlight w:val="none"/>
          <w:u w:val="single"/>
        </w:rPr>
      </w:pPr>
      <w:r>
        <w:rPr>
          <w:rFonts w:hint="eastAsia" w:ascii="宋体" w:hAnsi="宋体" w:cs="宋体"/>
          <w:color w:val="auto"/>
          <w:szCs w:val="21"/>
          <w:highlight w:val="none"/>
          <w:u w:val="single"/>
        </w:rPr>
        <w:t xml:space="preserve">人民币（大写）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元</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（4）暂列金额：</w:t>
      </w:r>
    </w:p>
    <w:p>
      <w:pPr>
        <w:spacing w:line="360" w:lineRule="auto"/>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rPr>
        <w:t xml:space="preserve">   固定单价合同    </w:t>
      </w:r>
      <w:r>
        <w:rPr>
          <w:rFonts w:hint="eastAsia" w:ascii="宋体" w:hAnsi="宋体" w:cs="宋体"/>
          <w:color w:val="auto"/>
          <w:szCs w:val="21"/>
          <w:highlight w:val="none"/>
        </w:rPr>
        <w:t>。</w:t>
      </w:r>
    </w:p>
    <w:p>
      <w:pPr>
        <w:spacing w:line="360" w:lineRule="auto"/>
        <w:ind w:firstLine="422" w:firstLineChars="200"/>
        <w:rPr>
          <w:rFonts w:hint="eastAsia" w:ascii="宋体" w:hAnsi="宋体" w:cs="宋体"/>
          <w:b/>
          <w:color w:val="auto"/>
          <w:szCs w:val="21"/>
          <w:highlight w:val="none"/>
        </w:rPr>
      </w:pPr>
      <w:bookmarkStart w:id="19" w:name="_Toc351203485"/>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w:t>
      </w:r>
      <w:bookmarkEnd w:id="19"/>
      <w:r>
        <w:rPr>
          <w:rFonts w:hint="eastAsia" w:ascii="宋体" w:hAnsi="宋体" w:cs="宋体"/>
          <w:b/>
          <w:color w:val="auto"/>
          <w:szCs w:val="21"/>
          <w:highlight w:val="none"/>
        </w:rPr>
        <w:t>项目经理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赵烨</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2" w:firstLineChars="200"/>
        <w:rPr>
          <w:rFonts w:ascii="宋体" w:hAnsi="宋体" w:cs="宋体"/>
          <w:b/>
          <w:color w:val="auto"/>
          <w:szCs w:val="21"/>
          <w:highlight w:val="none"/>
        </w:rPr>
      </w:pPr>
      <w:bookmarkStart w:id="20" w:name="_Toc351203486"/>
      <w:r>
        <w:rPr>
          <w:rFonts w:hint="eastAsia" w:ascii="宋体" w:hAnsi="宋体" w:cs="宋体"/>
          <w:b/>
          <w:color w:val="auto"/>
          <w:szCs w:val="21"/>
          <w:highlight w:val="none"/>
        </w:rPr>
        <w:t>六、合同文件构成</w:t>
      </w:r>
      <w:bookmarkEnd w:id="20"/>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（1）中标</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通知书（如果有）；</w:t>
      </w:r>
    </w:p>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 xml:space="preserve">函及其附录（如果有）； </w:t>
      </w:r>
    </w:p>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（3）专用合同条款及其附件；</w:t>
      </w:r>
    </w:p>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（4）通用合同条款；</w:t>
      </w:r>
    </w:p>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（5）技术标准和要求；</w:t>
      </w:r>
    </w:p>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（6）图纸；</w:t>
      </w:r>
    </w:p>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（7）已标价工程量清单或预算书；</w:t>
      </w:r>
    </w:p>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（8）其他合同文件。</w:t>
      </w:r>
    </w:p>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spacing w:line="360" w:lineRule="auto"/>
        <w:ind w:firstLine="422" w:firstLineChars="200"/>
        <w:rPr>
          <w:rFonts w:ascii="宋体" w:hAnsi="宋体" w:cs="宋体"/>
          <w:b/>
          <w:color w:val="auto"/>
          <w:szCs w:val="21"/>
          <w:highlight w:val="none"/>
        </w:rPr>
      </w:pPr>
      <w:bookmarkStart w:id="21" w:name="_Toc351203487"/>
      <w:r>
        <w:rPr>
          <w:rFonts w:hint="eastAsia" w:ascii="宋体" w:hAnsi="宋体" w:cs="宋体"/>
          <w:b/>
          <w:color w:val="auto"/>
          <w:szCs w:val="21"/>
          <w:highlight w:val="none"/>
        </w:rPr>
        <w:t>七、承诺</w:t>
      </w:r>
      <w:bookmarkEnd w:id="21"/>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 发包人和承包人通过</w:t>
      </w:r>
      <w:r>
        <w:rPr>
          <w:rFonts w:hint="eastAsia" w:ascii="宋体" w:hAnsi="宋体" w:cs="宋体"/>
          <w:bCs/>
          <w:color w:val="auto"/>
          <w:szCs w:val="21"/>
          <w:highlight w:val="none"/>
          <w:lang w:eastAsia="zh-CN"/>
        </w:rPr>
        <w:t>政府采购</w:t>
      </w:r>
      <w:r>
        <w:rPr>
          <w:rFonts w:hint="eastAsia" w:ascii="宋体" w:hAnsi="宋体" w:cs="宋体"/>
          <w:bCs/>
          <w:color w:val="auto"/>
          <w:szCs w:val="21"/>
          <w:highlight w:val="none"/>
        </w:rPr>
        <w:t>形式签订合同的，双方理解并承诺不再就同一工程另行签订与合同实质性内容相背离的协议。</w:t>
      </w:r>
    </w:p>
    <w:p>
      <w:pPr>
        <w:spacing w:line="360" w:lineRule="auto"/>
        <w:ind w:firstLine="422" w:firstLineChars="200"/>
        <w:rPr>
          <w:rFonts w:ascii="宋体" w:hAnsi="宋体" w:cs="宋体"/>
          <w:b/>
          <w:color w:val="auto"/>
          <w:szCs w:val="21"/>
          <w:highlight w:val="none"/>
        </w:rPr>
      </w:pPr>
      <w:bookmarkStart w:id="22" w:name="_Toc351203488"/>
      <w:r>
        <w:rPr>
          <w:rFonts w:hint="eastAsia" w:ascii="宋体" w:hAnsi="宋体" w:cs="宋体"/>
          <w:b/>
          <w:color w:val="auto"/>
          <w:szCs w:val="21"/>
          <w:highlight w:val="none"/>
        </w:rPr>
        <w:t>八、词语含义</w:t>
      </w:r>
      <w:bookmarkEnd w:id="22"/>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pPr>
        <w:spacing w:line="360" w:lineRule="auto"/>
        <w:ind w:firstLine="422" w:firstLineChars="200"/>
        <w:rPr>
          <w:rFonts w:ascii="宋体" w:hAnsi="宋体" w:cs="宋体"/>
          <w:b/>
          <w:color w:val="auto"/>
          <w:szCs w:val="21"/>
          <w:highlight w:val="none"/>
        </w:rPr>
      </w:pPr>
      <w:bookmarkStart w:id="23" w:name="_Toc351203489"/>
      <w:r>
        <w:rPr>
          <w:rFonts w:hint="eastAsia" w:ascii="宋体" w:hAnsi="宋体" w:cs="宋体"/>
          <w:b/>
          <w:color w:val="auto"/>
          <w:szCs w:val="21"/>
          <w:highlight w:val="none"/>
        </w:rPr>
        <w:t>九、签订时间</w:t>
      </w:r>
      <w:bookmarkEnd w:id="23"/>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2024</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lang w:val="en-US" w:eastAsia="zh-CN"/>
        </w:rPr>
        <w:t>04</w:t>
      </w:r>
      <w:r>
        <w:rPr>
          <w:rFonts w:hint="eastAsia" w:ascii="宋体" w:hAnsi="宋体" w:cs="宋体"/>
          <w:bCs/>
          <w:color w:val="auto"/>
          <w:szCs w:val="21"/>
          <w:highlight w:val="none"/>
        </w:rPr>
        <w:t>月</w:t>
      </w:r>
      <w:r>
        <w:rPr>
          <w:rFonts w:hint="eastAsia" w:ascii="宋体" w:hAnsi="宋体" w:cs="宋体"/>
          <w:bCs/>
          <w:color w:val="auto"/>
          <w:szCs w:val="21"/>
          <w:highlight w:val="none"/>
          <w:u w:val="single"/>
          <w:lang w:val="en-US" w:eastAsia="zh-CN"/>
        </w:rPr>
        <w:t>19</w:t>
      </w:r>
      <w:r>
        <w:rPr>
          <w:rFonts w:hint="eastAsia" w:ascii="宋体" w:hAnsi="宋体" w:cs="宋体"/>
          <w:bCs/>
          <w:color w:val="auto"/>
          <w:szCs w:val="21"/>
          <w:highlight w:val="none"/>
        </w:rPr>
        <w:t>日签订。</w:t>
      </w:r>
    </w:p>
    <w:p>
      <w:pPr>
        <w:spacing w:line="360" w:lineRule="auto"/>
        <w:ind w:firstLine="422" w:firstLineChars="200"/>
        <w:rPr>
          <w:rFonts w:ascii="宋体" w:hAnsi="宋体" w:cs="宋体"/>
          <w:b/>
          <w:color w:val="auto"/>
          <w:szCs w:val="21"/>
          <w:highlight w:val="none"/>
        </w:rPr>
      </w:pPr>
      <w:bookmarkStart w:id="24" w:name="_Toc351203490"/>
      <w:r>
        <w:rPr>
          <w:rFonts w:hint="eastAsia" w:ascii="宋体" w:hAnsi="宋体" w:cs="宋体"/>
          <w:b/>
          <w:color w:val="auto"/>
          <w:szCs w:val="21"/>
          <w:highlight w:val="none"/>
        </w:rPr>
        <w:t>十、签订地点</w:t>
      </w:r>
      <w:bookmarkEnd w:id="24"/>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滁州市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pPr>
        <w:spacing w:line="360" w:lineRule="auto"/>
        <w:ind w:firstLine="422" w:firstLineChars="200"/>
        <w:rPr>
          <w:rFonts w:ascii="宋体" w:hAnsi="宋体" w:cs="宋体"/>
          <w:b/>
          <w:color w:val="auto"/>
          <w:szCs w:val="21"/>
          <w:highlight w:val="none"/>
        </w:rPr>
      </w:pPr>
      <w:bookmarkStart w:id="25" w:name="_Toc351203491"/>
      <w:r>
        <w:rPr>
          <w:rFonts w:hint="eastAsia" w:ascii="宋体" w:hAnsi="宋体" w:cs="宋体"/>
          <w:b/>
          <w:color w:val="auto"/>
          <w:szCs w:val="21"/>
          <w:highlight w:val="none"/>
        </w:rPr>
        <w:t>十一、补充协议</w:t>
      </w:r>
      <w:bookmarkEnd w:id="25"/>
    </w:p>
    <w:p>
      <w:pPr>
        <w:spacing w:line="360" w:lineRule="auto"/>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pPr>
        <w:spacing w:line="360" w:lineRule="auto"/>
        <w:ind w:firstLine="422" w:firstLineChars="200"/>
        <w:rPr>
          <w:rFonts w:ascii="宋体" w:hAnsi="宋体" w:cs="宋体"/>
          <w:b/>
          <w:color w:val="auto"/>
          <w:szCs w:val="21"/>
          <w:highlight w:val="none"/>
        </w:rPr>
      </w:pPr>
      <w:bookmarkStart w:id="26" w:name="_Toc351203492"/>
      <w:r>
        <w:rPr>
          <w:rFonts w:hint="eastAsia" w:ascii="宋体" w:hAnsi="宋体" w:cs="宋体"/>
          <w:b/>
          <w:color w:val="auto"/>
          <w:szCs w:val="21"/>
          <w:highlight w:val="none"/>
        </w:rPr>
        <w:t>十二、合同生效</w:t>
      </w:r>
      <w:bookmarkEnd w:id="26"/>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cs="宋体"/>
          <w:bCs/>
          <w:color w:val="auto"/>
          <w:szCs w:val="21"/>
          <w:highlight w:val="none"/>
          <w:u w:val="single"/>
        </w:rPr>
        <w:t>双方</w:t>
      </w:r>
      <w:r>
        <w:rPr>
          <w:rFonts w:hint="eastAsia" w:ascii="宋体" w:hAnsi="宋体"/>
          <w:color w:val="auto"/>
          <w:szCs w:val="21"/>
          <w:highlight w:val="none"/>
          <w:u w:val="single"/>
        </w:rPr>
        <w:t>签字、盖章</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pPr>
        <w:spacing w:line="360" w:lineRule="auto"/>
        <w:ind w:firstLine="422" w:firstLineChars="200"/>
        <w:rPr>
          <w:rFonts w:ascii="宋体" w:hAnsi="宋体" w:cs="宋体"/>
          <w:b/>
          <w:color w:val="auto"/>
          <w:szCs w:val="21"/>
          <w:highlight w:val="none"/>
        </w:rPr>
      </w:pPr>
      <w:bookmarkStart w:id="27" w:name="_Toc351203493"/>
      <w:r>
        <w:rPr>
          <w:rFonts w:hint="eastAsia" w:ascii="宋体" w:hAnsi="宋体" w:cs="宋体"/>
          <w:b/>
          <w:color w:val="auto"/>
          <w:szCs w:val="21"/>
          <w:highlight w:val="none"/>
        </w:rPr>
        <w:t>十三、合同份数</w:t>
      </w:r>
      <w:bookmarkEnd w:id="27"/>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2</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2</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pPr>
        <w:spacing w:line="360" w:lineRule="auto"/>
        <w:rPr>
          <w:rFonts w:ascii="宋体" w:hAnsi="宋体" w:cs="宋体"/>
          <w:bCs/>
          <w:color w:val="auto"/>
          <w:szCs w:val="21"/>
          <w:highlight w:val="none"/>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发包人：</w:t>
      </w:r>
      <w:r>
        <w:rPr>
          <w:rFonts w:hint="eastAsia" w:ascii="宋体" w:hAnsi="宋体" w:eastAsia="宋体" w:cs="宋体"/>
          <w:color w:val="auto"/>
          <w:szCs w:val="21"/>
          <w:highlight w:val="none"/>
          <w:u w:val="single"/>
          <w:lang w:val="en-US" w:eastAsia="zh-CN"/>
        </w:rPr>
        <w:t>滁州经济技术开发区城北新区办事处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承包人：</w:t>
      </w:r>
      <w:r>
        <w:rPr>
          <w:rFonts w:hint="eastAsia" w:ascii="Calibri" w:hAnsi="Calibri" w:eastAsia="宋体" w:cs="Times New Roman"/>
          <w:kern w:val="1"/>
          <w:szCs w:val="21"/>
          <w:u w:val="single"/>
        </w:rPr>
        <w:t>安徽金孔雀环境建设有限公司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公章</w:t>
      </w:r>
      <w:r>
        <w:rPr>
          <w:rFonts w:hint="eastAsia" w:ascii="宋体" w:hAnsi="宋体" w:cs="宋体"/>
          <w:color w:val="auto"/>
          <w:szCs w:val="21"/>
          <w:highlight w:val="none"/>
          <w:lang w:eastAsia="zh-CN"/>
        </w:rPr>
        <w:t>）</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p>
    <w:p>
      <w:pPr>
        <w:tabs>
          <w:tab w:val="left" w:pos="441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pPr>
        <w:pStyle w:val="50"/>
        <w:keepNext w:val="0"/>
        <w:keepLines w:val="0"/>
        <w:pageBreakBefore w:val="0"/>
        <w:kinsoku/>
        <w:overflowPunct/>
        <w:autoSpaceDE/>
        <w:autoSpaceDN/>
        <w:bidi w:val="0"/>
        <w:spacing w:line="312" w:lineRule="auto"/>
        <w:ind w:left="5670" w:leftChars="200" w:hanging="5250" w:hangingChars="2500"/>
        <w:jc w:val="left"/>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eastAsia="宋体" w:cs="宋体"/>
          <w:color w:val="auto"/>
          <w:kern w:val="2"/>
          <w:highlight w:val="none"/>
          <w:u w:val="single"/>
          <w:lang w:eastAsia="zh-CN"/>
        </w:rPr>
        <w:t>滁州市琅琊区珠江东路119号</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r>
        <w:rPr>
          <w:rFonts w:hint="eastAsia" w:ascii="Calibri" w:hAnsi="Calibri" w:eastAsia="宋体" w:cs="Times New Roman"/>
          <w:kern w:val="1"/>
          <w:szCs w:val="21"/>
          <w:u w:val="single"/>
          <w:lang w:eastAsia="zh-CN"/>
        </w:rPr>
        <w:t>安徽省</w:t>
      </w:r>
      <w:r>
        <w:rPr>
          <w:rFonts w:hint="eastAsia" w:ascii="Calibri" w:hAnsi="Calibri" w:eastAsia="宋体" w:cs="Times New Roman"/>
          <w:kern w:val="1"/>
          <w:szCs w:val="21"/>
          <w:u w:val="single"/>
        </w:rPr>
        <w:t>滁州市</w:t>
      </w:r>
      <w:r>
        <w:rPr>
          <w:rFonts w:hint="eastAsia" w:ascii="Calibri" w:hAnsi="Calibri" w:eastAsia="宋体" w:cs="Times New Roman"/>
          <w:kern w:val="1"/>
          <w:szCs w:val="21"/>
          <w:u w:val="single"/>
          <w:lang w:eastAsia="zh-CN"/>
        </w:rPr>
        <w:t>丰乐大道</w:t>
      </w:r>
      <w:r>
        <w:rPr>
          <w:rFonts w:hint="eastAsia" w:ascii="Calibri" w:hAnsi="Calibri" w:eastAsia="宋体" w:cs="Times New Roman"/>
          <w:kern w:val="1"/>
          <w:szCs w:val="21"/>
          <w:u w:val="single"/>
          <w:lang w:val="en-US" w:eastAsia="zh-CN"/>
        </w:rPr>
        <w:t>1999号长江财富广场D楼酒店单元1201室</w:t>
      </w:r>
      <w:r>
        <w:rPr>
          <w:rFonts w:hint="eastAsia" w:ascii="宋体" w:hAnsi="宋体" w:cs="宋体"/>
          <w:color w:val="auto"/>
          <w:szCs w:val="21"/>
          <w:highlight w:val="none"/>
          <w:u w:val="single"/>
          <w:lang w:val="en-US" w:eastAsia="zh-CN"/>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239000</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r>
        <w:rPr>
          <w:rFonts w:hint="eastAsia" w:ascii="Calibri" w:hAnsi="Calibri" w:eastAsia="宋体" w:cs="Times New Roman"/>
          <w:kern w:val="1"/>
          <w:szCs w:val="21"/>
          <w:u w:val="single"/>
        </w:rPr>
        <w:t>239000</w:t>
      </w:r>
      <w:r>
        <w:rPr>
          <w:rFonts w:hint="eastAsia" w:ascii="宋体" w:hAnsi="宋体" w:cs="宋体"/>
          <w:color w:val="auto"/>
          <w:szCs w:val="21"/>
          <w:highlight w:val="none"/>
          <w:u w:val="singl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w:t>
      </w:r>
      <w:r>
        <w:rPr>
          <w:rFonts w:hint="eastAsia" w:ascii="Calibri" w:hAnsi="Calibri" w:eastAsia="宋体" w:cs="Times New Roman"/>
          <w:kern w:val="1"/>
          <w:szCs w:val="21"/>
          <w:u w:val="single"/>
        </w:rPr>
        <w:t>钱世先</w:t>
      </w:r>
      <w:r>
        <w:rPr>
          <w:rFonts w:hint="eastAsia" w:ascii="宋体" w:hAnsi="宋体" w:cs="宋体"/>
          <w:color w:val="auto"/>
          <w:szCs w:val="21"/>
          <w:highlight w:val="none"/>
          <w:u w:val="single"/>
        </w:rPr>
        <w:t xml:space="preserve">              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r>
        <w:rPr>
          <w:rFonts w:hint="eastAsia" w:ascii="Calibri" w:hAnsi="Calibri" w:eastAsia="宋体" w:cs="Times New Roman"/>
          <w:kern w:val="1"/>
          <w:szCs w:val="21"/>
          <w:u w:val="single"/>
        </w:rPr>
        <w:t>0550-3022020</w:t>
      </w:r>
      <w:r>
        <w:rPr>
          <w:rFonts w:hint="eastAsia" w:ascii="宋体" w:hAnsi="宋体" w:cs="宋体"/>
          <w:color w:val="auto"/>
          <w:szCs w:val="21"/>
          <w:highlight w:val="none"/>
          <w:u w:val="singl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r>
        <w:rPr>
          <w:rFonts w:hint="eastAsia" w:ascii="Calibri" w:hAnsi="Calibri" w:eastAsia="宋体" w:cs="Times New Roman"/>
          <w:kern w:val="1"/>
          <w:szCs w:val="21"/>
          <w:u w:val="single"/>
        </w:rPr>
        <w:t>中国建设银行股份有限公司滁州城南支行</w:t>
      </w:r>
      <w:r>
        <w:rPr>
          <w:rFonts w:hint="eastAsia" w:ascii="宋体" w:hAnsi="宋体" w:cs="宋体"/>
          <w:color w:val="auto"/>
          <w:szCs w:val="21"/>
          <w:highlight w:val="none"/>
          <w:u w:val="single"/>
        </w:rPr>
        <w:t xml:space="preserve">                 </w:t>
      </w:r>
    </w:p>
    <w:p>
      <w:pPr>
        <w:ind w:firstLine="420" w:firstLineChars="200"/>
        <w:rPr>
          <w:rFonts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r>
        <w:rPr>
          <w:rFonts w:hint="eastAsia" w:ascii="Calibri" w:hAnsi="Calibri" w:eastAsia="宋体" w:cs="Times New Roman"/>
          <w:kern w:val="1"/>
          <w:szCs w:val="21"/>
          <w:u w:val="single"/>
        </w:rPr>
        <w:t>34001735208053004846</w:t>
      </w:r>
      <w:r>
        <w:rPr>
          <w:rFonts w:hint="eastAsia" w:ascii="宋体" w:hAnsi="宋体" w:cs="宋体"/>
          <w:color w:val="auto"/>
          <w:szCs w:val="21"/>
          <w:highlight w:val="none"/>
          <w:u w:val="single"/>
        </w:rPr>
        <w:t xml:space="preserve">                   </w:t>
      </w:r>
    </w:p>
    <w:p>
      <w:pPr>
        <w:keepNext/>
        <w:keepLines/>
        <w:spacing w:line="360" w:lineRule="auto"/>
        <w:ind w:firstLine="420" w:firstLineChars="200"/>
        <w:jc w:val="both"/>
        <w:outlineLvl w:val="1"/>
        <w:rPr>
          <w:rFonts w:ascii="宋体" w:hAnsi="宋体" w:cs="宋体"/>
          <w:b/>
          <w:bCs/>
          <w:color w:val="auto"/>
          <w:sz w:val="32"/>
          <w:szCs w:val="32"/>
          <w:highlight w:val="none"/>
        </w:rPr>
      </w:pPr>
      <w:bookmarkStart w:id="28" w:name="_Toc18912"/>
      <w:bookmarkStart w:id="29" w:name="_Toc29847"/>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lang w:val="en-US" w:eastAsia="zh-CN"/>
        </w:rPr>
        <w:t>2024年4月19日</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lang w:val="en-US" w:eastAsia="zh-CN"/>
        </w:rPr>
        <w:t>2024年4月19日</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rPr>
        <w:br w:type="page"/>
      </w:r>
      <w:bookmarkEnd w:id="28"/>
      <w:bookmarkEnd w:id="29"/>
      <w:bookmarkStart w:id="30" w:name="_Toc28799377"/>
    </w:p>
    <w:p>
      <w:pPr>
        <w:keepNext/>
        <w:keepLines/>
        <w:spacing w:line="360" w:lineRule="auto"/>
        <w:jc w:val="center"/>
        <w:outlineLvl w:val="1"/>
        <w:rPr>
          <w:rFonts w:ascii="宋体" w:hAnsi="宋体" w:cs="宋体"/>
          <w:b/>
          <w:bCs/>
          <w:color w:val="auto"/>
          <w:sz w:val="32"/>
          <w:szCs w:val="32"/>
          <w:highlight w:val="none"/>
        </w:rPr>
      </w:pPr>
      <w:bookmarkStart w:id="31" w:name="_Toc95223460"/>
      <w:bookmarkStart w:id="32" w:name="_Toc14742"/>
      <w:bookmarkStart w:id="33" w:name="_Toc31942"/>
      <w:bookmarkStart w:id="34" w:name="_Toc15494"/>
      <w:r>
        <w:rPr>
          <w:rFonts w:hint="eastAsia" w:ascii="宋体" w:hAnsi="宋体" w:cs="宋体"/>
          <w:b/>
          <w:bCs/>
          <w:color w:val="auto"/>
          <w:sz w:val="32"/>
          <w:szCs w:val="32"/>
          <w:highlight w:val="none"/>
        </w:rPr>
        <w:t>第二节  通用合同条款</w:t>
      </w:r>
      <w:bookmarkEnd w:id="30"/>
      <w:bookmarkEnd w:id="31"/>
      <w:bookmarkEnd w:id="32"/>
      <w:bookmarkEnd w:id="33"/>
      <w:bookmarkEnd w:id="34"/>
    </w:p>
    <w:p>
      <w:pPr>
        <w:ind w:firstLine="560" w:firstLineChars="200"/>
        <w:rPr>
          <w:rFonts w:ascii="宋体" w:hAnsi="宋体" w:cs="宋体"/>
          <w:snapToGrid w:val="0"/>
          <w:color w:val="auto"/>
          <w:kern w:val="0"/>
          <w:sz w:val="28"/>
          <w:highlight w:val="none"/>
        </w:rPr>
      </w:pPr>
    </w:p>
    <w:p>
      <w:pPr>
        <w:adjustRightInd w:val="0"/>
        <w:snapToGrid w:val="0"/>
        <w:spacing w:line="480" w:lineRule="auto"/>
        <w:ind w:firstLine="562" w:firstLineChars="200"/>
        <w:rPr>
          <w:rFonts w:ascii="宋体" w:hAnsi="宋体" w:cs="宋体"/>
          <w:b/>
          <w:bCs/>
          <w:snapToGrid w:val="0"/>
          <w:color w:val="auto"/>
          <w:kern w:val="0"/>
          <w:sz w:val="28"/>
          <w:highlight w:val="none"/>
        </w:rPr>
      </w:pPr>
      <w:r>
        <w:rPr>
          <w:rFonts w:hint="eastAsia" w:ascii="宋体" w:hAnsi="宋体" w:cs="宋体"/>
          <w:b/>
          <w:bCs/>
          <w:snapToGrid w:val="0"/>
          <w:color w:val="auto"/>
          <w:kern w:val="0"/>
          <w:sz w:val="28"/>
          <w:highlight w:val="none"/>
        </w:rPr>
        <w:t>采用《建设工程施工合同</w:t>
      </w:r>
      <w:r>
        <w:rPr>
          <w:rFonts w:hint="eastAsia" w:ascii="宋体" w:hAnsi="宋体" w:cs="宋体"/>
          <w:b/>
          <w:bCs/>
          <w:snapToGrid w:val="0"/>
          <w:color w:val="auto"/>
          <w:kern w:val="0"/>
          <w:sz w:val="28"/>
          <w:highlight w:val="none"/>
          <w:lang w:eastAsia="zh-CN"/>
        </w:rPr>
        <w:t>（</w:t>
      </w:r>
      <w:r>
        <w:rPr>
          <w:rFonts w:hint="eastAsia" w:ascii="宋体" w:hAnsi="宋体" w:cs="宋体"/>
          <w:b/>
          <w:bCs/>
          <w:snapToGrid w:val="0"/>
          <w:color w:val="auto"/>
          <w:kern w:val="0"/>
          <w:sz w:val="28"/>
          <w:highlight w:val="none"/>
        </w:rPr>
        <w:t>示范文本</w:t>
      </w:r>
      <w:r>
        <w:rPr>
          <w:rFonts w:hint="eastAsia" w:ascii="宋体" w:hAnsi="宋体" w:cs="宋体"/>
          <w:b/>
          <w:bCs/>
          <w:snapToGrid w:val="0"/>
          <w:color w:val="auto"/>
          <w:kern w:val="0"/>
          <w:sz w:val="28"/>
          <w:highlight w:val="none"/>
          <w:lang w:eastAsia="zh-CN"/>
        </w:rPr>
        <w:t>）</w:t>
      </w:r>
      <w:r>
        <w:rPr>
          <w:rFonts w:hint="eastAsia" w:ascii="宋体" w:hAnsi="宋体" w:cs="宋体"/>
          <w:b/>
          <w:bCs/>
          <w:snapToGrid w:val="0"/>
          <w:color w:val="auto"/>
          <w:kern w:val="0"/>
          <w:sz w:val="28"/>
          <w:highlight w:val="none"/>
        </w:rPr>
        <w:t>》（GF-2017-0201）中通用合同条款。上述资料由</w:t>
      </w:r>
      <w:r>
        <w:rPr>
          <w:rFonts w:hint="eastAsia" w:ascii="宋体" w:hAnsi="宋体" w:cs="宋体"/>
          <w:b/>
          <w:bCs/>
          <w:snapToGrid w:val="0"/>
          <w:color w:val="auto"/>
          <w:kern w:val="0"/>
          <w:sz w:val="28"/>
          <w:highlight w:val="none"/>
          <w:lang w:eastAsia="zh-CN"/>
        </w:rPr>
        <w:t>承包</w:t>
      </w:r>
      <w:r>
        <w:rPr>
          <w:rFonts w:hint="eastAsia" w:ascii="宋体" w:hAnsi="宋体" w:cs="宋体"/>
          <w:b/>
          <w:bCs/>
          <w:snapToGrid w:val="0"/>
          <w:color w:val="auto"/>
          <w:kern w:val="0"/>
          <w:sz w:val="28"/>
          <w:highlight w:val="none"/>
        </w:rPr>
        <w:t>人自行准备。</w:t>
      </w:r>
    </w:p>
    <w:p>
      <w:pPr>
        <w:keepNext/>
        <w:keepLines/>
        <w:adjustRightInd w:val="0"/>
        <w:snapToGrid w:val="0"/>
        <w:spacing w:line="360" w:lineRule="auto"/>
        <w:jc w:val="center"/>
        <w:outlineLvl w:val="1"/>
        <w:rPr>
          <w:rFonts w:ascii="宋体" w:hAnsi="宋体" w:cs="宋体"/>
          <w:bCs/>
          <w:color w:val="auto"/>
          <w:sz w:val="32"/>
          <w:szCs w:val="32"/>
          <w:highlight w:val="none"/>
        </w:rPr>
      </w:pPr>
      <w:r>
        <w:rPr>
          <w:rFonts w:hint="eastAsia" w:ascii="宋体" w:hAnsi="宋体" w:cs="宋体"/>
          <w:b/>
          <w:bCs/>
          <w:color w:val="auto"/>
          <w:sz w:val="24"/>
          <w:szCs w:val="32"/>
          <w:highlight w:val="none"/>
        </w:rPr>
        <w:br w:type="page"/>
      </w:r>
      <w:bookmarkStart w:id="35" w:name="_Toc23813"/>
      <w:bookmarkStart w:id="36" w:name="_Toc28799378"/>
      <w:bookmarkStart w:id="37" w:name="_Toc95223461"/>
      <w:bookmarkStart w:id="38" w:name="_Toc8192"/>
      <w:bookmarkStart w:id="39" w:name="_Toc4534"/>
      <w:r>
        <w:rPr>
          <w:rFonts w:hint="eastAsia" w:ascii="宋体" w:hAnsi="宋体" w:cs="宋体"/>
          <w:b/>
          <w:bCs/>
          <w:color w:val="auto"/>
          <w:sz w:val="32"/>
          <w:szCs w:val="32"/>
          <w:highlight w:val="none"/>
        </w:rPr>
        <w:t>第三节  专用合同条款</w:t>
      </w:r>
      <w:bookmarkEnd w:id="35"/>
      <w:bookmarkEnd w:id="36"/>
      <w:bookmarkEnd w:id="37"/>
      <w:bookmarkEnd w:id="38"/>
      <w:bookmarkEnd w:id="39"/>
    </w:p>
    <w:p>
      <w:pPr>
        <w:keepNext/>
        <w:keepLines/>
        <w:adjustRightInd w:val="0"/>
        <w:snapToGrid w:val="0"/>
        <w:spacing w:line="384" w:lineRule="auto"/>
        <w:jc w:val="left"/>
        <w:outlineLvl w:val="2"/>
        <w:rPr>
          <w:rFonts w:ascii="宋体" w:hAnsi="宋体" w:cs="宋体"/>
          <w:bCs/>
          <w:color w:val="auto"/>
          <w:sz w:val="24"/>
          <w:highlight w:val="none"/>
        </w:rPr>
      </w:pPr>
      <w:bookmarkStart w:id="40" w:name="_Toc351203633"/>
      <w:bookmarkStart w:id="41" w:name="_Toc95223462"/>
      <w:r>
        <w:rPr>
          <w:rFonts w:hint="eastAsia" w:ascii="宋体" w:hAnsi="宋体" w:cs="宋体"/>
          <w:bCs/>
          <w:color w:val="auto"/>
          <w:sz w:val="24"/>
          <w:highlight w:val="none"/>
        </w:rPr>
        <w:t>1</w:t>
      </w:r>
      <w:bookmarkStart w:id="42" w:name="_Toc296891196"/>
      <w:bookmarkStart w:id="43" w:name="_Toc296503156"/>
      <w:bookmarkStart w:id="44" w:name="_Toc296944495"/>
      <w:bookmarkStart w:id="45" w:name="_Toc296347155"/>
      <w:bookmarkStart w:id="46" w:name="_Toc292559866"/>
      <w:bookmarkStart w:id="47" w:name="_Toc297120456"/>
      <w:bookmarkStart w:id="48" w:name="_Toc297048342"/>
      <w:bookmarkStart w:id="49" w:name="_Toc292559361"/>
      <w:bookmarkStart w:id="50" w:name="_Toc296346657"/>
      <w:bookmarkStart w:id="51" w:name="_Toc296890984"/>
      <w:r>
        <w:rPr>
          <w:rFonts w:hint="eastAsia" w:ascii="宋体" w:hAnsi="宋体" w:cs="宋体"/>
          <w:bCs/>
          <w:color w:val="auto"/>
          <w:sz w:val="24"/>
          <w:highlight w:val="none"/>
        </w:rPr>
        <w:t>. 一般约定</w:t>
      </w:r>
      <w:bookmarkEnd w:id="40"/>
      <w:bookmarkEnd w:id="41"/>
    </w:p>
    <w:bookmarkEnd w:id="42"/>
    <w:bookmarkEnd w:id="43"/>
    <w:bookmarkEnd w:id="44"/>
    <w:bookmarkEnd w:id="45"/>
    <w:bookmarkEnd w:id="46"/>
    <w:bookmarkEnd w:id="47"/>
    <w:bookmarkEnd w:id="48"/>
    <w:bookmarkEnd w:id="49"/>
    <w:bookmarkEnd w:id="50"/>
    <w:bookmarkEnd w:id="51"/>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1.1 词语定义与解释</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 合同</w:t>
      </w:r>
    </w:p>
    <w:p>
      <w:pPr>
        <w:adjustRightInd w:val="0"/>
        <w:snapToGrid w:val="0"/>
        <w:spacing w:line="384" w:lineRule="auto"/>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1.1.1.10 其他合同文件包括：</w:t>
      </w:r>
      <w:r>
        <w:rPr>
          <w:rFonts w:hint="eastAsia" w:ascii="宋体" w:hAnsi="宋体" w:cs="宋体"/>
          <w:color w:val="auto"/>
          <w:highlight w:val="none"/>
          <w:u w:val="single"/>
        </w:rPr>
        <w:t></w:t>
      </w:r>
      <w:r>
        <w:rPr>
          <w:rFonts w:hint="eastAsia" w:ascii="宋体" w:hAnsi="宋体" w:cs="宋体"/>
          <w:color w:val="auto"/>
          <w:szCs w:val="21"/>
          <w:highlight w:val="none"/>
          <w:u w:val="single"/>
        </w:rPr>
        <w:t>本项目</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文件、在合同订立及履行过程中形成的与合同有关的文件均构成合同文件组成部分</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1.1.2 合同当事人及其他相关方</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1.1.2.4 监理人：</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详见监理合同 </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详见监理合同 </w:t>
      </w:r>
      <w:r>
        <w:rPr>
          <w:rFonts w:hint="eastAsia" w:ascii="宋体" w:hAnsi="宋体" w:cs="宋体"/>
          <w:color w:val="auto"/>
          <w:highlight w:val="none"/>
          <w:u w:val="single"/>
        </w:rPr>
        <w:t xml:space="preserve">            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详见监理合同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详见监理合同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详见监理合同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1.1.2.5 设计人：</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详见设计合同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详见设计合同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w:t>
      </w:r>
      <w:r>
        <w:rPr>
          <w:rFonts w:hint="eastAsia" w:ascii="宋体" w:hAnsi="宋体" w:cs="宋体"/>
          <w:color w:val="auto"/>
          <w:szCs w:val="21"/>
          <w:highlight w:val="none"/>
          <w:u w:val="single"/>
        </w:rPr>
        <w:t>详见设计合同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详见设计合同</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详见设计合同</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1.1.3 工程和设备</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1.1.3.7 作为施工现场组成部分的其他场所包括：</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见施工图纸并现场确定</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1.1.3.9 永久占地包括：</w:t>
      </w:r>
      <w:r>
        <w:rPr>
          <w:rFonts w:hint="eastAsia" w:ascii="宋体" w:hAnsi="宋体" w:cs="宋体"/>
          <w:color w:val="auto"/>
          <w:highlight w:val="none"/>
          <w:u w:val="single"/>
        </w:rPr>
        <w:t xml:space="preserve"> </w:t>
      </w:r>
      <w:r>
        <w:rPr>
          <w:rFonts w:hint="eastAsia" w:ascii="宋体" w:hAnsi="宋体" w:cs="仿宋"/>
          <w:color w:val="auto"/>
          <w:szCs w:val="21"/>
          <w:highlight w:val="none"/>
          <w:u w:val="single"/>
        </w:rPr>
        <w:t>指发包人为建设本合同工程永久征用的场地</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kern w:val="0"/>
          <w:highlight w:val="none"/>
        </w:rPr>
        <w:t>1.1.3.10 临时占地包括：</w:t>
      </w:r>
      <w:r>
        <w:rPr>
          <w:rFonts w:hint="eastAsia" w:ascii="宋体" w:hAnsi="宋体" w:cs="仿宋"/>
          <w:color w:val="auto"/>
          <w:szCs w:val="21"/>
          <w:highlight w:val="none"/>
          <w:u w:val="single"/>
        </w:rPr>
        <w:t>指发包人为建设本合同工程临时征用，承包人在完工后须按合同要求退还的场地。临时占地所涉及的费用，包括但不限于：手续办理、租金、复垦、善后处理等费用均由承包人承担，并综合考虑在报价</w:t>
      </w:r>
      <w:r>
        <w:rPr>
          <w:rFonts w:hint="eastAsia" w:ascii="宋体" w:hAnsi="宋体" w:cs="仿宋"/>
          <w:color w:val="auto"/>
          <w:szCs w:val="21"/>
          <w:highlight w:val="none"/>
          <w:u w:val="single"/>
          <w:lang w:eastAsia="zh-CN"/>
        </w:rPr>
        <w:t>让利</w:t>
      </w:r>
      <w:r>
        <w:rPr>
          <w:rFonts w:hint="eastAsia" w:ascii="宋体" w:hAnsi="宋体" w:cs="仿宋"/>
          <w:color w:val="auto"/>
          <w:szCs w:val="21"/>
          <w:highlight w:val="none"/>
          <w:u w:val="single"/>
        </w:rPr>
        <w:t>中</w:t>
      </w:r>
      <w:r>
        <w:rPr>
          <w:rFonts w:hint="eastAsia" w:ascii="宋体" w:hAnsi="宋体" w:cs="宋体"/>
          <w:color w:val="auto"/>
          <w:kern w:val="0"/>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 xml:space="preserve">1.3 法律 </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适用于合同的其他规范性文件：</w:t>
      </w:r>
      <w:r>
        <w:rPr>
          <w:rFonts w:hint="eastAsia" w:ascii="宋体" w:hAnsi="宋体" w:cs="宋体"/>
          <w:color w:val="auto"/>
          <w:szCs w:val="21"/>
          <w:highlight w:val="none"/>
          <w:u w:val="single"/>
        </w:rPr>
        <w:t xml:space="preserve">《中华人民共和国民法典》、《中华人民共和国建筑法》、《建设工程质量管理条例》、《建设工程安全生产管理条例》等国家及工程所在地现行有效的法律法规和规章 </w:t>
      </w:r>
      <w:r>
        <w:rPr>
          <w:rFonts w:hint="eastAsia" w:ascii="宋体" w:hAnsi="宋体" w:cs="宋体"/>
          <w:color w:val="auto"/>
          <w:szCs w:val="21"/>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1.4 标准和规范</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1.4.1 适用于工程的标准规范包括：</w:t>
      </w:r>
      <w:r>
        <w:rPr>
          <w:rFonts w:hint="eastAsia" w:ascii="宋体" w:hAnsi="宋体" w:cs="宋体"/>
          <w:color w:val="auto"/>
          <w:szCs w:val="21"/>
          <w:highlight w:val="none"/>
          <w:u w:val="single"/>
        </w:rPr>
        <w:t xml:space="preserve"> 中华人民共和国建设部颁发的现行的有关标准、规范及省、市有关规定</w:t>
      </w:r>
      <w:r>
        <w:rPr>
          <w:rFonts w:hint="eastAsia" w:ascii="宋体" w:hAnsi="宋体" w:cs="宋体"/>
          <w:color w:val="auto"/>
          <w:szCs w:val="21"/>
          <w:highlight w:val="none"/>
        </w:rPr>
        <w:t>。</w:t>
      </w:r>
    </w:p>
    <w:p>
      <w:pPr>
        <w:adjustRightInd w:val="0"/>
        <w:snapToGrid w:val="0"/>
        <w:spacing w:line="384" w:lineRule="auto"/>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1.4.2 发包人提供国外标准、规范的名称：</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发包人提供国外标准、规范的份数：</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kern w:val="0"/>
          <w:highlight w:val="none"/>
        </w:rPr>
        <w:t>发包人提供国外标准、规范的时间：</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1.4.3 发包人对工程的技术标准和功能要求的特殊要求：</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按现行规范执行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1.5 合同文件的优先顺序</w:t>
      </w:r>
    </w:p>
    <w:p>
      <w:pPr>
        <w:adjustRightInd w:val="0"/>
        <w:snapToGrid w:val="0"/>
        <w:spacing w:line="384" w:lineRule="auto"/>
        <w:ind w:firstLine="420" w:firstLineChars="200"/>
        <w:rPr>
          <w:rFonts w:ascii="宋体" w:hAnsi="宋体" w:cs="宋体"/>
          <w:b/>
          <w:color w:val="auto"/>
          <w:highlight w:val="none"/>
          <w:u w:val="single"/>
        </w:rPr>
      </w:pPr>
      <w:r>
        <w:rPr>
          <w:rFonts w:hint="eastAsia" w:ascii="宋体" w:hAnsi="宋体" w:cs="宋体"/>
          <w:color w:val="auto"/>
          <w:kern w:val="0"/>
          <w:highlight w:val="none"/>
        </w:rPr>
        <w:t>合同文件组成及优先顺序为：</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（1）合同协议书；（2）中标</w:t>
      </w:r>
      <w:r>
        <w:rPr>
          <w:rFonts w:hint="eastAsia" w:ascii="宋体" w:hAnsi="宋体" w:cs="宋体"/>
          <w:color w:val="auto"/>
          <w:szCs w:val="21"/>
          <w:highlight w:val="none"/>
          <w:u w:val="single"/>
          <w:lang w:eastAsia="zh-CN"/>
        </w:rPr>
        <w:t>（成交）</w:t>
      </w:r>
      <w:r>
        <w:rPr>
          <w:rFonts w:hint="eastAsia" w:ascii="宋体" w:hAnsi="宋体" w:cs="宋体"/>
          <w:color w:val="auto"/>
          <w:szCs w:val="21"/>
          <w:highlight w:val="none"/>
          <w:u w:val="single"/>
        </w:rPr>
        <w:t>通知书；（3）</w:t>
      </w:r>
      <w:r>
        <w:rPr>
          <w:rFonts w:hint="eastAsia" w:ascii="宋体" w:hAnsi="宋体" w:cs="宋体"/>
          <w:color w:val="auto"/>
          <w:szCs w:val="21"/>
          <w:highlight w:val="none"/>
          <w:u w:val="single"/>
          <w:lang w:eastAsia="zh-CN"/>
        </w:rPr>
        <w:t>响应</w:t>
      </w:r>
      <w:r>
        <w:rPr>
          <w:rFonts w:hint="eastAsia" w:ascii="宋体" w:hAnsi="宋体" w:cs="宋体"/>
          <w:color w:val="auto"/>
          <w:szCs w:val="21"/>
          <w:highlight w:val="none"/>
          <w:u w:val="single"/>
        </w:rPr>
        <w:t>函及其附录；（</w:t>
      </w:r>
      <w:r>
        <w:rPr>
          <w:rFonts w:hint="eastAsia" w:ascii="宋体" w:hAnsi="宋体" w:cs="宋体"/>
          <w:color w:val="auto"/>
          <w:kern w:val="0"/>
          <w:szCs w:val="21"/>
          <w:highlight w:val="none"/>
          <w:u w:val="single"/>
        </w:rPr>
        <w:t>4）</w:t>
      </w:r>
      <w:r>
        <w:rPr>
          <w:rFonts w:hint="eastAsia" w:ascii="宋体" w:hAnsi="宋体" w:cs="宋体"/>
          <w:color w:val="auto"/>
          <w:kern w:val="0"/>
          <w:szCs w:val="21"/>
          <w:highlight w:val="none"/>
          <w:u w:val="single"/>
          <w:lang w:val="en-US" w:eastAsia="zh-CN"/>
        </w:rPr>
        <w:t>采购</w:t>
      </w:r>
      <w:r>
        <w:rPr>
          <w:rFonts w:hint="eastAsia" w:ascii="宋体" w:hAnsi="宋体" w:cs="宋体"/>
          <w:color w:val="auto"/>
          <w:kern w:val="0"/>
          <w:szCs w:val="21"/>
          <w:highlight w:val="none"/>
          <w:u w:val="single"/>
        </w:rPr>
        <w:t>文件；（5）专用合同条款及其附件；（6）通用合同条款；（7）技术标准和要求；（8）图纸；（9）已标价工程量清单或预算书；（10）其他合同文件。</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1.6 图纸和承包人文件</w:t>
      </w:r>
      <w:r>
        <w:rPr>
          <w:rFonts w:hint="eastAsia" w:ascii="宋体" w:hAnsi="宋体" w:cs="宋体"/>
          <w:bCs/>
          <w:color w:val="auto"/>
          <w:szCs w:val="28"/>
          <w:highlight w:val="none"/>
        </w:rPr>
        <w:tab/>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1.6.1 图纸的提供和交底</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发包人向承包人提供图纸的期限：</w:t>
      </w:r>
      <w:r>
        <w:rPr>
          <w:rFonts w:hint="eastAsia" w:ascii="宋体" w:hAnsi="宋体" w:cs="宋体"/>
          <w:color w:val="auto"/>
          <w:highlight w:val="none"/>
          <w:u w:val="single"/>
        </w:rPr>
        <w:t xml:space="preserve"> 开工前10个日历日向承包人提供图纸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发包人向承包人提供图纸的数量：</w:t>
      </w:r>
      <w:r>
        <w:rPr>
          <w:rFonts w:hint="eastAsia" w:ascii="宋体" w:hAnsi="宋体" w:cs="宋体"/>
          <w:color w:val="auto"/>
          <w:highlight w:val="none"/>
          <w:u w:val="single"/>
        </w:rPr>
        <w:t xml:space="preserve">4套本工程施工图，承包人如需增加，由承包人自行复制并承担费用，所有设计图纸和设计变更文件须经设计单位和发包人盖章确认方有效 </w:t>
      </w:r>
      <w:r>
        <w:rPr>
          <w:rFonts w:hint="eastAsia" w:ascii="宋体" w:hAnsi="宋体" w:cs="宋体"/>
          <w:color w:val="auto"/>
          <w:szCs w:val="21"/>
          <w:highlight w:val="none"/>
          <w:u w:val="singl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发包人向承包人提供图纸的内容：</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全套施工图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1.6.4 承包人文件</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需要由承包人提供的文件，包括：</w:t>
      </w:r>
      <w:r>
        <w:rPr>
          <w:rFonts w:hint="eastAsia" w:ascii="宋体" w:hAnsi="宋体" w:cs="宋体"/>
          <w:color w:val="auto"/>
          <w:highlight w:val="none"/>
          <w:u w:val="single"/>
        </w:rPr>
        <w:t xml:space="preserve"> 包括但不限于施工组织设计、总进度计划、阶段性进度计划、月度进度计划、工程计量报告、竣工资料、归档资料电子档、影像资料及工程结算送审资料及发包人、监理人要求提供的等其他文件</w:t>
      </w:r>
      <w:r>
        <w:rPr>
          <w:rFonts w:hint="eastAsia" w:ascii="宋体" w:hAnsi="宋体" w:cs="宋体"/>
          <w:color w:val="auto"/>
          <w:szCs w:val="21"/>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承包人提供的文件的期限为：</w:t>
      </w:r>
      <w:r>
        <w:rPr>
          <w:rFonts w:hint="eastAsia" w:ascii="宋体" w:hAnsi="宋体" w:cs="宋体"/>
          <w:color w:val="auto"/>
          <w:highlight w:val="none"/>
          <w:u w:val="single"/>
        </w:rPr>
        <w:t xml:space="preserve">   </w:t>
      </w:r>
      <w:r>
        <w:rPr>
          <w:rFonts w:hint="eastAsia" w:ascii="宋体" w:hAnsi="宋体" w:cs="宋体"/>
          <w:color w:val="auto"/>
          <w:szCs w:val="21"/>
          <w:highlight w:val="none"/>
          <w:u w:val="single"/>
        </w:rPr>
        <w:t>按监理要求执行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承包人提供的文件的数量为：</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按监理要求执行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承包人提供的文件的形式为：</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按监理要求执行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发包人审批承包人文件的期限：</w:t>
      </w:r>
      <w:r>
        <w:rPr>
          <w:rFonts w:hint="eastAsia" w:ascii="宋体" w:hAnsi="宋体" w:cs="宋体"/>
          <w:color w:val="auto"/>
          <w:highlight w:val="none"/>
          <w:u w:val="single"/>
        </w:rPr>
        <w:t xml:space="preserve">   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1.6.5 图纸和承包人文件的保管</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关于图纸和承包人文件保管的约定：</w:t>
      </w:r>
      <w:r>
        <w:rPr>
          <w:rFonts w:hint="eastAsia" w:ascii="宋体" w:hAnsi="宋体" w:cs="宋体"/>
          <w:color w:val="auto"/>
          <w:szCs w:val="21"/>
          <w:highlight w:val="none"/>
          <w:u w:val="single"/>
        </w:rPr>
        <w:t xml:space="preserve"> 除专用合同条款另有约定外，承包人应在施工现场另外保存一套完整图纸和承包人文件，供发包人、监理人及有关人员工程检查时使用 </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1.7 联络</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1.7.1 发包人和承包人应当在</w:t>
      </w:r>
      <w:r>
        <w:rPr>
          <w:rFonts w:hint="eastAsia" w:ascii="宋体" w:hAnsi="宋体" w:cs="宋体"/>
          <w:color w:val="auto"/>
          <w:highlight w:val="none"/>
          <w:u w:val="single"/>
        </w:rPr>
        <w:t>7</w:t>
      </w:r>
      <w:r>
        <w:rPr>
          <w:rFonts w:hint="eastAsia" w:ascii="宋体" w:hAnsi="宋体" w:cs="宋体"/>
          <w:color w:val="auto"/>
          <w:kern w:val="0"/>
          <w:highlight w:val="none"/>
        </w:rPr>
        <w:t>天内将与合同有关的通知、批准、证明、证书、指示、指令、要求、请求、同意、意见、确定和决定等书面函件送达对方当事人。</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1.7.2 发包人接收文件的地点：</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发包人指定的接收人为：</w:t>
      </w:r>
      <w:r>
        <w:rPr>
          <w:rFonts w:hint="eastAsia" w:ascii="宋体" w:hAnsi="宋体" w:cs="宋体"/>
          <w:color w:val="auto"/>
          <w:highlight w:val="none"/>
          <w:u w:val="single"/>
        </w:rPr>
        <w:t xml:space="preserve">                    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承包人接收文件的地点：</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承包人指定的接收人为：</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监理人接收文件的地点：</w:t>
      </w:r>
      <w:r>
        <w:rPr>
          <w:rFonts w:hint="eastAsia" w:ascii="宋体" w:hAnsi="宋体" w:cs="宋体"/>
          <w:color w:val="auto"/>
          <w:highlight w:val="none"/>
          <w:u w:val="single"/>
        </w:rPr>
        <w:t xml:space="preserve">                        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监理人指定的接收人为：</w:t>
      </w:r>
      <w:r>
        <w:rPr>
          <w:rFonts w:hint="eastAsia" w:ascii="宋体" w:hAnsi="宋体" w:cs="宋体"/>
          <w:color w:val="auto"/>
          <w:highlight w:val="none"/>
          <w:u w:val="single"/>
        </w:rPr>
        <w:t xml:space="preserve">                           </w:t>
      </w:r>
      <w:r>
        <w:rPr>
          <w:rFonts w:hint="eastAsia" w:ascii="宋体" w:hAnsi="宋体" w:cs="宋体"/>
          <w:color w:val="auto"/>
          <w:kern w:val="0"/>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1.10 交通运输</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w:t>
      </w:r>
      <w:bookmarkStart w:id="52" w:name="_Toc304295521"/>
      <w:bookmarkStart w:id="53" w:name="_Toc303539100"/>
      <w:bookmarkStart w:id="54" w:name="_Toc318581155"/>
      <w:bookmarkStart w:id="55" w:name="_Toc300934943"/>
      <w:bookmarkStart w:id="56" w:name="_Toc312677986"/>
      <w:r>
        <w:rPr>
          <w:rFonts w:hint="eastAsia" w:ascii="宋体" w:hAnsi="宋体" w:cs="宋体"/>
          <w:color w:val="auto"/>
          <w:highlight w:val="none"/>
        </w:rPr>
        <w:t>.10.1 出入现场的权利</w:t>
      </w:r>
    </w:p>
    <w:p>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highlight w:val="none"/>
        </w:rPr>
        <w:t>关于出入现场的权利的约定：</w:t>
      </w:r>
      <w:r>
        <w:rPr>
          <w:rFonts w:hint="eastAsia" w:ascii="宋体" w:hAnsi="宋体" w:cs="宋体"/>
          <w:color w:val="auto"/>
          <w:szCs w:val="21"/>
          <w:highlight w:val="none"/>
          <w:u w:val="single"/>
        </w:rPr>
        <w:t xml:space="preserve"> 按有关规定办理有关施工场地交通、环卫和施工噪音管理等手续，费用由承包人负责。施工中建筑垃圾需运出施工现场外时，承包人需到城管部门办理相关手续并按城管部门指定地点放置。承包人违反城管、环卫等有关管理的规定，被处以罚款的，由承包人承担。</w:t>
      </w:r>
    </w:p>
    <w:p>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施工前承包人应报临时设施专项施工方案，经监理审核后报发包人同意。临时设施专项施工方案实施过程中应采取有效硬化措施。不得损坏道路路面路侧石、人行道板、雨水井、雨水篦、绿化带、通信光缆、燃气管道、供电等公共设施，如因工程需要，确需损坏少量公共设施的，承包人应按规定办理相关手续，在完工后必须恢复原状，若施工方有损毁不及时修复，发包人有权委托其他施工方进行维修，发生的费用从承包人工程款中直接翻倍扣除。施工过程中，应办理渣土运输等相关证件，保持道路清洁，如有抛撒滴漏，应及时清扫，符合建设工程施工现场扬尘管理相关规定。否则发包人对承包人进行处罚10000元/次。</w:t>
      </w:r>
    </w:p>
    <w:p>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在本工程施工期间，施工单位使用的运输车辆须满足公安、市容城管、交通管理部门等的规定并按要求依法遵照有关规定办理运输许可证，严禁使用无牌无证车辆进行施工，若因以上原因造成的各种行政罚款等费用，由施工单位自行承担，发包人不具有协调等责任义务。如由此对发包人造成影响的，发包人将向承包人收取违约金10000元/次。</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bookmarkEnd w:id="52"/>
    <w:bookmarkEnd w:id="53"/>
    <w:bookmarkEnd w:id="54"/>
    <w:bookmarkEnd w:id="55"/>
    <w:bookmarkEnd w:id="56"/>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w:t>
      </w:r>
      <w:bookmarkStart w:id="57" w:name="_Toc318581156"/>
      <w:bookmarkStart w:id="58" w:name="_Toc312677987"/>
      <w:bookmarkStart w:id="59" w:name="_Toc303539101"/>
      <w:bookmarkStart w:id="60" w:name="_Toc300934944"/>
      <w:bookmarkStart w:id="61" w:name="_Toc304295522"/>
      <w:r>
        <w:rPr>
          <w:rFonts w:hint="eastAsia" w:ascii="宋体" w:hAnsi="宋体" w:cs="宋体"/>
          <w:color w:val="auto"/>
          <w:highlight w:val="none"/>
        </w:rPr>
        <w:t>.10.3 场内交通</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关于场外交通和场内交通的边界的约定：</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场内交通设施和道路由承包人负责建设，发包人不另支付费用，场内交通边界现场确定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关于发包人向承包人免费提供满足工程施工需要的场内道路和交通设施的约定：</w:t>
      </w:r>
      <w:r>
        <w:rPr>
          <w:rFonts w:hint="eastAsia" w:ascii="宋体" w:hAnsi="宋体" w:cs="宋体"/>
          <w:color w:val="auto"/>
          <w:szCs w:val="21"/>
          <w:highlight w:val="none"/>
          <w:u w:val="single"/>
        </w:rPr>
        <w:t xml:space="preserve"> 包人自行踏勘，自行解决</w:t>
      </w:r>
      <w:r>
        <w:rPr>
          <w:rFonts w:hint="eastAsia" w:ascii="宋体" w:hAnsi="宋体" w:cs="宋体"/>
          <w:color w:val="auto"/>
          <w:highlight w:val="none"/>
        </w:rPr>
        <w:t>。</w:t>
      </w:r>
      <w:bookmarkEnd w:id="57"/>
      <w:bookmarkEnd w:id="58"/>
      <w:bookmarkEnd w:id="59"/>
      <w:bookmarkEnd w:id="60"/>
      <w:bookmarkEnd w:id="61"/>
      <w:bookmarkStart w:id="62" w:name="_Toc318581157"/>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1.10.4 超大件和超重件的运输</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运输超大件或超重件所需的道路和桥梁临时加固改造费用和其他有关费用由</w:t>
      </w:r>
      <w:r>
        <w:rPr>
          <w:rFonts w:hint="eastAsia" w:ascii="宋体" w:hAnsi="宋体" w:cs="宋体"/>
          <w:color w:val="auto"/>
          <w:szCs w:val="21"/>
          <w:highlight w:val="none"/>
          <w:u w:val="single"/>
        </w:rPr>
        <w:t xml:space="preserve"> 承包人 </w:t>
      </w:r>
      <w:r>
        <w:rPr>
          <w:rFonts w:hint="eastAsia" w:ascii="宋体" w:hAnsi="宋体" w:cs="宋体"/>
          <w:color w:val="auto"/>
          <w:highlight w:val="none"/>
        </w:rPr>
        <w:t>承担。</w:t>
      </w:r>
    </w:p>
    <w:bookmarkEnd w:id="62"/>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1.11 知识产权</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rPr>
        <w:t xml:space="preserve">      发包人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关于发包人提供的上述文件的使用限制的要求：</w:t>
      </w:r>
      <w:r>
        <w:rPr>
          <w:rFonts w:hint="eastAsia" w:ascii="宋体" w:hAnsi="宋体" w:cs="宋体"/>
          <w:color w:val="auto"/>
          <w:szCs w:val="21"/>
          <w:highlight w:val="none"/>
          <w:u w:val="single"/>
        </w:rPr>
        <w:t xml:space="preserve">未经发包人同意不得复制，不得向承包人以外的人员泄漏有关图纸内容，工程竣工后，原图全部收回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1.11.2 关于承包人为实施工程所编制文件的著作权的归属：</w:t>
      </w:r>
      <w:r>
        <w:rPr>
          <w:rFonts w:hint="eastAsia" w:ascii="宋体" w:hAnsi="宋体" w:cs="宋体"/>
          <w:color w:val="auto"/>
          <w:szCs w:val="21"/>
          <w:highlight w:val="none"/>
          <w:u w:val="single"/>
        </w:rPr>
        <w:t xml:space="preserve">        发包人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关于承包人提供的上述文件的使用限制的要求：</w:t>
      </w:r>
      <w:r>
        <w:rPr>
          <w:rFonts w:hint="eastAsia" w:ascii="宋体" w:hAnsi="宋体" w:cs="宋体"/>
          <w:color w:val="auto"/>
          <w:szCs w:val="21"/>
          <w:highlight w:val="none"/>
          <w:u w:val="single"/>
        </w:rPr>
        <w:t xml:space="preserve"> 承包人可因实施工程的运行、调试、维修、改造等目的而复制、使用此类文件，但不能用于与合同无关的其他事项。未经发包人书面同意，承包人不得为了合同以外的目的而复制、使用上述文件或将之提供给任何第三方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1.11.4 承包人在施工过程中所采用的专利、专有技术、技术秘密的使用费的承担方式：</w:t>
      </w:r>
      <w:r>
        <w:rPr>
          <w:rFonts w:hint="eastAsia" w:ascii="宋体" w:hAnsi="宋体" w:cs="宋体"/>
          <w:color w:val="auto"/>
          <w:szCs w:val="21"/>
          <w:highlight w:val="none"/>
          <w:u w:val="single"/>
        </w:rPr>
        <w:t xml:space="preserve"> 该费用已包含在签约合同价中  </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1.13 工程量清单错误的修正</w:t>
      </w:r>
    </w:p>
    <w:p>
      <w:pPr>
        <w:adjustRightInd w:val="0"/>
        <w:snapToGrid w:val="0"/>
        <w:spacing w:line="384" w:lineRule="auto"/>
        <w:ind w:firstLine="420" w:firstLineChars="200"/>
        <w:rPr>
          <w:rFonts w:ascii="宋体" w:hAnsi="宋体" w:cs="宋体"/>
          <w:b/>
          <w:color w:val="auto"/>
          <w:highlight w:val="none"/>
          <w:u w:val="single"/>
        </w:rPr>
      </w:pPr>
      <w:r>
        <w:rPr>
          <w:rFonts w:hint="eastAsia" w:ascii="宋体" w:hAnsi="宋体" w:cs="宋体"/>
          <w:color w:val="auto"/>
          <w:highlight w:val="none"/>
        </w:rPr>
        <w:t>出现工程量清单错误时，是否调整合同价格：</w:t>
      </w:r>
      <w:r>
        <w:rPr>
          <w:rFonts w:hint="eastAsia" w:ascii="宋体" w:hAnsi="宋体" w:cs="宋体"/>
          <w:b/>
          <w:color w:val="auto"/>
          <w:highlight w:val="none"/>
          <w:u w:val="single"/>
        </w:rPr>
        <w:t xml:space="preserve">        /                      </w:t>
      </w:r>
      <w:r>
        <w:rPr>
          <w:rFonts w:hint="eastAsia" w:ascii="宋体" w:hAnsi="宋体" w:cs="宋体"/>
          <w:bCs/>
          <w:color w:val="auto"/>
          <w:highlight w:val="none"/>
        </w:rPr>
        <w:t xml:space="preserve"> 。</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允许调整合同价格的工程量偏差范围：</w:t>
      </w:r>
      <w:r>
        <w:rPr>
          <w:rFonts w:hint="eastAsia" w:ascii="宋体" w:hAnsi="宋体" w:cs="宋体"/>
          <w:color w:val="auto"/>
          <w:highlight w:val="none"/>
          <w:u w:val="single"/>
        </w:rPr>
        <w:t xml:space="preserve">        /                           </w:t>
      </w:r>
      <w:r>
        <w:rPr>
          <w:rFonts w:hint="eastAsia" w:ascii="宋体" w:hAnsi="宋体" w:cs="宋体"/>
          <w:color w:val="auto"/>
          <w:kern w:val="0"/>
          <w:highlight w:val="none"/>
        </w:rPr>
        <w:t>。</w:t>
      </w:r>
    </w:p>
    <w:p>
      <w:pPr>
        <w:keepNext/>
        <w:keepLines/>
        <w:adjustRightInd w:val="0"/>
        <w:snapToGrid w:val="0"/>
        <w:spacing w:line="384" w:lineRule="auto"/>
        <w:jc w:val="left"/>
        <w:outlineLvl w:val="2"/>
        <w:rPr>
          <w:rFonts w:ascii="宋体" w:hAnsi="宋体" w:cs="宋体"/>
          <w:bCs/>
          <w:color w:val="auto"/>
          <w:sz w:val="24"/>
          <w:highlight w:val="none"/>
        </w:rPr>
      </w:pPr>
      <w:bookmarkStart w:id="63" w:name="_Toc95223463"/>
      <w:bookmarkStart w:id="64" w:name="_Toc351203634"/>
      <w:r>
        <w:rPr>
          <w:rFonts w:hint="eastAsia" w:ascii="宋体" w:hAnsi="宋体" w:cs="宋体"/>
          <w:bCs/>
          <w:color w:val="auto"/>
          <w:sz w:val="24"/>
          <w:highlight w:val="none"/>
        </w:rPr>
        <w:t>2</w:t>
      </w:r>
      <w:bookmarkStart w:id="65" w:name="_Toc296347156"/>
      <w:bookmarkStart w:id="66" w:name="_Toc292559362"/>
      <w:bookmarkStart w:id="67" w:name="_Toc296346658"/>
      <w:bookmarkStart w:id="68" w:name="_Toc296890985"/>
      <w:bookmarkStart w:id="69" w:name="_Toc297048343"/>
      <w:bookmarkStart w:id="70" w:name="_Toc296944496"/>
      <w:bookmarkStart w:id="71" w:name="_Toc297120457"/>
      <w:bookmarkStart w:id="72" w:name="_Toc292559867"/>
      <w:bookmarkStart w:id="73" w:name="_Toc296891197"/>
      <w:bookmarkStart w:id="74" w:name="_Toc296503157"/>
      <w:r>
        <w:rPr>
          <w:rFonts w:hint="eastAsia" w:ascii="宋体" w:hAnsi="宋体" w:cs="宋体"/>
          <w:bCs/>
          <w:color w:val="auto"/>
          <w:sz w:val="24"/>
          <w:highlight w:val="none"/>
        </w:rPr>
        <w:t>. 发包人</w:t>
      </w:r>
      <w:bookmarkEnd w:id="63"/>
      <w:bookmarkEnd w:id="64"/>
    </w:p>
    <w:bookmarkEnd w:id="65"/>
    <w:bookmarkEnd w:id="66"/>
    <w:bookmarkEnd w:id="67"/>
    <w:bookmarkEnd w:id="68"/>
    <w:bookmarkEnd w:id="69"/>
    <w:bookmarkEnd w:id="70"/>
    <w:bookmarkEnd w:id="71"/>
    <w:bookmarkEnd w:id="72"/>
    <w:bookmarkEnd w:id="73"/>
    <w:bookmarkEnd w:id="74"/>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2.2 发包人代表</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发包人代表：</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b/>
          <w:color w:val="auto"/>
          <w:highlight w:val="none"/>
        </w:rPr>
      </w:pPr>
      <w:r>
        <w:rPr>
          <w:rFonts w:hint="eastAsia" w:ascii="宋体" w:hAnsi="宋体" w:cs="宋体"/>
          <w:color w:val="auto"/>
          <w:highlight w:val="none"/>
        </w:rPr>
        <w:t>发包人对发包人代表的授权范围如下：</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2.4 施工现场、施工条件和基础资料的提供</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2.4.1 提供施工现场</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关于发包人移交施工现场的期限要求：</w:t>
      </w:r>
      <w:r>
        <w:rPr>
          <w:rFonts w:hint="eastAsia" w:ascii="宋体" w:hAnsi="宋体" w:cs="宋体"/>
          <w:color w:val="auto"/>
          <w:szCs w:val="21"/>
          <w:highlight w:val="none"/>
          <w:u w:val="single"/>
        </w:rPr>
        <w:t xml:space="preserve">   开工前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2.4.2 提供施工条件</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关于发包人应负责提供施工所需要的条件，包括：</w:t>
      </w:r>
      <w:r>
        <w:rPr>
          <w:rFonts w:hint="eastAsia" w:ascii="宋体" w:hAnsi="宋体" w:cs="宋体"/>
          <w:color w:val="auto"/>
          <w:szCs w:val="21"/>
          <w:highlight w:val="none"/>
          <w:u w:val="single"/>
        </w:rPr>
        <w:t xml:space="preserve">  /  </w:t>
      </w:r>
      <w:r>
        <w:rPr>
          <w:rFonts w:hint="eastAsia" w:ascii="宋体" w:hAnsi="宋体" w:cs="宋体"/>
          <w:bCs/>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2.5 资金来源证明及支付担保</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发包人提供资金来源证明的期限要求：</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发包人是否提供支付担保：</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发包人提供支付担保的形式：</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keepNext/>
        <w:keepLines/>
        <w:adjustRightInd w:val="0"/>
        <w:snapToGrid w:val="0"/>
        <w:spacing w:line="384" w:lineRule="auto"/>
        <w:jc w:val="left"/>
        <w:outlineLvl w:val="2"/>
        <w:rPr>
          <w:rFonts w:ascii="宋体" w:hAnsi="宋体" w:cs="宋体"/>
          <w:bCs/>
          <w:color w:val="auto"/>
          <w:sz w:val="24"/>
          <w:highlight w:val="none"/>
        </w:rPr>
      </w:pPr>
      <w:bookmarkStart w:id="75" w:name="_Toc95223464"/>
      <w:bookmarkStart w:id="76" w:name="_Toc351203635"/>
      <w:r>
        <w:rPr>
          <w:rFonts w:hint="eastAsia" w:ascii="宋体" w:hAnsi="宋体" w:cs="宋体"/>
          <w:bCs/>
          <w:color w:val="auto"/>
          <w:sz w:val="24"/>
          <w:highlight w:val="none"/>
        </w:rPr>
        <w:t>3</w:t>
      </w:r>
      <w:bookmarkStart w:id="77" w:name="_Toc296891198"/>
      <w:bookmarkStart w:id="78" w:name="_Toc296503158"/>
      <w:bookmarkStart w:id="79" w:name="_Toc296346659"/>
      <w:bookmarkStart w:id="80" w:name="_Toc296890986"/>
      <w:bookmarkStart w:id="81" w:name="_Toc296944497"/>
      <w:bookmarkStart w:id="82" w:name="_Toc297048344"/>
      <w:bookmarkStart w:id="83" w:name="_Toc296347157"/>
      <w:bookmarkStart w:id="84" w:name="_Toc292559363"/>
      <w:bookmarkStart w:id="85" w:name="_Toc292559868"/>
      <w:bookmarkStart w:id="86" w:name="_Toc297120458"/>
      <w:r>
        <w:rPr>
          <w:rFonts w:hint="eastAsia" w:ascii="宋体" w:hAnsi="宋体" w:cs="宋体"/>
          <w:bCs/>
          <w:color w:val="auto"/>
          <w:sz w:val="24"/>
          <w:highlight w:val="none"/>
        </w:rPr>
        <w:t>. 承包人</w:t>
      </w:r>
      <w:bookmarkEnd w:id="75"/>
      <w:bookmarkEnd w:id="76"/>
    </w:p>
    <w:bookmarkEnd w:id="77"/>
    <w:bookmarkEnd w:id="78"/>
    <w:bookmarkEnd w:id="79"/>
    <w:bookmarkEnd w:id="80"/>
    <w:bookmarkEnd w:id="81"/>
    <w:bookmarkEnd w:id="82"/>
    <w:bookmarkEnd w:id="83"/>
    <w:bookmarkEnd w:id="84"/>
    <w:bookmarkEnd w:id="85"/>
    <w:bookmarkEnd w:id="86"/>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3.1 承包人的一般义务</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kern w:val="0"/>
          <w:highlight w:val="none"/>
        </w:rPr>
        <w:t>（9）</w:t>
      </w:r>
      <w:r>
        <w:rPr>
          <w:rFonts w:hint="eastAsia" w:ascii="宋体" w:hAnsi="宋体" w:cs="宋体"/>
          <w:color w:val="auto"/>
          <w:highlight w:val="none"/>
        </w:rPr>
        <w:t>承包人提交的竣工资料的内容：</w:t>
      </w:r>
      <w:r>
        <w:rPr>
          <w:rFonts w:hint="eastAsia" w:ascii="宋体" w:hAnsi="宋体" w:cs="宋体"/>
          <w:color w:val="auto"/>
          <w:szCs w:val="21"/>
          <w:highlight w:val="none"/>
          <w:u w:val="single"/>
        </w:rPr>
        <w:t>承包人提供全套竣工图，所有竣工图应为新图纸</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承包人需要提交的竣工资料套数：</w:t>
      </w:r>
      <w:r>
        <w:rPr>
          <w:rFonts w:hint="eastAsia" w:ascii="宋体" w:hAnsi="宋体" w:cs="宋体"/>
          <w:color w:val="auto"/>
          <w:szCs w:val="21"/>
          <w:highlight w:val="none"/>
          <w:u w:val="single"/>
        </w:rPr>
        <w:t xml:space="preserve"> 按市城建档案馆要求执行</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承包人提交的竣工资料的费用承担：</w:t>
      </w:r>
      <w:r>
        <w:rPr>
          <w:rFonts w:hint="eastAsia" w:ascii="宋体" w:hAnsi="宋体" w:cs="宋体"/>
          <w:color w:val="auto"/>
          <w:szCs w:val="21"/>
          <w:highlight w:val="none"/>
          <w:u w:val="single"/>
        </w:rPr>
        <w:t xml:space="preserve">承包人承担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承包人提交的竣工资料移交时间：</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工程竣工验收合格后1个月内</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承包人提交的竣工资料形式要求：</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工程竣工验收合格后1个月内</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kern w:val="0"/>
          <w:highlight w:val="none"/>
        </w:rPr>
        <w:t>（10）承包人应履行的其他义务：</w:t>
      </w:r>
      <w:r>
        <w:rPr>
          <w:rFonts w:hint="eastAsia" w:ascii="宋体" w:hAnsi="宋体" w:cs="宋体"/>
          <w:color w:val="auto"/>
          <w:szCs w:val="21"/>
          <w:highlight w:val="none"/>
          <w:u w:val="single"/>
        </w:rPr>
        <w:t xml:space="preserve"> a、项目暂定   年  月开工，   年   月竣工。实际开工日期将以开工令为准，总工期</w:t>
      </w:r>
      <w:r>
        <w:rPr>
          <w:rFonts w:hint="eastAsia" w:ascii="宋体" w:hAnsi="宋体" w:cs="宋体"/>
          <w:color w:val="auto"/>
          <w:szCs w:val="21"/>
          <w:highlight w:val="none"/>
          <w:u w:val="single"/>
          <w:lang w:val="en-US" w:eastAsia="zh-CN"/>
        </w:rPr>
        <w:t>不高于90</w:t>
      </w:r>
      <w:r>
        <w:rPr>
          <w:rFonts w:hint="eastAsia" w:ascii="宋体" w:hAnsi="宋体" w:cs="宋体"/>
          <w:color w:val="auto"/>
          <w:szCs w:val="21"/>
          <w:highlight w:val="none"/>
          <w:u w:val="single"/>
        </w:rPr>
        <w:t xml:space="preserve"> 个日历天完成竣工验收。</w:t>
      </w:r>
    </w:p>
    <w:p>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b、承包人在各自施工区域围挡自成系统，分割材料采用实心砖。公共道路及冲洗平台由承包人提供，承包人不得因其他人使用公共道路及冲洗平台而收取任何费用。</w:t>
      </w:r>
    </w:p>
    <w:p>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c、若施工过程中根据发包人需要调整施工供水管线走向，承包人须按发包人指令更改供水管线走向，由此产生的费用已包含在合同价款中，发包人不另行支付。</w:t>
      </w:r>
    </w:p>
    <w:p>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d、发包人代表有权就其他未尽事宜或临时发生的计划发出指令，承包人须积极配合执行，除有设计变更增加费用外，其他费用不予增加。</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e、</w:t>
      </w:r>
      <w:r>
        <w:rPr>
          <w:rFonts w:hint="eastAsia" w:ascii="宋体" w:hAnsi="宋体" w:cs="宋体"/>
          <w:color w:val="auto"/>
          <w:szCs w:val="21"/>
          <w:highlight w:val="none"/>
          <w:u w:val="single"/>
          <w:lang w:eastAsia="zh-CN"/>
        </w:rPr>
        <w:t>承包</w:t>
      </w:r>
      <w:r>
        <w:rPr>
          <w:rFonts w:hint="eastAsia" w:ascii="宋体" w:hAnsi="宋体" w:cs="宋体"/>
          <w:color w:val="auto"/>
          <w:szCs w:val="21"/>
          <w:highlight w:val="none"/>
          <w:u w:val="single"/>
        </w:rPr>
        <w:t>人在领取中标</w:t>
      </w:r>
      <w:r>
        <w:rPr>
          <w:rFonts w:hint="eastAsia" w:ascii="宋体" w:hAnsi="宋体" w:cs="宋体"/>
          <w:color w:val="auto"/>
          <w:szCs w:val="21"/>
          <w:highlight w:val="none"/>
          <w:u w:val="single"/>
          <w:lang w:eastAsia="zh-CN"/>
        </w:rPr>
        <w:t>（成交）</w:t>
      </w:r>
      <w:r>
        <w:rPr>
          <w:rFonts w:hint="eastAsia" w:ascii="宋体" w:hAnsi="宋体" w:cs="宋体"/>
          <w:color w:val="auto"/>
          <w:szCs w:val="21"/>
          <w:highlight w:val="none"/>
          <w:u w:val="single"/>
        </w:rPr>
        <w:t>通知书后必须配合办理相关报建手续、施工许可证，此项工作必须在</w:t>
      </w:r>
      <w:r>
        <w:rPr>
          <w:rFonts w:hint="eastAsia" w:ascii="宋体" w:hAnsi="宋体" w:cs="宋体"/>
          <w:color w:val="auto"/>
          <w:szCs w:val="21"/>
          <w:highlight w:val="none"/>
          <w:u w:val="single"/>
          <w:lang w:eastAsia="zh-CN"/>
        </w:rPr>
        <w:t>中标（成交）通知书</w:t>
      </w:r>
      <w:r>
        <w:rPr>
          <w:rFonts w:hint="eastAsia" w:ascii="宋体" w:hAnsi="宋体" w:cs="宋体"/>
          <w:color w:val="auto"/>
          <w:szCs w:val="21"/>
          <w:highlight w:val="none"/>
          <w:u w:val="single"/>
        </w:rPr>
        <w:t>发放40日内完成（若因发包人原因造成的除外）；否则，每拖延一天处以2000元违约金，提前不奖励。</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3.2 项目经理</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kern w:val="0"/>
          <w:highlight w:val="none"/>
        </w:rPr>
        <w:t xml:space="preserve">3.2.1 </w:t>
      </w:r>
      <w:r>
        <w:rPr>
          <w:rFonts w:hint="eastAsia" w:ascii="宋体" w:hAnsi="宋体" w:cs="宋体"/>
          <w:color w:val="auto"/>
          <w:highlight w:val="none"/>
        </w:rPr>
        <w:t>项目经理：</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赵烨</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身份证号：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34110219951110082X</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建造师执业资格等级：</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二级建造师</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建造师注册证书号：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皖234181900041</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建造师执业印章号：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B21233400013173</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安全生产考核合格证书号：</w:t>
      </w:r>
      <w:r>
        <w:rPr>
          <w:rFonts w:hint="eastAsia" w:ascii="宋体" w:hAnsi="宋体" w:cs="宋体"/>
          <w:color w:val="auto"/>
          <w:highlight w:val="none"/>
          <w:u w:val="single"/>
          <w:lang w:val="en-US" w:eastAsia="zh-CN"/>
        </w:rPr>
        <w:t xml:space="preserve">  皖建安B（2019）0183558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13721000435</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323173448@qq.com</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滁州市南谯区茂业华美达D座1201</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承包人对项目经理的授权范围如下：</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合同范围内全权委托</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关于项目经理每月在施工现场的时间要求：</w:t>
      </w:r>
      <w:r>
        <w:rPr>
          <w:rFonts w:hint="eastAsia" w:ascii="宋体" w:hAnsi="宋体" w:cs="宋体"/>
          <w:color w:val="auto"/>
          <w:szCs w:val="21"/>
          <w:highlight w:val="none"/>
          <w:u w:val="single"/>
        </w:rPr>
        <w:t>项目经理（建造师）、技术负责人必须保证每月在工地工作时间不少于20工作日，</w:t>
      </w:r>
      <w:r>
        <w:rPr>
          <w:rFonts w:hint="eastAsia" w:ascii="宋体" w:hAnsi="宋体" w:cs="宋体"/>
          <w:color w:val="auto"/>
          <w:kern w:val="0"/>
          <w:szCs w:val="21"/>
          <w:highlight w:val="none"/>
          <w:u w:val="single"/>
        </w:rPr>
        <w:t>每日不少于8小时，</w:t>
      </w:r>
      <w:r>
        <w:rPr>
          <w:rFonts w:hint="eastAsia" w:ascii="宋体" w:hAnsi="宋体" w:cs="宋体"/>
          <w:color w:val="auto"/>
          <w:szCs w:val="21"/>
          <w:highlight w:val="none"/>
          <w:u w:val="single"/>
        </w:rPr>
        <w:t>特殊情况下需离开时必须事先征得发包人和监理同意后方可离开</w:t>
      </w:r>
      <w:r>
        <w:rPr>
          <w:rFonts w:hint="eastAsia" w:ascii="宋体" w:hAnsi="宋体" w:cs="宋体"/>
          <w:color w:val="auto"/>
          <w:szCs w:val="21"/>
          <w:highlight w:val="none"/>
        </w:rPr>
        <w:t>。</w:t>
      </w:r>
      <w:r>
        <w:rPr>
          <w:rFonts w:hint="eastAsia" w:ascii="宋体" w:hAnsi="宋体" w:cs="宋体"/>
          <w:color w:val="auto"/>
          <w:highlight w:val="none"/>
        </w:rPr>
        <w:t xml:space="preserve"> </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承包人未提交劳动合同，以及没有为项目经理缴纳社会保险证明的违约责任：</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项目经理未经批准，擅自离开施工现场的违约责任：</w:t>
      </w:r>
      <w:r>
        <w:rPr>
          <w:rFonts w:hint="eastAsia" w:ascii="宋体" w:hAnsi="宋体" w:cs="宋体"/>
          <w:color w:val="auto"/>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3.2.3 承包人擅自更换项目经理的违约责任：</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szCs w:val="21"/>
          <w:highlight w:val="none"/>
          <w:u w:val="single"/>
        </w:rPr>
        <w:t>承包人不得擅自更换</w:t>
      </w:r>
      <w:r>
        <w:rPr>
          <w:rFonts w:hint="eastAsia" w:ascii="宋体" w:hAnsi="宋体" w:cs="宋体"/>
          <w:color w:val="auto"/>
          <w:szCs w:val="21"/>
          <w:highlight w:val="none"/>
          <w:u w:val="single"/>
          <w:lang w:eastAsia="zh-CN"/>
        </w:rPr>
        <w:t>响应</w:t>
      </w:r>
      <w:r>
        <w:rPr>
          <w:rFonts w:hint="eastAsia" w:ascii="宋体" w:hAnsi="宋体" w:cs="宋体"/>
          <w:color w:val="auto"/>
          <w:szCs w:val="21"/>
          <w:highlight w:val="none"/>
          <w:u w:val="single"/>
        </w:rPr>
        <w:t>时所报项目经理,否则发包人有权解除合同，由此造成的损失由承包人自行承担，承包人还应赔偿由此造成发包人的全部损失。确需更换的须在签订合同后，报经发包人同意后按相关规定办理，</w:t>
      </w:r>
      <w:r>
        <w:rPr>
          <w:rFonts w:hint="eastAsia" w:ascii="宋体" w:hAnsi="宋体" w:cs="宋体"/>
          <w:b/>
          <w:bCs/>
          <w:color w:val="auto"/>
          <w:szCs w:val="21"/>
          <w:highlight w:val="none"/>
          <w:u w:val="single"/>
        </w:rPr>
        <w:t>并支付10万元的违约金</w:t>
      </w:r>
      <w:r>
        <w:rPr>
          <w:rFonts w:hint="eastAsia" w:ascii="宋体" w:hAnsi="宋体" w:cs="宋体"/>
          <w:color w:val="auto"/>
          <w:szCs w:val="21"/>
          <w:highlight w:val="none"/>
          <w:u w:val="single"/>
        </w:rPr>
        <w:t>，更换后的人员不得低于承包人</w:t>
      </w:r>
      <w:r>
        <w:rPr>
          <w:rFonts w:hint="eastAsia" w:ascii="宋体" w:hAnsi="宋体" w:cs="宋体"/>
          <w:color w:val="auto"/>
          <w:szCs w:val="21"/>
          <w:highlight w:val="none"/>
          <w:u w:val="single"/>
          <w:lang w:eastAsia="zh-CN"/>
        </w:rPr>
        <w:t>响应</w:t>
      </w:r>
      <w:r>
        <w:rPr>
          <w:rFonts w:hint="eastAsia" w:ascii="宋体" w:hAnsi="宋体" w:cs="宋体"/>
          <w:color w:val="auto"/>
          <w:szCs w:val="21"/>
          <w:highlight w:val="none"/>
          <w:u w:val="single"/>
        </w:rPr>
        <w:t>时所报人员资质和技术水平。</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3.2.4 承包人无正当理由拒绝更换项目经理的违约责任：</w:t>
      </w:r>
      <w:r>
        <w:rPr>
          <w:rFonts w:hint="eastAsia" w:ascii="宋体" w:hAnsi="宋体" w:cs="宋体"/>
          <w:color w:val="auto"/>
          <w:szCs w:val="21"/>
          <w:highlight w:val="none"/>
          <w:u w:val="single"/>
        </w:rPr>
        <w:t>承包方项目经理（建造师）、项目技术负责人不满足岗位管理水平及技术水平等原因要求时，发包人和监理单位可要求承包方更换，更换后人员不得低于承包人</w:t>
      </w:r>
      <w:r>
        <w:rPr>
          <w:rFonts w:hint="eastAsia" w:ascii="宋体" w:hAnsi="宋体" w:cs="宋体"/>
          <w:color w:val="auto"/>
          <w:szCs w:val="21"/>
          <w:highlight w:val="none"/>
          <w:u w:val="single"/>
          <w:lang w:eastAsia="zh-CN"/>
        </w:rPr>
        <w:t>响应</w:t>
      </w:r>
      <w:r>
        <w:rPr>
          <w:rFonts w:hint="eastAsia" w:ascii="宋体" w:hAnsi="宋体" w:cs="宋体"/>
          <w:color w:val="auto"/>
          <w:szCs w:val="21"/>
          <w:highlight w:val="none"/>
          <w:u w:val="single"/>
        </w:rPr>
        <w:t>时所报人员资质和技术水平，并经发包人书面认可，同时发包人对承包人处以人民币10万元违约金/人.次。如承包人拒不更换项目经理（建造师），发包人有权要求承包人退场</w:t>
      </w:r>
      <w:r>
        <w:rPr>
          <w:rFonts w:hint="eastAsia" w:ascii="宋体" w:hAnsi="宋体" w:cs="宋体"/>
          <w:color w:val="auto"/>
          <w:szCs w:val="21"/>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3.3 承包人人员</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3.3.1 承包人提交项目管理机构及施工现场管理人员安排报告的期限：</w:t>
      </w:r>
      <w:r>
        <w:rPr>
          <w:rFonts w:hint="eastAsia" w:ascii="宋体" w:hAnsi="宋体" w:cs="宋体"/>
          <w:color w:val="auto"/>
          <w:szCs w:val="21"/>
          <w:highlight w:val="none"/>
          <w:u w:val="single"/>
        </w:rPr>
        <w:t xml:space="preserve"> 签订合同时（施工现场管理人员应当为承包人缴纳社保人员。）</w:t>
      </w:r>
      <w:r>
        <w:rPr>
          <w:rFonts w:hint="eastAsia" w:ascii="宋体" w:hAnsi="宋体" w:cs="宋体"/>
          <w:color w:val="auto"/>
          <w:highlight w:val="none"/>
        </w:rPr>
        <w:t>。</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3.3.3 承包人无正当理由拒绝撤换主要施工管理人员的违约责任：</w:t>
      </w:r>
      <w:r>
        <w:rPr>
          <w:rFonts w:hint="eastAsia" w:ascii="宋体" w:hAnsi="宋体" w:cs="宋体"/>
          <w:color w:val="auto"/>
          <w:highlight w:val="none"/>
          <w:u w:val="single"/>
        </w:rPr>
        <w:t xml:space="preserve"> </w:t>
      </w:r>
      <w:r>
        <w:rPr>
          <w:rFonts w:hint="eastAsia" w:ascii="宋体" w:hAnsi="宋体" w:cs="宋体"/>
          <w:bCs/>
          <w:color w:val="auto"/>
          <w:szCs w:val="21"/>
          <w:highlight w:val="none"/>
          <w:u w:val="single"/>
        </w:rPr>
        <w:t>发包人可以要求承包人更换其认为不称职或不符合要求的项目施工管理人员，承包人应予以执行。</w:t>
      </w:r>
      <w:r>
        <w:rPr>
          <w:rFonts w:hint="eastAsia" w:ascii="宋体" w:hAnsi="宋体" w:cs="宋体"/>
          <w:color w:val="auto"/>
          <w:szCs w:val="21"/>
          <w:highlight w:val="none"/>
          <w:u w:val="single"/>
        </w:rPr>
        <w:t>对未按</w:t>
      </w:r>
      <w:r>
        <w:rPr>
          <w:rFonts w:hint="eastAsia" w:ascii="宋体" w:hAnsi="宋体" w:cs="宋体"/>
          <w:color w:val="auto"/>
          <w:szCs w:val="21"/>
          <w:highlight w:val="none"/>
          <w:u w:val="single"/>
          <w:lang w:eastAsia="zh-CN"/>
        </w:rPr>
        <w:t>采购</w:t>
      </w:r>
      <w:r>
        <w:rPr>
          <w:rFonts w:hint="eastAsia" w:ascii="宋体" w:hAnsi="宋体" w:cs="宋体"/>
          <w:color w:val="auto"/>
          <w:szCs w:val="21"/>
          <w:highlight w:val="none"/>
          <w:u w:val="single"/>
        </w:rPr>
        <w:t>文件配备或经考核不合格要求更换人员的，承包人7日内必须整改调整到位。否则，对于项目经理和技术负责人，按照2000元/人·天的违约金进行处罚，对于施工现场其他管理人员按照1000元/人·天的违约金进行处罚。28日内未整改调整到位的，发包人有权终止合同，并提请相关行政主管部门对企业和人员进行处罚</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3.3.4 承包人主要施工管理人员离开施工现场的批准要求：</w:t>
      </w:r>
      <w:r>
        <w:rPr>
          <w:rFonts w:hint="eastAsia" w:ascii="宋体" w:hAnsi="宋体" w:cs="宋体"/>
          <w:color w:val="auto"/>
          <w:szCs w:val="21"/>
          <w:highlight w:val="none"/>
          <w:u w:val="single"/>
        </w:rPr>
        <w:t xml:space="preserve">需离开时必须事先征得发包人和监理单位同意后方可离开 </w:t>
      </w:r>
      <w:r>
        <w:rPr>
          <w:rFonts w:hint="eastAsia" w:ascii="宋体" w:hAnsi="宋体" w:cs="宋体"/>
          <w:color w:val="auto"/>
          <w:highlight w:val="none"/>
        </w:rPr>
        <w:t>。</w:t>
      </w:r>
    </w:p>
    <w:p>
      <w:pPr>
        <w:adjustRightInd w:val="0"/>
        <w:snapToGrid w:val="0"/>
        <w:spacing w:line="384" w:lineRule="auto"/>
        <w:ind w:firstLine="424" w:firstLineChars="202"/>
        <w:rPr>
          <w:rFonts w:ascii="宋体" w:hAnsi="宋体" w:cs="宋体"/>
          <w:color w:val="auto"/>
          <w:highlight w:val="none"/>
        </w:rPr>
      </w:pPr>
      <w:r>
        <w:rPr>
          <w:rFonts w:hint="eastAsia" w:ascii="宋体" w:hAnsi="宋体" w:cs="宋体"/>
          <w:color w:val="auto"/>
          <w:highlight w:val="none"/>
        </w:rPr>
        <w:t>3.3.5 承包人擅自更换主要施工管理人员的违约责任：</w:t>
      </w:r>
      <w:r>
        <w:rPr>
          <w:rFonts w:hint="eastAsia" w:ascii="宋体" w:hAnsi="宋体" w:cs="宋体"/>
          <w:color w:val="auto"/>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w:t>
      </w:r>
      <w:r>
        <w:rPr>
          <w:rFonts w:hint="eastAsia" w:ascii="宋体" w:hAnsi="宋体" w:cs="宋体"/>
          <w:b/>
          <w:bCs/>
          <w:color w:val="auto"/>
          <w:szCs w:val="21"/>
          <w:highlight w:val="none"/>
          <w:u w:val="single"/>
        </w:rPr>
        <w:t>并支付 1万元/人的违约金，</w:t>
      </w:r>
      <w:r>
        <w:rPr>
          <w:rFonts w:hint="eastAsia" w:ascii="宋体" w:hAnsi="宋体" w:cs="宋体"/>
          <w:color w:val="auto"/>
          <w:szCs w:val="21"/>
          <w:highlight w:val="none"/>
          <w:u w:val="single"/>
        </w:rPr>
        <w:t>更换后的人员不得低于承包人</w:t>
      </w:r>
      <w:r>
        <w:rPr>
          <w:rFonts w:hint="eastAsia" w:ascii="宋体" w:hAnsi="宋体" w:cs="宋体"/>
          <w:color w:val="auto"/>
          <w:szCs w:val="21"/>
          <w:highlight w:val="none"/>
          <w:u w:val="single"/>
          <w:lang w:eastAsia="zh-CN"/>
        </w:rPr>
        <w:t>响应</w:t>
      </w:r>
      <w:r>
        <w:rPr>
          <w:rFonts w:hint="eastAsia" w:ascii="宋体" w:hAnsi="宋体" w:cs="宋体"/>
          <w:color w:val="auto"/>
          <w:szCs w:val="21"/>
          <w:highlight w:val="none"/>
          <w:u w:val="single"/>
        </w:rPr>
        <w:t>时所报人员资质和技术水平。发包人如认为有必要，可要求对上述人员中的部分人员作出更好的调整。</w:t>
      </w:r>
    </w:p>
    <w:p>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highlight w:val="none"/>
        </w:rPr>
        <w:t>承包人主要施工管理人员擅自离开施工现场的违约责任：</w:t>
      </w:r>
      <w:r>
        <w:rPr>
          <w:rFonts w:hint="eastAsia" w:ascii="宋体" w:hAnsi="宋体" w:cs="宋体"/>
          <w:color w:val="auto"/>
          <w:szCs w:val="21"/>
          <w:highlight w:val="none"/>
          <w:u w:val="single"/>
        </w:rPr>
        <w:t>擅自离开施工现场的，</w:t>
      </w:r>
      <w:r>
        <w:rPr>
          <w:rFonts w:hint="eastAsia" w:ascii="宋体" w:hAnsi="宋体" w:cs="宋体"/>
          <w:bCs/>
          <w:color w:val="auto"/>
          <w:szCs w:val="21"/>
          <w:highlight w:val="none"/>
          <w:u w:val="single"/>
        </w:rPr>
        <w:t>技术负责人</w:t>
      </w:r>
      <w:r>
        <w:rPr>
          <w:rFonts w:hint="eastAsia" w:ascii="宋体" w:hAnsi="宋体" w:cs="宋体"/>
          <w:color w:val="auto"/>
          <w:szCs w:val="21"/>
          <w:highlight w:val="none"/>
          <w:u w:val="single"/>
        </w:rPr>
        <w:t>从当期工程款中扣除每次2000元违约金.其他主要施工管理人员从当期工程款中扣除，每人每次1000 元违约金。</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bCs/>
          <w:color w:val="auto"/>
          <w:szCs w:val="21"/>
          <w:highlight w:val="none"/>
          <w:u w:val="single"/>
        </w:rPr>
        <w:t>在各级相关部门现场检查过程中发现项目经理、技术负责人、安全员、质检员等主要管理人员未按合同约定在岗三次及以上的，将上报建设行政主管部门依法依规处理，并在相关信用信息平台披露。</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3</w:t>
      </w:r>
      <w:bookmarkStart w:id="87" w:name="_Toc297123492"/>
      <w:bookmarkStart w:id="88" w:name="_Toc297120459"/>
      <w:bookmarkStart w:id="89" w:name="_Toc296891199"/>
      <w:bookmarkStart w:id="90" w:name="_Toc300934945"/>
      <w:bookmarkStart w:id="91" w:name="_Toc296503159"/>
      <w:bookmarkStart w:id="92" w:name="_Toc303539102"/>
      <w:bookmarkStart w:id="93" w:name="_Toc312677988"/>
      <w:bookmarkStart w:id="94" w:name="_Toc304295523"/>
      <w:bookmarkStart w:id="95" w:name="_Toc296346660"/>
      <w:bookmarkStart w:id="96" w:name="_Toc296944498"/>
      <w:bookmarkStart w:id="97" w:name="_Toc296347158"/>
      <w:bookmarkStart w:id="98" w:name="_Toc297048345"/>
      <w:bookmarkStart w:id="99" w:name="_Toc292559869"/>
      <w:bookmarkStart w:id="100" w:name="_Toc296890987"/>
      <w:bookmarkStart w:id="101" w:name="_Toc292559364"/>
      <w:bookmarkStart w:id="102" w:name="_Toc297216151"/>
      <w:r>
        <w:rPr>
          <w:rFonts w:hint="eastAsia" w:ascii="宋体" w:hAnsi="宋体" w:cs="宋体"/>
          <w:bCs/>
          <w:color w:val="auto"/>
          <w:szCs w:val="28"/>
          <w:highlight w:val="none"/>
        </w:rPr>
        <w:t>.5 分包</w:t>
      </w:r>
    </w:p>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3</w:t>
      </w:r>
      <w:bookmarkStart w:id="103" w:name="_Toc296346661"/>
      <w:bookmarkStart w:id="104" w:name="_Toc292559365"/>
      <w:bookmarkStart w:id="105" w:name="_Toc296891200"/>
      <w:bookmarkStart w:id="106" w:name="_Toc296347159"/>
      <w:bookmarkStart w:id="107" w:name="_Toc297216152"/>
      <w:bookmarkStart w:id="108" w:name="_Toc297123493"/>
      <w:bookmarkStart w:id="109" w:name="_Toc303539103"/>
      <w:bookmarkStart w:id="110" w:name="_Toc297048346"/>
      <w:bookmarkStart w:id="111" w:name="_Toc304295524"/>
      <w:bookmarkStart w:id="112" w:name="_Toc296944499"/>
      <w:bookmarkStart w:id="113" w:name="_Toc300934946"/>
      <w:bookmarkStart w:id="114" w:name="_Toc296503160"/>
      <w:bookmarkStart w:id="115" w:name="_Toc292559870"/>
      <w:bookmarkStart w:id="116" w:name="_Toc296890988"/>
      <w:bookmarkStart w:id="117" w:name="_Toc297120460"/>
      <w:bookmarkStart w:id="118" w:name="_Toc312677989"/>
      <w:bookmarkStart w:id="119" w:name="_Toc318581158"/>
      <w:r>
        <w:rPr>
          <w:rFonts w:hint="eastAsia" w:ascii="宋体" w:hAnsi="宋体" w:cs="宋体"/>
          <w:color w:val="auto"/>
          <w:highlight w:val="none"/>
        </w:rPr>
        <w:t>.5.1 分包的一般约定</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禁止分包的工程包括：</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主体结构、关键性工作的范围：</w:t>
      </w:r>
      <w:r>
        <w:rPr>
          <w:rFonts w:hint="eastAsia" w:ascii="宋体" w:hAnsi="宋体" w:cs="宋体"/>
          <w:color w:val="auto"/>
          <w:highlight w:val="none"/>
          <w:u w:val="single"/>
        </w:rPr>
        <w:t xml:space="preserve">      /                                </w:t>
      </w:r>
      <w:r>
        <w:rPr>
          <w:rFonts w:hint="eastAsia" w:ascii="宋体" w:hAnsi="宋体" w:cs="宋体"/>
          <w:color w:val="auto"/>
          <w:highlight w:val="none"/>
        </w:rPr>
        <w:t>。</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Start w:id="120" w:name="_Toc297120461"/>
      <w:bookmarkStart w:id="121" w:name="_Toc296890989"/>
      <w:bookmarkStart w:id="122" w:name="_Toc297048347"/>
      <w:bookmarkStart w:id="123" w:name="_Toc296503161"/>
      <w:bookmarkStart w:id="124" w:name="_Toc296944500"/>
      <w:bookmarkStart w:id="125" w:name="_Toc296346662"/>
      <w:bookmarkStart w:id="126" w:name="_Toc297123494"/>
      <w:bookmarkStart w:id="127" w:name="_Toc296891201"/>
      <w:bookmarkStart w:id="128" w:name="_Toc300934947"/>
      <w:bookmarkStart w:id="129" w:name="_Toc304295525"/>
      <w:bookmarkStart w:id="130" w:name="_Toc303539104"/>
      <w:bookmarkStart w:id="131" w:name="_Toc297216153"/>
      <w:bookmarkStart w:id="132" w:name="_Toc296347160"/>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3</w:t>
      </w:r>
      <w:bookmarkStart w:id="133" w:name="_Toc318581159"/>
      <w:bookmarkStart w:id="134" w:name="_Toc312677990"/>
      <w:r>
        <w:rPr>
          <w:rFonts w:hint="eastAsia" w:ascii="宋体" w:hAnsi="宋体" w:cs="宋体"/>
          <w:color w:val="auto"/>
          <w:highlight w:val="none"/>
        </w:rPr>
        <w:t>.5.2 分包的确定</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允许分包的专业工程包括：</w:t>
      </w:r>
      <w:r>
        <w:rPr>
          <w:rFonts w:hint="eastAsia" w:ascii="宋体" w:hAnsi="宋体" w:cs="宋体"/>
          <w:color w:val="auto"/>
          <w:szCs w:val="21"/>
          <w:highlight w:val="none"/>
          <w:u w:val="single"/>
        </w:rPr>
        <w:t xml:space="preserve">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其他关于分包的约定：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3.5.4 分包合同价款</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关于分包合同价款支付的约定：</w:t>
      </w:r>
      <w:r>
        <w:rPr>
          <w:rFonts w:hint="eastAsia" w:ascii="宋体" w:hAnsi="宋体" w:cs="宋体"/>
          <w:color w:val="auto"/>
          <w:szCs w:val="21"/>
          <w:highlight w:val="none"/>
          <w:u w:val="single"/>
        </w:rPr>
        <w:t xml:space="preserve">     /     </w:t>
      </w:r>
      <w:r>
        <w:rPr>
          <w:rFonts w:hint="eastAsia" w:ascii="宋体" w:hAnsi="宋体" w:cs="宋体"/>
          <w:color w:val="auto"/>
          <w:highlight w:val="none"/>
        </w:rPr>
        <w:t>。</w:t>
      </w:r>
    </w:p>
    <w:bookmarkEnd w:id="133"/>
    <w:bookmarkEnd w:id="134"/>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3.6 工程照管与成品、半成品保护</w:t>
      </w:r>
    </w:p>
    <w:p>
      <w:pPr>
        <w:adjustRightInd w:val="0"/>
        <w:snapToGrid w:val="0"/>
        <w:spacing w:line="384" w:lineRule="auto"/>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承包人负责照管工程及工程相关的材料、工程设备的起始时间：</w:t>
      </w:r>
      <w:r>
        <w:rPr>
          <w:rFonts w:hint="eastAsia" w:ascii="宋体" w:hAnsi="宋体" w:cs="宋体"/>
          <w:color w:val="auto"/>
          <w:szCs w:val="21"/>
          <w:highlight w:val="none"/>
          <w:u w:val="single"/>
        </w:rPr>
        <w:t>自发包人向承包人移交施工现场之日起，承包人应负责照管工程及工程相关的材料、工程设备，直到颁发工程接收证书之日止。</w:t>
      </w:r>
    </w:p>
    <w:p>
      <w:pPr>
        <w:keepNext/>
        <w:keepLines/>
        <w:adjustRightInd w:val="0"/>
        <w:snapToGrid w:val="0"/>
        <w:spacing w:line="384" w:lineRule="auto"/>
        <w:ind w:firstLine="420" w:firstLineChars="200"/>
        <w:outlineLvl w:val="3"/>
        <w:rPr>
          <w:rFonts w:hint="default" w:ascii="宋体" w:hAnsi="宋体" w:eastAsia="宋体" w:cs="宋体"/>
          <w:bCs/>
          <w:color w:val="auto"/>
          <w:szCs w:val="28"/>
          <w:highlight w:val="none"/>
          <w:lang w:val="en-US" w:eastAsia="zh-CN"/>
        </w:rPr>
      </w:pPr>
      <w:r>
        <w:rPr>
          <w:rFonts w:hint="eastAsia" w:ascii="宋体" w:hAnsi="宋体" w:cs="宋体"/>
          <w:bCs/>
          <w:color w:val="auto"/>
          <w:szCs w:val="28"/>
          <w:highlight w:val="none"/>
        </w:rPr>
        <w:t>3.7 履约保证金</w:t>
      </w:r>
      <w:r>
        <w:rPr>
          <w:rFonts w:hint="eastAsia" w:ascii="宋体" w:hAnsi="宋体" w:cs="宋体"/>
          <w:bCs/>
          <w:color w:val="auto"/>
          <w:szCs w:val="28"/>
          <w:highlight w:val="none"/>
          <w:lang w:eastAsia="zh-CN"/>
        </w:rPr>
        <w:t>（</w:t>
      </w:r>
      <w:r>
        <w:rPr>
          <w:rFonts w:hint="eastAsia" w:ascii="宋体" w:hAnsi="宋体" w:cs="宋体"/>
          <w:bCs/>
          <w:color w:val="auto"/>
          <w:szCs w:val="28"/>
          <w:highlight w:val="none"/>
          <w:lang w:val="en-US" w:eastAsia="zh-CN"/>
        </w:rPr>
        <w:t>本项不采用）</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承包人是否提供履约保证金：</w:t>
      </w:r>
      <w:r>
        <w:rPr>
          <w:rFonts w:hint="eastAsia" w:ascii="宋体" w:hAnsi="宋体" w:cs="宋体"/>
          <w:color w:val="auto"/>
          <w:szCs w:val="21"/>
          <w:highlight w:val="none"/>
          <w:u w:val="single"/>
        </w:rPr>
        <w:t>提供</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bCs/>
          <w:snapToGrid w:val="0"/>
          <w:color w:val="auto"/>
          <w:kern w:val="0"/>
          <w:szCs w:val="21"/>
          <w:highlight w:val="none"/>
        </w:rPr>
      </w:pPr>
      <w:r>
        <w:rPr>
          <w:rFonts w:hint="eastAsia" w:ascii="宋体" w:hAnsi="宋体" w:cs="宋体"/>
          <w:color w:val="auto"/>
          <w:highlight w:val="none"/>
        </w:rPr>
        <w:t>承包人提供履约保证金的形式：</w:t>
      </w:r>
      <w:r>
        <w:rPr>
          <w:rFonts w:hint="eastAsia" w:ascii="宋体" w:hAnsi="宋体" w:cs="宋体"/>
          <w:bCs/>
          <w:snapToGrid w:val="0"/>
          <w:color w:val="auto"/>
          <w:kern w:val="0"/>
          <w:szCs w:val="21"/>
          <w:highlight w:val="none"/>
        </w:rPr>
        <w:t>银行转账或银行电汇或银行保函或担保机构担保或保证保险</w:t>
      </w:r>
    </w:p>
    <w:p>
      <w:pPr>
        <w:adjustRightInd w:val="0"/>
        <w:snapToGrid w:val="0"/>
        <w:spacing w:line="384" w:lineRule="auto"/>
        <w:ind w:left="-73" w:leftChars="-35" w:firstLine="497" w:firstLineChars="237"/>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管理局备案的融资担保机构出具的无条件担保。</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履约保证金的金额：</w:t>
      </w:r>
      <w:r>
        <w:rPr>
          <w:rFonts w:hint="eastAsia" w:ascii="宋体" w:hAnsi="宋体" w:cs="宋体"/>
          <w:color w:val="auto"/>
          <w:highlight w:val="none"/>
          <w:lang w:eastAsia="zh-CN"/>
        </w:rPr>
        <w:t>成交</w:t>
      </w:r>
      <w:r>
        <w:rPr>
          <w:rFonts w:hint="eastAsia" w:ascii="宋体" w:hAnsi="宋体" w:cs="宋体"/>
          <w:color w:val="auto"/>
          <w:highlight w:val="none"/>
        </w:rPr>
        <w:t xml:space="preserve">合同金额的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履约保证金提交期限的要求：</w:t>
      </w:r>
      <w:r>
        <w:rPr>
          <w:rFonts w:hint="eastAsia" w:ascii="宋体" w:hAnsi="宋体" w:cs="宋体"/>
          <w:color w:val="auto"/>
          <w:szCs w:val="21"/>
          <w:highlight w:val="none"/>
          <w:u w:val="single"/>
        </w:rPr>
        <w:t>签订合同前。</w:t>
      </w:r>
      <w:r>
        <w:rPr>
          <w:rFonts w:hint="eastAsia" w:ascii="宋体" w:hAnsi="宋体" w:cs="宋体"/>
          <w:color w:val="auto"/>
          <w:highlight w:val="none"/>
        </w:rPr>
        <w:t xml:space="preserve"> </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bCs/>
          <w:snapToGrid w:val="0"/>
          <w:color w:val="auto"/>
          <w:kern w:val="0"/>
          <w:szCs w:val="21"/>
          <w:highlight w:val="none"/>
        </w:rPr>
        <w:t>履约保证金退还时限：履约保证金有效期满7日内（最迟不得超过项目竣工验收通过后28天）。</w:t>
      </w:r>
    </w:p>
    <w:p>
      <w:pPr>
        <w:keepNext/>
        <w:keepLines/>
        <w:adjustRightInd w:val="0"/>
        <w:snapToGrid w:val="0"/>
        <w:spacing w:line="384" w:lineRule="auto"/>
        <w:jc w:val="left"/>
        <w:outlineLvl w:val="2"/>
        <w:rPr>
          <w:rFonts w:ascii="宋体" w:hAnsi="宋体" w:cs="宋体"/>
          <w:bCs/>
          <w:color w:val="auto"/>
          <w:sz w:val="24"/>
          <w:highlight w:val="none"/>
        </w:rPr>
      </w:pPr>
      <w:bookmarkStart w:id="135" w:name="_Toc95223465"/>
      <w:bookmarkStart w:id="136" w:name="_Toc351203636"/>
      <w:r>
        <w:rPr>
          <w:rFonts w:hint="eastAsia" w:ascii="宋体" w:hAnsi="宋体" w:cs="宋体"/>
          <w:bCs/>
          <w:color w:val="auto"/>
          <w:sz w:val="24"/>
          <w:highlight w:val="none"/>
        </w:rPr>
        <w:t>4</w:t>
      </w:r>
      <w:bookmarkStart w:id="137" w:name="_Toc292559366"/>
      <w:bookmarkStart w:id="138" w:name="_Toc296890990"/>
      <w:bookmarkStart w:id="139" w:name="_Toc267251413"/>
      <w:bookmarkStart w:id="140" w:name="_Toc296944501"/>
      <w:bookmarkStart w:id="141" w:name="_Toc296891202"/>
      <w:bookmarkStart w:id="142" w:name="_Toc292559871"/>
      <w:bookmarkStart w:id="143" w:name="_Toc297048348"/>
      <w:bookmarkStart w:id="144" w:name="_Toc297120462"/>
      <w:bookmarkStart w:id="145" w:name="_Toc296503162"/>
      <w:bookmarkStart w:id="146" w:name="_Toc296346663"/>
      <w:bookmarkStart w:id="147" w:name="_Toc296347161"/>
      <w:r>
        <w:rPr>
          <w:rFonts w:hint="eastAsia" w:ascii="宋体" w:hAnsi="宋体" w:cs="宋体"/>
          <w:bCs/>
          <w:color w:val="auto"/>
          <w:sz w:val="24"/>
          <w:highlight w:val="none"/>
        </w:rPr>
        <w:t>. 监</w:t>
      </w:r>
      <w:bookmarkEnd w:id="137"/>
      <w:bookmarkEnd w:id="138"/>
      <w:bookmarkEnd w:id="139"/>
      <w:bookmarkEnd w:id="140"/>
      <w:bookmarkEnd w:id="141"/>
      <w:bookmarkEnd w:id="142"/>
      <w:bookmarkEnd w:id="143"/>
      <w:bookmarkEnd w:id="144"/>
      <w:bookmarkEnd w:id="145"/>
      <w:bookmarkEnd w:id="146"/>
      <w:bookmarkEnd w:id="147"/>
      <w:r>
        <w:rPr>
          <w:rFonts w:hint="eastAsia" w:ascii="宋体" w:hAnsi="宋体" w:cs="宋体"/>
          <w:bCs/>
          <w:color w:val="auto"/>
          <w:sz w:val="24"/>
          <w:highlight w:val="none"/>
        </w:rPr>
        <w:t>理人</w:t>
      </w:r>
      <w:bookmarkEnd w:id="135"/>
      <w:bookmarkEnd w:id="136"/>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4.1 监理人的一般规定</w:t>
      </w:r>
    </w:p>
    <w:p>
      <w:pPr>
        <w:adjustRightInd w:val="0"/>
        <w:snapToGrid w:val="0"/>
        <w:spacing w:line="384" w:lineRule="auto"/>
        <w:ind w:firstLine="420" w:firstLineChars="200"/>
        <w:rPr>
          <w:rFonts w:ascii="宋体" w:hAnsi="宋体" w:cs="宋体"/>
          <w:b/>
          <w:color w:val="auto"/>
          <w:highlight w:val="none"/>
          <w:u w:val="single"/>
        </w:rPr>
      </w:pPr>
      <w:r>
        <w:rPr>
          <w:rFonts w:hint="eastAsia" w:ascii="宋体" w:hAnsi="宋体" w:cs="宋体"/>
          <w:color w:val="auto"/>
          <w:highlight w:val="none"/>
        </w:rPr>
        <w:t>关于监理人的监理内容：</w:t>
      </w:r>
      <w:r>
        <w:rPr>
          <w:rFonts w:hint="eastAsia" w:ascii="宋体" w:hAnsi="宋体" w:cs="宋体"/>
          <w:color w:val="auto"/>
          <w:szCs w:val="21"/>
          <w:highlight w:val="none"/>
          <w:u w:val="single"/>
        </w:rPr>
        <w:t xml:space="preserve">  详见监理合同  </w:t>
      </w:r>
      <w:r>
        <w:rPr>
          <w:rFonts w:hint="eastAsia" w:ascii="宋体" w:hAnsi="宋体" w:cs="宋体"/>
          <w:color w:val="auto"/>
          <w:szCs w:val="21"/>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关于监理人的监理权限：</w:t>
      </w:r>
      <w:r>
        <w:rPr>
          <w:rFonts w:hint="eastAsia" w:ascii="宋体" w:hAnsi="宋体" w:cs="宋体"/>
          <w:color w:val="auto"/>
          <w:szCs w:val="21"/>
          <w:highlight w:val="none"/>
          <w:u w:val="single"/>
        </w:rPr>
        <w:t xml:space="preserve"> 详见监理合同   </w:t>
      </w:r>
      <w:r>
        <w:rPr>
          <w:rFonts w:hint="eastAsia" w:ascii="宋体" w:hAnsi="宋体" w:cs="宋体"/>
          <w:color w:val="auto"/>
          <w:szCs w:val="21"/>
          <w:highlight w:val="none"/>
        </w:rPr>
        <w:t>。</w:t>
      </w:r>
      <w:r>
        <w:rPr>
          <w:rFonts w:hint="eastAsia" w:ascii="宋体" w:hAnsi="宋体" w:cs="宋体"/>
          <w:color w:val="auto"/>
          <w:highlight w:val="none"/>
        </w:rPr>
        <w:t xml:space="preserve"> </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关于监理人在施工现场的办公场所、生活场所的提供和费用承担的约定：</w:t>
      </w:r>
      <w:r>
        <w:rPr>
          <w:rFonts w:hint="eastAsia" w:ascii="宋体" w:hAnsi="宋体" w:cs="宋体"/>
          <w:color w:val="auto"/>
          <w:szCs w:val="21"/>
          <w:highlight w:val="none"/>
          <w:u w:val="single"/>
        </w:rPr>
        <w:t xml:space="preserve">   详见监理合同 。</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4.2 监理人员</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总监理工程师：</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详见监理合同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监理工程师执业资格证书号：</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关于监理人的其他约定：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4.4 商定或确定</w:t>
      </w:r>
    </w:p>
    <w:p>
      <w:pPr>
        <w:adjustRightInd w:val="0"/>
        <w:snapToGrid w:val="0"/>
        <w:spacing w:line="384" w:lineRule="auto"/>
        <w:ind w:firstLine="420" w:firstLineChars="200"/>
        <w:rPr>
          <w:rFonts w:ascii="宋体" w:hAnsi="宋体" w:cs="宋体"/>
          <w:color w:val="auto"/>
          <w:highlight w:val="none"/>
        </w:rPr>
      </w:pPr>
      <w:bookmarkStart w:id="148" w:name="_Toc267251418"/>
      <w:r>
        <w:rPr>
          <w:rFonts w:hint="eastAsia" w:ascii="宋体" w:hAnsi="宋体" w:cs="宋体"/>
          <w:color w:val="auto"/>
          <w:highlight w:val="none"/>
        </w:rPr>
        <w:t>在发包人和承包人不能通过协商达成一致意见时，发包人授权监理人对以下事项进行确定：</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keepNext/>
        <w:keepLines/>
        <w:adjustRightInd w:val="0"/>
        <w:snapToGrid w:val="0"/>
        <w:spacing w:line="384" w:lineRule="auto"/>
        <w:jc w:val="left"/>
        <w:outlineLvl w:val="2"/>
        <w:rPr>
          <w:rFonts w:ascii="宋体" w:hAnsi="宋体" w:cs="宋体"/>
          <w:bCs/>
          <w:color w:val="auto"/>
          <w:sz w:val="24"/>
          <w:highlight w:val="none"/>
        </w:rPr>
      </w:pPr>
      <w:bookmarkStart w:id="149" w:name="_Toc351203637"/>
      <w:bookmarkStart w:id="150" w:name="_Toc95223466"/>
      <w:r>
        <w:rPr>
          <w:rFonts w:hint="eastAsia" w:ascii="宋体" w:hAnsi="宋体" w:cs="宋体"/>
          <w:bCs/>
          <w:color w:val="auto"/>
          <w:sz w:val="24"/>
          <w:highlight w:val="none"/>
        </w:rPr>
        <w:t>5</w:t>
      </w:r>
      <w:bookmarkEnd w:id="148"/>
      <w:bookmarkStart w:id="151" w:name="_Toc296503163"/>
      <w:bookmarkStart w:id="152" w:name="_Toc296347162"/>
      <w:bookmarkStart w:id="153" w:name="_Toc292559872"/>
      <w:bookmarkStart w:id="154" w:name="_Toc296944502"/>
      <w:bookmarkStart w:id="155" w:name="_Toc297120463"/>
      <w:bookmarkStart w:id="156" w:name="_Toc296890991"/>
      <w:bookmarkStart w:id="157" w:name="_Toc297048349"/>
      <w:bookmarkStart w:id="158" w:name="_Toc296346664"/>
      <w:bookmarkStart w:id="159" w:name="_Toc292559367"/>
      <w:bookmarkStart w:id="160" w:name="_Toc296891203"/>
      <w:r>
        <w:rPr>
          <w:rFonts w:hint="eastAsia" w:ascii="宋体" w:hAnsi="宋体" w:cs="宋体"/>
          <w:bCs/>
          <w:color w:val="auto"/>
          <w:sz w:val="24"/>
          <w:highlight w:val="none"/>
        </w:rPr>
        <w:t>. 工程质量</w:t>
      </w:r>
      <w:bookmarkEnd w:id="149"/>
      <w:bookmarkEnd w:id="150"/>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5.1 质量要求</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5</w:t>
      </w:r>
      <w:bookmarkStart w:id="161" w:name="_Toc300934949"/>
      <w:bookmarkStart w:id="162" w:name="_Toc304295527"/>
      <w:bookmarkStart w:id="163" w:name="_Toc312677997"/>
      <w:bookmarkStart w:id="164" w:name="_Toc297123496"/>
      <w:bookmarkStart w:id="165" w:name="_Toc303539106"/>
      <w:bookmarkStart w:id="166" w:name="_Toc297216155"/>
      <w:bookmarkStart w:id="167" w:name="_Toc318581164"/>
      <w:r>
        <w:rPr>
          <w:rFonts w:hint="eastAsia" w:ascii="宋体" w:hAnsi="宋体" w:cs="宋体"/>
          <w:color w:val="auto"/>
          <w:highlight w:val="none"/>
        </w:rPr>
        <w:t>.1.1 特殊质量标准和要求：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关于工程奖项的约定：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5.3 隐蔽工程检查</w:t>
      </w:r>
    </w:p>
    <w:p>
      <w:pPr>
        <w:adjustRightInd w:val="0"/>
        <w:snapToGrid w:val="0"/>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5.3.2 承包人提前通知监理人隐蔽工程检查的期限的约定：</w:t>
      </w:r>
      <w:r>
        <w:rPr>
          <w:rFonts w:hint="eastAsia" w:ascii="宋体" w:hAnsi="宋体" w:cs="宋体"/>
          <w:color w:val="auto"/>
          <w:szCs w:val="21"/>
          <w:highlight w:val="none"/>
          <w:u w:val="single"/>
        </w:rPr>
        <w:t xml:space="preserve"> 工程具备隐蔽条件或达到中间验收部位时，承包人自检合格后，在隐蔽和中间验收48小时前书面通知甲方代表和监理工程师参加。通知应包含承包人自检记录、隐蔽和中间验收的内容、时间和地点。承包人准备验收记录，验收合格，甲方代表及监理工程师在验收记录上签字后，方可进行隐蔽和继续施工。验收不合格，承包人在限定时间内重新验收。承包人不服从质量管理的，发包人有权清退其出场，并赔偿因此而造成的一切损失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监理人不能按时进行检查时，应提前</w:t>
      </w:r>
      <w:r>
        <w:rPr>
          <w:rFonts w:hint="eastAsia" w:ascii="宋体" w:hAnsi="宋体" w:cs="宋体"/>
          <w:color w:val="auto"/>
          <w:szCs w:val="21"/>
          <w:highlight w:val="none"/>
          <w:u w:val="single"/>
        </w:rPr>
        <w:t xml:space="preserve"> 24  </w:t>
      </w:r>
      <w:r>
        <w:rPr>
          <w:rFonts w:hint="eastAsia" w:ascii="宋体" w:hAnsi="宋体" w:cs="宋体"/>
          <w:color w:val="auto"/>
          <w:highlight w:val="none"/>
        </w:rPr>
        <w:t>小时提交书面延期要求。</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highlight w:val="none"/>
        </w:rPr>
        <w:t>小时。</w:t>
      </w:r>
    </w:p>
    <w:p>
      <w:pPr>
        <w:keepNext/>
        <w:keepLines/>
        <w:adjustRightInd w:val="0"/>
        <w:snapToGrid w:val="0"/>
        <w:spacing w:line="384" w:lineRule="auto"/>
        <w:jc w:val="left"/>
        <w:outlineLvl w:val="2"/>
        <w:rPr>
          <w:rFonts w:ascii="宋体" w:hAnsi="宋体" w:cs="宋体"/>
          <w:bCs/>
          <w:color w:val="auto"/>
          <w:sz w:val="24"/>
          <w:highlight w:val="none"/>
        </w:rPr>
      </w:pPr>
      <w:bookmarkStart w:id="168" w:name="_Toc351203638"/>
      <w:bookmarkStart w:id="169" w:name="_Toc95223467"/>
      <w:r>
        <w:rPr>
          <w:rFonts w:hint="eastAsia" w:ascii="宋体" w:hAnsi="宋体" w:cs="宋体"/>
          <w:bCs/>
          <w:color w:val="auto"/>
          <w:sz w:val="24"/>
          <w:highlight w:val="none"/>
        </w:rPr>
        <w:t>6. 安全文明施工与环境保护</w:t>
      </w:r>
      <w:bookmarkEnd w:id="168"/>
      <w:bookmarkEnd w:id="169"/>
    </w:p>
    <w:p>
      <w:pPr>
        <w:keepNext/>
        <w:keepLines/>
        <w:adjustRightInd w:val="0"/>
        <w:snapToGrid w:val="0"/>
        <w:spacing w:line="384" w:lineRule="auto"/>
        <w:jc w:val="left"/>
        <w:outlineLvl w:val="2"/>
        <w:rPr>
          <w:rFonts w:ascii="宋体" w:hAnsi="宋体" w:cs="宋体"/>
          <w:bCs/>
          <w:color w:val="auto"/>
          <w:szCs w:val="28"/>
          <w:highlight w:val="none"/>
        </w:rPr>
      </w:pPr>
      <w:r>
        <w:rPr>
          <w:rFonts w:hint="eastAsia" w:ascii="宋体" w:hAnsi="宋体" w:cs="宋体"/>
          <w:bCs/>
          <w:color w:val="auto"/>
          <w:szCs w:val="28"/>
          <w:highlight w:val="none"/>
        </w:rPr>
        <w:t>6.1 安全文明施工</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6.1.1 项目安全生产的达标目标及相应事项的约定：</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6.1.4 关于治安保卫的特别约定：</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关于编制施工场地治安管理计划的约定：</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6.1.5 文明施工</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合同当事人对文明施工的要求：</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6.1.6 关于安全文明施工费支付比例和支付期限的约定：</w:t>
      </w:r>
      <w:r>
        <w:rPr>
          <w:rFonts w:hint="eastAsia" w:ascii="宋体" w:hAnsi="宋体" w:cs="宋体"/>
          <w:color w:val="auto"/>
          <w:highlight w:val="none"/>
          <w:u w:val="single"/>
        </w:rPr>
        <w:t xml:space="preserve">                        </w:t>
      </w:r>
      <w:r>
        <w:rPr>
          <w:rFonts w:hint="eastAsia" w:ascii="宋体" w:hAnsi="宋体" w:cs="宋体"/>
          <w:color w:val="auto"/>
          <w:highlight w:val="none"/>
        </w:rPr>
        <w:t>。</w:t>
      </w:r>
    </w:p>
    <w:bookmarkEnd w:id="161"/>
    <w:bookmarkEnd w:id="162"/>
    <w:bookmarkEnd w:id="163"/>
    <w:bookmarkEnd w:id="164"/>
    <w:bookmarkEnd w:id="165"/>
    <w:bookmarkEnd w:id="166"/>
    <w:bookmarkEnd w:id="167"/>
    <w:p>
      <w:pPr>
        <w:keepNext/>
        <w:keepLines/>
        <w:adjustRightInd w:val="0"/>
        <w:snapToGrid w:val="0"/>
        <w:spacing w:line="384" w:lineRule="auto"/>
        <w:jc w:val="left"/>
        <w:outlineLvl w:val="2"/>
        <w:rPr>
          <w:rFonts w:ascii="宋体" w:hAnsi="宋体" w:cs="宋体"/>
          <w:bCs/>
          <w:color w:val="auto"/>
          <w:sz w:val="24"/>
          <w:highlight w:val="none"/>
        </w:rPr>
      </w:pPr>
      <w:bookmarkStart w:id="170" w:name="_Toc351203639"/>
      <w:bookmarkStart w:id="171" w:name="_Toc95223468"/>
      <w:r>
        <w:rPr>
          <w:rFonts w:hint="eastAsia" w:ascii="宋体" w:hAnsi="宋体" w:cs="宋体"/>
          <w:bCs/>
          <w:color w:val="auto"/>
          <w:sz w:val="24"/>
          <w:highlight w:val="none"/>
        </w:rPr>
        <w:t>7. 工期和进度</w:t>
      </w:r>
      <w:bookmarkEnd w:id="170"/>
      <w:bookmarkEnd w:id="171"/>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7.1 施工组织设计</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7.1.1 合</w:t>
      </w:r>
      <w:r>
        <w:rPr>
          <w:rFonts w:hint="eastAsia" w:ascii="宋体" w:hAnsi="宋体" w:cs="宋体"/>
          <w:color w:val="auto"/>
          <w:kern w:val="0"/>
          <w:highlight w:val="none"/>
        </w:rPr>
        <w:t>同当事人约定的施工组织设计应包括的其他内容：</w:t>
      </w:r>
      <w:r>
        <w:rPr>
          <w:rFonts w:hint="eastAsia" w:ascii="宋体" w:hAnsi="宋体" w:cs="宋体"/>
          <w:color w:val="auto"/>
          <w:szCs w:val="21"/>
          <w:highlight w:val="none"/>
          <w:u w:val="single"/>
        </w:rPr>
        <w:t xml:space="preserve">总进度计划须含网络图、横道图  </w:t>
      </w:r>
      <w:r>
        <w:rPr>
          <w:rFonts w:hint="eastAsia" w:ascii="宋体" w:hAnsi="宋体" w:cs="宋体"/>
          <w:color w:val="auto"/>
          <w:szCs w:val="21"/>
          <w:highlight w:val="none"/>
        </w:rPr>
        <w:t xml:space="preserve"> 。</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highlight w:val="none"/>
        </w:rPr>
        <w:t xml:space="preserve">7.1.2 </w:t>
      </w:r>
      <w:r>
        <w:rPr>
          <w:rFonts w:hint="eastAsia" w:ascii="宋体" w:hAnsi="宋体" w:cs="宋体"/>
          <w:color w:val="auto"/>
          <w:kern w:val="0"/>
          <w:highlight w:val="none"/>
        </w:rPr>
        <w:t>施工组织设计的提交和修改</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承包人提交详细施工组织设计的期限的约定：</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发包人和监理人在收到详细的施工组织设计后确认或提出修改意见的期限：</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7</w:t>
      </w:r>
      <w:bookmarkStart w:id="172" w:name="_Toc300934966"/>
      <w:bookmarkStart w:id="173" w:name="_Toc303539123"/>
      <w:bookmarkStart w:id="174" w:name="_Toc312678005"/>
      <w:bookmarkStart w:id="175" w:name="_Toc304295541"/>
      <w:bookmarkStart w:id="176" w:name="_Toc297123514"/>
      <w:bookmarkStart w:id="177" w:name="_Toc297216173"/>
      <w:bookmarkStart w:id="178" w:name="_Toc312677479"/>
      <w:r>
        <w:rPr>
          <w:rFonts w:hint="eastAsia" w:ascii="宋体" w:hAnsi="宋体" w:cs="宋体"/>
          <w:bCs/>
          <w:color w:val="auto"/>
          <w:szCs w:val="28"/>
          <w:highlight w:val="none"/>
        </w:rPr>
        <w:t>.2 施工进度计划</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7.2.2 施工进度计划的修订</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发包人和监理人在收到修订的施工进度计划后确认或提出修改意见的期限：</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7.3 开工</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7.3.1 开工准备</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关于承包人提交</w:t>
      </w:r>
      <w:r>
        <w:rPr>
          <w:rFonts w:hint="eastAsia" w:ascii="宋体" w:hAnsi="宋体" w:cs="宋体"/>
          <w:color w:val="auto"/>
          <w:kern w:val="0"/>
          <w:highlight w:val="none"/>
        </w:rPr>
        <w:t>工程开工报审表的期限：</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关于发包人应完成的其他开工准备工作及期限：</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关于承包人应完成的其他开工准备工作及期限：</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7.3.2 开工通知</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因发包人原因造成监理人未能在计划开工日期之日起</w:t>
      </w:r>
      <w:r>
        <w:rPr>
          <w:rFonts w:hint="eastAsia" w:ascii="宋体" w:hAnsi="宋体" w:cs="宋体"/>
          <w:color w:val="auto"/>
          <w:szCs w:val="21"/>
          <w:highlight w:val="none"/>
          <w:u w:val="single"/>
        </w:rPr>
        <w:t xml:space="preserve">   </w:t>
      </w:r>
      <w:r>
        <w:rPr>
          <w:rFonts w:hint="eastAsia" w:ascii="宋体" w:hAnsi="宋体" w:cs="宋体"/>
          <w:color w:val="auto"/>
          <w:highlight w:val="none"/>
        </w:rPr>
        <w:t>天内发出开工通知的，承包人有权提出价格调整要求，或者解除合同。</w:t>
      </w:r>
    </w:p>
    <w:bookmarkEnd w:id="172"/>
    <w:bookmarkEnd w:id="173"/>
    <w:bookmarkEnd w:id="174"/>
    <w:bookmarkEnd w:id="175"/>
    <w:bookmarkEnd w:id="176"/>
    <w:bookmarkEnd w:id="177"/>
    <w:bookmarkEnd w:id="178"/>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7.4 测量放线</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7.4.1 发包人通过监理人向承包人提供测量基准点、基准线和水准点及其书面资料的期限：</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7</w:t>
      </w:r>
      <w:bookmarkStart w:id="179" w:name="_Toc303539125"/>
      <w:bookmarkStart w:id="180" w:name="_Toc300934968"/>
      <w:bookmarkStart w:id="181" w:name="_Toc312678010"/>
      <w:bookmarkStart w:id="182" w:name="_Toc312677484"/>
      <w:bookmarkStart w:id="183" w:name="_Toc304295546"/>
      <w:bookmarkStart w:id="184" w:name="_Toc297123516"/>
      <w:bookmarkStart w:id="185" w:name="_Toc297216175"/>
      <w:r>
        <w:rPr>
          <w:rFonts w:hint="eastAsia" w:ascii="宋体" w:hAnsi="宋体" w:cs="宋体"/>
          <w:bCs/>
          <w:color w:val="auto"/>
          <w:szCs w:val="28"/>
          <w:highlight w:val="none"/>
        </w:rPr>
        <w:t>.5 工期延误</w:t>
      </w:r>
    </w:p>
    <w:bookmarkEnd w:id="179"/>
    <w:bookmarkEnd w:id="180"/>
    <w:bookmarkEnd w:id="181"/>
    <w:bookmarkEnd w:id="182"/>
    <w:bookmarkEnd w:id="183"/>
    <w:bookmarkEnd w:id="184"/>
    <w:bookmarkEnd w:id="185"/>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7.5.1 因发包人原因导致工期延误</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（7）因发包人原因导致工期延误的其他情形：</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7</w:t>
      </w:r>
      <w:bookmarkStart w:id="186" w:name="_Toc318581169"/>
      <w:bookmarkStart w:id="187" w:name="_Toc312677486"/>
      <w:bookmarkStart w:id="188" w:name="_Toc312678012"/>
      <w:bookmarkStart w:id="189" w:name="_Toc297123518"/>
      <w:bookmarkStart w:id="190" w:name="_Toc297216177"/>
      <w:bookmarkStart w:id="191" w:name="_Toc303539127"/>
      <w:bookmarkStart w:id="192" w:name="_Toc300934970"/>
      <w:bookmarkStart w:id="193" w:name="_Toc304295548"/>
      <w:r>
        <w:rPr>
          <w:rFonts w:hint="eastAsia" w:ascii="宋体" w:hAnsi="宋体" w:cs="宋体"/>
          <w:color w:val="auto"/>
          <w:highlight w:val="none"/>
        </w:rPr>
        <w:t>.5.2 因承包人原因导致工期延误</w:t>
      </w:r>
    </w:p>
    <w:bookmarkEnd w:id="186"/>
    <w:bookmarkEnd w:id="187"/>
    <w:bookmarkEnd w:id="188"/>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因</w:t>
      </w:r>
      <w:bookmarkStart w:id="194" w:name="_Toc312677487"/>
      <w:bookmarkStart w:id="195" w:name="_Toc312678013"/>
      <w:bookmarkStart w:id="196" w:name="_Toc318581170"/>
      <w:r>
        <w:rPr>
          <w:rFonts w:hint="eastAsia" w:ascii="宋体" w:hAnsi="宋体" w:cs="宋体"/>
          <w:color w:val="auto"/>
          <w:highlight w:val="none"/>
        </w:rPr>
        <w:t>承包人原因造成工期延误，逾期竣工违约金的计算方法为：</w:t>
      </w:r>
      <w:r>
        <w:rPr>
          <w:rFonts w:hint="eastAsia" w:ascii="宋体" w:hAnsi="宋体" w:cs="宋体"/>
          <w:color w:val="auto"/>
          <w:szCs w:val="21"/>
          <w:highlight w:val="none"/>
          <w:u w:val="single"/>
        </w:rPr>
        <w:t xml:space="preserve"> 供应商自报的承诺工期为考核标准，每推迟一天，按1000元/天处以违约金 </w:t>
      </w:r>
      <w:r>
        <w:rPr>
          <w:rFonts w:hint="eastAsia" w:ascii="宋体" w:hAnsi="宋体" w:cs="宋体"/>
          <w:color w:val="auto"/>
          <w:highlight w:val="none"/>
        </w:rPr>
        <w:t>。</w:t>
      </w:r>
      <w:bookmarkEnd w:id="189"/>
      <w:bookmarkEnd w:id="190"/>
      <w:bookmarkEnd w:id="191"/>
      <w:bookmarkEnd w:id="192"/>
      <w:bookmarkEnd w:id="193"/>
      <w:bookmarkEnd w:id="194"/>
      <w:bookmarkEnd w:id="195"/>
    </w:p>
    <w:bookmarkEnd w:id="196"/>
    <w:p>
      <w:pPr>
        <w:adjustRightInd w:val="0"/>
        <w:snapToGrid w:val="0"/>
        <w:spacing w:line="384" w:lineRule="auto"/>
        <w:ind w:firstLine="420" w:firstLineChars="200"/>
        <w:rPr>
          <w:rFonts w:ascii="宋体" w:hAnsi="宋体" w:cs="宋体"/>
          <w:b/>
          <w:color w:val="auto"/>
          <w:highlight w:val="none"/>
          <w:u w:val="single"/>
        </w:rPr>
      </w:pPr>
      <w:r>
        <w:rPr>
          <w:rFonts w:hint="eastAsia" w:ascii="宋体" w:hAnsi="宋体" w:cs="宋体"/>
          <w:color w:val="auto"/>
          <w:highlight w:val="none"/>
        </w:rPr>
        <w:t>因承包人原因造成工期延误，逾</w:t>
      </w:r>
      <w:bookmarkStart w:id="197" w:name="_Toc318581171"/>
      <w:bookmarkStart w:id="198" w:name="_Toc312678014"/>
      <w:r>
        <w:rPr>
          <w:rFonts w:hint="eastAsia" w:ascii="宋体" w:hAnsi="宋体" w:cs="宋体"/>
          <w:color w:val="auto"/>
          <w:highlight w:val="none"/>
        </w:rPr>
        <w:t>期竣工违约金的上限：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197"/>
    <w:bookmarkEnd w:id="198"/>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7</w:t>
      </w:r>
      <w:bookmarkStart w:id="199" w:name="_Toc303539128"/>
      <w:bookmarkStart w:id="200" w:name="_Toc312678015"/>
      <w:bookmarkStart w:id="201" w:name="_Toc297216178"/>
      <w:bookmarkStart w:id="202" w:name="_Toc300934971"/>
      <w:bookmarkStart w:id="203" w:name="_Toc297123519"/>
      <w:bookmarkStart w:id="204" w:name="_Toc304295549"/>
      <w:r>
        <w:rPr>
          <w:rFonts w:hint="eastAsia" w:ascii="宋体" w:hAnsi="宋体" w:cs="宋体"/>
          <w:bCs/>
          <w:color w:val="auto"/>
          <w:szCs w:val="28"/>
          <w:highlight w:val="none"/>
        </w:rPr>
        <w:t>.6 不</w:t>
      </w:r>
      <w:bookmarkEnd w:id="199"/>
      <w:bookmarkEnd w:id="200"/>
      <w:bookmarkEnd w:id="201"/>
      <w:bookmarkEnd w:id="202"/>
      <w:bookmarkEnd w:id="203"/>
      <w:bookmarkEnd w:id="204"/>
      <w:r>
        <w:rPr>
          <w:rFonts w:hint="eastAsia" w:ascii="宋体" w:hAnsi="宋体" w:cs="宋体"/>
          <w:bCs/>
          <w:color w:val="auto"/>
          <w:szCs w:val="28"/>
          <w:highlight w:val="none"/>
        </w:rPr>
        <w:t>利物质条件</w:t>
      </w:r>
    </w:p>
    <w:p>
      <w:pPr>
        <w:adjustRightInd w:val="0"/>
        <w:snapToGrid w:val="0"/>
        <w:spacing w:line="384" w:lineRule="auto"/>
        <w:ind w:firstLine="420" w:firstLineChars="200"/>
        <w:rPr>
          <w:rFonts w:ascii="宋体" w:hAnsi="宋体" w:cs="宋体"/>
          <w:b/>
          <w:color w:val="auto"/>
          <w:highlight w:val="none"/>
          <w:u w:val="single"/>
        </w:rPr>
      </w:pPr>
      <w:bookmarkStart w:id="205" w:name="_Toc318581172"/>
      <w:bookmarkStart w:id="206" w:name="_Toc297216179"/>
      <w:bookmarkStart w:id="207" w:name="_Toc303539129"/>
      <w:bookmarkStart w:id="208" w:name="_Toc300934972"/>
      <w:bookmarkStart w:id="209" w:name="_Toc297123520"/>
      <w:bookmarkStart w:id="210" w:name="_Toc304295550"/>
      <w:bookmarkStart w:id="211" w:name="_Toc312678016"/>
      <w:r>
        <w:rPr>
          <w:rFonts w:hint="eastAsia" w:ascii="宋体" w:hAnsi="宋体" w:cs="宋体"/>
          <w:color w:val="auto"/>
          <w:highlight w:val="none"/>
        </w:rPr>
        <w:t>不利物质条件的其他情形和有关约定：</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205"/>
    <w:bookmarkEnd w:id="206"/>
    <w:bookmarkEnd w:id="207"/>
    <w:bookmarkEnd w:id="208"/>
    <w:bookmarkEnd w:id="209"/>
    <w:bookmarkEnd w:id="210"/>
    <w:bookmarkEnd w:id="211"/>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7</w:t>
      </w:r>
      <w:bookmarkStart w:id="212" w:name="_Toc297216180"/>
      <w:bookmarkStart w:id="213" w:name="_Toc304295551"/>
      <w:bookmarkStart w:id="214" w:name="_Toc300934973"/>
      <w:bookmarkStart w:id="215" w:name="_Toc297123521"/>
      <w:bookmarkStart w:id="216" w:name="_Toc303539130"/>
      <w:bookmarkStart w:id="217" w:name="_Toc312678017"/>
      <w:r>
        <w:rPr>
          <w:rFonts w:hint="eastAsia" w:ascii="宋体" w:hAnsi="宋体" w:cs="宋体"/>
          <w:bCs/>
          <w:color w:val="auto"/>
          <w:szCs w:val="28"/>
          <w:highlight w:val="none"/>
        </w:rPr>
        <w:t>.7 异常恶劣的气候条件</w:t>
      </w:r>
    </w:p>
    <w:bookmarkEnd w:id="212"/>
    <w:bookmarkEnd w:id="213"/>
    <w:bookmarkEnd w:id="214"/>
    <w:bookmarkEnd w:id="215"/>
    <w:bookmarkEnd w:id="216"/>
    <w:bookmarkEnd w:id="217"/>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发包人和承包人同意以下情形视为异常恶劣的气候条件：</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7.9 提前竣工</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7.9.2 提前竣工的奖励：</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keepNext/>
        <w:keepLines/>
        <w:adjustRightInd w:val="0"/>
        <w:snapToGrid w:val="0"/>
        <w:spacing w:line="384" w:lineRule="auto"/>
        <w:jc w:val="left"/>
        <w:outlineLvl w:val="2"/>
        <w:rPr>
          <w:rFonts w:ascii="宋体" w:hAnsi="宋体" w:cs="宋体"/>
          <w:bCs/>
          <w:color w:val="auto"/>
          <w:sz w:val="24"/>
          <w:highlight w:val="none"/>
        </w:rPr>
      </w:pPr>
      <w:bookmarkStart w:id="218" w:name="_Toc351203640"/>
      <w:bookmarkStart w:id="219" w:name="_Toc95223469"/>
      <w:r>
        <w:rPr>
          <w:rFonts w:hint="eastAsia" w:ascii="宋体" w:hAnsi="宋体" w:cs="宋体"/>
          <w:bCs/>
          <w:color w:val="auto"/>
          <w:sz w:val="24"/>
          <w:highlight w:val="none"/>
        </w:rPr>
        <w:t>8. 材料与设备</w:t>
      </w:r>
      <w:bookmarkEnd w:id="218"/>
      <w:bookmarkEnd w:id="219"/>
    </w:p>
    <w:bookmarkEnd w:id="151"/>
    <w:bookmarkEnd w:id="152"/>
    <w:bookmarkEnd w:id="153"/>
    <w:bookmarkEnd w:id="154"/>
    <w:bookmarkEnd w:id="155"/>
    <w:bookmarkEnd w:id="156"/>
    <w:bookmarkEnd w:id="157"/>
    <w:bookmarkEnd w:id="158"/>
    <w:bookmarkEnd w:id="159"/>
    <w:bookmarkEnd w:id="160"/>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8</w:t>
      </w:r>
      <w:bookmarkStart w:id="220" w:name="_Toc296944506"/>
      <w:bookmarkStart w:id="221" w:name="_Toc297123527"/>
      <w:bookmarkStart w:id="222" w:name="_Toc296890995"/>
      <w:bookmarkStart w:id="223" w:name="_Toc304295556"/>
      <w:bookmarkStart w:id="224" w:name="_Toc297120467"/>
      <w:bookmarkStart w:id="225" w:name="_Toc303539136"/>
      <w:bookmarkStart w:id="226" w:name="_Toc297048353"/>
      <w:bookmarkStart w:id="227" w:name="_Toc280868654"/>
      <w:bookmarkStart w:id="228" w:name="_Toc292559372"/>
      <w:bookmarkStart w:id="229" w:name="_Toc296346668"/>
      <w:bookmarkStart w:id="230" w:name="_Toc297216186"/>
      <w:bookmarkStart w:id="231" w:name="_Toc292559877"/>
      <w:bookmarkStart w:id="232" w:name="_Toc312678019"/>
      <w:bookmarkStart w:id="233" w:name="_Toc312677493"/>
      <w:bookmarkStart w:id="234" w:name="_Toc296503167"/>
      <w:bookmarkStart w:id="235" w:name="_Toc300934979"/>
      <w:bookmarkStart w:id="236" w:name="_Toc296891207"/>
      <w:bookmarkStart w:id="237" w:name="_Toc296347166"/>
      <w:bookmarkStart w:id="238" w:name="_Toc280868655"/>
      <w:bookmarkStart w:id="239" w:name="_Toc280868656"/>
      <w:bookmarkStart w:id="240" w:name="_Toc267251424"/>
      <w:r>
        <w:rPr>
          <w:rFonts w:hint="eastAsia" w:ascii="宋体" w:hAnsi="宋体" w:cs="宋体"/>
          <w:color w:val="auto"/>
          <w:highlight w:val="none"/>
        </w:rPr>
        <w:t>.4 材料与工程设备的保管与使用</w:t>
      </w:r>
    </w:p>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8</w:t>
      </w:r>
      <w:bookmarkStart w:id="241" w:name="_Toc292559373"/>
      <w:bookmarkStart w:id="242" w:name="_Toc292559878"/>
      <w:bookmarkStart w:id="243" w:name="_Toc297048354"/>
      <w:bookmarkStart w:id="244" w:name="_Toc303539137"/>
      <w:bookmarkStart w:id="245" w:name="_Toc297123528"/>
      <w:bookmarkStart w:id="246" w:name="_Toc296347167"/>
      <w:bookmarkStart w:id="247" w:name="_Toc296890996"/>
      <w:bookmarkStart w:id="248" w:name="_Toc304295557"/>
      <w:bookmarkStart w:id="249" w:name="_Toc296891208"/>
      <w:bookmarkStart w:id="250" w:name="_Toc296503168"/>
      <w:bookmarkStart w:id="251" w:name="_Toc312678020"/>
      <w:bookmarkStart w:id="252" w:name="_Toc312677494"/>
      <w:bookmarkStart w:id="253" w:name="_Toc297216187"/>
      <w:bookmarkStart w:id="254" w:name="_Toc297120468"/>
      <w:bookmarkStart w:id="255" w:name="_Toc300934980"/>
      <w:bookmarkStart w:id="256" w:name="_Toc318581173"/>
      <w:bookmarkStart w:id="257" w:name="_Toc296944507"/>
      <w:bookmarkStart w:id="258" w:name="_Toc296346669"/>
      <w:r>
        <w:rPr>
          <w:rFonts w:hint="eastAsia" w:ascii="宋体" w:hAnsi="宋体" w:cs="宋体"/>
          <w:color w:val="auto"/>
          <w:highlight w:val="none"/>
        </w:rPr>
        <w:t>.4.1 发包人供应的材料设备的保管费用的承担：</w:t>
      </w:r>
      <w:r>
        <w:rPr>
          <w:rFonts w:hint="eastAsia" w:ascii="宋体" w:hAnsi="宋体" w:cs="宋体"/>
          <w:color w:val="auto"/>
          <w:highlight w:val="none"/>
          <w:u w:val="single"/>
        </w:rPr>
        <w:t xml:space="preserve">                             </w:t>
      </w:r>
      <w:r>
        <w:rPr>
          <w:rFonts w:hint="eastAsia" w:ascii="宋体" w:hAnsi="宋体" w:cs="宋体"/>
          <w:color w:val="auto"/>
          <w:highlight w:val="none"/>
        </w:rPr>
        <w:t>。</w:t>
      </w:r>
      <w:bookmarkEnd w:id="241"/>
      <w:bookmarkEnd w:id="242"/>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8.6 样品</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8.6.1 样品的报送与封存</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需要承包人报送样品的材料或工程设备，样品的种类、名称、规格、数量要求：</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8.8 施工设备和临时设施</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8.8.1 承包人提供的施工设备和临时设施</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关于修建临时设施费用承担的约定：</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Pr>
        <w:keepNext/>
        <w:keepLines/>
        <w:adjustRightInd w:val="0"/>
        <w:snapToGrid w:val="0"/>
        <w:spacing w:line="384" w:lineRule="auto"/>
        <w:jc w:val="left"/>
        <w:outlineLvl w:val="2"/>
        <w:rPr>
          <w:rFonts w:ascii="宋体" w:hAnsi="宋体" w:cs="宋体"/>
          <w:bCs/>
          <w:color w:val="auto"/>
          <w:sz w:val="24"/>
          <w:highlight w:val="none"/>
        </w:rPr>
      </w:pPr>
      <w:bookmarkStart w:id="259" w:name="_Toc351203641"/>
      <w:bookmarkStart w:id="260" w:name="_Toc95223470"/>
      <w:r>
        <w:rPr>
          <w:rFonts w:hint="eastAsia" w:ascii="宋体" w:hAnsi="宋体" w:cs="宋体"/>
          <w:bCs/>
          <w:color w:val="auto"/>
          <w:sz w:val="24"/>
          <w:highlight w:val="none"/>
        </w:rPr>
        <w:t>9</w:t>
      </w:r>
      <w:bookmarkEnd w:id="238"/>
      <w:bookmarkEnd w:id="239"/>
      <w:bookmarkEnd w:id="240"/>
      <w:bookmarkStart w:id="261" w:name="_Toc300934982"/>
      <w:bookmarkStart w:id="262" w:name="_Toc303539139"/>
      <w:bookmarkStart w:id="263" w:name="_Toc312678021"/>
      <w:bookmarkStart w:id="264" w:name="_Toc297216192"/>
      <w:bookmarkStart w:id="265" w:name="_Toc312677495"/>
      <w:bookmarkStart w:id="266" w:name="_Toc297123533"/>
      <w:bookmarkStart w:id="267" w:name="_Toc304295559"/>
      <w:bookmarkStart w:id="268" w:name="_Toc297048359"/>
      <w:bookmarkStart w:id="269" w:name="_Toc297120473"/>
      <w:bookmarkStart w:id="270" w:name="_Toc296944512"/>
      <w:bookmarkStart w:id="271" w:name="_Toc296347172"/>
      <w:bookmarkStart w:id="272" w:name="_Toc296503173"/>
      <w:bookmarkStart w:id="273" w:name="_Toc296891213"/>
      <w:bookmarkStart w:id="274" w:name="_Toc267251427"/>
      <w:bookmarkStart w:id="275" w:name="_Toc296346674"/>
      <w:bookmarkStart w:id="276" w:name="_Toc292559378"/>
      <w:bookmarkStart w:id="277" w:name="_Toc292559883"/>
      <w:bookmarkStart w:id="278" w:name="_Toc267251428"/>
      <w:bookmarkStart w:id="279" w:name="_Toc296891001"/>
      <w:r>
        <w:rPr>
          <w:rFonts w:hint="eastAsia" w:ascii="宋体" w:hAnsi="宋体" w:cs="宋体"/>
          <w:bCs/>
          <w:color w:val="auto"/>
          <w:sz w:val="24"/>
          <w:highlight w:val="none"/>
        </w:rPr>
        <w:t>. 试验与检验</w:t>
      </w:r>
      <w:bookmarkEnd w:id="259"/>
      <w:bookmarkEnd w:id="260"/>
    </w:p>
    <w:bookmarkEnd w:id="261"/>
    <w:bookmarkEnd w:id="262"/>
    <w:bookmarkEnd w:id="263"/>
    <w:bookmarkEnd w:id="264"/>
    <w:bookmarkEnd w:id="265"/>
    <w:bookmarkEnd w:id="266"/>
    <w:bookmarkEnd w:id="267"/>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9</w:t>
      </w:r>
      <w:bookmarkStart w:id="280" w:name="_Toc297123534"/>
      <w:bookmarkStart w:id="281" w:name="_Toc312677496"/>
      <w:bookmarkStart w:id="282" w:name="_Toc300934983"/>
      <w:bookmarkStart w:id="283" w:name="_Toc303539140"/>
      <w:bookmarkStart w:id="284" w:name="_Toc297216193"/>
      <w:bookmarkStart w:id="285" w:name="_Toc304295560"/>
      <w:bookmarkStart w:id="286" w:name="_Toc312678022"/>
      <w:r>
        <w:rPr>
          <w:rFonts w:hint="eastAsia" w:ascii="宋体" w:hAnsi="宋体" w:cs="宋体"/>
          <w:bCs/>
          <w:color w:val="auto"/>
          <w:szCs w:val="28"/>
          <w:highlight w:val="none"/>
        </w:rPr>
        <w:t>.1 试验设备与试验人员</w:t>
      </w:r>
    </w:p>
    <w:bookmarkEnd w:id="280"/>
    <w:bookmarkEnd w:id="281"/>
    <w:bookmarkEnd w:id="282"/>
    <w:bookmarkEnd w:id="283"/>
    <w:bookmarkEnd w:id="284"/>
    <w:bookmarkEnd w:id="285"/>
    <w:bookmarkEnd w:id="286"/>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9</w:t>
      </w:r>
      <w:bookmarkStart w:id="287" w:name="_Toc312677497"/>
      <w:bookmarkStart w:id="288" w:name="_Toc312678023"/>
      <w:bookmarkStart w:id="289" w:name="_Toc304295561"/>
      <w:bookmarkStart w:id="290" w:name="_Toc297216194"/>
      <w:bookmarkStart w:id="291" w:name="_Toc300934984"/>
      <w:bookmarkStart w:id="292" w:name="_Toc303539141"/>
      <w:bookmarkStart w:id="293" w:name="_Toc297123535"/>
      <w:bookmarkStart w:id="294" w:name="_Toc318581174"/>
      <w:r>
        <w:rPr>
          <w:rFonts w:hint="eastAsia" w:ascii="宋体" w:hAnsi="宋体" w:cs="宋体"/>
          <w:color w:val="auto"/>
          <w:highlight w:val="none"/>
        </w:rPr>
        <w:t>.1.2 试验设备</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施工现场需要配置的试验场所</w:t>
      </w:r>
      <w:bookmarkEnd w:id="287"/>
      <w:bookmarkEnd w:id="288"/>
      <w:bookmarkEnd w:id="289"/>
      <w:bookmarkEnd w:id="290"/>
      <w:bookmarkEnd w:id="291"/>
      <w:bookmarkEnd w:id="292"/>
      <w:bookmarkEnd w:id="293"/>
      <w:bookmarkStart w:id="295" w:name="_Toc304295562"/>
      <w:bookmarkStart w:id="296" w:name="_Toc312678024"/>
      <w:bookmarkStart w:id="297" w:name="_Toc297216195"/>
      <w:bookmarkStart w:id="298" w:name="_Toc303539142"/>
      <w:bookmarkStart w:id="299" w:name="_Toc300934985"/>
      <w:bookmarkStart w:id="300" w:name="_Toc297123536"/>
      <w:bookmarkStart w:id="301" w:name="_Toc312677498"/>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施工现场需要配备的试验设备：</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施工现场需要具备的其他试验条件：</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 xml:space="preserve">9.4 现场工艺试验 </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现场工艺试验的有关约定：</w:t>
      </w:r>
      <w:r>
        <w:rPr>
          <w:rFonts w:hint="eastAsia" w:ascii="宋体" w:hAnsi="宋体" w:cs="宋体"/>
          <w:color w:val="auto"/>
          <w:highlight w:val="none"/>
          <w:u w:val="single"/>
        </w:rPr>
        <w:t xml:space="preserve">                                       </w:t>
      </w:r>
      <w:r>
        <w:rPr>
          <w:rFonts w:hint="eastAsia" w:ascii="宋体" w:hAnsi="宋体" w:cs="宋体"/>
          <w:color w:val="auto"/>
          <w:highlight w:val="none"/>
        </w:rPr>
        <w:t>。</w:t>
      </w:r>
    </w:p>
    <w:bookmarkEnd w:id="294"/>
    <w:bookmarkEnd w:id="295"/>
    <w:bookmarkEnd w:id="296"/>
    <w:bookmarkEnd w:id="297"/>
    <w:bookmarkEnd w:id="298"/>
    <w:bookmarkEnd w:id="299"/>
    <w:bookmarkEnd w:id="300"/>
    <w:bookmarkEnd w:id="301"/>
    <w:p>
      <w:pPr>
        <w:keepNext/>
        <w:keepLines/>
        <w:adjustRightInd w:val="0"/>
        <w:snapToGrid w:val="0"/>
        <w:spacing w:line="384" w:lineRule="auto"/>
        <w:jc w:val="left"/>
        <w:outlineLvl w:val="2"/>
        <w:rPr>
          <w:rFonts w:ascii="宋体" w:hAnsi="宋体" w:cs="宋体"/>
          <w:bCs/>
          <w:color w:val="auto"/>
          <w:sz w:val="24"/>
          <w:highlight w:val="none"/>
        </w:rPr>
      </w:pPr>
      <w:bookmarkStart w:id="302" w:name="_Toc351203642"/>
      <w:bookmarkStart w:id="303" w:name="_Toc95223471"/>
      <w:r>
        <w:rPr>
          <w:rFonts w:hint="eastAsia" w:ascii="宋体" w:hAnsi="宋体" w:cs="宋体"/>
          <w:bCs/>
          <w:color w:val="auto"/>
          <w:sz w:val="24"/>
          <w:highlight w:val="none"/>
        </w:rPr>
        <w:t>1</w:t>
      </w:r>
      <w:bookmarkEnd w:id="268"/>
      <w:bookmarkEnd w:id="269"/>
      <w:bookmarkEnd w:id="270"/>
      <w:bookmarkEnd w:id="271"/>
      <w:bookmarkEnd w:id="272"/>
      <w:bookmarkEnd w:id="273"/>
      <w:bookmarkEnd w:id="274"/>
      <w:bookmarkEnd w:id="275"/>
      <w:bookmarkEnd w:id="276"/>
      <w:bookmarkEnd w:id="277"/>
      <w:bookmarkEnd w:id="278"/>
      <w:bookmarkEnd w:id="279"/>
      <w:bookmarkStart w:id="304" w:name="_Toc296944532"/>
      <w:bookmarkStart w:id="305" w:name="_Toc297048379"/>
      <w:bookmarkStart w:id="306" w:name="_Toc296503193"/>
      <w:bookmarkStart w:id="307" w:name="_Toc292559398"/>
      <w:bookmarkStart w:id="308" w:name="_Toc297120493"/>
      <w:bookmarkStart w:id="309" w:name="_Toc297216199"/>
      <w:bookmarkStart w:id="310" w:name="_Toc304295566"/>
      <w:bookmarkStart w:id="311" w:name="_Toc292559903"/>
      <w:bookmarkStart w:id="312" w:name="_Toc296891233"/>
      <w:bookmarkStart w:id="313" w:name="_Toc296346694"/>
      <w:bookmarkStart w:id="314" w:name="_Toc296891021"/>
      <w:bookmarkStart w:id="315" w:name="_Toc297123540"/>
      <w:bookmarkStart w:id="316" w:name="_Toc296347192"/>
      <w:bookmarkStart w:id="317" w:name="_Toc300934989"/>
      <w:bookmarkStart w:id="318" w:name="_Toc303539146"/>
      <w:bookmarkStart w:id="319" w:name="_Toc312678025"/>
      <w:bookmarkStart w:id="320" w:name="_Toc312677499"/>
      <w:bookmarkStart w:id="321" w:name="_Toc267251435"/>
      <w:bookmarkStart w:id="322" w:name="_Toc267251437"/>
      <w:bookmarkStart w:id="323" w:name="_Toc267251441"/>
      <w:bookmarkStart w:id="324" w:name="_Toc267251440"/>
      <w:bookmarkStart w:id="325" w:name="_Toc267251433"/>
      <w:bookmarkStart w:id="326" w:name="_Toc267251439"/>
      <w:bookmarkStart w:id="327" w:name="_Toc267251442"/>
      <w:r>
        <w:rPr>
          <w:rFonts w:hint="eastAsia" w:ascii="宋体" w:hAnsi="宋体" w:cs="宋体"/>
          <w:bCs/>
          <w:color w:val="auto"/>
          <w:sz w:val="24"/>
          <w:highlight w:val="none"/>
        </w:rPr>
        <w:t>0. 变更</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bookmarkEnd w:id="319"/>
    <w:bookmarkEnd w:id="320"/>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w:t>
      </w:r>
      <w:bookmarkStart w:id="328" w:name="_Toc296944533"/>
      <w:bookmarkStart w:id="329" w:name="_Toc296891234"/>
      <w:bookmarkStart w:id="330" w:name="_Toc297123541"/>
      <w:bookmarkStart w:id="331" w:name="_Toc296503194"/>
      <w:bookmarkStart w:id="332" w:name="_Toc312677500"/>
      <w:bookmarkStart w:id="333" w:name="_Toc312678026"/>
      <w:bookmarkStart w:id="334" w:name="_Toc297120494"/>
      <w:bookmarkStart w:id="335" w:name="_Toc292559399"/>
      <w:bookmarkStart w:id="336" w:name="_Toc296891022"/>
      <w:bookmarkStart w:id="337" w:name="_Toc303539147"/>
      <w:bookmarkStart w:id="338" w:name="_Toc292559904"/>
      <w:bookmarkStart w:id="339" w:name="_Toc300934990"/>
      <w:bookmarkStart w:id="340" w:name="_Toc304295567"/>
      <w:bookmarkStart w:id="341" w:name="_Toc297216200"/>
      <w:bookmarkStart w:id="342" w:name="_Toc296347193"/>
      <w:bookmarkStart w:id="343" w:name="_Toc296346695"/>
      <w:bookmarkStart w:id="344" w:name="_Toc297048380"/>
      <w:r>
        <w:rPr>
          <w:rFonts w:hint="eastAsia" w:ascii="宋体" w:hAnsi="宋体" w:cs="宋体"/>
          <w:bCs/>
          <w:color w:val="auto"/>
          <w:szCs w:val="28"/>
          <w:highlight w:val="none"/>
        </w:rPr>
        <w:t>0.1 变更的范围</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关于变更的范围的约定：</w:t>
      </w:r>
      <w:r>
        <w:rPr>
          <w:rFonts w:hint="eastAsia" w:ascii="宋体" w:hAnsi="宋体" w:cs="宋体"/>
          <w:color w:val="auto"/>
          <w:szCs w:val="21"/>
          <w:highlight w:val="none"/>
          <w:u w:val="single"/>
        </w:rPr>
        <w:t xml:space="preserve"> 执行合同通用条款。 </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10.4 变更估价</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10.4.1 变更估价原则</w:t>
      </w:r>
    </w:p>
    <w:p>
      <w:pPr>
        <w:pStyle w:val="2"/>
        <w:spacing w:line="440" w:lineRule="exact"/>
        <w:ind w:firstLine="420"/>
        <w:jc w:val="left"/>
        <w:rPr>
          <w:rFonts w:hAnsi="宋体" w:cs="宋体"/>
          <w:color w:val="auto"/>
          <w:szCs w:val="21"/>
          <w:highlight w:val="none"/>
        </w:rPr>
      </w:pPr>
      <w:r>
        <w:rPr>
          <w:rFonts w:hint="eastAsia" w:hAnsi="宋体" w:cs="宋体"/>
          <w:color w:val="auto"/>
          <w:highlight w:val="none"/>
        </w:rPr>
        <w:t>关于变更估价的约定：</w:t>
      </w:r>
      <w:r>
        <w:rPr>
          <w:rFonts w:hint="eastAsia" w:hAnsi="宋体" w:cs="宋体"/>
          <w:color w:val="auto"/>
          <w:szCs w:val="21"/>
          <w:highlight w:val="none"/>
        </w:rPr>
        <w:t>（1）合同中有类似工程项目的，执行</w:t>
      </w:r>
      <w:r>
        <w:rPr>
          <w:rFonts w:hint="eastAsia" w:hAnsi="宋体" w:cs="宋体"/>
          <w:color w:val="auto"/>
          <w:szCs w:val="21"/>
          <w:highlight w:val="none"/>
          <w:lang w:eastAsia="zh-CN"/>
        </w:rPr>
        <w:t>成交</w:t>
      </w:r>
      <w:r>
        <w:rPr>
          <w:rFonts w:hint="eastAsia" w:hAnsi="宋体" w:cs="宋体"/>
          <w:color w:val="auto"/>
          <w:szCs w:val="21"/>
          <w:highlight w:val="none"/>
        </w:rPr>
        <w:t>价；若清单子目实际工程量增加超出清单工程量的15％的，且</w:t>
      </w:r>
      <w:r>
        <w:rPr>
          <w:rFonts w:hint="eastAsia" w:hAnsi="宋体" w:cs="宋体"/>
          <w:color w:val="auto"/>
          <w:szCs w:val="21"/>
          <w:highlight w:val="none"/>
          <w:lang w:eastAsia="zh-CN"/>
        </w:rPr>
        <w:t>成交</w:t>
      </w:r>
      <w:r>
        <w:rPr>
          <w:rFonts w:hint="eastAsia" w:hAnsi="宋体" w:cs="宋体"/>
          <w:color w:val="auto"/>
          <w:szCs w:val="21"/>
          <w:highlight w:val="none"/>
        </w:rPr>
        <w:t>价超出</w:t>
      </w:r>
      <w:r>
        <w:rPr>
          <w:rFonts w:hint="eastAsia" w:hAnsi="宋体" w:cs="宋体"/>
          <w:color w:val="auto"/>
          <w:szCs w:val="21"/>
          <w:highlight w:val="none"/>
          <w:lang w:eastAsia="zh-CN"/>
        </w:rPr>
        <w:t>采购人委托编制的</w:t>
      </w:r>
      <w:r>
        <w:rPr>
          <w:rFonts w:hint="eastAsia" w:hAnsi="宋体" w:cs="宋体"/>
          <w:color w:val="auto"/>
          <w:szCs w:val="21"/>
          <w:highlight w:val="none"/>
        </w:rPr>
        <w:t>最高投标限价中综合单价的，超出部分的工程量综合单价按照最高投标限价中综合单价乘以</w:t>
      </w:r>
      <w:r>
        <w:rPr>
          <w:rFonts w:hint="eastAsia" w:hAnsi="宋体" w:cs="宋体"/>
          <w:color w:val="auto"/>
          <w:szCs w:val="21"/>
          <w:highlight w:val="none"/>
          <w:lang w:eastAsia="zh-CN"/>
        </w:rPr>
        <w:t>成交</w:t>
      </w:r>
      <w:r>
        <w:rPr>
          <w:rFonts w:hint="eastAsia" w:hAnsi="宋体" w:cs="宋体"/>
          <w:color w:val="auto"/>
          <w:szCs w:val="21"/>
          <w:highlight w:val="none"/>
        </w:rPr>
        <w:t>价/最高投标限价（</w:t>
      </w:r>
      <w:r>
        <w:rPr>
          <w:rFonts w:hint="eastAsia" w:hAnsi="宋体" w:cs="宋体"/>
          <w:color w:val="auto"/>
          <w:szCs w:val="21"/>
          <w:highlight w:val="none"/>
          <w:lang w:eastAsia="zh-CN"/>
        </w:rPr>
        <w:t>成交</w:t>
      </w:r>
      <w:r>
        <w:rPr>
          <w:rFonts w:hint="eastAsia" w:hAnsi="宋体" w:cs="宋体"/>
          <w:color w:val="auto"/>
          <w:szCs w:val="21"/>
          <w:highlight w:val="none"/>
        </w:rPr>
        <w:t>价和最高投标限价均应扣除暂列金额和暂估价部分）。</w:t>
      </w:r>
    </w:p>
    <w:p>
      <w:pPr>
        <w:pStyle w:val="2"/>
        <w:spacing w:line="440" w:lineRule="exact"/>
        <w:ind w:firstLine="420"/>
        <w:jc w:val="left"/>
        <w:rPr>
          <w:rFonts w:hAnsi="宋体" w:cs="宋体"/>
          <w:color w:val="auto"/>
          <w:szCs w:val="21"/>
          <w:highlight w:val="none"/>
        </w:rPr>
      </w:pPr>
      <w:r>
        <w:rPr>
          <w:rFonts w:hint="eastAsia" w:hAnsi="宋体" w:cs="宋体"/>
          <w:color w:val="auto"/>
          <w:szCs w:val="21"/>
          <w:highlight w:val="none"/>
        </w:rPr>
        <w:t>（2）合同中没有类似工程项目的，由承包人参考“清单计价依据”提出适当的综合单价，报工程造价咨询机构审定后乘以</w:t>
      </w:r>
      <w:r>
        <w:rPr>
          <w:rFonts w:hint="eastAsia" w:hAnsi="宋体" w:cs="宋体"/>
          <w:color w:val="auto"/>
          <w:szCs w:val="21"/>
          <w:highlight w:val="none"/>
          <w:lang w:eastAsia="zh-CN"/>
        </w:rPr>
        <w:t>成交</w:t>
      </w:r>
      <w:r>
        <w:rPr>
          <w:rFonts w:hint="eastAsia" w:hAnsi="宋体" w:cs="宋体"/>
          <w:color w:val="auto"/>
          <w:szCs w:val="21"/>
          <w:highlight w:val="none"/>
        </w:rPr>
        <w:t>价/最高投标限价作为结算依据。（</w:t>
      </w:r>
      <w:r>
        <w:rPr>
          <w:rFonts w:hint="eastAsia" w:hAnsi="宋体" w:cs="宋体"/>
          <w:color w:val="auto"/>
          <w:szCs w:val="21"/>
          <w:highlight w:val="none"/>
          <w:lang w:eastAsia="zh-CN"/>
        </w:rPr>
        <w:t>成交</w:t>
      </w:r>
      <w:r>
        <w:rPr>
          <w:rFonts w:hint="eastAsia" w:hAnsi="宋体" w:cs="宋体"/>
          <w:color w:val="auto"/>
          <w:szCs w:val="21"/>
          <w:highlight w:val="none"/>
        </w:rPr>
        <w:t>价和最高投标限价均应扣除暂列金额和暂估价部分）</w:t>
      </w:r>
    </w:p>
    <w:p>
      <w:pPr>
        <w:snapToGrid w:val="0"/>
        <w:spacing w:line="440" w:lineRule="exact"/>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因承包人改变施工技术措施，造成的价格变动，措施费不予调整。因工程变更必须改变原来施工技术措施，造成价格变动的，按实调整，变更组价原则同上。     </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Start w:id="345" w:name="_Toc296347196"/>
      <w:bookmarkStart w:id="346" w:name="_Toc297120497"/>
      <w:bookmarkStart w:id="347" w:name="_Toc292559907"/>
      <w:bookmarkStart w:id="348" w:name="_Toc296891237"/>
      <w:bookmarkStart w:id="349" w:name="_Toc303539150"/>
      <w:bookmarkStart w:id="350" w:name="_Toc296891025"/>
      <w:bookmarkStart w:id="351" w:name="_Toc297123544"/>
      <w:bookmarkStart w:id="352" w:name="_Toc297048383"/>
      <w:bookmarkStart w:id="353" w:name="_Toc296944536"/>
      <w:bookmarkStart w:id="354" w:name="_Toc297216203"/>
      <w:bookmarkStart w:id="355" w:name="_Toc292559402"/>
      <w:bookmarkStart w:id="356" w:name="_Toc296503197"/>
      <w:bookmarkStart w:id="357" w:name="_Toc296346698"/>
      <w:bookmarkStart w:id="358" w:name="_Toc300934993"/>
      <w:bookmarkStart w:id="359" w:name="_Toc312677503"/>
      <w:bookmarkStart w:id="360" w:name="_Toc312678029"/>
      <w:bookmarkStart w:id="361" w:name="_Toc304295570"/>
      <w:r>
        <w:rPr>
          <w:rFonts w:hint="eastAsia" w:ascii="宋体" w:hAnsi="宋体" w:cs="宋体"/>
          <w:bCs/>
          <w:color w:val="auto"/>
          <w:szCs w:val="28"/>
          <w:highlight w:val="none"/>
        </w:rPr>
        <w:t>0.5 承</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Start w:id="362" w:name="_Toc296944542"/>
      <w:bookmarkStart w:id="363" w:name="_Toc297216204"/>
      <w:bookmarkStart w:id="364" w:name="_Toc296503203"/>
      <w:bookmarkStart w:id="365" w:name="_Toc292559408"/>
      <w:bookmarkStart w:id="366" w:name="_Toc292559913"/>
      <w:bookmarkStart w:id="367" w:name="_Toc297123545"/>
      <w:bookmarkStart w:id="368" w:name="_Toc300934994"/>
      <w:bookmarkStart w:id="369" w:name="_Toc303539151"/>
      <w:bookmarkStart w:id="370" w:name="_Toc296346704"/>
      <w:bookmarkStart w:id="371" w:name="_Toc296891243"/>
      <w:bookmarkStart w:id="372" w:name="_Toc297120503"/>
      <w:bookmarkStart w:id="373" w:name="_Toc296347202"/>
      <w:bookmarkStart w:id="374" w:name="_Toc297048389"/>
      <w:bookmarkStart w:id="375" w:name="_Toc296891031"/>
      <w:r>
        <w:rPr>
          <w:rFonts w:hint="eastAsia" w:ascii="宋体" w:hAnsi="宋体" w:cs="宋体"/>
          <w:bCs/>
          <w:color w:val="auto"/>
          <w:szCs w:val="28"/>
          <w:highlight w:val="none"/>
        </w:rPr>
        <w:t>包人的合理化建议</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监理人审查承包人合理化建议的期限：</w:t>
      </w:r>
      <w:r>
        <w:rPr>
          <w:rFonts w:hint="eastAsia" w:ascii="宋体" w:hAnsi="宋体" w:cs="宋体"/>
          <w:color w:val="auto"/>
          <w:szCs w:val="21"/>
          <w:highlight w:val="none"/>
          <w:u w:val="single"/>
        </w:rPr>
        <w:t xml:space="preserve"> 执行合同通用条款。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发包人审批承包人合理化建议的期限：</w:t>
      </w:r>
      <w:r>
        <w:rPr>
          <w:rFonts w:hint="eastAsia" w:ascii="宋体" w:hAnsi="宋体" w:cs="宋体"/>
          <w:color w:val="auto"/>
          <w:szCs w:val="21"/>
          <w:highlight w:val="none"/>
          <w:u w:val="single"/>
        </w:rPr>
        <w:t xml:space="preserve"> 执行合同通用条款。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承</w:t>
      </w:r>
      <w:bookmarkStart w:id="376" w:name="_Toc318581175"/>
      <w:bookmarkStart w:id="377" w:name="_Toc304295571"/>
      <w:bookmarkStart w:id="378" w:name="_Toc297120504"/>
      <w:bookmarkStart w:id="379" w:name="_Toc296891032"/>
      <w:bookmarkStart w:id="380" w:name="_Toc292559914"/>
      <w:bookmarkStart w:id="381" w:name="_Toc297216205"/>
      <w:bookmarkStart w:id="382" w:name="_Toc297048390"/>
      <w:bookmarkStart w:id="383" w:name="_Toc296891244"/>
      <w:bookmarkStart w:id="384" w:name="_Toc296346705"/>
      <w:bookmarkStart w:id="385" w:name="_Toc303539152"/>
      <w:bookmarkStart w:id="386" w:name="_Toc296503204"/>
      <w:bookmarkStart w:id="387" w:name="_Toc296944543"/>
      <w:bookmarkStart w:id="388" w:name="_Toc292559409"/>
      <w:bookmarkStart w:id="389" w:name="_Toc297123546"/>
      <w:bookmarkStart w:id="390" w:name="_Toc300934995"/>
      <w:bookmarkStart w:id="391" w:name="_Toc312677504"/>
      <w:bookmarkStart w:id="392" w:name="_Toc296347203"/>
      <w:bookmarkStart w:id="393" w:name="_Toc312678030"/>
      <w:r>
        <w:rPr>
          <w:rFonts w:hint="eastAsia" w:ascii="宋体" w:hAnsi="宋体" w:cs="宋体"/>
          <w:color w:val="auto"/>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 xml:space="preserve"> /  </w:t>
      </w:r>
      <w:r>
        <w:rPr>
          <w:rFonts w:hint="eastAsia" w:ascii="宋体" w:hAnsi="宋体" w:cs="宋体"/>
          <w:color w:val="auto"/>
          <w:highlight w:val="none"/>
        </w:rPr>
        <w:t>。</w:t>
      </w:r>
    </w:p>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w:t>
      </w:r>
      <w:bookmarkStart w:id="394" w:name="_Toc297216207"/>
      <w:bookmarkStart w:id="395" w:name="_Toc292559909"/>
      <w:bookmarkStart w:id="396" w:name="_Toc296944538"/>
      <w:bookmarkStart w:id="397" w:name="_Toc297120499"/>
      <w:bookmarkStart w:id="398" w:name="_Toc303539154"/>
      <w:bookmarkStart w:id="399" w:name="_Toc312677507"/>
      <w:bookmarkStart w:id="400" w:name="_Toc312678033"/>
      <w:bookmarkStart w:id="401" w:name="_Toc292559404"/>
      <w:bookmarkStart w:id="402" w:name="_Toc300934997"/>
      <w:bookmarkStart w:id="403" w:name="_Toc304295574"/>
      <w:bookmarkStart w:id="404" w:name="_Toc296346700"/>
      <w:bookmarkStart w:id="405" w:name="_Toc296347198"/>
      <w:bookmarkStart w:id="406" w:name="_Toc296891027"/>
      <w:bookmarkStart w:id="407" w:name="_Toc296891239"/>
      <w:bookmarkStart w:id="408" w:name="_Toc296503199"/>
      <w:bookmarkStart w:id="409" w:name="_Toc297123548"/>
      <w:bookmarkStart w:id="410" w:name="_Toc297048385"/>
      <w:r>
        <w:rPr>
          <w:rFonts w:hint="eastAsia" w:ascii="宋体" w:hAnsi="宋体" w:cs="宋体"/>
          <w:bCs/>
          <w:color w:val="auto"/>
          <w:szCs w:val="28"/>
          <w:highlight w:val="none"/>
        </w:rPr>
        <w:t>0.7 暂估价</w:t>
      </w:r>
    </w:p>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kern w:val="0"/>
          <w:highlight w:val="none"/>
        </w:rPr>
        <w:t>暂</w:t>
      </w:r>
      <w:bookmarkStart w:id="411" w:name="_Toc318581176"/>
      <w:bookmarkStart w:id="412" w:name="_Toc312677508"/>
      <w:bookmarkStart w:id="413" w:name="_Toc312678034"/>
      <w:r>
        <w:rPr>
          <w:rFonts w:hint="eastAsia" w:ascii="宋体" w:hAnsi="宋体" w:cs="宋体"/>
          <w:color w:val="auto"/>
          <w:kern w:val="0"/>
          <w:highlight w:val="none"/>
        </w:rPr>
        <w:t>估价材料和工程设备的明细详见附件12：《</w:t>
      </w:r>
      <w:r>
        <w:rPr>
          <w:rFonts w:hint="eastAsia" w:ascii="宋体" w:hAnsi="宋体" w:cs="宋体"/>
          <w:color w:val="auto"/>
          <w:highlight w:val="none"/>
        </w:rPr>
        <w:t>暂估价一览表》</w:t>
      </w:r>
      <w:r>
        <w:rPr>
          <w:rFonts w:hint="eastAsia" w:ascii="宋体" w:hAnsi="宋体" w:cs="宋体"/>
          <w:color w:val="auto"/>
          <w:kern w:val="0"/>
          <w:highlight w:val="none"/>
        </w:rPr>
        <w:t>。</w:t>
      </w:r>
    </w:p>
    <w:bookmarkEnd w:id="411"/>
    <w:bookmarkEnd w:id="412"/>
    <w:bookmarkEnd w:id="413"/>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w:t>
      </w:r>
      <w:bookmarkStart w:id="414" w:name="_Toc312678035"/>
      <w:bookmarkStart w:id="415" w:name="_Toc318581177"/>
      <w:bookmarkStart w:id="416" w:name="_Toc312677509"/>
      <w:r>
        <w:rPr>
          <w:rFonts w:hint="eastAsia" w:ascii="宋体" w:hAnsi="宋体" w:cs="宋体"/>
          <w:color w:val="auto"/>
          <w:highlight w:val="none"/>
        </w:rPr>
        <w:t>0.7.1 依法必须招标的暂估价项目</w:t>
      </w:r>
    </w:p>
    <w:bookmarkEnd w:id="414"/>
    <w:bookmarkEnd w:id="415"/>
    <w:bookmarkEnd w:id="416"/>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2</w:t>
      </w:r>
      <w:r>
        <w:rPr>
          <w:rFonts w:hint="eastAsia" w:ascii="宋体" w:hAnsi="宋体" w:cs="宋体"/>
          <w:color w:val="auto"/>
          <w:highlight w:val="none"/>
        </w:rPr>
        <w:t>种方式确定。</w:t>
      </w:r>
      <w:r>
        <w:rPr>
          <w:rFonts w:hint="eastAsia" w:ascii="宋体" w:hAnsi="宋体" w:cs="宋体"/>
          <w:b/>
          <w:color w:val="auto"/>
          <w:highlight w:val="none"/>
          <w:u w:val="single"/>
        </w:rPr>
        <w:t>并应按相关规定进行二次</w:t>
      </w:r>
      <w:r>
        <w:rPr>
          <w:rFonts w:hint="eastAsia" w:ascii="宋体" w:hAnsi="宋体" w:cs="宋体"/>
          <w:b/>
          <w:color w:val="auto"/>
          <w:highlight w:val="none"/>
          <w:u w:val="single"/>
          <w:lang w:val="en-US" w:eastAsia="zh-CN"/>
        </w:rPr>
        <w:t>采购</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10.7.2 不属于依法必须招标的暂估价项目</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对于不属于依法必须招标的暂估价项目的确认和批准采取询价或共同招标方式确定。</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highlight w:val="none"/>
        </w:rPr>
        <w:t>第3种方式：</w:t>
      </w:r>
      <w:r>
        <w:rPr>
          <w:rFonts w:hint="eastAsia" w:ascii="宋体" w:hAnsi="宋体" w:cs="宋体"/>
          <w:color w:val="auto"/>
          <w:kern w:val="0"/>
          <w:highlight w:val="none"/>
        </w:rPr>
        <w:t>承包人直接实施的暂估价项目</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承包人直接实施的暂估价项目的约定：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10.8 暂列金额</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合同当事人关于暂列金额使用的约定：</w:t>
      </w:r>
      <w:r>
        <w:rPr>
          <w:rFonts w:hint="eastAsia" w:ascii="宋体" w:hAnsi="宋体" w:cs="宋体"/>
          <w:color w:val="auto"/>
          <w:szCs w:val="21"/>
          <w:highlight w:val="none"/>
          <w:u w:val="single"/>
        </w:rPr>
        <w:t xml:space="preserve"> 暂列金额应按照发包人的要求使用</w:t>
      </w:r>
      <w:r>
        <w:rPr>
          <w:rFonts w:hint="eastAsia" w:ascii="宋体" w:hAnsi="宋体" w:cs="宋体"/>
          <w:color w:val="auto"/>
          <w:kern w:val="0"/>
          <w:highlight w:val="none"/>
        </w:rPr>
        <w:t>。</w:t>
      </w:r>
    </w:p>
    <w:p>
      <w:pPr>
        <w:keepNext/>
        <w:keepLines/>
        <w:adjustRightInd w:val="0"/>
        <w:snapToGrid w:val="0"/>
        <w:spacing w:line="384" w:lineRule="auto"/>
        <w:jc w:val="left"/>
        <w:outlineLvl w:val="2"/>
        <w:rPr>
          <w:rFonts w:ascii="宋体" w:hAnsi="宋体" w:cs="宋体"/>
          <w:bCs/>
          <w:color w:val="auto"/>
          <w:sz w:val="24"/>
          <w:highlight w:val="none"/>
        </w:rPr>
      </w:pPr>
      <w:bookmarkStart w:id="417" w:name="_Toc95223472"/>
      <w:bookmarkStart w:id="418" w:name="_Toc351203643"/>
      <w:r>
        <w:rPr>
          <w:rFonts w:hint="eastAsia" w:ascii="宋体" w:hAnsi="宋体" w:cs="宋体"/>
          <w:bCs/>
          <w:color w:val="auto"/>
          <w:sz w:val="24"/>
          <w:highlight w:val="none"/>
        </w:rPr>
        <w:t>11. 价格调整</w:t>
      </w:r>
      <w:bookmarkEnd w:id="417"/>
      <w:bookmarkEnd w:id="418"/>
    </w:p>
    <w:p>
      <w:pPr>
        <w:keepNext/>
        <w:keepLines/>
        <w:adjustRightInd w:val="0"/>
        <w:snapToGrid w:val="0"/>
        <w:spacing w:line="384" w:lineRule="auto"/>
        <w:ind w:firstLine="420" w:firstLineChars="200"/>
        <w:outlineLvl w:val="3"/>
        <w:rPr>
          <w:rFonts w:ascii="宋体" w:hAnsi="宋体" w:cs="宋体"/>
          <w:bCs/>
          <w:color w:val="auto"/>
          <w:szCs w:val="28"/>
          <w:highlight w:val="none"/>
        </w:rPr>
      </w:pPr>
      <w:bookmarkStart w:id="419" w:name="_Toc297123550"/>
      <w:bookmarkStart w:id="420" w:name="_Toc297048387"/>
      <w:bookmarkStart w:id="421" w:name="_Toc304295577"/>
      <w:bookmarkStart w:id="422" w:name="_Toc296503201"/>
      <w:bookmarkStart w:id="423" w:name="_Toc296346702"/>
      <w:bookmarkStart w:id="424" w:name="_Toc297216209"/>
      <w:bookmarkStart w:id="425" w:name="_Toc292559406"/>
      <w:bookmarkStart w:id="426" w:name="_Toc312678039"/>
      <w:bookmarkStart w:id="427" w:name="_Toc296347200"/>
      <w:bookmarkStart w:id="428" w:name="_Toc300935000"/>
      <w:bookmarkStart w:id="429" w:name="_Toc303539157"/>
      <w:bookmarkStart w:id="430" w:name="_Toc297120501"/>
      <w:bookmarkStart w:id="431" w:name="_Toc292559911"/>
      <w:bookmarkStart w:id="432" w:name="_Toc296891029"/>
      <w:bookmarkStart w:id="433" w:name="_Toc296891241"/>
      <w:bookmarkStart w:id="434" w:name="_Toc296944540"/>
      <w:r>
        <w:rPr>
          <w:rFonts w:hint="eastAsia" w:ascii="宋体" w:hAnsi="宋体" w:cs="宋体"/>
          <w:bCs/>
          <w:color w:val="auto"/>
          <w:szCs w:val="28"/>
          <w:highlight w:val="none"/>
        </w:rPr>
        <w:t>11.1 市场价格波动引起的调整</w:t>
      </w:r>
    </w:p>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kern w:val="0"/>
          <w:highlight w:val="none"/>
        </w:rPr>
        <w:t>市场价格波动是否调整合同价格的约定：</w:t>
      </w:r>
      <w:r>
        <w:rPr>
          <w:rFonts w:hint="eastAsia" w:ascii="宋体" w:hAnsi="宋体" w:cs="宋体"/>
          <w:b/>
          <w:color w:val="auto"/>
          <w:highlight w:val="none"/>
          <w:u w:val="single"/>
        </w:rPr>
        <w:t xml:space="preserve"> 具体见以下约定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因市场价格波动调整合同价格，采用以下第</w:t>
      </w:r>
      <w:r>
        <w:rPr>
          <w:rFonts w:hint="eastAsia" w:ascii="宋体" w:hAnsi="宋体" w:cs="宋体"/>
          <w:color w:val="auto"/>
          <w:highlight w:val="none"/>
          <w:u w:val="single"/>
        </w:rPr>
        <w:t xml:space="preserve"> 2 </w:t>
      </w:r>
      <w:r>
        <w:rPr>
          <w:rFonts w:hint="eastAsia" w:ascii="宋体" w:hAnsi="宋体" w:cs="宋体"/>
          <w:color w:val="auto"/>
          <w:highlight w:val="none"/>
        </w:rPr>
        <w:t>种方式对合同价格进行调整：</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第1种方式：采用价格指数进行价格调整。</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关于各可调因子、定值和变值权重，以及基本价格指数及其来源的约定：</w:t>
      </w:r>
      <w:r>
        <w:rPr>
          <w:rFonts w:hint="eastAsia" w:ascii="宋体" w:hAnsi="宋体" w:cs="宋体"/>
          <w:color w:val="auto"/>
          <w:highlight w:val="none"/>
          <w:u w:val="single"/>
        </w:rPr>
        <w:t xml:space="preserve"> 不采用 </w:t>
      </w:r>
      <w:r>
        <w:rPr>
          <w:rFonts w:hint="eastAsia" w:ascii="宋体" w:hAnsi="宋体" w:cs="宋体"/>
          <w:color w:val="auto"/>
          <w:highlight w:val="none"/>
        </w:rPr>
        <w:t xml:space="preserve">； </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第2种方式：采用造价信息进行价格调整。</w:t>
      </w:r>
    </w:p>
    <w:bookmarkEnd w:id="321"/>
    <w:bookmarkEnd w:id="322"/>
    <w:bookmarkEnd w:id="323"/>
    <w:bookmarkEnd w:id="324"/>
    <w:bookmarkEnd w:id="325"/>
    <w:bookmarkEnd w:id="326"/>
    <w:p>
      <w:pPr>
        <w:adjustRightInd w:val="0"/>
        <w:snapToGrid w:val="0"/>
        <w:spacing w:line="360" w:lineRule="auto"/>
        <w:ind w:firstLine="420" w:firstLineChars="200"/>
        <w:rPr>
          <w:rFonts w:ascii="宋体" w:hAnsi="宋体" w:cs="宋体"/>
          <w:color w:val="auto"/>
          <w:highlight w:val="none"/>
        </w:rPr>
      </w:pPr>
      <w:bookmarkStart w:id="435" w:name="_Toc296944544"/>
      <w:bookmarkStart w:id="436" w:name="_Toc297120505"/>
      <w:bookmarkStart w:id="437" w:name="_Toc296346706"/>
      <w:bookmarkStart w:id="438" w:name="_Toc292559915"/>
      <w:bookmarkStart w:id="439" w:name="_Toc297048391"/>
      <w:bookmarkStart w:id="440" w:name="_Toc296891245"/>
      <w:bookmarkStart w:id="441" w:name="_Toc296503205"/>
      <w:bookmarkStart w:id="442" w:name="_Toc296347204"/>
      <w:bookmarkStart w:id="443" w:name="_Toc292559410"/>
      <w:bookmarkStart w:id="444" w:name="_Toc296891033"/>
      <w:bookmarkStart w:id="445" w:name="_Toc95223473"/>
      <w:bookmarkStart w:id="446" w:name="_Toc351203644"/>
      <w:bookmarkStart w:id="447" w:name="_Toc312678040"/>
      <w:bookmarkStart w:id="448" w:name="_Toc300935002"/>
      <w:bookmarkStart w:id="449" w:name="_Toc304295579"/>
      <w:bookmarkStart w:id="450" w:name="_Toc303539159"/>
      <w:bookmarkStart w:id="451" w:name="_Toc297123552"/>
      <w:bookmarkStart w:id="452" w:name="_Toc297216211"/>
      <w:r>
        <w:rPr>
          <w:rFonts w:hint="eastAsia" w:ascii="宋体" w:hAnsi="宋体" w:cs="宋体"/>
          <w:color w:val="auto"/>
          <w:highlight w:val="none"/>
        </w:rPr>
        <w:t>关于基准价格的约定：</w:t>
      </w:r>
      <w:r>
        <w:rPr>
          <w:rFonts w:hint="eastAsia" w:ascii="宋体" w:hAnsi="宋体" w:cs="宋体"/>
          <w:b/>
          <w:bCs/>
          <w:color w:val="auto"/>
          <w:highlight w:val="none"/>
          <w:u w:val="single"/>
        </w:rPr>
        <w:t>基准价格为《滁州工程造价信息》【（202</w:t>
      </w:r>
      <w:r>
        <w:rPr>
          <w:rFonts w:hint="eastAsia" w:ascii="宋体" w:hAnsi="宋体" w:cs="宋体"/>
          <w:b/>
          <w:bCs/>
          <w:color w:val="auto"/>
          <w:highlight w:val="none"/>
          <w:u w:val="single"/>
          <w:lang w:val="en-US" w:eastAsia="zh-CN"/>
        </w:rPr>
        <w:t>4</w:t>
      </w:r>
      <w:r>
        <w:rPr>
          <w:rFonts w:hint="eastAsia" w:ascii="宋体" w:hAnsi="宋体" w:cs="宋体"/>
          <w:b/>
          <w:bCs/>
          <w:color w:val="auto"/>
          <w:highlight w:val="none"/>
          <w:u w:val="single"/>
        </w:rPr>
        <w:t>年第</w:t>
      </w:r>
      <w:r>
        <w:rPr>
          <w:rFonts w:hint="eastAsia" w:ascii="宋体" w:hAnsi="宋体" w:cs="宋体"/>
          <w:b/>
          <w:bCs/>
          <w:color w:val="auto"/>
          <w:highlight w:val="none"/>
          <w:u w:val="single"/>
          <w:lang w:val="en-US" w:eastAsia="zh-CN"/>
        </w:rPr>
        <w:t>2</w:t>
      </w:r>
      <w:r>
        <w:rPr>
          <w:rFonts w:hint="eastAsia" w:ascii="宋体" w:hAnsi="宋体" w:cs="宋体"/>
          <w:b/>
          <w:bCs/>
          <w:color w:val="auto"/>
          <w:highlight w:val="none"/>
          <w:u w:val="single"/>
        </w:rPr>
        <w:t>期不含税材料价格）】</w:t>
      </w:r>
      <w:r>
        <w:rPr>
          <w:rFonts w:hint="eastAsia" w:ascii="宋体" w:hAnsi="宋体" w:cs="宋体"/>
          <w:color w:val="auto"/>
          <w:highlight w:val="none"/>
        </w:rPr>
        <w:t>中相对应的价格以及最高投标限价中以市场询价计入的价格。</w:t>
      </w:r>
    </w:p>
    <w:p>
      <w:pPr>
        <w:adjustRightInd w:val="0"/>
        <w:snapToGrid w:val="0"/>
        <w:spacing w:line="360" w:lineRule="auto"/>
        <w:ind w:firstLine="420" w:firstLineChars="200"/>
        <w:rPr>
          <w:rFonts w:hint="eastAsia" w:ascii="宋体" w:hAnsi="宋体" w:eastAsia="宋体" w:cs="宋体"/>
          <w:b/>
          <w:bCs/>
          <w:color w:val="auto"/>
          <w:szCs w:val="21"/>
          <w:highlight w:val="none"/>
          <w:u w:val="single"/>
          <w:lang w:eastAsia="zh-CN"/>
        </w:rPr>
      </w:pPr>
      <w:r>
        <w:rPr>
          <w:rFonts w:hint="eastAsia" w:ascii="宋体" w:hAnsi="宋体" w:cs="宋体"/>
          <w:color w:val="auto"/>
          <w:szCs w:val="21"/>
          <w:highlight w:val="none"/>
        </w:rPr>
        <w:t>①可调整价格的主要材料范围的约定:不调整</w:t>
      </w:r>
      <w:r>
        <w:rPr>
          <w:rFonts w:hint="eastAsia" w:ascii="宋体" w:hAnsi="宋体" w:cs="宋体"/>
          <w:color w:val="auto"/>
          <w:szCs w:val="21"/>
          <w:highlight w:val="none"/>
          <w:lang w:eastAsia="zh-CN"/>
        </w:rPr>
        <w:t>。</w:t>
      </w:r>
    </w:p>
    <w:p>
      <w:pPr>
        <w:adjustRightInd w:val="0"/>
        <w:snapToGrid w:val="0"/>
        <w:spacing w:line="360" w:lineRule="auto"/>
        <w:ind w:firstLine="420" w:firstLineChars="200"/>
        <w:rPr>
          <w:rFonts w:ascii="宋体" w:hAnsi="宋体" w:cs="宋体"/>
          <w:b w:val="0"/>
          <w:bCs w:val="0"/>
          <w:color w:val="auto"/>
          <w:szCs w:val="21"/>
          <w:highlight w:val="none"/>
        </w:rPr>
      </w:pPr>
      <w:r>
        <w:rPr>
          <w:rFonts w:hint="eastAsia" w:ascii="宋体" w:hAnsi="宋体" w:cs="宋体"/>
          <w:b w:val="0"/>
          <w:bCs w:val="0"/>
          <w:color w:val="auto"/>
          <w:szCs w:val="21"/>
          <w:highlight w:val="none"/>
        </w:rPr>
        <w:t>②在施工过程中，市场价格波动引起的材料价格变化具体按下列方式调整：</w:t>
      </w:r>
    </w:p>
    <w:p>
      <w:pPr>
        <w:adjustRightInd w:val="0"/>
        <w:snapToGrid w:val="0"/>
        <w:spacing w:line="360" w:lineRule="auto"/>
        <w:ind w:firstLine="420" w:firstLineChars="2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可调材料的价格变化指项目从监理工程师签发开工令之日起至项目主体结构验收之日期间的滁州信息价平均值与控制价编制时的当月信息价相比较，价格差值在±5%（含±5%）以内的，不予调整，如差值超出±5%，只对超出±5%的部分进行调整，按信息价±5%之外变化的同等数额调整。施工机械使用费不予调整。</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人工费调整方法：按施工期间对应发布的人工价格信息进行调整，按安徽省住建厅建标【2021】46号文规定执行</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变更项目中无合同价的材料价格可依次采用下列方式确定：1、滁州有信息价的，执行滁州信息价格；滁州无信息价的，依次执行合肥、南京、扬州信息价及广材网，以实际施工期间算术平均价按</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下浮率下浮后作为合同价。2、上述无价格的，参照我市同期招标中标价格（不下浮）；3、无信息价且无同期招标中标价的，则根据金额大小由发包人和承包人共同招标或询价，招标或询价价格不再下浮。</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承包人每月 25 号应及时上报当月已完合格工程量，并经建设、监理、跟踪审计单位共同签认，提供一式四份（建设、监理、审计、施工各一份）作为结算调价依据，若承包人不按要求上报，后期结算时建设单位将按不利于承包人的原则进行结算。 </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第3种方式：其他价格调整方式：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其他价格调整方式： 不采用 。</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11.3暂估价材料价格调整</w:t>
      </w:r>
    </w:p>
    <w:p>
      <w:pPr>
        <w:snapToGrid w:val="0"/>
        <w:spacing w:line="440" w:lineRule="exact"/>
        <w:ind w:firstLine="420" w:firstLineChars="200"/>
        <w:jc w:val="left"/>
        <w:rPr>
          <w:rFonts w:ascii="宋体" w:hAnsi="宋体" w:cs="宋体"/>
          <w:color w:val="auto"/>
          <w:highlight w:val="none"/>
          <w:u w:val="single"/>
        </w:rPr>
      </w:pPr>
      <w:r>
        <w:rPr>
          <w:rFonts w:hint="eastAsia" w:ascii="宋体" w:hAnsi="宋体" w:cs="宋体"/>
          <w:color w:val="auto"/>
          <w:szCs w:val="21"/>
          <w:highlight w:val="none"/>
        </w:rPr>
        <w:t>（1）材料价格：除上述专用条款中第11.1条中约定的可调价格材料和实行暂估价的材料（详见最高投标限价）外，其他材料由</w:t>
      </w:r>
      <w:r>
        <w:rPr>
          <w:rFonts w:hint="eastAsia" w:ascii="宋体" w:hAnsi="宋体" w:cs="宋体"/>
          <w:color w:val="auto"/>
          <w:szCs w:val="21"/>
          <w:highlight w:val="none"/>
          <w:lang w:eastAsia="zh-CN"/>
        </w:rPr>
        <w:t>承包</w:t>
      </w:r>
      <w:r>
        <w:rPr>
          <w:rFonts w:hint="eastAsia" w:ascii="宋体" w:hAnsi="宋体" w:cs="宋体"/>
          <w:color w:val="auto"/>
          <w:szCs w:val="21"/>
          <w:highlight w:val="none"/>
        </w:rPr>
        <w:t>人按市场合格</w:t>
      </w:r>
      <w:r>
        <w:rPr>
          <w:rFonts w:hint="eastAsia" w:ascii="宋体" w:hAnsi="宋体" w:cs="宋体"/>
          <w:color w:val="auto"/>
          <w:highlight w:val="none"/>
          <w:u w:val="single"/>
        </w:rPr>
        <w:t>产品价格及</w:t>
      </w:r>
      <w:r>
        <w:rPr>
          <w:rFonts w:hint="eastAsia" w:ascii="宋体" w:hAnsi="宋体" w:cs="宋体"/>
          <w:color w:val="auto"/>
          <w:highlight w:val="none"/>
          <w:u w:val="single"/>
          <w:lang w:val="en-US" w:eastAsia="zh-CN"/>
        </w:rPr>
        <w:t>采购</w:t>
      </w:r>
      <w:r>
        <w:rPr>
          <w:rFonts w:hint="eastAsia" w:ascii="宋体" w:hAnsi="宋体" w:cs="宋体"/>
          <w:color w:val="auto"/>
          <w:highlight w:val="none"/>
          <w:u w:val="single"/>
        </w:rPr>
        <w:t>文件的规定自行报价一次性包干，</w:t>
      </w:r>
      <w:r>
        <w:rPr>
          <w:rFonts w:hint="eastAsia" w:ascii="宋体" w:hAnsi="宋体" w:cs="宋体"/>
          <w:color w:val="auto"/>
          <w:highlight w:val="none"/>
          <w:u w:val="single"/>
          <w:lang w:eastAsia="zh-CN"/>
        </w:rPr>
        <w:t>承包</w:t>
      </w:r>
      <w:r>
        <w:rPr>
          <w:rFonts w:hint="eastAsia" w:ascii="宋体" w:hAnsi="宋体" w:cs="宋体"/>
          <w:color w:val="auto"/>
          <w:highlight w:val="none"/>
          <w:u w:val="single"/>
        </w:rPr>
        <w:t>人在确定</w:t>
      </w:r>
      <w:r>
        <w:rPr>
          <w:rFonts w:hint="eastAsia" w:ascii="宋体" w:hAnsi="宋体" w:cs="宋体"/>
          <w:color w:val="auto"/>
          <w:highlight w:val="none"/>
          <w:u w:val="single"/>
          <w:lang w:eastAsia="zh-CN"/>
        </w:rPr>
        <w:t>响应</w:t>
      </w:r>
      <w:r>
        <w:rPr>
          <w:rFonts w:hint="eastAsia" w:ascii="宋体" w:hAnsi="宋体" w:cs="宋体"/>
          <w:color w:val="auto"/>
          <w:highlight w:val="none"/>
          <w:u w:val="single"/>
        </w:rPr>
        <w:t>报价时应充分考虑材料价格上涨等市场风险因素，这部分材料价格今后将不作任何调整。</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（2）实行暂估价的主要材料</w:t>
      </w:r>
      <w:r>
        <w:rPr>
          <w:rFonts w:hint="eastAsia" w:ascii="宋体" w:hAnsi="宋体" w:cs="宋体"/>
          <w:color w:val="auto"/>
          <w:highlight w:val="none"/>
          <w:u w:val="single"/>
          <w:lang w:eastAsia="zh-CN"/>
        </w:rPr>
        <w:t>（</w:t>
      </w:r>
      <w:r>
        <w:rPr>
          <w:rFonts w:hint="eastAsia" w:ascii="宋体" w:hAnsi="宋体" w:cs="宋体"/>
          <w:color w:val="auto"/>
          <w:highlight w:val="none"/>
          <w:u w:val="single"/>
        </w:rPr>
        <w:t>半成品</w:t>
      </w:r>
      <w:r>
        <w:rPr>
          <w:rFonts w:hint="eastAsia" w:ascii="宋体" w:hAnsi="宋体" w:cs="宋体"/>
          <w:color w:val="auto"/>
          <w:highlight w:val="none"/>
          <w:u w:val="single"/>
          <w:lang w:eastAsia="zh-CN"/>
        </w:rPr>
        <w:t>）</w:t>
      </w:r>
      <w:r>
        <w:rPr>
          <w:rFonts w:hint="eastAsia" w:ascii="宋体" w:hAnsi="宋体" w:cs="宋体"/>
          <w:color w:val="auto"/>
          <w:highlight w:val="none"/>
          <w:u w:val="single"/>
        </w:rPr>
        <w:t>，在</w:t>
      </w:r>
      <w:r>
        <w:rPr>
          <w:rFonts w:hint="eastAsia" w:ascii="宋体" w:hAnsi="宋体" w:cs="宋体"/>
          <w:color w:val="auto"/>
          <w:highlight w:val="none"/>
          <w:u w:val="single"/>
          <w:lang w:eastAsia="zh-CN"/>
        </w:rPr>
        <w:t>响应</w:t>
      </w:r>
      <w:r>
        <w:rPr>
          <w:rFonts w:hint="eastAsia" w:ascii="宋体" w:hAnsi="宋体" w:cs="宋体"/>
          <w:color w:val="auto"/>
          <w:highlight w:val="none"/>
          <w:u w:val="single"/>
        </w:rPr>
        <w:t>报价中按</w:t>
      </w:r>
      <w:r>
        <w:rPr>
          <w:rFonts w:hint="eastAsia" w:ascii="宋体" w:hAnsi="宋体" w:cs="宋体"/>
          <w:color w:val="auto"/>
          <w:highlight w:val="none"/>
          <w:u w:val="single"/>
          <w:lang w:val="en-US" w:eastAsia="zh-CN"/>
        </w:rPr>
        <w:t>采购</w:t>
      </w:r>
      <w:r>
        <w:rPr>
          <w:rFonts w:hint="eastAsia" w:ascii="宋体" w:hAnsi="宋体" w:cs="宋体"/>
          <w:color w:val="auto"/>
          <w:highlight w:val="none"/>
          <w:u w:val="single"/>
        </w:rPr>
        <w:t>文件和答疑及工程量清单总说明给定的价格计算，不得减少报价，工程竣工结算时按二次招标价或甲乙双方认质认价的签证调整。</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（3）主要材料（半成品）的价差调整价款决算时仅计取税金，不再计取其他任何费用。</w:t>
      </w:r>
    </w:p>
    <w:p>
      <w:pPr>
        <w:keepNext/>
        <w:keepLines/>
        <w:adjustRightInd w:val="0"/>
        <w:snapToGrid w:val="0"/>
        <w:spacing w:line="384" w:lineRule="auto"/>
        <w:jc w:val="left"/>
        <w:outlineLvl w:val="2"/>
        <w:rPr>
          <w:rFonts w:ascii="宋体" w:hAnsi="宋体" w:cs="宋体"/>
          <w:bCs/>
          <w:color w:val="auto"/>
          <w:sz w:val="24"/>
          <w:highlight w:val="none"/>
        </w:rPr>
      </w:pPr>
      <w:r>
        <w:rPr>
          <w:rFonts w:hint="eastAsia" w:ascii="宋体" w:hAnsi="宋体" w:cs="宋体"/>
          <w:bCs/>
          <w:color w:val="auto"/>
          <w:sz w:val="24"/>
          <w:highlight w:val="none"/>
        </w:rPr>
        <w:t xml:space="preserve">12. </w:t>
      </w:r>
      <w:bookmarkEnd w:id="435"/>
      <w:bookmarkEnd w:id="436"/>
      <w:bookmarkEnd w:id="437"/>
      <w:bookmarkEnd w:id="438"/>
      <w:bookmarkEnd w:id="439"/>
      <w:bookmarkEnd w:id="440"/>
      <w:bookmarkEnd w:id="441"/>
      <w:bookmarkEnd w:id="442"/>
      <w:bookmarkEnd w:id="443"/>
      <w:bookmarkEnd w:id="444"/>
      <w:r>
        <w:rPr>
          <w:rFonts w:hint="eastAsia" w:ascii="宋体" w:hAnsi="宋体" w:cs="宋体"/>
          <w:bCs/>
          <w:color w:val="auto"/>
          <w:sz w:val="24"/>
          <w:highlight w:val="none"/>
        </w:rPr>
        <w:t>合同价格、计量与支付</w:t>
      </w:r>
      <w:bookmarkEnd w:id="445"/>
      <w:bookmarkEnd w:id="446"/>
    </w:p>
    <w:bookmarkEnd w:id="447"/>
    <w:bookmarkEnd w:id="448"/>
    <w:bookmarkEnd w:id="449"/>
    <w:bookmarkEnd w:id="450"/>
    <w:bookmarkEnd w:id="451"/>
    <w:bookmarkEnd w:id="452"/>
    <w:p>
      <w:pPr>
        <w:keepNext/>
        <w:keepLines/>
        <w:adjustRightInd w:val="0"/>
        <w:snapToGrid w:val="0"/>
        <w:spacing w:line="384" w:lineRule="auto"/>
        <w:ind w:firstLine="420" w:firstLineChars="200"/>
        <w:outlineLvl w:val="3"/>
        <w:rPr>
          <w:rFonts w:ascii="宋体" w:hAnsi="宋体" w:cs="宋体"/>
          <w:bCs/>
          <w:color w:val="auto"/>
          <w:szCs w:val="28"/>
          <w:highlight w:val="none"/>
        </w:rPr>
      </w:pPr>
      <w:bookmarkStart w:id="453" w:name="_Toc292559411"/>
      <w:bookmarkStart w:id="454" w:name="_Toc267251461"/>
      <w:bookmarkStart w:id="455" w:name="_Toc292559916"/>
      <w:bookmarkStart w:id="456" w:name="_Toc296347205"/>
      <w:bookmarkStart w:id="457" w:name="_Toc296503206"/>
      <w:bookmarkStart w:id="458" w:name="_Toc296346707"/>
      <w:bookmarkStart w:id="459" w:name="_Toc297120506"/>
      <w:bookmarkStart w:id="460" w:name="_Toc297048392"/>
      <w:bookmarkStart w:id="461" w:name="_Toc296891034"/>
      <w:bookmarkStart w:id="462" w:name="_Toc296891246"/>
      <w:bookmarkStart w:id="463" w:name="_Toc296944545"/>
      <w:bookmarkStart w:id="464" w:name="_Toc312678041"/>
      <w:bookmarkStart w:id="465" w:name="_Toc300935003"/>
      <w:bookmarkStart w:id="466" w:name="_Toc303539160"/>
      <w:bookmarkStart w:id="467" w:name="_Toc304295580"/>
      <w:bookmarkStart w:id="468" w:name="_Toc297123553"/>
      <w:bookmarkStart w:id="469" w:name="_Toc297216212"/>
      <w:r>
        <w:rPr>
          <w:rFonts w:hint="eastAsia" w:ascii="宋体" w:hAnsi="宋体" w:cs="宋体"/>
          <w:bCs/>
          <w:color w:val="auto"/>
          <w:szCs w:val="28"/>
          <w:highlight w:val="none"/>
        </w:rPr>
        <w:t>12.1 合</w:t>
      </w:r>
      <w:bookmarkEnd w:id="453"/>
      <w:bookmarkEnd w:id="454"/>
      <w:bookmarkEnd w:id="455"/>
      <w:r>
        <w:rPr>
          <w:rFonts w:hint="eastAsia" w:ascii="宋体" w:hAnsi="宋体" w:cs="宋体"/>
          <w:bCs/>
          <w:color w:val="auto"/>
          <w:szCs w:val="28"/>
          <w:highlight w:val="none"/>
        </w:rPr>
        <w:t>同价</w:t>
      </w:r>
      <w:bookmarkEnd w:id="456"/>
      <w:bookmarkEnd w:id="457"/>
      <w:bookmarkEnd w:id="458"/>
      <w:bookmarkEnd w:id="459"/>
      <w:bookmarkEnd w:id="460"/>
      <w:bookmarkEnd w:id="461"/>
      <w:bookmarkEnd w:id="462"/>
      <w:bookmarkEnd w:id="463"/>
      <w:r>
        <w:rPr>
          <w:rFonts w:hint="eastAsia" w:ascii="宋体" w:hAnsi="宋体" w:cs="宋体"/>
          <w:bCs/>
          <w:color w:val="auto"/>
          <w:szCs w:val="28"/>
          <w:highlight w:val="none"/>
        </w:rPr>
        <w:t>格形式</w:t>
      </w:r>
    </w:p>
    <w:bookmarkEnd w:id="464"/>
    <w:bookmarkEnd w:id="465"/>
    <w:bookmarkEnd w:id="466"/>
    <w:bookmarkEnd w:id="467"/>
    <w:bookmarkEnd w:id="468"/>
    <w:bookmarkEnd w:id="469"/>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单价合同。</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综合单价包含的风险范围：</w:t>
      </w:r>
      <w:r>
        <w:rPr>
          <w:rFonts w:hint="eastAsia" w:ascii="宋体" w:hAnsi="宋体" w:cs="宋体"/>
          <w:color w:val="auto"/>
          <w:highlight w:val="none"/>
          <w:u w:val="single"/>
        </w:rPr>
        <w:t xml:space="preserve"> </w:t>
      </w:r>
      <w:r>
        <w:rPr>
          <w:rFonts w:hint="eastAsia" w:ascii="宋体" w:hAnsi="宋体" w:cs="宋体"/>
          <w:b/>
          <w:color w:val="auto"/>
          <w:szCs w:val="21"/>
          <w:highlight w:val="none"/>
          <w:u w:val="single"/>
        </w:rPr>
        <w:t>各种因素引起的不属于本合同调价范围的市场材料价格、人工、机械使用费以及管理费、利润的变化等。隐含于工程量清单综合单价中，用于化解发承包双方在工程合同中约定内容和范围内的市场价格波动风险的费用</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风险费用的计算方法：</w:t>
      </w:r>
      <w:r>
        <w:rPr>
          <w:rFonts w:hint="eastAsia" w:ascii="宋体" w:hAnsi="宋体" w:cs="宋体"/>
          <w:color w:val="auto"/>
          <w:highlight w:val="none"/>
          <w:u w:val="single"/>
        </w:rPr>
        <w:t xml:space="preserve">  承包人自行考虑，包含在报价中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风险范围以外合同价格的调整方法：</w:t>
      </w:r>
      <w:r>
        <w:rPr>
          <w:rFonts w:hint="eastAsia" w:ascii="宋体" w:hAnsi="宋体" w:cs="宋体"/>
          <w:color w:val="auto"/>
          <w:highlight w:val="none"/>
          <w:u w:val="single"/>
        </w:rPr>
        <w:t xml:space="preserve"> </w:t>
      </w:r>
      <w:r>
        <w:rPr>
          <w:rFonts w:hint="eastAsia" w:ascii="宋体" w:hAnsi="宋体" w:cs="宋体"/>
          <w:b/>
          <w:color w:val="auto"/>
          <w:szCs w:val="21"/>
          <w:highlight w:val="none"/>
          <w:u w:val="single"/>
        </w:rPr>
        <w:t>结算价=合同价±工程变更造价±分部分项工程量清单工程量误差造价±材料价格调整造价±政策性调整造价±措施项目调整造价－暂列金额×1.09±合理工程索赔。</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总价合同。</w:t>
      </w:r>
    </w:p>
    <w:p>
      <w:pPr>
        <w:adjustRightInd w:val="0"/>
        <w:snapToGrid w:val="0"/>
        <w:spacing w:line="384" w:lineRule="auto"/>
        <w:ind w:firstLine="420" w:firstLineChars="200"/>
        <w:rPr>
          <w:rFonts w:ascii="宋体" w:hAnsi="宋体" w:cs="宋体"/>
          <w:b/>
          <w:color w:val="auto"/>
          <w:highlight w:val="none"/>
        </w:rPr>
      </w:pPr>
      <w:r>
        <w:rPr>
          <w:rFonts w:hint="eastAsia" w:ascii="宋体" w:hAnsi="宋体" w:cs="宋体"/>
          <w:color w:val="auto"/>
          <w:highlight w:val="none"/>
        </w:rPr>
        <w:t>总价包含的风险范围：</w:t>
      </w:r>
      <w:r>
        <w:rPr>
          <w:rFonts w:hint="eastAsia" w:ascii="宋体" w:hAnsi="宋体" w:cs="宋体"/>
          <w:b/>
          <w:color w:val="auto"/>
          <w:highlight w:val="none"/>
          <w:u w:val="single"/>
        </w:rPr>
        <w:t xml:space="preserve">                                    </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风险费用的计算方法：</w:t>
      </w:r>
      <w:r>
        <w:rPr>
          <w:rFonts w:hint="eastAsia" w:ascii="宋体" w:hAnsi="宋体" w:cs="宋体"/>
          <w:b/>
          <w:color w:val="auto"/>
          <w:highlight w:val="none"/>
          <w:u w:val="single"/>
        </w:rPr>
        <w:t xml:space="preserve">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风险范围以外合同价格的调整方法：</w:t>
      </w:r>
      <w:r>
        <w:rPr>
          <w:rFonts w:hint="eastAsia" w:ascii="宋体" w:hAnsi="宋体" w:cs="宋体"/>
          <w:color w:val="auto"/>
          <w:highlight w:val="none"/>
          <w:u w:val="single"/>
        </w:rPr>
        <w:t xml:space="preserve">  </w:t>
      </w:r>
      <w:r>
        <w:rPr>
          <w:rFonts w:hint="eastAsia" w:ascii="宋体" w:hAnsi="宋体" w:cs="宋体"/>
          <w:b/>
          <w:color w:val="auto"/>
          <w:highlight w:val="none"/>
          <w:u w:val="single"/>
        </w:rPr>
        <w:t xml:space="preserve">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lang w:eastAsia="zh-CN"/>
        </w:rPr>
        <w:t>（</w:t>
      </w:r>
      <w:r>
        <w:rPr>
          <w:rFonts w:hint="eastAsia" w:ascii="宋体" w:hAnsi="宋体" w:cs="宋体"/>
          <w:color w:val="auto"/>
          <w:highlight w:val="none"/>
        </w:rPr>
        <w:t>3</w:t>
      </w:r>
      <w:r>
        <w:rPr>
          <w:rFonts w:hint="eastAsia" w:ascii="宋体" w:hAnsi="宋体" w:cs="宋体"/>
          <w:color w:val="auto"/>
          <w:highlight w:val="none"/>
          <w:lang w:eastAsia="zh-CN"/>
        </w:rPr>
        <w:t>）</w:t>
      </w:r>
      <w:r>
        <w:rPr>
          <w:rFonts w:hint="eastAsia" w:ascii="宋体" w:hAnsi="宋体" w:cs="宋体"/>
          <w:color w:val="auto"/>
          <w:highlight w:val="none"/>
        </w:rPr>
        <w:t>其他价格方式：</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keepNext/>
        <w:keepLines/>
        <w:adjustRightInd w:val="0"/>
        <w:snapToGrid w:val="0"/>
        <w:spacing w:line="384" w:lineRule="auto"/>
        <w:jc w:val="left"/>
        <w:outlineLvl w:val="2"/>
        <w:rPr>
          <w:rFonts w:ascii="宋体" w:hAnsi="宋体" w:cs="宋体"/>
          <w:bCs/>
          <w:color w:val="auto"/>
          <w:sz w:val="24"/>
          <w:highlight w:val="none"/>
        </w:rPr>
      </w:pPr>
      <w:bookmarkStart w:id="470" w:name="_Toc95223474"/>
      <w:bookmarkStart w:id="471" w:name="_Toc297216213"/>
      <w:bookmarkStart w:id="472" w:name="_Toc297123554"/>
      <w:bookmarkStart w:id="473" w:name="_Toc303539161"/>
      <w:bookmarkStart w:id="474" w:name="_Toc300935004"/>
      <w:bookmarkStart w:id="475" w:name="_Toc312678042"/>
      <w:bookmarkStart w:id="476" w:name="_Toc304295581"/>
      <w:bookmarkStart w:id="477" w:name="_Toc296503207"/>
      <w:bookmarkStart w:id="478" w:name="_Toc296891035"/>
      <w:bookmarkStart w:id="479" w:name="_Toc296944546"/>
      <w:bookmarkStart w:id="480" w:name="_Toc297120507"/>
      <w:bookmarkStart w:id="481" w:name="_Toc296347206"/>
      <w:bookmarkStart w:id="482" w:name="_Toc297048393"/>
      <w:bookmarkStart w:id="483" w:name="_Toc296346708"/>
      <w:bookmarkStart w:id="484" w:name="_Toc296891247"/>
      <w:bookmarkStart w:id="485" w:name="_Toc292559412"/>
      <w:bookmarkStart w:id="486" w:name="_Toc292559917"/>
      <w:r>
        <w:rPr>
          <w:rFonts w:hint="eastAsia" w:ascii="宋体" w:hAnsi="宋体" w:cs="宋体"/>
          <w:bCs/>
          <w:color w:val="auto"/>
          <w:sz w:val="24"/>
          <w:highlight w:val="none"/>
        </w:rPr>
        <w:t>12.2 预付款</w:t>
      </w:r>
      <w:bookmarkEnd w:id="470"/>
    </w:p>
    <w:bookmarkEnd w:id="471"/>
    <w:bookmarkEnd w:id="472"/>
    <w:bookmarkEnd w:id="473"/>
    <w:bookmarkEnd w:id="474"/>
    <w:bookmarkEnd w:id="475"/>
    <w:bookmarkEnd w:id="476"/>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12.2.1 预付款的支付</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预付款支付比例或金额：</w:t>
      </w:r>
      <w:r>
        <w:rPr>
          <w:rFonts w:hint="eastAsia" w:ascii="宋体" w:hAnsi="宋体" w:cs="宋体"/>
          <w:color w:val="auto"/>
          <w:highlight w:val="none"/>
          <w:u w:val="single"/>
        </w:rPr>
        <w:t xml:space="preserve">  合同价款的40%预付款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预付款支付期限：</w:t>
      </w:r>
      <w:r>
        <w:rPr>
          <w:rFonts w:hint="eastAsia" w:ascii="宋体" w:hAnsi="宋体" w:cs="宋体"/>
          <w:color w:val="auto"/>
          <w:highlight w:val="none"/>
          <w:u w:val="single"/>
        </w:rPr>
        <w:t xml:space="preserve">     合同签订生效并具备实施条件后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预付款扣回的方式：</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12.2.2 预付款担保</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承包人提交预付款担保的期限：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预付款担保的形式为：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bookmarkEnd w:id="477"/>
    <w:bookmarkEnd w:id="478"/>
    <w:bookmarkEnd w:id="479"/>
    <w:bookmarkEnd w:id="480"/>
    <w:bookmarkEnd w:id="481"/>
    <w:bookmarkEnd w:id="482"/>
    <w:bookmarkEnd w:id="483"/>
    <w:bookmarkEnd w:id="484"/>
    <w:bookmarkEnd w:id="485"/>
    <w:bookmarkEnd w:id="486"/>
    <w:p>
      <w:pPr>
        <w:keepNext/>
        <w:keepLines/>
        <w:adjustRightInd w:val="0"/>
        <w:snapToGrid w:val="0"/>
        <w:spacing w:line="384" w:lineRule="auto"/>
        <w:jc w:val="left"/>
        <w:outlineLvl w:val="2"/>
        <w:rPr>
          <w:rFonts w:ascii="宋体" w:hAnsi="宋体" w:cs="宋体"/>
          <w:bCs/>
          <w:color w:val="auto"/>
          <w:sz w:val="24"/>
          <w:highlight w:val="none"/>
        </w:rPr>
      </w:pPr>
      <w:bookmarkStart w:id="487" w:name="_Toc95223475"/>
      <w:r>
        <w:rPr>
          <w:rFonts w:hint="eastAsia" w:ascii="宋体" w:hAnsi="宋体" w:cs="宋体"/>
          <w:bCs/>
          <w:color w:val="auto"/>
          <w:sz w:val="24"/>
          <w:highlight w:val="none"/>
        </w:rPr>
        <w:t>12.3 计量</w:t>
      </w:r>
      <w:bookmarkEnd w:id="487"/>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12.3.1 计量原则</w:t>
      </w:r>
    </w:p>
    <w:p>
      <w:pPr>
        <w:adjustRightInd w:val="0"/>
        <w:snapToGrid w:val="0"/>
        <w:spacing w:line="384" w:lineRule="auto"/>
        <w:ind w:firstLine="420" w:firstLineChars="200"/>
        <w:rPr>
          <w:rFonts w:ascii="宋体" w:hAnsi="宋体" w:cs="宋体"/>
          <w:b/>
          <w:color w:val="auto"/>
          <w:highlight w:val="none"/>
        </w:rPr>
      </w:pPr>
      <w:r>
        <w:rPr>
          <w:rFonts w:hint="eastAsia" w:ascii="宋体" w:hAnsi="宋体" w:cs="宋体"/>
          <w:color w:val="auto"/>
          <w:highlight w:val="none"/>
        </w:rPr>
        <w:t>工程量计算规则：</w:t>
      </w:r>
      <w:r>
        <w:rPr>
          <w:rFonts w:hint="eastAsia" w:ascii="宋体" w:hAnsi="宋体" w:cs="宋体"/>
          <w:color w:val="auto"/>
          <w:szCs w:val="21"/>
          <w:highlight w:val="none"/>
          <w:u w:val="single"/>
        </w:rPr>
        <w:t>按工程量清单及最高投标限价所采用的工程量清单计价规范及配套文件等</w:t>
      </w:r>
      <w:r>
        <w:rPr>
          <w:rFonts w:hint="eastAsia" w:ascii="宋体" w:hAnsi="宋体" w:cs="宋体"/>
          <w:b/>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12.3.2 计量周期</w:t>
      </w:r>
    </w:p>
    <w:p>
      <w:pPr>
        <w:adjustRightInd w:val="0"/>
        <w:snapToGrid w:val="0"/>
        <w:spacing w:line="384" w:lineRule="auto"/>
        <w:ind w:firstLine="420" w:firstLineChars="200"/>
        <w:rPr>
          <w:rFonts w:ascii="宋体" w:hAnsi="宋体" w:cs="宋体"/>
          <w:b/>
          <w:color w:val="auto"/>
          <w:highlight w:val="none"/>
        </w:rPr>
      </w:pPr>
      <w:r>
        <w:rPr>
          <w:rFonts w:hint="eastAsia" w:ascii="宋体" w:hAnsi="宋体" w:cs="宋体"/>
          <w:color w:val="auto"/>
          <w:highlight w:val="none"/>
        </w:rPr>
        <w:t>关于计量周期的约定</w:t>
      </w:r>
      <w:r>
        <w:rPr>
          <w:rFonts w:hint="eastAsia" w:ascii="宋体" w:hAnsi="宋体" w:cs="宋体"/>
          <w:b/>
          <w:color w:val="auto"/>
          <w:highlight w:val="none"/>
        </w:rPr>
        <w:t>：</w:t>
      </w:r>
      <w:r>
        <w:rPr>
          <w:rFonts w:hint="eastAsia" w:ascii="宋体" w:hAnsi="宋体" w:cs="宋体"/>
          <w:color w:val="auto"/>
          <w:szCs w:val="21"/>
          <w:highlight w:val="none"/>
          <w:u w:val="single"/>
        </w:rPr>
        <w:t xml:space="preserve">    按月计量     </w:t>
      </w:r>
      <w:r>
        <w:rPr>
          <w:rFonts w:hint="eastAsia" w:ascii="宋体" w:hAnsi="宋体" w:cs="宋体"/>
          <w:b/>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12.3.3 单价合同的计量</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关于单价合同计量的约定：</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按月计量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12.3.4 总价合同的计量</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关于总价合同计量的约定：</w:t>
      </w:r>
      <w:r>
        <w:rPr>
          <w:rFonts w:hint="eastAsia" w:ascii="宋体" w:hAnsi="宋体" w:cs="宋体"/>
          <w:color w:val="auto"/>
          <w:szCs w:val="21"/>
          <w:highlight w:val="none"/>
          <w:u w:val="single"/>
        </w:rPr>
        <w:t xml:space="preserve">   不执行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12.3.5 总价合同采用支付分解表计量支付的，是否适用第</w:t>
      </w:r>
      <w:r>
        <w:rPr>
          <w:rFonts w:hint="eastAsia" w:ascii="宋体" w:hAnsi="宋体" w:cs="宋体"/>
          <w:color w:val="auto"/>
          <w:kern w:val="0"/>
          <w:highlight w:val="none"/>
        </w:rPr>
        <w:t>12.3.4</w:t>
      </w:r>
      <w:r>
        <w:rPr>
          <w:rFonts w:hint="eastAsia" w:ascii="宋体" w:hAnsi="宋体" w:cs="宋体"/>
          <w:color w:val="auto"/>
          <w:highlight w:val="none"/>
        </w:rPr>
        <w:t>项</w:t>
      </w:r>
      <w:r>
        <w:rPr>
          <w:rFonts w:hint="eastAsia" w:ascii="宋体" w:hAnsi="宋体" w:cs="宋体"/>
          <w:color w:val="auto"/>
          <w:kern w:val="0"/>
          <w:highlight w:val="none"/>
        </w:rPr>
        <w:t>〔总价合同的计量〕</w:t>
      </w:r>
      <w:r>
        <w:rPr>
          <w:rFonts w:hint="eastAsia" w:ascii="宋体" w:hAnsi="宋体" w:cs="宋体"/>
          <w:color w:val="auto"/>
          <w:highlight w:val="none"/>
        </w:rPr>
        <w:t>约定进行计量：</w:t>
      </w:r>
      <w:r>
        <w:rPr>
          <w:rFonts w:hint="eastAsia" w:ascii="宋体" w:hAnsi="宋体" w:cs="宋体"/>
          <w:color w:val="auto"/>
          <w:szCs w:val="21"/>
          <w:highlight w:val="none"/>
          <w:u w:val="single"/>
        </w:rPr>
        <w:t xml:space="preserve">     不执行             </w:t>
      </w:r>
      <w:r>
        <w:rPr>
          <w:rFonts w:hint="eastAsia" w:ascii="宋体" w:hAnsi="宋体" w:cs="宋体"/>
          <w:b/>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12.3.6 其他价格形式合同的计量</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其他价格形式的计量方式和程序：</w:t>
      </w:r>
      <w:r>
        <w:rPr>
          <w:rFonts w:hint="eastAsia" w:ascii="宋体" w:hAnsi="宋体" w:cs="宋体"/>
          <w:color w:val="auto"/>
          <w:szCs w:val="21"/>
          <w:highlight w:val="none"/>
          <w:u w:val="single"/>
        </w:rPr>
        <w:t xml:space="preserve">    不执行       </w:t>
      </w:r>
      <w:r>
        <w:rPr>
          <w:rFonts w:hint="eastAsia" w:ascii="宋体" w:hAnsi="宋体" w:cs="宋体"/>
          <w:color w:val="auto"/>
          <w:highlight w:val="none"/>
        </w:rPr>
        <w:t>。</w:t>
      </w:r>
      <w:bookmarkStart w:id="488" w:name="_Toc95223476"/>
    </w:p>
    <w:p>
      <w:pPr>
        <w:adjustRightInd w:val="0"/>
        <w:snapToGrid w:val="0"/>
        <w:spacing w:line="384" w:lineRule="auto"/>
        <w:ind w:firstLine="480" w:firstLineChars="200"/>
        <w:rPr>
          <w:b w:val="0"/>
          <w:bCs/>
          <w:color w:val="auto"/>
          <w:highlight w:val="none"/>
        </w:rPr>
      </w:pPr>
      <w:r>
        <w:rPr>
          <w:rFonts w:hint="eastAsia" w:ascii="宋体" w:hAnsi="宋体" w:cs="宋体"/>
          <w:b w:val="0"/>
          <w:bCs/>
          <w:color w:val="auto"/>
          <w:sz w:val="24"/>
          <w:highlight w:val="none"/>
        </w:rPr>
        <w:t>12.4 工程进度款支付</w:t>
      </w:r>
      <w:bookmarkEnd w:id="488"/>
      <w:r>
        <w:rPr>
          <w:rFonts w:hint="eastAsia" w:ascii="宋体" w:hAnsi="宋体" w:cs="宋体"/>
          <w:b w:val="0"/>
          <w:bCs/>
          <w:color w:val="auto"/>
          <w:sz w:val="24"/>
          <w:highlight w:val="none"/>
        </w:rPr>
        <w:t>：</w:t>
      </w:r>
      <w:r>
        <w:rPr>
          <w:rFonts w:hint="eastAsia" w:ascii="宋体" w:hAnsi="宋体" w:eastAsia="宋体" w:cs="宋体"/>
          <w:b w:val="0"/>
          <w:bCs/>
          <w:color w:val="auto"/>
          <w:szCs w:val="21"/>
          <w:highlight w:val="none"/>
          <w:lang w:eastAsia="zh-CN"/>
        </w:rPr>
        <w:t>本项目合同签订生效并具备实施条件后可支付合同价款的40%预付款【支付预付款前成交供应商须提交银行、保险公司、担保公司等金融机构出具的预付款保函（保函须使用见索即付型）或其他担保措施】，工程竣工验收合格，提供竣工验收报告后付至已完成合格工程量价款的</w:t>
      </w:r>
      <w:r>
        <w:rPr>
          <w:rFonts w:hint="eastAsia" w:ascii="宋体" w:hAnsi="宋体" w:cs="宋体"/>
          <w:b w:val="0"/>
          <w:bCs/>
          <w:color w:val="auto"/>
          <w:szCs w:val="21"/>
          <w:highlight w:val="none"/>
          <w:lang w:val="en-US" w:eastAsia="zh-CN"/>
        </w:rPr>
        <w:t>85</w:t>
      </w:r>
      <w:r>
        <w:rPr>
          <w:rFonts w:hint="eastAsia" w:ascii="宋体" w:hAnsi="宋体" w:eastAsia="宋体" w:cs="宋体"/>
          <w:b w:val="0"/>
          <w:bCs/>
          <w:color w:val="auto"/>
          <w:szCs w:val="21"/>
          <w:highlight w:val="none"/>
          <w:lang w:eastAsia="zh-CN"/>
        </w:rPr>
        <w:t>%；全部工程移交完成，全部资料移交完成，结算审核完成后付至结算审核价款的100%。，</w:t>
      </w:r>
      <w:r>
        <w:rPr>
          <w:rFonts w:hint="eastAsia" w:ascii="宋体" w:hAnsi="宋体" w:eastAsia="宋体" w:cs="宋体"/>
          <w:b w:val="0"/>
          <w:bCs/>
          <w:color w:val="auto"/>
          <w:szCs w:val="21"/>
          <w:highlight w:val="none"/>
        </w:rPr>
        <w:t>同时成交单位须缴纳审核价款的2%作为质量保证金，工程缺陷责任期</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自竣工验收合格之日起</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年</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 xml:space="preserve">满后退还。质量保证金支持保函(银行保函、担保机构担保、保证保险)使用。 </w:t>
      </w:r>
    </w:p>
    <w:p>
      <w:pPr>
        <w:adjustRightInd w:val="0"/>
        <w:snapToGrid w:val="0"/>
        <w:spacing w:line="384" w:lineRule="auto"/>
        <w:ind w:firstLine="420" w:firstLineChars="200"/>
        <w:rPr>
          <w:rFonts w:ascii="宋体" w:hAnsi="宋体" w:cs="宋体"/>
          <w:color w:val="auto"/>
          <w:highlight w:val="none"/>
        </w:rPr>
      </w:pPr>
      <w:bookmarkStart w:id="489" w:name="_Toc292559921"/>
      <w:bookmarkStart w:id="490" w:name="_Toc296503211"/>
      <w:bookmarkStart w:id="491" w:name="_Toc296346712"/>
      <w:bookmarkStart w:id="492" w:name="_Toc296891251"/>
      <w:bookmarkStart w:id="493" w:name="_Toc303539163"/>
      <w:bookmarkStart w:id="494" w:name="_Toc296347210"/>
      <w:bookmarkStart w:id="495" w:name="_Toc296891039"/>
      <w:bookmarkStart w:id="496" w:name="_Toc292559416"/>
      <w:bookmarkStart w:id="497" w:name="_Toc297216215"/>
      <w:bookmarkStart w:id="498" w:name="_Toc300935006"/>
      <w:bookmarkStart w:id="499" w:name="_Toc297120511"/>
      <w:bookmarkStart w:id="500" w:name="_Toc297123556"/>
      <w:bookmarkStart w:id="501" w:name="_Toc297048397"/>
      <w:bookmarkStart w:id="502" w:name="_Toc296944550"/>
      <w:r>
        <w:rPr>
          <w:rFonts w:hint="eastAsia" w:ascii="宋体" w:hAnsi="宋体" w:cs="宋体"/>
          <w:color w:val="auto"/>
          <w:highlight w:val="none"/>
        </w:rPr>
        <w:t>12.4.1 付款周期</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关于付款周期的约定：</w:t>
      </w:r>
      <w:r>
        <w:rPr>
          <w:rFonts w:hint="eastAsia" w:ascii="宋体" w:hAnsi="宋体" w:cs="宋体"/>
          <w:color w:val="auto"/>
          <w:highlight w:val="none"/>
          <w:u w:val="single"/>
        </w:rPr>
        <w:t xml:space="preserve">        </w:t>
      </w:r>
      <w:r>
        <w:rPr>
          <w:rFonts w:hint="eastAsia" w:ascii="宋体" w:hAnsi="宋体" w:cs="宋体"/>
          <w:color w:val="auto"/>
          <w:kern w:val="0"/>
          <w:szCs w:val="21"/>
          <w:highlight w:val="none"/>
          <w:u w:val="single"/>
        </w:rPr>
        <w:t xml:space="preserve">详见支付方式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12.4.2 进度付款申请单的编制</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关于进度付款申请单编制的约定：</w:t>
      </w:r>
      <w:r>
        <w:rPr>
          <w:rFonts w:hint="eastAsia" w:ascii="宋体" w:hAnsi="宋体" w:cs="宋体"/>
          <w:color w:val="auto"/>
          <w:szCs w:val="21"/>
          <w:highlight w:val="none"/>
          <w:u w:val="single"/>
        </w:rPr>
        <w:t xml:space="preserve">    按发包人要求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Pr>
          <w:rFonts w:hint="eastAsia" w:ascii="宋体" w:hAnsi="宋体" w:cs="宋体"/>
          <w:color w:val="auto"/>
          <w:highlight w:val="none"/>
        </w:rPr>
        <w:t>2.4.3 进度付款申请单的提交</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（1）单价合同进度付款申请单提交的约定：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（2）总价合同进度付款申请单提交的约定：</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（3）其他价格形式合同进度付款申请单提交的约定：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12.4.4 进度款审核和支付</w:t>
      </w:r>
    </w:p>
    <w:p>
      <w:pPr>
        <w:adjustRightInd w:val="0"/>
        <w:snapToGrid w:val="0"/>
        <w:spacing w:line="384" w:lineRule="auto"/>
        <w:ind w:firstLine="420" w:firstLineChars="200"/>
        <w:rPr>
          <w:rFonts w:ascii="宋体" w:hAnsi="宋体" w:cs="宋体"/>
          <w:b/>
          <w:color w:val="auto"/>
          <w:highlight w:val="none"/>
          <w:u w:val="single"/>
        </w:rPr>
      </w:pPr>
      <w:r>
        <w:rPr>
          <w:rFonts w:hint="eastAsia" w:ascii="宋体" w:hAnsi="宋体" w:cs="宋体"/>
          <w:color w:val="auto"/>
          <w:highlight w:val="none"/>
        </w:rPr>
        <w:t>（1）监理人审查并报送发包人的期限：</w:t>
      </w:r>
      <w:r>
        <w:rPr>
          <w:rFonts w:hint="eastAsia" w:ascii="宋体" w:hAnsi="宋体" w:cs="宋体"/>
          <w:color w:val="auto"/>
          <w:szCs w:val="21"/>
          <w:highlight w:val="none"/>
          <w:u w:val="single"/>
        </w:rPr>
        <w:t xml:space="preserve">            </w:t>
      </w:r>
      <w:r>
        <w:rPr>
          <w:rFonts w:hint="eastAsia" w:ascii="宋体" w:hAnsi="宋体" w:cs="宋体"/>
          <w:b/>
          <w:color w:val="auto"/>
          <w:highlight w:val="none"/>
        </w:rPr>
        <w:t>。</w:t>
      </w:r>
    </w:p>
    <w:p>
      <w:pPr>
        <w:adjustRightInd w:val="0"/>
        <w:snapToGrid w:val="0"/>
        <w:spacing w:line="384" w:lineRule="auto"/>
        <w:ind w:firstLine="420" w:firstLineChars="200"/>
        <w:rPr>
          <w:rFonts w:ascii="宋体" w:hAnsi="宋体" w:cs="宋体"/>
          <w:b/>
          <w:color w:val="auto"/>
          <w:highlight w:val="none"/>
          <w:u w:val="single"/>
        </w:rPr>
      </w:pPr>
      <w:r>
        <w:rPr>
          <w:rFonts w:hint="eastAsia" w:ascii="宋体" w:hAnsi="宋体" w:cs="宋体"/>
          <w:color w:val="auto"/>
          <w:highlight w:val="none"/>
        </w:rPr>
        <w:t>发包人完成审批并签发进度款支付证书的期限：</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b/>
          <w:color w:val="auto"/>
          <w:highlight w:val="none"/>
        </w:rPr>
      </w:pPr>
      <w:r>
        <w:rPr>
          <w:rFonts w:hint="eastAsia" w:ascii="宋体" w:hAnsi="宋体" w:cs="宋体"/>
          <w:color w:val="auto"/>
          <w:szCs w:val="21"/>
          <w:highlight w:val="none"/>
          <w:u w:val="single"/>
        </w:rPr>
        <w:t>（2）</w:t>
      </w:r>
      <w:r>
        <w:rPr>
          <w:rFonts w:ascii="宋体" w:hAnsi="宋体" w:cs="宋体"/>
          <w:color w:val="auto"/>
          <w:szCs w:val="21"/>
          <w:highlight w:val="none"/>
          <w:u w:val="single"/>
        </w:rPr>
        <w:t>发包人支付进度款的期限：</w:t>
      </w:r>
      <w:r>
        <w:rPr>
          <w:rFonts w:hint="eastAsia" w:ascii="宋体" w:hAnsi="宋体" w:cs="宋体"/>
          <w:color w:val="auto"/>
          <w:szCs w:val="21"/>
          <w:highlight w:val="none"/>
          <w:u w:val="singl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 xml:space="preserve">发包人逾期支付进度款的违约金的计算方式 </w:t>
      </w:r>
      <w:r>
        <w:rPr>
          <w:rFonts w:hint="eastAsia" w:ascii="宋体" w:hAnsi="宋体" w:cs="宋体"/>
          <w:color w:val="auto"/>
          <w:highlight w:val="none"/>
          <w:u w:val="single"/>
        </w:rPr>
        <w:t xml:space="preserve">        </w:t>
      </w:r>
      <w:r>
        <w:rPr>
          <w:rFonts w:hint="eastAsia" w:ascii="宋体" w:hAnsi="宋体" w:cs="宋体"/>
          <w:b/>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12.4.6 支付分解表的编制</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lang w:eastAsia="zh-CN"/>
        </w:rPr>
        <w:t>（</w:t>
      </w: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总价合同支付分解表的编制与审批：</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3</w:t>
      </w:r>
      <w:r>
        <w:rPr>
          <w:rFonts w:hint="eastAsia" w:ascii="宋体" w:hAnsi="宋体" w:cs="宋体"/>
          <w:color w:val="auto"/>
          <w:highlight w:val="none"/>
          <w:lang w:eastAsia="zh-CN"/>
        </w:rPr>
        <w:t>）</w:t>
      </w:r>
      <w:r>
        <w:rPr>
          <w:rFonts w:hint="eastAsia" w:ascii="宋体" w:hAnsi="宋体" w:cs="宋体"/>
          <w:color w:val="auto"/>
          <w:highlight w:val="none"/>
        </w:rPr>
        <w:t>单价合同的总价项目支付分解表的编制与审批：</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adjustRightInd w:val="0"/>
        <w:snapToGrid w:val="0"/>
        <w:spacing w:line="384" w:lineRule="auto"/>
        <w:ind w:firstLine="422" w:firstLineChars="200"/>
        <w:rPr>
          <w:rFonts w:ascii="宋体" w:hAnsi="宋体" w:cs="宋体"/>
          <w:b/>
          <w:color w:val="auto"/>
          <w:highlight w:val="none"/>
        </w:rPr>
      </w:pPr>
      <w:r>
        <w:rPr>
          <w:rFonts w:hint="eastAsia" w:ascii="宋体" w:hAnsi="宋体" w:cs="宋体"/>
          <w:b/>
          <w:color w:val="auto"/>
          <w:highlight w:val="none"/>
        </w:rPr>
        <w:t>12.4.7 农民工工资管理</w:t>
      </w:r>
    </w:p>
    <w:p>
      <w:pPr>
        <w:adjustRightInd w:val="0"/>
        <w:snapToGrid w:val="0"/>
        <w:spacing w:line="384" w:lineRule="auto"/>
        <w:ind w:firstLine="420" w:firstLineChars="200"/>
        <w:rPr>
          <w:rFonts w:ascii="宋体" w:hAnsi="宋体" w:cs="宋体"/>
          <w:bCs/>
          <w:color w:val="auto"/>
          <w:highlight w:val="none"/>
        </w:rPr>
      </w:pPr>
      <w:r>
        <w:rPr>
          <w:rFonts w:hint="eastAsia" w:ascii="宋体" w:hAnsi="宋体" w:cs="宋体"/>
          <w:bCs/>
          <w:color w:val="auto"/>
          <w:highlight w:val="none"/>
          <w:lang w:eastAsia="zh-CN"/>
        </w:rPr>
        <w:t>（</w:t>
      </w:r>
      <w:r>
        <w:rPr>
          <w:rFonts w:hint="eastAsia" w:ascii="宋体" w:hAnsi="宋体" w:cs="宋体"/>
          <w:bCs/>
          <w:color w:val="auto"/>
          <w:highlight w:val="none"/>
        </w:rPr>
        <w:t>1</w:t>
      </w:r>
      <w:r>
        <w:rPr>
          <w:rFonts w:hint="eastAsia" w:ascii="宋体" w:hAnsi="宋体" w:cs="宋体"/>
          <w:bCs/>
          <w:color w:val="auto"/>
          <w:highlight w:val="none"/>
          <w:lang w:eastAsia="zh-CN"/>
        </w:rPr>
        <w:t>）</w:t>
      </w:r>
      <w:r>
        <w:rPr>
          <w:rFonts w:hint="eastAsia" w:ascii="宋体" w:hAnsi="宋体" w:cs="宋体"/>
          <w:bCs/>
          <w:color w:val="auto"/>
          <w:highlight w:val="none"/>
        </w:rPr>
        <w:t>本工程农民工工资实行专用账户管理，承包人设立的专用账户开户行为</w:t>
      </w:r>
      <w:r>
        <w:rPr>
          <w:rFonts w:hint="eastAsia" w:ascii="宋体" w:hAnsi="宋体" w:cs="宋体"/>
          <w:bCs/>
          <w:color w:val="auto"/>
          <w:highlight w:val="none"/>
          <w:u w:val="single"/>
        </w:rPr>
        <w:t xml:space="preserve">：        </w:t>
      </w:r>
      <w:r>
        <w:rPr>
          <w:rFonts w:hint="eastAsia" w:ascii="宋体" w:hAnsi="宋体" w:cs="宋体"/>
          <w:bCs/>
          <w:color w:val="auto"/>
          <w:highlight w:val="none"/>
        </w:rPr>
        <w:t>，账号：</w:t>
      </w:r>
      <w:r>
        <w:rPr>
          <w:rFonts w:hint="eastAsia" w:ascii="宋体" w:hAnsi="宋体" w:cs="宋体"/>
          <w:bCs/>
          <w:color w:val="auto"/>
          <w:highlight w:val="none"/>
          <w:u w:val="single"/>
        </w:rPr>
        <w:t xml:space="preserve">              </w:t>
      </w:r>
      <w:r>
        <w:rPr>
          <w:rFonts w:hint="eastAsia" w:ascii="宋体" w:hAnsi="宋体" w:cs="宋体"/>
          <w:bCs/>
          <w:color w:val="auto"/>
          <w:highlight w:val="none"/>
        </w:rPr>
        <w:t>;</w:t>
      </w:r>
    </w:p>
    <w:p>
      <w:pPr>
        <w:adjustRightInd w:val="0"/>
        <w:snapToGrid w:val="0"/>
        <w:spacing w:line="384" w:lineRule="auto"/>
        <w:ind w:firstLine="420" w:firstLineChars="200"/>
        <w:rPr>
          <w:rFonts w:hint="eastAsia" w:ascii="宋体" w:hAnsi="宋体" w:eastAsia="宋体" w:cs="宋体"/>
          <w:bCs/>
          <w:color w:val="auto"/>
          <w:highlight w:val="none"/>
          <w:lang w:eastAsia="zh-CN"/>
        </w:rPr>
      </w:pPr>
      <w:r>
        <w:rPr>
          <w:rFonts w:hint="eastAsia" w:ascii="宋体" w:hAnsi="宋体" w:cs="宋体"/>
          <w:bCs/>
          <w:color w:val="auto"/>
          <w:highlight w:val="none"/>
          <w:lang w:eastAsia="zh-CN"/>
        </w:rPr>
        <w:t>（</w:t>
      </w:r>
      <w:r>
        <w:rPr>
          <w:rFonts w:hint="eastAsia" w:ascii="宋体" w:hAnsi="宋体" w:cs="宋体"/>
          <w:bCs/>
          <w:color w:val="auto"/>
          <w:highlight w:val="none"/>
        </w:rPr>
        <w:t>2</w:t>
      </w:r>
      <w:r>
        <w:rPr>
          <w:rFonts w:hint="eastAsia" w:ascii="宋体" w:hAnsi="宋体" w:cs="宋体"/>
          <w:bCs/>
          <w:color w:val="auto"/>
          <w:highlight w:val="none"/>
          <w:lang w:eastAsia="zh-CN"/>
        </w:rPr>
        <w:t>）</w:t>
      </w:r>
      <w:r>
        <w:rPr>
          <w:rFonts w:hint="eastAsia" w:ascii="宋体" w:hAnsi="宋体" w:cs="宋体"/>
          <w:bCs/>
          <w:color w:val="auto"/>
          <w:highlight w:val="none"/>
        </w:rPr>
        <w:t>本工程工资性工程款</w:t>
      </w:r>
      <w:r>
        <w:rPr>
          <w:rFonts w:hint="eastAsia" w:ascii="宋体" w:hAnsi="宋体" w:cs="宋体"/>
          <w:bCs/>
          <w:color w:val="auto"/>
          <w:highlight w:val="none"/>
          <w:u w:val="single"/>
        </w:rPr>
        <w:t xml:space="preserve">         </w:t>
      </w:r>
      <w:r>
        <w:rPr>
          <w:rFonts w:hint="eastAsia" w:ascii="宋体" w:hAnsi="宋体" w:cs="宋体"/>
          <w:bCs/>
          <w:color w:val="auto"/>
          <w:highlight w:val="none"/>
        </w:rPr>
        <w:t>元（相应的最低工资标准乘建筑面积）；其中工资性工程预付款</w:t>
      </w:r>
      <w:r>
        <w:rPr>
          <w:rFonts w:hint="eastAsia" w:ascii="宋体" w:hAnsi="宋体" w:cs="宋体"/>
          <w:bCs/>
          <w:color w:val="auto"/>
          <w:highlight w:val="none"/>
          <w:u w:val="single"/>
        </w:rPr>
        <w:t xml:space="preserve">         </w:t>
      </w:r>
      <w:r>
        <w:rPr>
          <w:rFonts w:hint="eastAsia" w:ascii="宋体" w:hAnsi="宋体" w:cs="宋体"/>
          <w:bCs/>
          <w:color w:val="auto"/>
          <w:highlight w:val="none"/>
        </w:rPr>
        <w:t>元。</w:t>
      </w:r>
      <w:r>
        <w:rPr>
          <w:rFonts w:hint="eastAsia" w:ascii="宋体" w:hAnsi="宋体" w:cs="宋体"/>
          <w:bCs/>
          <w:color w:val="auto"/>
          <w:highlight w:val="none"/>
          <w:lang w:eastAsia="zh-CN"/>
        </w:rPr>
        <w:t>（</w:t>
      </w:r>
      <w:r>
        <w:rPr>
          <w:rFonts w:hint="eastAsia" w:ascii="宋体" w:hAnsi="宋体" w:cs="宋体"/>
          <w:bCs/>
          <w:color w:val="auto"/>
          <w:highlight w:val="none"/>
        </w:rPr>
        <w:t>工资性工程款除月工期</w:t>
      </w:r>
      <w:r>
        <w:rPr>
          <w:rFonts w:hint="eastAsia" w:ascii="宋体" w:hAnsi="宋体" w:cs="宋体"/>
          <w:bCs/>
          <w:color w:val="auto"/>
          <w:highlight w:val="none"/>
          <w:lang w:eastAsia="zh-CN"/>
        </w:rPr>
        <w:t>）</w:t>
      </w:r>
    </w:p>
    <w:p>
      <w:pPr>
        <w:adjustRightInd w:val="0"/>
        <w:snapToGrid w:val="0"/>
        <w:spacing w:line="384" w:lineRule="auto"/>
        <w:ind w:firstLine="420" w:firstLineChars="200"/>
        <w:rPr>
          <w:rFonts w:ascii="宋体" w:hAnsi="宋体" w:cs="宋体"/>
          <w:bCs/>
          <w:color w:val="auto"/>
          <w:highlight w:val="none"/>
        </w:rPr>
      </w:pPr>
      <w:r>
        <w:rPr>
          <w:rFonts w:hint="eastAsia" w:ascii="宋体" w:hAnsi="宋体" w:cs="宋体"/>
          <w:bCs/>
          <w:color w:val="auto"/>
          <w:highlight w:val="none"/>
          <w:lang w:eastAsia="zh-CN"/>
        </w:rPr>
        <w:t>（</w:t>
      </w:r>
      <w:r>
        <w:rPr>
          <w:rFonts w:hint="eastAsia" w:ascii="宋体" w:hAnsi="宋体" w:cs="宋体"/>
          <w:bCs/>
          <w:color w:val="auto"/>
          <w:highlight w:val="none"/>
        </w:rPr>
        <w:t>3</w:t>
      </w:r>
      <w:r>
        <w:rPr>
          <w:rFonts w:hint="eastAsia" w:ascii="宋体" w:hAnsi="宋体" w:cs="宋体"/>
          <w:bCs/>
          <w:color w:val="auto"/>
          <w:highlight w:val="none"/>
          <w:lang w:eastAsia="zh-CN"/>
        </w:rPr>
        <w:t>）</w:t>
      </w:r>
      <w:r>
        <w:rPr>
          <w:rFonts w:hint="eastAsia" w:ascii="宋体" w:hAnsi="宋体" w:cs="宋体"/>
          <w:bCs/>
          <w:color w:val="auto"/>
          <w:highlight w:val="none"/>
        </w:rPr>
        <w:t>发包人在监理人签发开工报告前，将工资性工程预付款转入承包人开立的农民工工资专用账户。</w:t>
      </w:r>
    </w:p>
    <w:p>
      <w:pPr>
        <w:adjustRightInd w:val="0"/>
        <w:snapToGrid w:val="0"/>
        <w:spacing w:line="384" w:lineRule="auto"/>
        <w:ind w:firstLine="420" w:firstLineChars="200"/>
        <w:rPr>
          <w:rFonts w:ascii="宋体" w:hAnsi="宋体" w:cs="宋体"/>
          <w:bCs/>
          <w:color w:val="auto"/>
          <w:highlight w:val="none"/>
        </w:rPr>
      </w:pPr>
      <w:r>
        <w:rPr>
          <w:rFonts w:hint="eastAsia" w:ascii="宋体" w:hAnsi="宋体" w:cs="宋体"/>
          <w:bCs/>
          <w:color w:val="auto"/>
          <w:highlight w:val="none"/>
        </w:rPr>
        <w:t>工程开工后第一个月支付工资性工程进度款起，分</w:t>
      </w:r>
      <w:r>
        <w:rPr>
          <w:rFonts w:hint="eastAsia" w:ascii="宋体" w:hAnsi="宋体" w:cs="宋体"/>
          <w:bCs/>
          <w:color w:val="auto"/>
          <w:highlight w:val="none"/>
          <w:u w:val="single"/>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highlight w:val="none"/>
          <w:u w:val="single"/>
        </w:rPr>
        <w:t xml:space="preserve">  </w:t>
      </w:r>
      <w:r>
        <w:rPr>
          <w:rFonts w:hint="eastAsia" w:ascii="宋体" w:hAnsi="宋体" w:cs="宋体"/>
          <w:bCs/>
          <w:color w:val="auto"/>
          <w:highlight w:val="none"/>
        </w:rPr>
        <w:t>月扣回工资性工程预付款。</w:t>
      </w:r>
    </w:p>
    <w:p>
      <w:pPr>
        <w:adjustRightInd w:val="0"/>
        <w:snapToGrid w:val="0"/>
        <w:spacing w:line="384" w:lineRule="auto"/>
        <w:ind w:firstLine="420" w:firstLineChars="200"/>
        <w:rPr>
          <w:rFonts w:ascii="宋体" w:hAnsi="宋体" w:cs="宋体"/>
          <w:bCs/>
          <w:color w:val="auto"/>
          <w:highlight w:val="none"/>
        </w:rPr>
      </w:pPr>
      <w:r>
        <w:rPr>
          <w:rFonts w:hint="eastAsia" w:ascii="宋体" w:hAnsi="宋体" w:cs="宋体"/>
          <w:bCs/>
          <w:color w:val="auto"/>
          <w:highlight w:val="none"/>
          <w:lang w:eastAsia="zh-CN"/>
        </w:rPr>
        <w:t>（</w:t>
      </w:r>
      <w:r>
        <w:rPr>
          <w:rFonts w:hint="eastAsia" w:ascii="宋体" w:hAnsi="宋体" w:cs="宋体"/>
          <w:bCs/>
          <w:color w:val="auto"/>
          <w:highlight w:val="none"/>
        </w:rPr>
        <w:t>4</w:t>
      </w:r>
      <w:r>
        <w:rPr>
          <w:rFonts w:hint="eastAsia" w:ascii="宋体" w:hAnsi="宋体" w:cs="宋体"/>
          <w:bCs/>
          <w:color w:val="auto"/>
          <w:highlight w:val="none"/>
          <w:lang w:eastAsia="zh-CN"/>
        </w:rPr>
        <w:t>）</w:t>
      </w:r>
      <w:r>
        <w:rPr>
          <w:rFonts w:hint="eastAsia" w:ascii="宋体" w:hAnsi="宋体" w:cs="宋体"/>
          <w:bCs/>
          <w:color w:val="auto"/>
          <w:highlight w:val="none"/>
        </w:rPr>
        <w:t>发包人于每月25日前将工资性工程进度款转入农民工工资专用账户。</w:t>
      </w:r>
    </w:p>
    <w:p>
      <w:pPr>
        <w:adjustRightInd w:val="0"/>
        <w:snapToGrid w:val="0"/>
        <w:spacing w:line="384" w:lineRule="auto"/>
        <w:ind w:firstLine="420" w:firstLineChars="200"/>
        <w:rPr>
          <w:rFonts w:ascii="宋体" w:hAnsi="宋体" w:cs="宋体"/>
          <w:bCs/>
          <w:color w:val="auto"/>
          <w:highlight w:val="none"/>
        </w:rPr>
      </w:pPr>
      <w:r>
        <w:rPr>
          <w:rFonts w:hint="eastAsia" w:ascii="宋体" w:hAnsi="宋体" w:cs="宋体"/>
          <w:bCs/>
          <w:color w:val="auto"/>
          <w:highlight w:val="none"/>
          <w:lang w:eastAsia="zh-CN"/>
        </w:rPr>
        <w:t>（</w:t>
      </w:r>
      <w:r>
        <w:rPr>
          <w:rFonts w:hint="eastAsia" w:ascii="宋体" w:hAnsi="宋体" w:cs="宋体"/>
          <w:bCs/>
          <w:color w:val="auto"/>
          <w:highlight w:val="none"/>
        </w:rPr>
        <w:t>5</w:t>
      </w:r>
      <w:r>
        <w:rPr>
          <w:rFonts w:hint="eastAsia" w:ascii="宋体" w:hAnsi="宋体" w:cs="宋体"/>
          <w:bCs/>
          <w:color w:val="auto"/>
          <w:highlight w:val="none"/>
          <w:lang w:eastAsia="zh-CN"/>
        </w:rPr>
        <w:t>）</w:t>
      </w:r>
      <w:r>
        <w:rPr>
          <w:rFonts w:hint="eastAsia" w:ascii="宋体" w:hAnsi="宋体" w:cs="宋体"/>
          <w:bCs/>
          <w:color w:val="auto"/>
          <w:highlight w:val="none"/>
        </w:rPr>
        <w:t>承包人每月25日前上报本工程农民工工资清单，每月10日前委托开设农民工工资专用账户的银行支付农民工工资。</w:t>
      </w:r>
    </w:p>
    <w:p>
      <w:pPr>
        <w:adjustRightInd w:val="0"/>
        <w:snapToGrid w:val="0"/>
        <w:spacing w:line="384" w:lineRule="auto"/>
        <w:ind w:firstLine="420" w:firstLineChars="200"/>
        <w:rPr>
          <w:rFonts w:ascii="宋体" w:hAnsi="宋体" w:cs="宋体"/>
          <w:bCs/>
          <w:color w:val="auto"/>
          <w:highlight w:val="none"/>
        </w:rPr>
      </w:pPr>
      <w:r>
        <w:rPr>
          <w:rFonts w:hint="eastAsia" w:ascii="宋体" w:hAnsi="宋体" w:cs="宋体"/>
          <w:bCs/>
          <w:color w:val="auto"/>
          <w:highlight w:val="none"/>
          <w:lang w:eastAsia="zh-CN"/>
        </w:rPr>
        <w:t>（</w:t>
      </w:r>
      <w:r>
        <w:rPr>
          <w:rFonts w:hint="eastAsia" w:ascii="宋体" w:hAnsi="宋体" w:cs="宋体"/>
          <w:bCs/>
          <w:color w:val="auto"/>
          <w:highlight w:val="none"/>
        </w:rPr>
        <w:t>6</w:t>
      </w:r>
      <w:r>
        <w:rPr>
          <w:rFonts w:hint="eastAsia" w:ascii="宋体" w:hAnsi="宋体" w:cs="宋体"/>
          <w:bCs/>
          <w:color w:val="auto"/>
          <w:highlight w:val="none"/>
          <w:lang w:eastAsia="zh-CN"/>
        </w:rPr>
        <w:t>）</w:t>
      </w:r>
      <w:r>
        <w:rPr>
          <w:rFonts w:hint="eastAsia" w:ascii="宋体" w:hAnsi="宋体" w:cs="宋体"/>
          <w:bCs/>
          <w:color w:val="auto"/>
          <w:highlight w:val="none"/>
        </w:rPr>
        <w:t>工程竣工后，经项目部农民工维权组确认无农民工工资拖欠后，发、承双方办理农民工工资专用账户撤销手续，农民工工资专用账户余额划至本合同约定的承包人账户。</w:t>
      </w:r>
    </w:p>
    <w:bookmarkEnd w:id="327"/>
    <w:p>
      <w:pPr>
        <w:keepNext/>
        <w:keepLines/>
        <w:adjustRightInd w:val="0"/>
        <w:snapToGrid w:val="0"/>
        <w:spacing w:line="384" w:lineRule="auto"/>
        <w:jc w:val="left"/>
        <w:outlineLvl w:val="2"/>
        <w:rPr>
          <w:rFonts w:ascii="宋体" w:hAnsi="宋体" w:cs="宋体"/>
          <w:bCs/>
          <w:color w:val="auto"/>
          <w:sz w:val="24"/>
          <w:highlight w:val="none"/>
        </w:rPr>
      </w:pPr>
      <w:bookmarkStart w:id="503" w:name="_Toc351203645"/>
      <w:bookmarkStart w:id="504" w:name="_Toc95223477"/>
      <w:bookmarkStart w:id="505" w:name="_Toc296347218"/>
      <w:bookmarkStart w:id="506" w:name="_Toc296944558"/>
      <w:bookmarkStart w:id="507" w:name="_Toc303539172"/>
      <w:bookmarkStart w:id="508" w:name="_Toc312678053"/>
      <w:bookmarkStart w:id="509" w:name="_Toc297123564"/>
      <w:bookmarkStart w:id="510" w:name="_Toc296346720"/>
      <w:bookmarkStart w:id="511" w:name="_Toc296891047"/>
      <w:bookmarkStart w:id="512" w:name="_Toc297048405"/>
      <w:bookmarkStart w:id="513" w:name="_Toc297216223"/>
      <w:bookmarkStart w:id="514" w:name="_Toc292559424"/>
      <w:bookmarkStart w:id="515" w:name="_Toc297120519"/>
      <w:bookmarkStart w:id="516" w:name="_Toc292559929"/>
      <w:bookmarkStart w:id="517" w:name="_Toc296891259"/>
      <w:bookmarkStart w:id="518" w:name="_Toc304295593"/>
      <w:bookmarkStart w:id="519" w:name="_Toc296503219"/>
      <w:bookmarkStart w:id="520" w:name="_Toc300935015"/>
      <w:r>
        <w:rPr>
          <w:rFonts w:hint="eastAsia" w:ascii="宋体" w:hAnsi="宋体" w:cs="宋体"/>
          <w:bCs/>
          <w:color w:val="auto"/>
          <w:sz w:val="24"/>
          <w:highlight w:val="none"/>
        </w:rPr>
        <w:t>13. 验收和工程试车</w:t>
      </w:r>
      <w:bookmarkEnd w:id="503"/>
      <w:bookmarkEnd w:id="504"/>
    </w:p>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Pr>
        <w:keepNext/>
        <w:keepLines/>
        <w:adjustRightInd w:val="0"/>
        <w:snapToGrid w:val="0"/>
        <w:spacing w:line="384" w:lineRule="auto"/>
        <w:jc w:val="left"/>
        <w:outlineLvl w:val="2"/>
        <w:rPr>
          <w:rFonts w:ascii="宋体" w:hAnsi="宋体" w:cs="宋体"/>
          <w:bCs/>
          <w:color w:val="auto"/>
          <w:sz w:val="24"/>
          <w:highlight w:val="none"/>
        </w:rPr>
      </w:pPr>
      <w:bookmarkStart w:id="521" w:name="_Toc95223478"/>
      <w:r>
        <w:rPr>
          <w:rFonts w:hint="eastAsia" w:ascii="宋体" w:hAnsi="宋体" w:cs="宋体"/>
          <w:bCs/>
          <w:color w:val="auto"/>
          <w:sz w:val="24"/>
          <w:highlight w:val="none"/>
        </w:rPr>
        <w:t>13.1 分部分项工程验收</w:t>
      </w:r>
      <w:bookmarkEnd w:id="521"/>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13.1.2 监理人不能按时进行验收时，应提前</w:t>
      </w:r>
      <w:r>
        <w:rPr>
          <w:rFonts w:hint="eastAsia" w:ascii="宋体" w:hAnsi="宋体" w:cs="宋体"/>
          <w:color w:val="auto"/>
          <w:szCs w:val="21"/>
          <w:highlight w:val="none"/>
          <w:u w:val="single"/>
        </w:rPr>
        <w:t>24</w:t>
      </w:r>
      <w:r>
        <w:rPr>
          <w:rFonts w:hint="eastAsia" w:ascii="宋体" w:hAnsi="宋体" w:cs="宋体"/>
          <w:color w:val="auto"/>
          <w:highlight w:val="none"/>
        </w:rPr>
        <w:t>小时提交书面延期要求。</w:t>
      </w:r>
    </w:p>
    <w:p>
      <w:pPr>
        <w:adjustRightInd w:val="0"/>
        <w:snapToGrid w:val="0"/>
        <w:spacing w:line="384" w:lineRule="auto"/>
        <w:ind w:firstLine="420" w:firstLineChars="200"/>
        <w:rPr>
          <w:rFonts w:ascii="宋体" w:hAnsi="宋体" w:cs="宋体"/>
          <w:b/>
          <w:color w:val="auto"/>
          <w:highlight w:val="none"/>
        </w:rPr>
      </w:pPr>
      <w:r>
        <w:rPr>
          <w:rFonts w:hint="eastAsia" w:ascii="宋体" w:hAnsi="宋体" w:cs="宋体"/>
          <w:color w:val="auto"/>
          <w:highlight w:val="none"/>
        </w:rPr>
        <w:t>关于延期最长不得超过：</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48</w:t>
      </w:r>
      <w:r>
        <w:rPr>
          <w:rFonts w:hint="eastAsia" w:ascii="宋体" w:hAnsi="宋体" w:cs="宋体"/>
          <w:color w:val="auto"/>
          <w:highlight w:val="none"/>
        </w:rPr>
        <w:t>小时。</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bookmarkStart w:id="522" w:name="_Toc296891051"/>
      <w:bookmarkStart w:id="523" w:name="_Toc296503223"/>
      <w:bookmarkStart w:id="524" w:name="_Toc296944562"/>
      <w:bookmarkStart w:id="525" w:name="_Toc303539173"/>
      <w:bookmarkStart w:id="526" w:name="_Toc292559428"/>
      <w:bookmarkStart w:id="527" w:name="_Toc296347222"/>
      <w:bookmarkStart w:id="528" w:name="_Toc297120523"/>
      <w:bookmarkStart w:id="529" w:name="_Toc300935016"/>
      <w:bookmarkStart w:id="530" w:name="_Toc297123565"/>
      <w:bookmarkStart w:id="531" w:name="_Toc296891263"/>
      <w:bookmarkStart w:id="532" w:name="_Toc292559933"/>
      <w:bookmarkStart w:id="533" w:name="_Toc312678056"/>
      <w:bookmarkStart w:id="534" w:name="_Toc304295596"/>
      <w:bookmarkStart w:id="535" w:name="_Toc296346724"/>
      <w:bookmarkStart w:id="536" w:name="_Toc297216224"/>
      <w:bookmarkStart w:id="537" w:name="_Toc297048409"/>
      <w:bookmarkStart w:id="538" w:name="_Toc267251472"/>
      <w:bookmarkStart w:id="539" w:name="_Toc267251475"/>
      <w:bookmarkStart w:id="540" w:name="_Toc267251471"/>
      <w:bookmarkStart w:id="541" w:name="_Toc267251470"/>
      <w:bookmarkStart w:id="542" w:name="_Toc267251476"/>
      <w:bookmarkStart w:id="543" w:name="_Toc267251473"/>
      <w:bookmarkStart w:id="544" w:name="_Toc267251474"/>
      <w:r>
        <w:rPr>
          <w:rFonts w:hint="eastAsia" w:ascii="宋体" w:hAnsi="宋体" w:cs="宋体"/>
          <w:bCs/>
          <w:color w:val="auto"/>
          <w:szCs w:val="28"/>
          <w:highlight w:val="none"/>
        </w:rPr>
        <w:t>13.2 竣工验收</w:t>
      </w:r>
    </w:p>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Pr>
        <w:adjustRightInd w:val="0"/>
        <w:snapToGrid w:val="0"/>
        <w:spacing w:line="384" w:lineRule="auto"/>
        <w:ind w:firstLine="420" w:firstLineChars="200"/>
        <w:rPr>
          <w:rFonts w:ascii="宋体" w:hAnsi="宋体" w:cs="宋体"/>
          <w:color w:val="auto"/>
          <w:highlight w:val="none"/>
        </w:rPr>
      </w:pPr>
      <w:bookmarkStart w:id="545" w:name="_Toc280868704"/>
      <w:bookmarkStart w:id="546" w:name="_Toc280868705"/>
      <w:bookmarkStart w:id="547" w:name="_Toc280868706"/>
      <w:bookmarkStart w:id="548" w:name="_Toc280868707"/>
      <w:bookmarkStart w:id="549" w:name="_Toc280868708"/>
      <w:bookmarkStart w:id="550" w:name="_Toc280868709"/>
      <w:r>
        <w:rPr>
          <w:rFonts w:hint="eastAsia" w:ascii="宋体" w:hAnsi="宋体" w:cs="宋体"/>
          <w:color w:val="auto"/>
          <w:highlight w:val="none"/>
        </w:rPr>
        <w:t>13.2.2 竣工验收程序</w:t>
      </w:r>
    </w:p>
    <w:bookmarkEnd w:id="545"/>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关于竣工验收程序的约定：</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发包人不按照本项约定组织竣工验收、颁发工程接收证书的违约金的计算方法：</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bookmarkEnd w:id="546"/>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13.2.5 移交、接收全部与部分工程</w:t>
      </w:r>
    </w:p>
    <w:bookmarkEnd w:id="547"/>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承包人向发包人移交工程的期限：</w:t>
      </w:r>
      <w:r>
        <w:rPr>
          <w:rFonts w:hint="eastAsia" w:ascii="宋体" w:hAnsi="宋体" w:cs="宋体"/>
          <w:color w:val="auto"/>
          <w:szCs w:val="21"/>
          <w:highlight w:val="none"/>
          <w:u w:val="single"/>
        </w:rPr>
        <w:t>颁发工程接收证书后7天内完成工程的移交</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发包人未按本合同约定接收全部或部分工程的，违约金的计算方法为：</w:t>
      </w:r>
      <w:r>
        <w:rPr>
          <w:rFonts w:hint="eastAsia" w:ascii="宋体" w:hAnsi="宋体" w:cs="宋体"/>
          <w:color w:val="auto"/>
          <w:szCs w:val="21"/>
          <w:highlight w:val="none"/>
          <w:u w:val="single"/>
        </w:rPr>
        <w:t>发包人自应当接收工程之日起，承担工程照管、成品保护、保管等与工程有关的各项费用</w:t>
      </w:r>
      <w:r>
        <w:rPr>
          <w:rFonts w:hint="eastAsia" w:ascii="宋体" w:hAnsi="宋体" w:cs="宋体"/>
          <w:color w:val="auto"/>
          <w:highlight w:val="none"/>
        </w:rPr>
        <w:t>。</w:t>
      </w:r>
    </w:p>
    <w:bookmarkEnd w:id="548"/>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承包人未按时移交工程的，违约金的计算方法为：</w:t>
      </w:r>
      <w:r>
        <w:rPr>
          <w:rFonts w:hint="eastAsia" w:ascii="宋体" w:hAnsi="宋体" w:cs="宋体"/>
          <w:color w:val="auto"/>
          <w:szCs w:val="21"/>
          <w:highlight w:val="none"/>
          <w:u w:val="single"/>
        </w:rPr>
        <w:t>承包人应承担工程照管、成品保护、保管等与工程有关的各项费用</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13.3 工程试车</w:t>
      </w:r>
    </w:p>
    <w:bookmarkEnd w:id="549"/>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13.3.1 试车程序</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工程试车内容：</w:t>
      </w:r>
      <w:r>
        <w:rPr>
          <w:rFonts w:hint="eastAsia" w:ascii="宋体" w:hAnsi="宋体" w:cs="宋体"/>
          <w:color w:val="auto"/>
          <w:highlight w:val="none"/>
          <w:u w:val="single"/>
        </w:rPr>
        <w:t xml:space="preserve">  工程需要试车的，试车内容应与承包人承包范围相一致，试车费用由承包人承担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（1）单机无负荷试车费用由</w:t>
      </w:r>
      <w:r>
        <w:rPr>
          <w:rFonts w:hint="eastAsia" w:ascii="宋体" w:hAnsi="宋体" w:cs="宋体"/>
          <w:color w:val="auto"/>
          <w:szCs w:val="21"/>
          <w:highlight w:val="none"/>
          <w:u w:val="single"/>
        </w:rPr>
        <w:t>试车消耗的生产性原材料由发包人承担；试车其他费用（包括试车所需水电油等费用）由承包人在措施费中考虑</w:t>
      </w:r>
      <w:r>
        <w:rPr>
          <w:rFonts w:hint="eastAsia" w:ascii="宋体" w:hAnsi="宋体" w:cs="宋体"/>
          <w:color w:val="auto"/>
          <w:kern w:val="0"/>
          <w:highlight w:val="none"/>
        </w:rPr>
        <w:t>承担；</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（2）无负荷联动试车费用由</w:t>
      </w:r>
      <w:r>
        <w:rPr>
          <w:rFonts w:hint="eastAsia" w:ascii="宋体" w:hAnsi="宋体" w:cs="宋体"/>
          <w:color w:val="auto"/>
          <w:szCs w:val="21"/>
          <w:highlight w:val="none"/>
          <w:u w:val="single"/>
        </w:rPr>
        <w:t>试车消耗的生产性原材料由发包人承担；试车其他费用（包括试车所需水电油等费用）由承包人在措施费中考虑</w:t>
      </w:r>
      <w:r>
        <w:rPr>
          <w:rFonts w:hint="eastAsia" w:ascii="宋体" w:hAnsi="宋体" w:cs="宋体"/>
          <w:color w:val="auto"/>
          <w:kern w:val="0"/>
          <w:highlight w:val="none"/>
        </w:rPr>
        <w:t>承担。</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13.3.3 投料试车</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关于投料试车相关事项的约定：</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13.6 竣工退场</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13.6.1 竣工退场</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承包人完成竣工退场的期限：</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pPr>
        <w:keepNext/>
        <w:keepLines/>
        <w:adjustRightInd w:val="0"/>
        <w:snapToGrid w:val="0"/>
        <w:spacing w:line="384" w:lineRule="auto"/>
        <w:jc w:val="left"/>
        <w:outlineLvl w:val="2"/>
        <w:rPr>
          <w:rFonts w:ascii="宋体" w:hAnsi="宋体" w:cs="宋体"/>
          <w:bCs/>
          <w:color w:val="auto"/>
          <w:sz w:val="24"/>
          <w:highlight w:val="none"/>
        </w:rPr>
      </w:pPr>
      <w:bookmarkStart w:id="551" w:name="_Toc351203646"/>
      <w:bookmarkStart w:id="552" w:name="_Toc95223479"/>
      <w:r>
        <w:rPr>
          <w:rFonts w:hint="eastAsia" w:ascii="宋体" w:hAnsi="宋体" w:cs="宋体"/>
          <w:bCs/>
          <w:color w:val="auto"/>
          <w:sz w:val="24"/>
          <w:highlight w:val="none"/>
        </w:rPr>
        <w:t>14. 竣工结算</w:t>
      </w:r>
      <w:bookmarkEnd w:id="551"/>
      <w:bookmarkEnd w:id="552"/>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14.1 竣工结算申请</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承包人提交竣工结算申请单的期限：</w:t>
      </w:r>
      <w:r>
        <w:rPr>
          <w:rFonts w:hint="eastAsia" w:ascii="宋体" w:hAnsi="宋体" w:cs="宋体"/>
          <w:color w:val="auto"/>
          <w:szCs w:val="21"/>
          <w:highlight w:val="none"/>
          <w:u w:val="single"/>
        </w:rPr>
        <w:t>承包人应在工程竣工验收合格后28天内</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竣工结算申请单应包括的内容：</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14.2 竣工结算审核</w:t>
      </w:r>
    </w:p>
    <w:p>
      <w:pPr>
        <w:widowControl/>
        <w:adjustRightInd w:val="0"/>
        <w:snapToGrid w:val="0"/>
        <w:spacing w:line="384"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发包人审批竣工付款申请单的期限：发包人应在收到监理人提交的经审核的竣工结算申请单 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天内完成审批。</w:t>
      </w:r>
    </w:p>
    <w:p>
      <w:pPr>
        <w:adjustRightInd w:val="0"/>
        <w:snapToGrid w:val="0"/>
        <w:spacing w:line="384"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发包人完成竣工付款的期限：发包人应在签发竣工付款证书后的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天内，完成对承包人的竣工付款。</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关于竣工付款证书异议部分复核的方式和程序：</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14.4 最终结清</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14.4.1 最终结清申请单</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承包人提交最终结清申请单的份数：</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kern w:val="0"/>
          <w:highlight w:val="none"/>
        </w:rPr>
        <w:t>承包人提交最终结算申请单的期限：</w:t>
      </w:r>
      <w:r>
        <w:rPr>
          <w:rFonts w:hint="eastAsia" w:ascii="宋体" w:hAnsi="宋体" w:cs="宋体"/>
          <w:color w:val="auto"/>
          <w:szCs w:val="21"/>
          <w:highlight w:val="none"/>
          <w:u w:val="single"/>
        </w:rPr>
        <w:t>缺陷责任期终止证书颁发后7天内</w:t>
      </w:r>
      <w:r>
        <w:rPr>
          <w:rFonts w:hint="eastAsia" w:ascii="宋体" w:hAnsi="宋体" w:cs="宋体"/>
          <w:color w:val="auto"/>
          <w:highlight w:val="none"/>
        </w:rPr>
        <w:t xml:space="preserve">。 </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14.4.2 最终结清证书和支付</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（1）发包人完成最终结清申请单的审批并颁发最终结清证书的期限：</w:t>
      </w:r>
      <w:r>
        <w:rPr>
          <w:rFonts w:hint="eastAsia" w:ascii="宋体" w:hAnsi="宋体" w:cs="宋体"/>
          <w:color w:val="auto"/>
          <w:szCs w:val="21"/>
          <w:highlight w:val="none"/>
          <w:u w:val="single"/>
        </w:rPr>
        <w:t>收到承包人提交的最终结清申请单后14天内</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（2）发包人完成支付的期限：</w:t>
      </w:r>
      <w:r>
        <w:rPr>
          <w:rFonts w:hint="eastAsia" w:ascii="宋体" w:hAnsi="宋体" w:cs="宋体"/>
          <w:color w:val="auto"/>
          <w:szCs w:val="21"/>
          <w:highlight w:val="none"/>
          <w:u w:val="single"/>
        </w:rPr>
        <w:t>颁发最终结清证书后7天内完成支付</w:t>
      </w:r>
      <w:r>
        <w:rPr>
          <w:rFonts w:hint="eastAsia" w:ascii="宋体" w:hAnsi="宋体" w:cs="宋体"/>
          <w:color w:val="auto"/>
          <w:highlight w:val="none"/>
        </w:rPr>
        <w:t>。</w:t>
      </w:r>
    </w:p>
    <w:bookmarkEnd w:id="538"/>
    <w:bookmarkEnd w:id="539"/>
    <w:bookmarkEnd w:id="540"/>
    <w:bookmarkEnd w:id="541"/>
    <w:bookmarkEnd w:id="542"/>
    <w:bookmarkEnd w:id="543"/>
    <w:bookmarkEnd w:id="544"/>
    <w:bookmarkEnd w:id="550"/>
    <w:p>
      <w:pPr>
        <w:keepNext/>
        <w:keepLines/>
        <w:adjustRightInd w:val="0"/>
        <w:snapToGrid w:val="0"/>
        <w:spacing w:line="384" w:lineRule="auto"/>
        <w:jc w:val="left"/>
        <w:outlineLvl w:val="2"/>
        <w:rPr>
          <w:rFonts w:ascii="宋体" w:hAnsi="宋体" w:cs="宋体"/>
          <w:bCs/>
          <w:color w:val="auto"/>
          <w:sz w:val="24"/>
          <w:highlight w:val="none"/>
        </w:rPr>
      </w:pPr>
      <w:bookmarkStart w:id="553" w:name="_Toc351203647"/>
      <w:bookmarkStart w:id="554" w:name="_Toc95223480"/>
      <w:bookmarkStart w:id="555" w:name="_Toc267251483"/>
      <w:bookmarkStart w:id="556" w:name="_Toc267251482"/>
      <w:bookmarkStart w:id="557" w:name="_Toc267251484"/>
      <w:bookmarkStart w:id="558" w:name="_Toc267251485"/>
      <w:bookmarkStart w:id="559" w:name="_Toc267251488"/>
      <w:bookmarkStart w:id="560" w:name="_Toc267251489"/>
      <w:bookmarkStart w:id="561" w:name="_Toc267251490"/>
      <w:bookmarkStart w:id="562" w:name="_Toc267251486"/>
      <w:bookmarkStart w:id="563" w:name="_Toc267251491"/>
      <w:bookmarkStart w:id="564" w:name="_Toc267251502"/>
      <w:bookmarkStart w:id="565" w:name="_Toc267251501"/>
      <w:bookmarkStart w:id="566" w:name="_Toc267251492"/>
      <w:bookmarkStart w:id="567" w:name="_Toc267251493"/>
      <w:bookmarkStart w:id="568" w:name="_Toc267251499"/>
      <w:bookmarkStart w:id="569" w:name="_Toc267251503"/>
      <w:bookmarkStart w:id="570" w:name="_Toc267251494"/>
      <w:bookmarkStart w:id="571" w:name="_Toc267251495"/>
      <w:bookmarkStart w:id="572" w:name="_Toc267251498"/>
      <w:bookmarkStart w:id="573" w:name="_Toc267251496"/>
      <w:bookmarkStart w:id="574" w:name="_Toc267251497"/>
      <w:bookmarkStart w:id="575" w:name="_Toc267251504"/>
      <w:bookmarkStart w:id="576" w:name="_Toc267251506"/>
      <w:bookmarkStart w:id="577" w:name="_Toc267251507"/>
      <w:bookmarkStart w:id="578" w:name="_Toc267251508"/>
      <w:bookmarkStart w:id="579" w:name="_Toc267251513"/>
      <w:bookmarkStart w:id="580" w:name="_Toc267251514"/>
      <w:bookmarkStart w:id="581" w:name="_Toc267251511"/>
      <w:bookmarkStart w:id="582" w:name="_Toc267251510"/>
      <w:bookmarkStart w:id="583" w:name="_Toc267251509"/>
      <w:bookmarkStart w:id="584" w:name="_Toc267251515"/>
      <w:r>
        <w:rPr>
          <w:rFonts w:hint="eastAsia" w:ascii="宋体" w:hAnsi="宋体" w:cs="宋体"/>
          <w:bCs/>
          <w:color w:val="auto"/>
          <w:sz w:val="24"/>
          <w:highlight w:val="none"/>
        </w:rPr>
        <w:t>15. 缺陷责任期与保修</w:t>
      </w:r>
      <w:bookmarkEnd w:id="553"/>
      <w:bookmarkEnd w:id="554"/>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15.2 缺陷责任期</w:t>
      </w:r>
      <w:bookmarkEnd w:id="555"/>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缺陷责任期的具体期限：</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15.3 质量保证金</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关于是否扣留质量保证金的约定：</w:t>
      </w:r>
      <w:r>
        <w:rPr>
          <w:rFonts w:hint="eastAsia" w:ascii="宋体" w:hAnsi="宋体" w:cs="宋体"/>
          <w:color w:val="auto"/>
          <w:szCs w:val="21"/>
          <w:highlight w:val="none"/>
          <w:u w:val="single"/>
        </w:rPr>
        <w:t xml:space="preserve">          </w:t>
      </w:r>
      <w:r>
        <w:rPr>
          <w:rFonts w:hint="eastAsia" w:ascii="宋体" w:hAnsi="宋体" w:cs="宋体"/>
          <w:color w:val="auto"/>
          <w:highlight w:val="none"/>
        </w:rPr>
        <w:t>。在工程项目竣工前，承包人按专用合同条款第3.7款提供履约保证金的，发包人不得同时预留工程质量保证金。</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15.3.1 承包人提供质量保证金的方式</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质量保证金采用以下：</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（1）质量保证金保函，保证金额为：</w:t>
      </w:r>
      <w:r>
        <w:rPr>
          <w:rFonts w:hint="eastAsia" w:ascii="宋体" w:hAnsi="宋体" w:cs="宋体"/>
          <w:color w:val="auto"/>
          <w:kern w:val="0"/>
          <w:highlight w:val="none"/>
          <w:u w:val="single"/>
        </w:rPr>
        <w:t>2%的工程款</w:t>
      </w:r>
      <w:r>
        <w:rPr>
          <w:rFonts w:hint="eastAsia" w:ascii="宋体" w:hAnsi="宋体" w:cs="宋体"/>
          <w:color w:val="auto"/>
          <w:kern w:val="0"/>
          <w:highlight w:val="none"/>
        </w:rPr>
        <w:t xml:space="preserve">； </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u w:val="single"/>
        </w:rPr>
        <w:t>2%</w:t>
      </w:r>
      <w:r>
        <w:rPr>
          <w:rFonts w:hint="eastAsia" w:ascii="宋体" w:hAnsi="宋体" w:cs="宋体"/>
          <w:color w:val="auto"/>
          <w:kern w:val="0"/>
          <w:highlight w:val="none"/>
        </w:rPr>
        <w:t>的工程款；</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（3）其他方式:</w:t>
      </w:r>
      <w:r>
        <w:rPr>
          <w:rFonts w:hint="eastAsia" w:ascii="宋体" w:hAnsi="宋体" w:cs="宋体"/>
          <w:color w:val="auto"/>
          <w:kern w:val="0"/>
          <w:highlight w:val="none"/>
          <w:u w:val="single"/>
        </w:rPr>
        <w:t xml:space="preserve">  质量保证金支持保函（银行保函、担保机构担保、保证保险）使用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 xml:space="preserve">15.3.2 质量保证金的扣留 </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质量保证金的扣留采取以下：</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（1）在支付工程进度款时逐次扣留，在此情形下，质量保证金的计算基数不包括预付款的支付、扣回以及价格调整的金额；</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（2）工程竣工结算时一次性扣留质量保证金；</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（3）其他扣留方式:</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关于质量保证金的补充约定：</w:t>
      </w:r>
      <w:r>
        <w:rPr>
          <w:rFonts w:hint="eastAsia" w:ascii="宋体" w:hAnsi="宋体" w:cs="宋体"/>
          <w:color w:val="auto"/>
          <w:kern w:val="0"/>
          <w:highlight w:val="none"/>
          <w:u w:val="single"/>
        </w:rPr>
        <w:t>质量保证金支持保函（银行保函、担保机构担保、保证保险）使用。采用保函的，保函有效期须与缺陷责任期截止时间保持一致</w:t>
      </w:r>
      <w:r>
        <w:rPr>
          <w:rFonts w:hint="eastAsia" w:ascii="宋体" w:hAnsi="宋体" w:cs="宋体"/>
          <w:color w:val="auto"/>
          <w:kern w:val="0"/>
          <w:highlight w:val="none"/>
        </w:rPr>
        <w:t>。</w:t>
      </w:r>
    </w:p>
    <w:bookmarkEnd w:id="556"/>
    <w:bookmarkEnd w:id="557"/>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15.4 保修</w:t>
      </w:r>
    </w:p>
    <w:bookmarkEnd w:id="558"/>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15.4.1 保修责任</w:t>
      </w:r>
    </w:p>
    <w:p>
      <w:pPr>
        <w:adjustRightInd w:val="0"/>
        <w:snapToGrid w:val="0"/>
        <w:spacing w:line="384" w:lineRule="auto"/>
        <w:ind w:firstLine="420" w:firstLineChars="200"/>
        <w:rPr>
          <w:rFonts w:ascii="宋体" w:hAnsi="宋体" w:cs="宋体"/>
          <w:color w:val="auto"/>
          <w:kern w:val="0"/>
          <w:highlight w:val="none"/>
          <w:u w:val="single"/>
        </w:rPr>
      </w:pPr>
      <w:r>
        <w:rPr>
          <w:rFonts w:hint="eastAsia" w:ascii="宋体" w:hAnsi="宋体" w:cs="宋体"/>
          <w:color w:val="auto"/>
          <w:highlight w:val="none"/>
        </w:rPr>
        <w:t>工程保修期为：</w:t>
      </w:r>
      <w:r>
        <w:rPr>
          <w:rFonts w:hint="eastAsia" w:ascii="宋体" w:hAnsi="宋体" w:cs="宋体"/>
          <w:color w:val="auto"/>
          <w:szCs w:val="21"/>
          <w:highlight w:val="none"/>
          <w:u w:val="single"/>
        </w:rPr>
        <w:t>执行《工程质量保修书》规定</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15.4.3 修复通知</w:t>
      </w:r>
    </w:p>
    <w:p>
      <w:pPr>
        <w:adjustRightInd w:val="0"/>
        <w:snapToGrid w:val="0"/>
        <w:spacing w:line="384" w:lineRule="auto"/>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承包人收到保修通知并到达工程现场的合理时间：</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bookmarkEnd w:id="559"/>
    <w:bookmarkEnd w:id="560"/>
    <w:bookmarkEnd w:id="561"/>
    <w:bookmarkEnd w:id="562"/>
    <w:p>
      <w:pPr>
        <w:keepNext/>
        <w:keepLines/>
        <w:adjustRightInd w:val="0"/>
        <w:snapToGrid w:val="0"/>
        <w:spacing w:line="384" w:lineRule="auto"/>
        <w:jc w:val="left"/>
        <w:outlineLvl w:val="2"/>
        <w:rPr>
          <w:rFonts w:ascii="宋体" w:hAnsi="宋体" w:cs="宋体"/>
          <w:bCs/>
          <w:color w:val="auto"/>
          <w:sz w:val="24"/>
          <w:highlight w:val="none"/>
        </w:rPr>
      </w:pPr>
      <w:bookmarkStart w:id="585" w:name="_Toc95223481"/>
      <w:bookmarkStart w:id="586" w:name="_Toc351203648"/>
      <w:bookmarkStart w:id="587" w:name="_Toc280868717"/>
      <w:bookmarkStart w:id="588" w:name="_Toc280868718"/>
      <w:r>
        <w:rPr>
          <w:rFonts w:hint="eastAsia" w:ascii="宋体" w:hAnsi="宋体" w:cs="宋体"/>
          <w:bCs/>
          <w:color w:val="auto"/>
          <w:sz w:val="24"/>
          <w:highlight w:val="none"/>
        </w:rPr>
        <w:t>16. 违约</w:t>
      </w:r>
      <w:bookmarkEnd w:id="585"/>
      <w:bookmarkEnd w:id="586"/>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16.1 发包人违约</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16.1.1 发包人违约的情形</w:t>
      </w:r>
    </w:p>
    <w:p>
      <w:pPr>
        <w:adjustRightInd w:val="0"/>
        <w:snapToGrid w:val="0"/>
        <w:spacing w:line="384" w:lineRule="auto"/>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发包人违约的其他情形：</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16.1.2 发包人违约的责任</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发包人违约责任的承担方式和计算方法：</w:t>
      </w:r>
    </w:p>
    <w:p>
      <w:pPr>
        <w:adjustRightInd w:val="0"/>
        <w:snapToGrid w:val="0"/>
        <w:spacing w:line="384" w:lineRule="auto"/>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（1）因发包人原因未能在计划开工日期前7天内下达开工通知的违约责任：</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（2）因发包人原因未能按合同约定支付合同价款的违约责任：</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b/>
          <w:color w:val="auto"/>
          <w:kern w:val="0"/>
          <w:highlight w:val="none"/>
          <w:u w:val="single"/>
        </w:rPr>
      </w:pPr>
      <w:r>
        <w:rPr>
          <w:rFonts w:hint="eastAsia" w:ascii="宋体" w:hAnsi="宋体" w:cs="宋体"/>
          <w:color w:val="auto"/>
          <w:kern w:val="0"/>
          <w:highlight w:val="none"/>
        </w:rPr>
        <w:t>（3）发包人违反第10.1款〔变更的范围〕第（2）项约定，自行实施被取消的工作或转由他人实施的违约责任：</w:t>
      </w:r>
      <w:r>
        <w:rPr>
          <w:rFonts w:hint="eastAsia" w:ascii="宋体" w:hAnsi="宋体" w:cs="宋体"/>
          <w:color w:val="auto"/>
          <w:szCs w:val="21"/>
          <w:highlight w:val="none"/>
          <w:u w:val="single"/>
        </w:rPr>
        <w:t xml:space="preserve">                   </w:t>
      </w:r>
      <w:r>
        <w:rPr>
          <w:rFonts w:hint="eastAsia" w:ascii="宋体" w:hAnsi="宋体" w:cs="宋体"/>
          <w:b/>
          <w:color w:val="auto"/>
          <w:kern w:val="0"/>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（5）因发包人违反合同约定造成暂停施工的违约责任：</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（6）发包人无正当理由没有在约定期限内发出复工指示，导致承包人无法复工的违约责任：</w:t>
      </w:r>
      <w:r>
        <w:rPr>
          <w:rFonts w:hint="eastAsia" w:ascii="宋体" w:hAnsi="宋体" w:cs="宋体"/>
          <w:color w:val="auto"/>
          <w:kern w:val="0"/>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（7）其他：</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16.1.3 因发包人违约解除合同</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承包人按16.1.1项〔发包人违约的情形〕约定暂停施工满</w:t>
      </w:r>
      <w:r>
        <w:rPr>
          <w:rFonts w:hint="eastAsia" w:ascii="宋体" w:hAnsi="宋体" w:cs="宋体"/>
          <w:color w:val="auto"/>
          <w:szCs w:val="21"/>
          <w:highlight w:val="none"/>
          <w:u w:val="single"/>
        </w:rPr>
        <w:t>28</w:t>
      </w:r>
      <w:r>
        <w:rPr>
          <w:rFonts w:hint="eastAsia" w:ascii="宋体" w:hAnsi="宋体" w:cs="宋体"/>
          <w:color w:val="auto"/>
          <w:kern w:val="0"/>
          <w:highlight w:val="none"/>
        </w:rPr>
        <w:t>天后发包人仍不纠正其违约行为并致使合同目的不能实现的，承包人有权解除合同。</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16.2 承包人违约</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16.2.1 承包人违约的情形</w:t>
      </w:r>
    </w:p>
    <w:p>
      <w:pPr>
        <w:adjustRightInd w:val="0"/>
        <w:snapToGrid w:val="0"/>
        <w:spacing w:line="384" w:lineRule="auto"/>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承包人违约的其他情形：</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16.2.2 承包人违约的责任</w:t>
      </w:r>
    </w:p>
    <w:p>
      <w:pPr>
        <w:adjustRightInd w:val="0"/>
        <w:snapToGrid w:val="0"/>
        <w:spacing w:line="384" w:lineRule="auto"/>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承包人违约责任的承担方式和计算方法：</w:t>
      </w:r>
      <w:r>
        <w:rPr>
          <w:rFonts w:hint="eastAsia" w:ascii="宋体" w:hAnsi="宋体" w:cs="宋体"/>
          <w:b/>
          <w:color w:val="auto"/>
          <w:highlight w:val="none"/>
          <w:u w:val="single"/>
        </w:rPr>
        <w:t xml:space="preserve">                               </w:t>
      </w:r>
      <w:r>
        <w:rPr>
          <w:rFonts w:hint="eastAsia" w:ascii="宋体" w:hAnsi="宋体" w:cs="宋体"/>
          <w:b/>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16.2.3 因承包人违约解除合同</w:t>
      </w:r>
    </w:p>
    <w:p>
      <w:pPr>
        <w:adjustRightInd w:val="0"/>
        <w:snapToGrid w:val="0"/>
        <w:spacing w:line="384" w:lineRule="auto"/>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关于承包人违约解除合同的特别约定：</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pPr>
        <w:keepNext/>
        <w:keepLines/>
        <w:adjustRightInd w:val="0"/>
        <w:snapToGrid w:val="0"/>
        <w:spacing w:line="384" w:lineRule="auto"/>
        <w:jc w:val="left"/>
        <w:outlineLvl w:val="2"/>
        <w:rPr>
          <w:rFonts w:ascii="宋体" w:hAnsi="宋体" w:cs="宋体"/>
          <w:bCs/>
          <w:color w:val="auto"/>
          <w:sz w:val="24"/>
          <w:highlight w:val="none"/>
        </w:rPr>
      </w:pPr>
      <w:bookmarkStart w:id="589" w:name="_Toc95223482"/>
      <w:bookmarkStart w:id="590" w:name="_Toc351203649"/>
      <w:r>
        <w:rPr>
          <w:rFonts w:hint="eastAsia" w:ascii="宋体" w:hAnsi="宋体" w:cs="宋体"/>
          <w:bCs/>
          <w:color w:val="auto"/>
          <w:sz w:val="24"/>
          <w:highlight w:val="none"/>
        </w:rPr>
        <w:t>17. 不可抗力</w:t>
      </w:r>
      <w:bookmarkEnd w:id="589"/>
      <w:bookmarkEnd w:id="590"/>
      <w:r>
        <w:rPr>
          <w:rFonts w:hint="eastAsia" w:ascii="宋体" w:hAnsi="宋体" w:cs="宋体"/>
          <w:bCs/>
          <w:color w:val="auto"/>
          <w:sz w:val="24"/>
          <w:highlight w:val="none"/>
        </w:rPr>
        <w:t xml:space="preserve"> </w:t>
      </w:r>
      <w:bookmarkEnd w:id="587"/>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17.1 不可抗力的确认</w:t>
      </w:r>
    </w:p>
    <w:p>
      <w:pPr>
        <w:adjustRightInd w:val="0"/>
        <w:snapToGrid w:val="0"/>
        <w:spacing w:line="384" w:lineRule="auto"/>
        <w:ind w:firstLine="420" w:firstLineChars="200"/>
        <w:rPr>
          <w:rFonts w:ascii="宋体" w:hAnsi="宋体" w:cs="宋体"/>
          <w:b/>
          <w:color w:val="auto"/>
          <w:highlight w:val="none"/>
          <w:u w:val="single"/>
        </w:rPr>
      </w:pPr>
      <w:r>
        <w:rPr>
          <w:rFonts w:hint="eastAsia" w:ascii="宋体" w:hAnsi="宋体" w:cs="宋体"/>
          <w:color w:val="auto"/>
          <w:highlight w:val="none"/>
        </w:rPr>
        <w:t>除通用合同条款约定的不可抗力事件之外，视为不可抗力的其他情形：</w:t>
      </w:r>
      <w:r>
        <w:rPr>
          <w:rFonts w:hint="eastAsia" w:ascii="宋体" w:hAnsi="宋体" w:cs="宋体"/>
          <w:color w:val="auto"/>
          <w:szCs w:val="21"/>
          <w:highlight w:val="none"/>
          <w:u w:val="single"/>
        </w:rPr>
        <w:t>执行通用条款</w:t>
      </w:r>
      <w:r>
        <w:rPr>
          <w:rFonts w:hint="eastAsia" w:ascii="宋体" w:hAnsi="宋体" w:cs="宋体"/>
          <w:color w:val="auto"/>
          <w:szCs w:val="21"/>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17.4 因不可抗力解除合同</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合同解除后，发包人应在商定或确定发包人应支付款项后</w:t>
      </w:r>
      <w:r>
        <w:rPr>
          <w:rFonts w:hint="eastAsia" w:ascii="宋体" w:hAnsi="宋体" w:cs="宋体"/>
          <w:color w:val="auto"/>
          <w:szCs w:val="21"/>
          <w:highlight w:val="none"/>
          <w:u w:val="single"/>
        </w:rPr>
        <w:t>28</w:t>
      </w:r>
      <w:r>
        <w:rPr>
          <w:rFonts w:hint="eastAsia" w:ascii="宋体" w:hAnsi="宋体" w:cs="宋体"/>
          <w:color w:val="auto"/>
          <w:highlight w:val="none"/>
        </w:rPr>
        <w:t>天内完成款项的支付。</w:t>
      </w:r>
    </w:p>
    <w:p>
      <w:pPr>
        <w:keepNext/>
        <w:keepLines/>
        <w:adjustRightInd w:val="0"/>
        <w:snapToGrid w:val="0"/>
        <w:spacing w:line="384" w:lineRule="auto"/>
        <w:jc w:val="left"/>
        <w:outlineLvl w:val="2"/>
        <w:rPr>
          <w:rFonts w:ascii="宋体" w:hAnsi="宋体" w:cs="宋体"/>
          <w:bCs/>
          <w:color w:val="auto"/>
          <w:sz w:val="24"/>
          <w:highlight w:val="none"/>
        </w:rPr>
      </w:pPr>
      <w:bookmarkStart w:id="591" w:name="_Toc95223483"/>
      <w:bookmarkStart w:id="592" w:name="_Toc351203650"/>
      <w:r>
        <w:rPr>
          <w:rFonts w:hint="eastAsia" w:ascii="宋体" w:hAnsi="宋体" w:cs="宋体"/>
          <w:bCs/>
          <w:color w:val="auto"/>
          <w:sz w:val="24"/>
          <w:highlight w:val="none"/>
        </w:rPr>
        <w:t>18. 保险</w:t>
      </w:r>
      <w:bookmarkEnd w:id="591"/>
      <w:bookmarkEnd w:id="592"/>
    </w:p>
    <w:bookmarkEnd w:id="588"/>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18.1 工程保险</w:t>
      </w:r>
    </w:p>
    <w:p>
      <w:pPr>
        <w:adjustRightInd w:val="0"/>
        <w:snapToGrid w:val="0"/>
        <w:spacing w:line="384" w:lineRule="auto"/>
        <w:ind w:firstLine="420" w:firstLineChars="200"/>
        <w:rPr>
          <w:rFonts w:ascii="宋体" w:hAnsi="宋体" w:cs="宋体"/>
          <w:b/>
          <w:color w:val="auto"/>
          <w:highlight w:val="none"/>
        </w:rPr>
      </w:pPr>
      <w:r>
        <w:rPr>
          <w:rFonts w:hint="eastAsia" w:ascii="宋体" w:hAnsi="宋体" w:cs="宋体"/>
          <w:color w:val="auto"/>
          <w:highlight w:val="none"/>
        </w:rPr>
        <w:t>关于工程保险的特别约定：</w:t>
      </w:r>
      <w:r>
        <w:rPr>
          <w:rFonts w:hint="eastAsia" w:ascii="宋体" w:hAnsi="宋体" w:cs="宋体"/>
          <w:b/>
          <w:color w:val="auto"/>
          <w:kern w:val="0"/>
          <w:highlight w:val="none"/>
          <w:u w:val="single"/>
        </w:rPr>
        <w:t xml:space="preserve">        </w:t>
      </w:r>
      <w:r>
        <w:rPr>
          <w:rFonts w:hint="eastAsia" w:ascii="宋体" w:hAnsi="宋体" w:cs="宋体"/>
          <w:b/>
          <w:color w:val="auto"/>
          <w:kern w:val="0"/>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18.3 其他保险</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highlight w:val="none"/>
        </w:rPr>
        <w:t>关于其他保险的约定：</w:t>
      </w:r>
      <w:r>
        <w:rPr>
          <w:rFonts w:hint="eastAsia" w:ascii="宋体" w:hAnsi="宋体" w:cs="宋体"/>
          <w:color w:val="auto"/>
          <w:szCs w:val="21"/>
          <w:highlight w:val="none"/>
          <w:u w:val="single"/>
        </w:rPr>
        <w:t>承包人须为其施工现场的全部人员办理意外伤害保险并支付保险费，包括其员工及为履行合同聘请的第三方的人员</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承包人是否应为其施工设备等办理财产保险：</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18.7 通知义务</w:t>
      </w:r>
    </w:p>
    <w:p>
      <w:pPr>
        <w:adjustRightInd w:val="0"/>
        <w:snapToGrid w:val="0"/>
        <w:spacing w:line="384" w:lineRule="auto"/>
        <w:ind w:firstLine="420" w:firstLineChars="200"/>
        <w:rPr>
          <w:rFonts w:ascii="宋体" w:hAnsi="宋体" w:cs="宋体"/>
          <w:b/>
          <w:color w:val="auto"/>
          <w:highlight w:val="none"/>
          <w:u w:val="single"/>
        </w:rPr>
      </w:pPr>
      <w:r>
        <w:rPr>
          <w:rFonts w:hint="eastAsia" w:ascii="宋体" w:hAnsi="宋体" w:cs="宋体"/>
          <w:color w:val="auto"/>
          <w:kern w:val="0"/>
          <w:highlight w:val="none"/>
        </w:rPr>
        <w:t>关于变更保险合同时的通知义务的约定：</w:t>
      </w:r>
      <w:r>
        <w:rPr>
          <w:rFonts w:hint="eastAsia" w:ascii="宋体" w:hAnsi="宋体" w:cs="宋体"/>
          <w:color w:val="auto"/>
          <w:szCs w:val="21"/>
          <w:highlight w:val="none"/>
          <w:u w:val="single"/>
        </w:rPr>
        <w:t>执行通用条款</w:t>
      </w:r>
      <w:r>
        <w:rPr>
          <w:rFonts w:hint="eastAsia" w:ascii="宋体" w:hAnsi="宋体" w:cs="宋体"/>
          <w:color w:val="auto"/>
          <w:szCs w:val="21"/>
          <w:highlight w:val="none"/>
        </w:rPr>
        <w:t>。</w:t>
      </w:r>
    </w:p>
    <w:bookmarkEnd w:id="563"/>
    <w:bookmarkEnd w:id="564"/>
    <w:bookmarkEnd w:id="565"/>
    <w:bookmarkEnd w:id="566"/>
    <w:bookmarkEnd w:id="567"/>
    <w:bookmarkEnd w:id="568"/>
    <w:bookmarkEnd w:id="569"/>
    <w:bookmarkEnd w:id="570"/>
    <w:bookmarkEnd w:id="571"/>
    <w:bookmarkEnd w:id="572"/>
    <w:bookmarkEnd w:id="573"/>
    <w:bookmarkEnd w:id="574"/>
    <w:p>
      <w:pPr>
        <w:keepNext/>
        <w:keepLines/>
        <w:adjustRightInd w:val="0"/>
        <w:snapToGrid w:val="0"/>
        <w:spacing w:line="384" w:lineRule="auto"/>
        <w:jc w:val="left"/>
        <w:outlineLvl w:val="2"/>
        <w:rPr>
          <w:rFonts w:ascii="宋体" w:hAnsi="宋体" w:cs="宋体"/>
          <w:bCs/>
          <w:color w:val="auto"/>
          <w:sz w:val="24"/>
          <w:highlight w:val="none"/>
        </w:rPr>
      </w:pPr>
      <w:bookmarkStart w:id="593" w:name="_Toc351203651"/>
      <w:bookmarkStart w:id="594" w:name="_Toc95223484"/>
      <w:r>
        <w:rPr>
          <w:rFonts w:hint="eastAsia" w:ascii="宋体" w:hAnsi="宋体" w:cs="宋体"/>
          <w:bCs/>
          <w:color w:val="auto"/>
          <w:sz w:val="24"/>
          <w:highlight w:val="none"/>
        </w:rPr>
        <w:t>20. 争议解决</w:t>
      </w:r>
      <w:bookmarkEnd w:id="593"/>
      <w:bookmarkEnd w:id="594"/>
    </w:p>
    <w:bookmarkEnd w:id="575"/>
    <w:bookmarkEnd w:id="576"/>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20.3 争</w:t>
      </w:r>
      <w:bookmarkEnd w:id="577"/>
      <w:r>
        <w:rPr>
          <w:rFonts w:hint="eastAsia" w:ascii="宋体" w:hAnsi="宋体" w:cs="宋体"/>
          <w:bCs/>
          <w:color w:val="auto"/>
          <w:szCs w:val="28"/>
          <w:highlight w:val="none"/>
        </w:rPr>
        <w:t>议评审</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合同当事人是否同意将工程争议提交争议评审小组决定：</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20.3.1 争议评审小组的确定</w:t>
      </w:r>
    </w:p>
    <w:p>
      <w:pPr>
        <w:adjustRightInd w:val="0"/>
        <w:snapToGrid w:val="0"/>
        <w:spacing w:line="384" w:lineRule="auto"/>
        <w:ind w:firstLine="420" w:firstLineChars="200"/>
        <w:rPr>
          <w:rFonts w:ascii="宋体" w:hAnsi="宋体" w:cs="宋体"/>
          <w:color w:val="auto"/>
          <w:highlight w:val="none"/>
          <w:u w:val="single"/>
        </w:rPr>
      </w:pPr>
      <w:r>
        <w:rPr>
          <w:rFonts w:hint="eastAsia" w:ascii="宋体" w:hAnsi="宋体" w:cs="宋体"/>
          <w:color w:val="auto"/>
          <w:highlight w:val="none"/>
        </w:rPr>
        <w:t>争议评审小组成员的确定：</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选定争议评审员的期限：</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争议评审小组成员的报酬承担方式：</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其他事项的约定：</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20.3.2 争议评审小组的决定</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合同当事人关于本项的约定：</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20.4 仲裁或诉讼</w:t>
      </w:r>
      <w:bookmarkEnd w:id="578"/>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因合同及合同有关事项发生的争议，按下列第</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 xml:space="preserve"> </w:t>
      </w:r>
      <w:r>
        <w:rPr>
          <w:rFonts w:hint="eastAsia" w:ascii="宋体" w:hAnsi="宋体" w:cs="宋体"/>
          <w:b/>
          <w:color w:val="auto"/>
          <w:highlight w:val="none"/>
          <w:u w:val="single"/>
        </w:rPr>
        <w:t xml:space="preserve">2 </w:t>
      </w:r>
      <w:r>
        <w:rPr>
          <w:rFonts w:hint="eastAsia" w:ascii="宋体" w:hAnsi="宋体" w:cs="宋体"/>
          <w:b/>
          <w:color w:val="auto"/>
          <w:highlight w:val="none"/>
          <w:u w:val="single"/>
          <w:lang w:val="en-US" w:eastAsia="zh-CN"/>
        </w:rPr>
        <w:t xml:space="preserve"> </w:t>
      </w:r>
      <w:r>
        <w:rPr>
          <w:rFonts w:hint="eastAsia" w:ascii="宋体" w:hAnsi="宋体" w:cs="宋体"/>
          <w:color w:val="auto"/>
          <w:highlight w:val="none"/>
        </w:rPr>
        <w:t>种方式解决：</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（1）向</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highlight w:val="none"/>
        </w:rPr>
        <w:t>仲裁委员会申请仲裁；</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（2）向</w:t>
      </w:r>
      <w:r>
        <w:rPr>
          <w:rFonts w:hint="eastAsia" w:ascii="宋体" w:hAnsi="宋体" w:cs="宋体"/>
          <w:color w:val="auto"/>
          <w:szCs w:val="21"/>
          <w:highlight w:val="none"/>
          <w:u w:val="single"/>
        </w:rPr>
        <w:t>工程所在地</w:t>
      </w:r>
      <w:r>
        <w:rPr>
          <w:rFonts w:hint="eastAsia" w:ascii="宋体" w:hAnsi="宋体" w:cs="宋体"/>
          <w:color w:val="auto"/>
          <w:highlight w:val="none"/>
        </w:rPr>
        <w:t>人民法院起诉。</w:t>
      </w:r>
      <w:bookmarkEnd w:id="579"/>
      <w:bookmarkEnd w:id="580"/>
      <w:bookmarkEnd w:id="581"/>
      <w:bookmarkEnd w:id="582"/>
      <w:bookmarkEnd w:id="583"/>
      <w:bookmarkEnd w:id="584"/>
    </w:p>
    <w:p>
      <w:pPr>
        <w:keepNext/>
        <w:keepLines/>
        <w:adjustRightInd w:val="0"/>
        <w:snapToGrid w:val="0"/>
        <w:spacing w:line="384" w:lineRule="auto"/>
        <w:jc w:val="left"/>
        <w:outlineLvl w:val="2"/>
        <w:rPr>
          <w:rFonts w:ascii="宋体" w:hAnsi="宋体" w:cs="宋体"/>
          <w:color w:val="auto"/>
          <w:highlight w:val="none"/>
        </w:rPr>
      </w:pPr>
      <w:bookmarkStart w:id="595" w:name="_Toc95223485"/>
      <w:r>
        <w:rPr>
          <w:rFonts w:hint="eastAsia" w:ascii="宋体" w:hAnsi="宋体" w:cs="宋体"/>
          <w:color w:val="auto"/>
          <w:highlight w:val="none"/>
        </w:rPr>
        <w:t>21. 补充条款</w:t>
      </w:r>
      <w:bookmarkEnd w:id="595"/>
      <w:r>
        <w:rPr>
          <w:rFonts w:hint="eastAsia" w:ascii="宋体" w:hAnsi="宋体" w:cs="宋体"/>
          <w:color w:val="auto"/>
          <w:highlight w:val="none"/>
        </w:rPr>
        <w:t xml:space="preserve"> </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本补充条款是专用条款的一部分，其解释顺序优先于专用条款内的其他条款。</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21.1 人员及职责</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21.1.1 发包人委派的发包人代表或监理工程师（以下简称“工程师”）无权更改合同，也无权解除发包人和承包人的义务和责任。</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21.1.2 发包人代表的任何批准、检查、证书、同意、通知、建议、检验、指令和要求等不解除承包人在合同中的责任。</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21.1.3 承包人只能从发包人代表或其授权代表处接受指令。</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21.1.4 发包人如需更换发包人代表须提前7天通知承包人。</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21.1.5 </w:t>
      </w:r>
      <w:r>
        <w:rPr>
          <w:rFonts w:hint="eastAsia" w:ascii="宋体" w:hAnsi="宋体" w:cs="宋体"/>
          <w:color w:val="auto"/>
          <w:kern w:val="0"/>
          <w:highlight w:val="none"/>
          <w:lang w:eastAsia="zh-CN"/>
        </w:rPr>
        <w:t>承包</w:t>
      </w:r>
      <w:r>
        <w:rPr>
          <w:rFonts w:hint="eastAsia" w:ascii="宋体" w:hAnsi="宋体" w:cs="宋体"/>
          <w:color w:val="auto"/>
          <w:kern w:val="0"/>
          <w:highlight w:val="none"/>
        </w:rPr>
        <w:t>人委任的项目经理、项目技术负责人、各专业负责人（其他主要管理人员和技术人员）及施工机械等在整个项目施工期内必须在位。</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承包人的项目经理离开现场的，须经发包人代表同意，并书面指定临时代表，代为行使项目经理的权力；该临时代表的一切行为，甲方均认为是项目经理的行为。</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21.1.6 承包人提交发包人的任何文件，发包人都认为该文件已经承包人内部程序批准；承包人提交的文件发生修改的，应及时将最新版本提交发包人代表。</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21.1.7 承包人应始终采取一切合理防范措施来避免在项目人员内部发生违法、动乱或妨碍治安的行为，保持项目的安定；并保护好现场和周围的人员和财产安全。</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21.1.8 承包人雇佣职员或工人应遵守相关法律法规的规定。</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21.1.9 参与本项目的承包人代表或其雇员不遵守合同规定或一贯行为不轨或或不能胜任工作或危害安全，发包人代表有权要求更换；原人选未经发包人许可不得再进入本项目（包括项目经理在内）。</w:t>
      </w:r>
    </w:p>
    <w:p>
      <w:pPr>
        <w:adjustRightInd w:val="0"/>
        <w:snapToGrid w:val="0"/>
        <w:spacing w:line="384" w:lineRule="auto"/>
        <w:ind w:firstLine="420" w:firstLineChars="200"/>
        <w:rPr>
          <w:rFonts w:ascii="宋体" w:hAnsi="宋体" w:cs="宋体"/>
          <w:color w:val="auto"/>
          <w:highlight w:val="none"/>
        </w:rPr>
      </w:pPr>
      <w:r>
        <w:rPr>
          <w:rFonts w:hint="eastAsia" w:ascii="宋体" w:hAnsi="宋体" w:cs="宋体"/>
          <w:color w:val="auto"/>
          <w:highlight w:val="none"/>
        </w:rPr>
        <w:t>21.1.10 承包人更换项目经理的，须提前14天通知发包人，并征得发包人同意；该行为视为违约，承包人须支付发包人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万元违约金。更换后的项目经理资历、水平不得降低。</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21.2 变更与调整</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21.2.1 在工程移交前，发包人代表有权签发变更指令，承包人应按照指令来实施变更，并进行工期和费用的估算，提交发包人代表。</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21.2.2 发包人代表收到承包人的估算后，可以决定撤销、修改或确认实施该项变更。</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21.2.3 如果承包人认为自己的建议能缩短工期、降低工程实施或运营成本，或对业主产生其他利益，可以向发包人代表提交建议书；建议书的编制费用自理。</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21.2.4 如果发包人采纳承包人的建议节省了工程费用，将给予承包人节约费用适当比例的奖励。</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21.2.5 上一款中节省费用的计算方法为：降低的合同额度减去因变更而引起在工程质量、寿命、以及运营效率等方面为发包人带来的潜在损失。</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21.2.6 任何变更指令都应由发包人代表签发给承包人，承包人收到后应回函说明；涉及到费用调整的，按照相关条款执行。</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21.2.8 未经发包人代表批准，承包人不得对工程进行任何变更。</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21.3 分包与配合</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21.3.1 承包人进行工程分包的，应遵守通用条款相关规定，发包人视其为承包人自行施工的工程；发包人代表对分包的同意或批准并不解除承包人的任何责任，也不代表发包人对此承担任何责任。</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21.3.2 发包人分包的专业工程范围如下： </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21.3.3 发包人通过招标方式选择专业工程分包施工单位，承包人参与分包工程的招标，认可招标结果，并作为总包单位与分包工程的中标人（以下简称“分包人”）签订工程分包施工合同。</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21.3.4 发包人支付给承包人专业分包工程合同价款（不含设备价格）的</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%作为总承包服务配合费用，承包人不得向分包人收取其他费用；该项费用包括但不限于以下内容：</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（1）乙方承担总包责任所发生的费用。</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（2）“分包工程”施工完毕、土建工程的收尾和修复以及使用承包人的施工所用水电管线等费用（水电费用装表计量，按照实际用量结算）。</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（3）分包人使用承包人现场临时工程及在用的脚手架、塔吊、施工电梯等费用。</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（4）分包人使用工程的施工道路，到总包单位搭伙，使用总包单位的卫生间等。</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（5）门窗洞口、安装工程管道口、楼地面墙面凿洞、槽等的后塞及修补等，以及整个工程的安全保卫等。</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（6）为分包人提供标高、轴线、定位，隐蔽工程指引等。</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（7）分包人的工程资料收集整理和移交；工程质量的检验和验收。</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（8）保证分包工程在施工期间有足够的工作面，保证其按时开工和连续施工，并承担因乙方原因使分包工程不能按时开工和配合不及时造成的工期延误责任。</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21.3.5 配合工程：是指某一位于施工现场内或现场外的工程，并非由承包人施工或总包，但与承包人的工程有一定联系，需要承包人配合的工程；配合工程如下：</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u w:val="single"/>
        </w:rPr>
        <w:t xml:space="preserve">                                     </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u w:val="single"/>
        </w:rPr>
        <w:t xml:space="preserve">                                     </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21.3.6 对于配合工程，承包人除不需要承办总包责任外，其他责任和义务同分包工程；发包人给予承包人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万元作为承包人承担配合工作的配合费用。</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21.3.7 凡在与已交工工程有关联的部位施工时，必须提前向甲方提出书面联系单，经甲方同意，并签字后方可施工。</w:t>
      </w:r>
    </w:p>
    <w:p>
      <w:pPr>
        <w:keepNext/>
        <w:keepLines/>
        <w:adjustRightInd w:val="0"/>
        <w:snapToGrid w:val="0"/>
        <w:spacing w:line="384" w:lineRule="auto"/>
        <w:ind w:firstLine="420" w:firstLineChars="200"/>
        <w:outlineLvl w:val="3"/>
        <w:rPr>
          <w:rFonts w:ascii="宋体" w:hAnsi="宋体" w:cs="宋体"/>
          <w:bCs/>
          <w:color w:val="auto"/>
          <w:szCs w:val="28"/>
          <w:highlight w:val="none"/>
        </w:rPr>
      </w:pPr>
      <w:r>
        <w:rPr>
          <w:rFonts w:hint="eastAsia" w:ascii="宋体" w:hAnsi="宋体" w:cs="宋体"/>
          <w:bCs/>
          <w:color w:val="auto"/>
          <w:szCs w:val="28"/>
          <w:highlight w:val="none"/>
        </w:rPr>
        <w:t>21.4 结算</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21.4.1 承包人的</w:t>
      </w:r>
      <w:r>
        <w:rPr>
          <w:rFonts w:hint="eastAsia" w:ascii="宋体" w:hAnsi="宋体" w:cs="宋体"/>
          <w:color w:val="auto"/>
          <w:kern w:val="0"/>
          <w:highlight w:val="none"/>
          <w:lang w:eastAsia="zh-CN"/>
        </w:rPr>
        <w:t>响应</w:t>
      </w:r>
      <w:r>
        <w:rPr>
          <w:rFonts w:hint="eastAsia" w:ascii="宋体" w:hAnsi="宋体" w:cs="宋体"/>
          <w:color w:val="auto"/>
          <w:kern w:val="0"/>
          <w:highlight w:val="none"/>
        </w:rPr>
        <w:t>报价（合同价款）是承包人基于业主提供的资料和现场数据及承包人的解释和现场考察计算出来的，覆盖了完成合同义务所包括的一切工作，不得以漏项或考虑不周提出索赔。</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21.4.2 水电费的结算：</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（1）发包人在现场安装计量装置，承包人负责施工期间的保护，并在工程移交的同时完好地移交给发包人。</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w:t>
      </w:r>
      <w:r>
        <w:rPr>
          <w:rFonts w:hint="eastAsia" w:ascii="宋体" w:hAnsi="宋体" w:cs="宋体"/>
          <w:color w:val="auto"/>
          <w:kern w:val="0"/>
          <w:highlight w:val="none"/>
          <w:lang w:eastAsia="zh-CN"/>
        </w:rPr>
        <w:t>响应</w:t>
      </w:r>
      <w:r>
        <w:rPr>
          <w:rFonts w:hint="eastAsia" w:ascii="宋体" w:hAnsi="宋体" w:cs="宋体"/>
          <w:color w:val="auto"/>
          <w:kern w:val="0"/>
          <w:highlight w:val="none"/>
        </w:rPr>
        <w:t>报价已经包含水电费用，工程结算时按照发包人实际缴纳的水电费在结算价（税前）中扣除。</w:t>
      </w:r>
    </w:p>
    <w:p>
      <w:pPr>
        <w:adjustRightInd w:val="0"/>
        <w:snapToGrid w:val="0"/>
        <w:spacing w:line="384"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（3）因承包人保护不善造成计量装置损坏，承包人负责修复，并承担由此造成的增加费用（包括修复费用和水电损失费用以及可能发生的罚款或其他费用）。</w:t>
      </w:r>
    </w:p>
    <w:p>
      <w:pPr>
        <w:adjustRightInd w:val="0"/>
        <w:snapToGrid w:val="0"/>
        <w:spacing w:line="384" w:lineRule="auto"/>
        <w:ind w:firstLine="420" w:firstLineChars="200"/>
        <w:rPr>
          <w:rFonts w:ascii="宋体" w:hAnsi="宋体" w:cs="宋体"/>
          <w:color w:val="auto"/>
          <w:kern w:val="0"/>
          <w:highlight w:val="none"/>
          <w:u w:val="single" w:color="FFFFFF"/>
        </w:rPr>
      </w:pPr>
      <w:r>
        <w:rPr>
          <w:rFonts w:hint="eastAsia" w:ascii="宋体" w:hAnsi="宋体" w:cs="宋体"/>
          <w:color w:val="auto"/>
          <w:kern w:val="0"/>
          <w:highlight w:val="none"/>
          <w:u w:val="single" w:color="FFFFFF"/>
        </w:rPr>
        <w:t>21.4.3 发包人供应材料设备的结算：材料按照总价的</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color="FFFFFF"/>
        </w:rPr>
        <w:t xml:space="preserve"> %计取保管费（材料数量最多不超过设计文件的用量（可以计算定额损耗））；设备按照总价的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color="FFFFFF"/>
        </w:rPr>
        <w:t xml:space="preserve"> %计取保管费；此费用仅计取税金。</w:t>
      </w:r>
    </w:p>
    <w:p>
      <w:pPr>
        <w:adjustRightInd w:val="0"/>
        <w:snapToGrid w:val="0"/>
        <w:spacing w:line="384" w:lineRule="auto"/>
        <w:ind w:firstLine="422" w:firstLineChars="200"/>
        <w:rPr>
          <w:rFonts w:ascii="宋体" w:hAnsi="宋体" w:cs="宋体"/>
          <w:b/>
          <w:bCs/>
          <w:color w:val="auto"/>
          <w:kern w:val="0"/>
          <w:highlight w:val="none"/>
        </w:rPr>
      </w:pPr>
      <w:r>
        <w:rPr>
          <w:rFonts w:hint="eastAsia" w:ascii="宋体" w:hAnsi="宋体" w:cs="宋体"/>
          <w:b/>
          <w:bCs/>
          <w:color w:val="auto"/>
          <w:kern w:val="0"/>
          <w:highlight w:val="none"/>
        </w:rPr>
        <w:t>21.4.4 分包工程的总承包配合费和配合工程的配合费：分包工程的总承包配合费按照分包工程价格确定，一次包死，不随分包工程结算价款的调整而调整；配合工程的配合费也一次包死；该两项费用仅计取税金。</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21.4.5对于发包人提供的工程量清单中的单项子目，承包人没有报价的，发包人认为视同该项价格已经包括在其他项目中。</w:t>
      </w:r>
    </w:p>
    <w:p>
      <w:pPr>
        <w:adjustRightInd w:val="0"/>
        <w:snapToGrid w:val="0"/>
        <w:spacing w:line="360" w:lineRule="auto"/>
        <w:rPr>
          <w:rFonts w:ascii="宋体" w:hAnsi="宋体" w:cs="宋体"/>
          <w:b/>
          <w:color w:val="auto"/>
          <w:highlight w:val="none"/>
        </w:rPr>
      </w:pPr>
    </w:p>
    <w:p>
      <w:pPr>
        <w:adjustRightInd w:val="0"/>
        <w:snapToGrid w:val="0"/>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 xml:space="preserve">发包人：  </w:t>
      </w:r>
      <w:r>
        <w:rPr>
          <w:rFonts w:hint="eastAsia" w:ascii="宋体" w:hAnsi="宋体" w:cs="宋体"/>
          <w:color w:val="auto"/>
          <w:highlight w:val="none"/>
          <w:lang w:eastAsia="zh-CN"/>
        </w:rPr>
        <w:t>（</w:t>
      </w:r>
      <w:r>
        <w:rPr>
          <w:rFonts w:hint="eastAsia" w:ascii="宋体" w:hAnsi="宋体" w:cs="宋体"/>
          <w:color w:val="auto"/>
          <w:highlight w:val="none"/>
        </w:rPr>
        <w:t>公章</w:t>
      </w:r>
      <w:r>
        <w:rPr>
          <w:rFonts w:hint="eastAsia" w:ascii="宋体" w:hAnsi="宋体" w:cs="宋体"/>
          <w:color w:val="auto"/>
          <w:highlight w:val="none"/>
          <w:lang w:eastAsia="zh-CN"/>
        </w:rPr>
        <w:t>）</w:t>
      </w:r>
      <w:r>
        <w:rPr>
          <w:rFonts w:hint="eastAsia" w:ascii="宋体" w:hAnsi="宋体" w:cs="宋体"/>
          <w:color w:val="auto"/>
          <w:highlight w:val="none"/>
        </w:rPr>
        <w:t xml:space="preserve">                           承包人：  </w:t>
      </w:r>
      <w:r>
        <w:rPr>
          <w:rFonts w:hint="eastAsia" w:ascii="宋体" w:hAnsi="宋体" w:cs="宋体"/>
          <w:color w:val="auto"/>
          <w:highlight w:val="none"/>
          <w:lang w:eastAsia="zh-CN"/>
        </w:rPr>
        <w:t>（</w:t>
      </w:r>
      <w:r>
        <w:rPr>
          <w:rFonts w:hint="eastAsia" w:ascii="宋体" w:hAnsi="宋体" w:cs="宋体"/>
          <w:color w:val="auto"/>
          <w:highlight w:val="none"/>
        </w:rPr>
        <w:t>公章</w:t>
      </w:r>
      <w:r>
        <w:rPr>
          <w:rFonts w:hint="eastAsia" w:ascii="宋体" w:hAnsi="宋体" w:cs="宋体"/>
          <w:color w:val="auto"/>
          <w:highlight w:val="none"/>
          <w:lang w:eastAsia="zh-CN"/>
        </w:rPr>
        <w:t>）</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法定代表人或其委托代理人：                 法定代表人或其委托代理人：</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（签字）                                  （签字）</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组织机构代码：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组织机构代码：</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239000</w:t>
      </w:r>
      <w:r>
        <w:rPr>
          <w:rFonts w:hint="eastAsia" w:ascii="宋体" w:hAnsi="宋体" w:cs="宋体"/>
          <w:color w:val="auto"/>
          <w:highlight w:val="none"/>
          <w:u w:val="single"/>
        </w:rPr>
        <w:t xml:space="preserve">            </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       </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0550-3022020</w:t>
      </w:r>
      <w:r>
        <w:rPr>
          <w:rFonts w:hint="eastAsia" w:ascii="宋体" w:hAnsi="宋体" w:cs="宋体"/>
          <w:color w:val="auto"/>
          <w:highlight w:val="none"/>
          <w:u w:val="single"/>
        </w:rPr>
        <w:t xml:space="preserve">   </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323173448@qq.com</w:t>
      </w:r>
      <w:r>
        <w:rPr>
          <w:rFonts w:hint="eastAsia" w:ascii="宋体" w:hAnsi="宋体" w:cs="宋体"/>
          <w:color w:val="auto"/>
          <w:highlight w:val="none"/>
          <w:u w:val="single"/>
        </w:rPr>
        <w:t xml:space="preserve">  </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w:t>
      </w:r>
    </w:p>
    <w:p>
      <w:pPr>
        <w:spacing w:line="360" w:lineRule="auto"/>
        <w:rPr>
          <w:rFonts w:ascii="宋体" w:hAnsi="宋体" w:cs="宋体"/>
          <w:b/>
          <w:color w:val="auto"/>
          <w:sz w:val="24"/>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p>
    <w:p>
      <w:pPr>
        <w:keepNext/>
        <w:keepLines/>
        <w:spacing w:before="120" w:after="120" w:line="360" w:lineRule="auto"/>
        <w:jc w:val="left"/>
        <w:outlineLvl w:val="2"/>
        <w:rPr>
          <w:rFonts w:ascii="宋体" w:hAnsi="宋体" w:cs="宋体"/>
          <w:b/>
          <w:color w:val="auto"/>
          <w:highlight w:val="none"/>
        </w:rPr>
      </w:pPr>
    </w:p>
    <w:p>
      <w:pPr>
        <w:keepNext/>
        <w:keepLines/>
        <w:spacing w:before="120" w:after="120" w:line="360" w:lineRule="auto"/>
        <w:jc w:val="left"/>
        <w:outlineLvl w:val="2"/>
        <w:rPr>
          <w:rFonts w:ascii="宋体" w:hAnsi="宋体" w:cs="宋体"/>
          <w:b/>
          <w:color w:val="auto"/>
          <w:highlight w:val="none"/>
        </w:rPr>
      </w:pPr>
    </w:p>
    <w:p>
      <w:pPr>
        <w:keepNext/>
        <w:keepLines/>
        <w:spacing w:before="120" w:after="120" w:line="360" w:lineRule="auto"/>
        <w:jc w:val="left"/>
        <w:outlineLvl w:val="2"/>
        <w:rPr>
          <w:rFonts w:ascii="宋体" w:hAnsi="宋体" w:cs="宋体"/>
          <w:b/>
          <w:color w:val="auto"/>
          <w:highlight w:val="none"/>
        </w:rPr>
      </w:pPr>
    </w:p>
    <w:p>
      <w:pPr>
        <w:spacing w:line="360" w:lineRule="auto"/>
        <w:rPr>
          <w:rFonts w:ascii="宋体" w:hAnsi="宋体" w:cs="宋体"/>
          <w:b/>
          <w:color w:val="auto"/>
          <w:highlight w:val="none"/>
        </w:rPr>
      </w:pPr>
    </w:p>
    <w:p>
      <w:pPr>
        <w:spacing w:line="360" w:lineRule="auto"/>
        <w:rPr>
          <w:rFonts w:hint="eastAsia" w:ascii="宋体" w:hAnsi="宋体" w:cs="宋体"/>
          <w:b/>
          <w:color w:val="auto"/>
          <w:highlight w:val="none"/>
        </w:rPr>
      </w:pPr>
    </w:p>
    <w:p>
      <w:pPr>
        <w:pStyle w:val="45"/>
        <w:rPr>
          <w:rFonts w:hint="eastAsia" w:ascii="宋体" w:hAnsi="宋体" w:cs="宋体"/>
          <w:b/>
          <w:color w:val="auto"/>
          <w:highlight w:val="none"/>
        </w:rPr>
      </w:pPr>
    </w:p>
    <w:p>
      <w:pPr>
        <w:spacing w:line="360" w:lineRule="auto"/>
        <w:rPr>
          <w:rFonts w:hint="eastAsia" w:ascii="宋体" w:hAnsi="宋体" w:cs="宋体"/>
          <w:b/>
          <w:color w:val="auto"/>
          <w:highlight w:val="none"/>
        </w:rPr>
      </w:pPr>
    </w:p>
    <w:p>
      <w:pPr>
        <w:spacing w:line="360" w:lineRule="auto"/>
        <w:rPr>
          <w:rFonts w:ascii="宋体" w:hAnsi="宋体" w:cs="宋体"/>
          <w:b/>
          <w:color w:val="auto"/>
          <w:highlight w:val="none"/>
        </w:rPr>
      </w:pPr>
      <w:r>
        <w:rPr>
          <w:rFonts w:hint="eastAsia" w:ascii="宋体" w:hAnsi="宋体" w:cs="宋体"/>
          <w:b/>
          <w:color w:val="auto"/>
          <w:highlight w:val="none"/>
        </w:rPr>
        <w:t>附件</w:t>
      </w:r>
    </w:p>
    <w:p>
      <w:pPr>
        <w:spacing w:line="360" w:lineRule="auto"/>
        <w:rPr>
          <w:rFonts w:ascii="宋体" w:hAnsi="宋体" w:cs="宋体"/>
          <w:color w:val="auto"/>
          <w:highlight w:val="none"/>
        </w:rPr>
      </w:pPr>
      <w:r>
        <w:rPr>
          <w:rFonts w:hint="eastAsia" w:ascii="宋体" w:hAnsi="宋体" w:cs="宋体"/>
          <w:color w:val="auto"/>
          <w:highlight w:val="none"/>
        </w:rPr>
        <w:t>协议书附件：</w:t>
      </w:r>
    </w:p>
    <w:p>
      <w:pPr>
        <w:spacing w:line="360" w:lineRule="auto"/>
        <w:rPr>
          <w:rFonts w:ascii="宋体" w:hAnsi="宋体" w:cs="宋体"/>
          <w:color w:val="auto"/>
          <w:highlight w:val="none"/>
        </w:rPr>
      </w:pPr>
      <w:r>
        <w:rPr>
          <w:rFonts w:hint="eastAsia" w:ascii="宋体" w:hAnsi="宋体" w:cs="宋体"/>
          <w:color w:val="auto"/>
          <w:highlight w:val="none"/>
        </w:rPr>
        <w:t>附件1：承包人承揽工程项目一览表</w:t>
      </w:r>
    </w:p>
    <w:p>
      <w:pPr>
        <w:spacing w:line="360" w:lineRule="auto"/>
        <w:rPr>
          <w:rFonts w:ascii="宋体" w:hAnsi="宋体" w:cs="宋体"/>
          <w:color w:val="auto"/>
          <w:highlight w:val="none"/>
        </w:rPr>
      </w:pPr>
      <w:r>
        <w:rPr>
          <w:rFonts w:hint="eastAsia" w:ascii="宋体" w:hAnsi="宋体" w:cs="宋体"/>
          <w:color w:val="auto"/>
          <w:highlight w:val="none"/>
        </w:rPr>
        <w:t>专用合同条款附件：</w:t>
      </w:r>
    </w:p>
    <w:p>
      <w:pPr>
        <w:spacing w:line="360" w:lineRule="auto"/>
        <w:rPr>
          <w:rFonts w:ascii="宋体" w:hAnsi="宋体" w:cs="宋体"/>
          <w:color w:val="auto"/>
          <w:highlight w:val="none"/>
        </w:rPr>
      </w:pPr>
      <w:r>
        <w:rPr>
          <w:rFonts w:hint="eastAsia" w:ascii="宋体" w:hAnsi="宋体" w:cs="宋体"/>
          <w:color w:val="auto"/>
          <w:highlight w:val="none"/>
        </w:rPr>
        <w:t>附件2：发包人供应材料设备一览表</w:t>
      </w:r>
    </w:p>
    <w:p>
      <w:pPr>
        <w:spacing w:line="360" w:lineRule="auto"/>
        <w:rPr>
          <w:rFonts w:ascii="宋体" w:hAnsi="宋体" w:cs="宋体"/>
          <w:color w:val="auto"/>
          <w:highlight w:val="none"/>
        </w:rPr>
      </w:pPr>
      <w:r>
        <w:rPr>
          <w:rFonts w:hint="eastAsia" w:ascii="宋体" w:hAnsi="宋体" w:cs="宋体"/>
          <w:color w:val="auto"/>
          <w:highlight w:val="none"/>
        </w:rPr>
        <w:t>附件3：工程质量保修书</w:t>
      </w:r>
    </w:p>
    <w:p>
      <w:pPr>
        <w:spacing w:line="360" w:lineRule="auto"/>
        <w:rPr>
          <w:rFonts w:ascii="宋体" w:hAnsi="宋体" w:cs="宋体"/>
          <w:color w:val="auto"/>
          <w:highlight w:val="none"/>
        </w:rPr>
      </w:pPr>
      <w:r>
        <w:rPr>
          <w:rFonts w:hint="eastAsia" w:ascii="宋体" w:hAnsi="宋体" w:cs="宋体"/>
          <w:color w:val="auto"/>
          <w:highlight w:val="none"/>
        </w:rPr>
        <w:t>附件4：主要建设工程文件目录</w:t>
      </w:r>
    </w:p>
    <w:p>
      <w:pPr>
        <w:spacing w:line="360" w:lineRule="auto"/>
        <w:rPr>
          <w:rFonts w:ascii="宋体" w:hAnsi="宋体" w:cs="宋体"/>
          <w:color w:val="auto"/>
          <w:highlight w:val="none"/>
        </w:rPr>
      </w:pPr>
      <w:r>
        <w:rPr>
          <w:rFonts w:hint="eastAsia" w:ascii="宋体" w:hAnsi="宋体" w:cs="宋体"/>
          <w:color w:val="auto"/>
          <w:highlight w:val="none"/>
        </w:rPr>
        <w:t>附件5：承包人用于本工程施工的机械设备表</w:t>
      </w:r>
    </w:p>
    <w:p>
      <w:pPr>
        <w:spacing w:line="360" w:lineRule="auto"/>
        <w:rPr>
          <w:rFonts w:ascii="宋体" w:hAnsi="宋体" w:cs="宋体"/>
          <w:color w:val="auto"/>
          <w:highlight w:val="none"/>
        </w:rPr>
      </w:pPr>
      <w:r>
        <w:rPr>
          <w:rFonts w:hint="eastAsia" w:ascii="宋体" w:hAnsi="宋体" w:cs="宋体"/>
          <w:color w:val="auto"/>
          <w:highlight w:val="none"/>
        </w:rPr>
        <w:t>附件6：承包人主要施工管理人员表</w:t>
      </w:r>
    </w:p>
    <w:p>
      <w:pPr>
        <w:spacing w:line="360" w:lineRule="auto"/>
        <w:rPr>
          <w:rFonts w:ascii="宋体" w:hAnsi="宋体" w:cs="宋体"/>
          <w:color w:val="auto"/>
          <w:highlight w:val="none"/>
        </w:rPr>
      </w:pPr>
      <w:r>
        <w:rPr>
          <w:rFonts w:hint="eastAsia" w:ascii="宋体" w:hAnsi="宋体" w:cs="宋体"/>
          <w:color w:val="auto"/>
          <w:highlight w:val="none"/>
        </w:rPr>
        <w:t>附件7：分包人主要施工管理人员表</w:t>
      </w:r>
    </w:p>
    <w:p>
      <w:pPr>
        <w:spacing w:line="360" w:lineRule="auto"/>
        <w:rPr>
          <w:rFonts w:ascii="宋体" w:hAnsi="宋体" w:cs="宋体"/>
          <w:color w:val="auto"/>
          <w:highlight w:val="none"/>
        </w:rPr>
      </w:pPr>
      <w:r>
        <w:rPr>
          <w:rFonts w:hint="eastAsia" w:ascii="宋体" w:hAnsi="宋体" w:cs="宋体"/>
          <w:color w:val="auto"/>
          <w:highlight w:val="none"/>
        </w:rPr>
        <w:t>附件8：廉政协议</w:t>
      </w:r>
    </w:p>
    <w:p>
      <w:pPr>
        <w:spacing w:line="360" w:lineRule="auto"/>
        <w:rPr>
          <w:rFonts w:ascii="宋体" w:hAnsi="宋体" w:cs="宋体"/>
          <w:color w:val="auto"/>
          <w:highlight w:val="none"/>
        </w:rPr>
      </w:pPr>
      <w:r>
        <w:rPr>
          <w:rFonts w:hint="eastAsia" w:ascii="宋体" w:hAnsi="宋体" w:cs="宋体"/>
          <w:color w:val="auto"/>
          <w:highlight w:val="none"/>
        </w:rPr>
        <w:t>附件9：履约保证金格式</w:t>
      </w:r>
    </w:p>
    <w:p>
      <w:pPr>
        <w:spacing w:line="360" w:lineRule="auto"/>
        <w:rPr>
          <w:rFonts w:ascii="宋体" w:hAnsi="宋体" w:cs="宋体"/>
          <w:color w:val="auto"/>
          <w:highlight w:val="none"/>
        </w:rPr>
      </w:pPr>
      <w:r>
        <w:rPr>
          <w:rFonts w:hint="eastAsia" w:ascii="宋体" w:hAnsi="宋体" w:cs="宋体"/>
          <w:color w:val="auto"/>
          <w:highlight w:val="none"/>
        </w:rPr>
        <w:t>附件1</w:t>
      </w:r>
      <w:r>
        <w:rPr>
          <w:rFonts w:hint="eastAsia" w:ascii="宋体" w:hAnsi="宋体" w:cs="宋体"/>
          <w:color w:val="auto"/>
          <w:highlight w:val="none"/>
          <w:lang w:val="en-US" w:eastAsia="zh-CN"/>
        </w:rPr>
        <w:t>0</w:t>
      </w:r>
      <w:r>
        <w:rPr>
          <w:rFonts w:hint="eastAsia" w:ascii="宋体" w:hAnsi="宋体" w:cs="宋体"/>
          <w:color w:val="auto"/>
          <w:highlight w:val="none"/>
        </w:rPr>
        <w:t>：支付担保格式</w:t>
      </w:r>
    </w:p>
    <w:p>
      <w:pPr>
        <w:spacing w:line="360" w:lineRule="auto"/>
        <w:rPr>
          <w:rFonts w:ascii="宋体" w:hAnsi="宋体" w:cs="宋体"/>
          <w:color w:val="auto"/>
          <w:highlight w:val="none"/>
        </w:rPr>
      </w:pPr>
      <w:r>
        <w:rPr>
          <w:rFonts w:hint="eastAsia" w:ascii="宋体" w:hAnsi="宋体" w:cs="宋体"/>
          <w:color w:val="auto"/>
          <w:highlight w:val="none"/>
        </w:rPr>
        <w:t>附件1</w:t>
      </w:r>
      <w:r>
        <w:rPr>
          <w:rFonts w:hint="eastAsia" w:ascii="宋体" w:hAnsi="宋体" w:cs="宋体"/>
          <w:color w:val="auto"/>
          <w:highlight w:val="none"/>
          <w:lang w:val="en-US" w:eastAsia="zh-CN"/>
        </w:rPr>
        <w:t>1</w:t>
      </w:r>
      <w:r>
        <w:rPr>
          <w:rFonts w:hint="eastAsia" w:ascii="宋体" w:hAnsi="宋体" w:cs="宋体"/>
          <w:color w:val="auto"/>
          <w:highlight w:val="none"/>
        </w:rPr>
        <w:t>：暂估价一览表</w:t>
      </w:r>
    </w:p>
    <w:p>
      <w:pPr>
        <w:spacing w:line="360" w:lineRule="auto"/>
        <w:rPr>
          <w:rFonts w:ascii="宋体" w:hAnsi="宋体" w:cs="宋体"/>
          <w:color w:val="auto"/>
          <w:highlight w:val="none"/>
        </w:rPr>
      </w:pPr>
      <w:r>
        <w:rPr>
          <w:rFonts w:hint="eastAsia" w:ascii="宋体" w:hAnsi="宋体" w:cs="宋体"/>
          <w:color w:val="auto"/>
          <w:highlight w:val="none"/>
        </w:rPr>
        <w:t>附件1</w:t>
      </w:r>
      <w:r>
        <w:rPr>
          <w:rFonts w:hint="eastAsia" w:ascii="宋体" w:hAnsi="宋体" w:cs="宋体"/>
          <w:color w:val="auto"/>
          <w:highlight w:val="none"/>
          <w:lang w:val="en-US" w:eastAsia="zh-CN"/>
        </w:rPr>
        <w:t>2</w:t>
      </w:r>
      <w:r>
        <w:rPr>
          <w:rFonts w:hint="eastAsia" w:ascii="宋体" w:hAnsi="宋体" w:cs="宋体"/>
          <w:color w:val="auto"/>
          <w:highlight w:val="none"/>
        </w:rPr>
        <w:t>：安全生产合同</w:t>
      </w:r>
    </w:p>
    <w:p>
      <w:pPr>
        <w:spacing w:line="360" w:lineRule="auto"/>
        <w:rPr>
          <w:rFonts w:ascii="宋体" w:hAnsi="宋体" w:cs="宋体"/>
          <w:color w:val="auto"/>
          <w:highlight w:val="none"/>
        </w:rPr>
      </w:pPr>
      <w:r>
        <w:rPr>
          <w:rFonts w:hint="eastAsia" w:ascii="宋体" w:hAnsi="宋体" w:cs="宋体"/>
          <w:color w:val="auto"/>
          <w:highlight w:val="none"/>
        </w:rPr>
        <w:t>附件1</w:t>
      </w:r>
      <w:r>
        <w:rPr>
          <w:rFonts w:hint="eastAsia" w:ascii="宋体" w:hAnsi="宋体" w:cs="宋体"/>
          <w:color w:val="auto"/>
          <w:highlight w:val="none"/>
          <w:lang w:val="en-US" w:eastAsia="zh-CN"/>
        </w:rPr>
        <w:t>3</w:t>
      </w:r>
      <w:r>
        <w:rPr>
          <w:rFonts w:hint="eastAsia" w:ascii="宋体" w:hAnsi="宋体" w:cs="宋体"/>
          <w:color w:val="auto"/>
          <w:highlight w:val="none"/>
        </w:rPr>
        <w:t>：项目经理质量终身责任制承诺</w:t>
      </w:r>
    </w:p>
    <w:p>
      <w:pPr>
        <w:keepNext/>
        <w:keepLines/>
        <w:spacing w:before="120" w:after="120" w:line="360" w:lineRule="auto"/>
        <w:jc w:val="left"/>
        <w:outlineLvl w:val="2"/>
        <w:rPr>
          <w:rFonts w:ascii="宋体" w:hAnsi="宋体" w:cs="宋体"/>
          <w:b/>
          <w:color w:val="auto"/>
          <w:highlight w:val="none"/>
        </w:rPr>
      </w:pPr>
    </w:p>
    <w:p>
      <w:pPr>
        <w:pStyle w:val="2"/>
        <w:ind w:firstLine="420"/>
        <w:rPr>
          <w:color w:val="auto"/>
          <w:highlight w:val="none"/>
        </w:rPr>
      </w:pPr>
    </w:p>
    <w:p>
      <w:pPr>
        <w:rPr>
          <w:color w:val="auto"/>
          <w:highlight w:val="none"/>
        </w:rPr>
      </w:pPr>
    </w:p>
    <w:p>
      <w:pPr>
        <w:pStyle w:val="2"/>
        <w:ind w:firstLine="420"/>
        <w:rPr>
          <w:color w:val="auto"/>
          <w:highlight w:val="none"/>
        </w:rPr>
      </w:pPr>
    </w:p>
    <w:p>
      <w:pPr>
        <w:rPr>
          <w:color w:val="auto"/>
          <w:highlight w:val="none"/>
        </w:rPr>
      </w:pPr>
    </w:p>
    <w:p>
      <w:pPr>
        <w:pStyle w:val="2"/>
        <w:ind w:firstLine="420"/>
        <w:rPr>
          <w:color w:val="auto"/>
          <w:highlight w:val="none"/>
        </w:rPr>
      </w:pPr>
    </w:p>
    <w:p>
      <w:pPr>
        <w:rPr>
          <w:color w:val="auto"/>
          <w:highlight w:val="none"/>
        </w:rPr>
      </w:pPr>
    </w:p>
    <w:p>
      <w:pPr>
        <w:pStyle w:val="2"/>
        <w:ind w:firstLine="420"/>
        <w:rPr>
          <w:color w:val="auto"/>
          <w:highlight w:val="none"/>
        </w:rPr>
      </w:pPr>
    </w:p>
    <w:p>
      <w:pPr>
        <w:rPr>
          <w:color w:val="auto"/>
          <w:highlight w:val="none"/>
        </w:rPr>
      </w:pPr>
    </w:p>
    <w:p>
      <w:pPr>
        <w:pStyle w:val="2"/>
        <w:ind w:firstLine="420"/>
        <w:rPr>
          <w:color w:val="auto"/>
          <w:highlight w:val="none"/>
        </w:rPr>
      </w:pPr>
    </w:p>
    <w:p>
      <w:pPr>
        <w:rPr>
          <w:color w:val="auto"/>
          <w:highlight w:val="none"/>
        </w:rPr>
      </w:pPr>
    </w:p>
    <w:p>
      <w:pPr>
        <w:pStyle w:val="2"/>
        <w:ind w:firstLine="420"/>
        <w:rPr>
          <w:color w:val="auto"/>
          <w:highlight w:val="none"/>
        </w:rPr>
      </w:pPr>
    </w:p>
    <w:p>
      <w:pPr>
        <w:rPr>
          <w:color w:val="auto"/>
          <w:highlight w:val="none"/>
        </w:rPr>
      </w:pPr>
    </w:p>
    <w:p>
      <w:pPr>
        <w:pStyle w:val="45"/>
        <w:rPr>
          <w:color w:val="auto"/>
          <w:highlight w:val="none"/>
        </w:rPr>
      </w:pPr>
    </w:p>
    <w:p>
      <w:pPr>
        <w:pStyle w:val="2"/>
        <w:ind w:firstLine="420"/>
        <w:rPr>
          <w:color w:val="auto"/>
          <w:highlight w:val="none"/>
        </w:rPr>
      </w:pPr>
    </w:p>
    <w:p>
      <w:pPr>
        <w:rPr>
          <w:color w:val="auto"/>
          <w:highlight w:val="none"/>
        </w:rPr>
      </w:pPr>
    </w:p>
    <w:p>
      <w:pPr>
        <w:pStyle w:val="47"/>
        <w:rPr>
          <w:color w:val="auto"/>
          <w:highlight w:val="none"/>
        </w:rPr>
      </w:pPr>
    </w:p>
    <w:p>
      <w:pPr>
        <w:pStyle w:val="47"/>
        <w:rPr>
          <w:color w:val="auto"/>
          <w:highlight w:val="none"/>
        </w:rPr>
      </w:pPr>
    </w:p>
    <w:p>
      <w:pPr>
        <w:pStyle w:val="47"/>
        <w:rPr>
          <w:color w:val="auto"/>
          <w:highlight w:val="none"/>
        </w:rPr>
      </w:pPr>
    </w:p>
    <w:p>
      <w:pPr>
        <w:pStyle w:val="47"/>
        <w:rPr>
          <w:color w:val="auto"/>
          <w:highlight w:val="none"/>
        </w:rPr>
      </w:pPr>
    </w:p>
    <w:p>
      <w:pPr>
        <w:keepNext/>
        <w:keepLines/>
        <w:spacing w:before="120" w:after="120" w:line="360" w:lineRule="auto"/>
        <w:jc w:val="left"/>
        <w:outlineLvl w:val="2"/>
        <w:rPr>
          <w:rFonts w:ascii="宋体" w:hAnsi="宋体" w:cs="宋体"/>
          <w:bCs/>
          <w:color w:val="auto"/>
          <w:sz w:val="24"/>
          <w:highlight w:val="none"/>
        </w:rPr>
      </w:pPr>
      <w:bookmarkStart w:id="596" w:name="_Toc95223486"/>
      <w:r>
        <w:rPr>
          <w:rFonts w:hint="eastAsia" w:ascii="宋体" w:hAnsi="宋体" w:cs="宋体"/>
          <w:bCs/>
          <w:color w:val="auto"/>
          <w:sz w:val="24"/>
          <w:highlight w:val="none"/>
        </w:rPr>
        <w:t>附件1：承包人承揽工程项目一览表</w:t>
      </w:r>
      <w:bookmarkEnd w:id="596"/>
    </w:p>
    <w:p>
      <w:pPr>
        <w:spacing w:line="360" w:lineRule="auto"/>
        <w:jc w:val="center"/>
        <w:rPr>
          <w:rFonts w:ascii="宋体" w:hAnsi="宋体" w:cs="宋体"/>
          <w:color w:val="auto"/>
          <w:sz w:val="22"/>
          <w:szCs w:val="21"/>
          <w:highlight w:val="none"/>
        </w:rPr>
      </w:pPr>
      <w:r>
        <w:rPr>
          <w:rFonts w:hint="eastAsia" w:ascii="宋体" w:hAnsi="宋体" w:cs="宋体"/>
          <w:color w:val="auto"/>
          <w:sz w:val="22"/>
          <w:szCs w:val="21"/>
          <w:highlight w:val="none"/>
        </w:rPr>
        <w:t>承包人承揽工程项目一览表</w:t>
      </w:r>
    </w:p>
    <w:tbl>
      <w:tblPr>
        <w:tblStyle w:val="28"/>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1134"/>
        <w:gridCol w:w="993"/>
        <w:gridCol w:w="708"/>
        <w:gridCol w:w="1134"/>
        <w:gridCol w:w="1134"/>
        <w:gridCol w:w="993"/>
        <w:gridCol w:w="708"/>
        <w:gridCol w:w="5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单位工程名称</w:t>
            </w:r>
          </w:p>
        </w:tc>
        <w:tc>
          <w:tcPr>
            <w:tcW w:w="1134"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建设规模</w:t>
            </w:r>
          </w:p>
        </w:tc>
        <w:tc>
          <w:tcPr>
            <w:tcW w:w="1134" w:type="dxa"/>
            <w:tcBorders>
              <w:top w:val="single" w:color="auto" w:sz="12" w:space="0"/>
              <w:bottom w:val="double" w:color="auto" w:sz="6" w:space="0"/>
            </w:tcBorders>
            <w:vAlign w:val="center"/>
          </w:tcPr>
          <w:p>
            <w:pPr>
              <w:keepNext/>
              <w:snapToGrid w:val="0"/>
              <w:spacing w:line="360" w:lineRule="auto"/>
              <w:rPr>
                <w:rFonts w:hint="eastAsia" w:ascii="宋体" w:hAnsi="宋体" w:eastAsia="宋体" w:cs="宋体"/>
                <w:color w:val="auto"/>
                <w:sz w:val="22"/>
                <w:szCs w:val="21"/>
                <w:highlight w:val="none"/>
                <w:lang w:eastAsia="zh-CN"/>
              </w:rPr>
            </w:pPr>
            <w:r>
              <w:rPr>
                <w:rFonts w:hint="eastAsia" w:ascii="宋体" w:hAnsi="宋体" w:cs="宋体"/>
                <w:color w:val="auto"/>
                <w:sz w:val="22"/>
                <w:szCs w:val="21"/>
                <w:highlight w:val="none"/>
              </w:rPr>
              <w:t>建筑面积</w:t>
            </w:r>
            <w:r>
              <w:rPr>
                <w:rFonts w:hint="eastAsia" w:ascii="宋体" w:hAnsi="宋体" w:cs="宋体"/>
                <w:color w:val="auto"/>
                <w:sz w:val="22"/>
                <w:szCs w:val="21"/>
                <w:highlight w:val="none"/>
                <w:lang w:eastAsia="zh-CN"/>
              </w:rPr>
              <w:t>（</w:t>
            </w:r>
            <w:r>
              <w:rPr>
                <w:rFonts w:hint="eastAsia" w:ascii="宋体" w:hAnsi="宋体" w:cs="宋体"/>
                <w:color w:val="auto"/>
                <w:sz w:val="22"/>
                <w:szCs w:val="21"/>
                <w:highlight w:val="none"/>
              </w:rPr>
              <w:t>平方米</w:t>
            </w:r>
            <w:r>
              <w:rPr>
                <w:rFonts w:hint="eastAsia" w:ascii="宋体" w:hAnsi="宋体" w:cs="宋体"/>
                <w:color w:val="auto"/>
                <w:sz w:val="22"/>
                <w:szCs w:val="21"/>
                <w:highlight w:val="none"/>
                <w:lang w:eastAsia="zh-CN"/>
              </w:rPr>
              <w:t>）</w:t>
            </w:r>
          </w:p>
        </w:tc>
        <w:tc>
          <w:tcPr>
            <w:tcW w:w="993"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结构形式</w:t>
            </w:r>
          </w:p>
        </w:tc>
        <w:tc>
          <w:tcPr>
            <w:tcW w:w="708"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层数</w:t>
            </w:r>
          </w:p>
        </w:tc>
        <w:tc>
          <w:tcPr>
            <w:tcW w:w="1134"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生产能力</w:t>
            </w:r>
          </w:p>
        </w:tc>
        <w:tc>
          <w:tcPr>
            <w:tcW w:w="1134"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设备安装内容</w:t>
            </w:r>
          </w:p>
        </w:tc>
        <w:tc>
          <w:tcPr>
            <w:tcW w:w="993"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合同价格（元）</w:t>
            </w:r>
          </w:p>
        </w:tc>
        <w:tc>
          <w:tcPr>
            <w:tcW w:w="708"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开工日期</w:t>
            </w:r>
          </w:p>
        </w:tc>
        <w:tc>
          <w:tcPr>
            <w:tcW w:w="567"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1134"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1134"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993"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708"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1134"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1134"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993"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708"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567"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1134"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1134"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993"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708"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1134"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1134"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993"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708"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567" w:type="dxa"/>
            <w:tcBorders>
              <w:top w:val="nil"/>
            </w:tcBorders>
            <w:vAlign w:val="center"/>
          </w:tcPr>
          <w:p>
            <w:pPr>
              <w:keepNext/>
              <w:snapToGrid w:val="0"/>
              <w:spacing w:line="360" w:lineRule="auto"/>
              <w:rPr>
                <w:rFonts w:ascii="宋体" w:hAnsi="宋体" w:cs="宋体"/>
                <w:color w:val="auto"/>
                <w:sz w:val="2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1134"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1134"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993"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708"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1134"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1134"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993"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708" w:type="dxa"/>
            <w:tcBorders>
              <w:top w:val="nil"/>
            </w:tcBorders>
            <w:vAlign w:val="center"/>
          </w:tcPr>
          <w:p>
            <w:pPr>
              <w:keepNext/>
              <w:snapToGrid w:val="0"/>
              <w:spacing w:line="360" w:lineRule="auto"/>
              <w:rPr>
                <w:rFonts w:ascii="宋体" w:hAnsi="宋体" w:cs="宋体"/>
                <w:color w:val="auto"/>
                <w:sz w:val="22"/>
                <w:szCs w:val="21"/>
                <w:highlight w:val="none"/>
              </w:rPr>
            </w:pPr>
          </w:p>
        </w:tc>
        <w:tc>
          <w:tcPr>
            <w:tcW w:w="567" w:type="dxa"/>
            <w:tcBorders>
              <w:top w:val="nil"/>
            </w:tcBorders>
            <w:vAlign w:val="center"/>
          </w:tcPr>
          <w:p>
            <w:pPr>
              <w:keepNext/>
              <w:snapToGrid w:val="0"/>
              <w:spacing w:line="360" w:lineRule="auto"/>
              <w:rPr>
                <w:rFonts w:ascii="宋体" w:hAnsi="宋体" w:cs="宋体"/>
                <w:color w:val="auto"/>
                <w:sz w:val="2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bottom w:val="single" w:color="auto" w:sz="12" w:space="0"/>
            </w:tcBorders>
            <w:vAlign w:val="center"/>
          </w:tcPr>
          <w:p>
            <w:pPr>
              <w:keepNext/>
              <w:snapToGrid w:val="0"/>
              <w:spacing w:line="360" w:lineRule="auto"/>
              <w:rPr>
                <w:rFonts w:ascii="宋体" w:hAnsi="宋体" w:cs="宋体"/>
                <w:color w:val="auto"/>
                <w:sz w:val="22"/>
                <w:szCs w:val="21"/>
                <w:highlight w:val="none"/>
              </w:rPr>
            </w:pPr>
          </w:p>
        </w:tc>
        <w:tc>
          <w:tcPr>
            <w:tcW w:w="1134" w:type="dxa"/>
            <w:tcBorders>
              <w:bottom w:val="single" w:color="auto" w:sz="12" w:space="0"/>
            </w:tcBorders>
            <w:vAlign w:val="center"/>
          </w:tcPr>
          <w:p>
            <w:pPr>
              <w:keepNext/>
              <w:snapToGrid w:val="0"/>
              <w:spacing w:line="360" w:lineRule="auto"/>
              <w:rPr>
                <w:rFonts w:ascii="宋体" w:hAnsi="宋体" w:cs="宋体"/>
                <w:color w:val="auto"/>
                <w:sz w:val="22"/>
                <w:szCs w:val="21"/>
                <w:highlight w:val="none"/>
              </w:rPr>
            </w:pPr>
          </w:p>
        </w:tc>
        <w:tc>
          <w:tcPr>
            <w:tcW w:w="1134" w:type="dxa"/>
            <w:tcBorders>
              <w:bottom w:val="single" w:color="auto" w:sz="12" w:space="0"/>
            </w:tcBorders>
            <w:vAlign w:val="center"/>
          </w:tcPr>
          <w:p>
            <w:pPr>
              <w:keepNext/>
              <w:snapToGrid w:val="0"/>
              <w:spacing w:line="360" w:lineRule="auto"/>
              <w:rPr>
                <w:rFonts w:ascii="宋体" w:hAnsi="宋体" w:cs="宋体"/>
                <w:color w:val="auto"/>
                <w:sz w:val="22"/>
                <w:szCs w:val="21"/>
                <w:highlight w:val="none"/>
              </w:rPr>
            </w:pPr>
          </w:p>
        </w:tc>
        <w:tc>
          <w:tcPr>
            <w:tcW w:w="993" w:type="dxa"/>
            <w:tcBorders>
              <w:bottom w:val="single" w:color="auto" w:sz="12" w:space="0"/>
            </w:tcBorders>
            <w:vAlign w:val="center"/>
          </w:tcPr>
          <w:p>
            <w:pPr>
              <w:keepNext/>
              <w:snapToGrid w:val="0"/>
              <w:spacing w:line="360" w:lineRule="auto"/>
              <w:rPr>
                <w:rFonts w:ascii="宋体" w:hAnsi="宋体" w:cs="宋体"/>
                <w:color w:val="auto"/>
                <w:sz w:val="22"/>
                <w:szCs w:val="21"/>
                <w:highlight w:val="none"/>
              </w:rPr>
            </w:pPr>
          </w:p>
        </w:tc>
        <w:tc>
          <w:tcPr>
            <w:tcW w:w="708" w:type="dxa"/>
            <w:tcBorders>
              <w:bottom w:val="single" w:color="auto" w:sz="12" w:space="0"/>
            </w:tcBorders>
            <w:vAlign w:val="center"/>
          </w:tcPr>
          <w:p>
            <w:pPr>
              <w:keepNext/>
              <w:snapToGrid w:val="0"/>
              <w:spacing w:line="360" w:lineRule="auto"/>
              <w:rPr>
                <w:rFonts w:ascii="宋体" w:hAnsi="宋体" w:cs="宋体"/>
                <w:color w:val="auto"/>
                <w:sz w:val="22"/>
                <w:szCs w:val="21"/>
                <w:highlight w:val="none"/>
              </w:rPr>
            </w:pPr>
          </w:p>
        </w:tc>
        <w:tc>
          <w:tcPr>
            <w:tcW w:w="1134" w:type="dxa"/>
            <w:tcBorders>
              <w:bottom w:val="single" w:color="auto" w:sz="12" w:space="0"/>
            </w:tcBorders>
            <w:vAlign w:val="center"/>
          </w:tcPr>
          <w:p>
            <w:pPr>
              <w:keepNext/>
              <w:snapToGrid w:val="0"/>
              <w:spacing w:line="360" w:lineRule="auto"/>
              <w:rPr>
                <w:rFonts w:ascii="宋体" w:hAnsi="宋体" w:cs="宋体"/>
                <w:color w:val="auto"/>
                <w:sz w:val="22"/>
                <w:szCs w:val="21"/>
                <w:highlight w:val="none"/>
              </w:rPr>
            </w:pPr>
          </w:p>
        </w:tc>
        <w:tc>
          <w:tcPr>
            <w:tcW w:w="1134" w:type="dxa"/>
            <w:tcBorders>
              <w:bottom w:val="single" w:color="auto" w:sz="12" w:space="0"/>
            </w:tcBorders>
            <w:vAlign w:val="center"/>
          </w:tcPr>
          <w:p>
            <w:pPr>
              <w:keepNext/>
              <w:snapToGrid w:val="0"/>
              <w:spacing w:line="360" w:lineRule="auto"/>
              <w:rPr>
                <w:rFonts w:ascii="宋体" w:hAnsi="宋体" w:cs="宋体"/>
                <w:color w:val="auto"/>
                <w:sz w:val="22"/>
                <w:szCs w:val="21"/>
                <w:highlight w:val="none"/>
              </w:rPr>
            </w:pPr>
          </w:p>
        </w:tc>
        <w:tc>
          <w:tcPr>
            <w:tcW w:w="993" w:type="dxa"/>
            <w:tcBorders>
              <w:bottom w:val="single" w:color="auto" w:sz="12" w:space="0"/>
            </w:tcBorders>
            <w:vAlign w:val="center"/>
          </w:tcPr>
          <w:p>
            <w:pPr>
              <w:keepNext/>
              <w:snapToGrid w:val="0"/>
              <w:spacing w:line="360" w:lineRule="auto"/>
              <w:rPr>
                <w:rFonts w:ascii="宋体" w:hAnsi="宋体" w:cs="宋体"/>
                <w:color w:val="auto"/>
                <w:sz w:val="22"/>
                <w:szCs w:val="21"/>
                <w:highlight w:val="none"/>
              </w:rPr>
            </w:pPr>
          </w:p>
        </w:tc>
        <w:tc>
          <w:tcPr>
            <w:tcW w:w="708" w:type="dxa"/>
            <w:tcBorders>
              <w:bottom w:val="single" w:color="auto" w:sz="12" w:space="0"/>
            </w:tcBorders>
            <w:vAlign w:val="center"/>
          </w:tcPr>
          <w:p>
            <w:pPr>
              <w:keepNext/>
              <w:snapToGrid w:val="0"/>
              <w:spacing w:line="360" w:lineRule="auto"/>
              <w:rPr>
                <w:rFonts w:ascii="宋体" w:hAnsi="宋体" w:cs="宋体"/>
                <w:color w:val="auto"/>
                <w:sz w:val="22"/>
                <w:szCs w:val="21"/>
                <w:highlight w:val="none"/>
              </w:rPr>
            </w:pPr>
          </w:p>
        </w:tc>
        <w:tc>
          <w:tcPr>
            <w:tcW w:w="567" w:type="dxa"/>
            <w:tcBorders>
              <w:bottom w:val="single" w:color="auto" w:sz="12" w:space="0"/>
            </w:tcBorders>
            <w:vAlign w:val="center"/>
          </w:tcPr>
          <w:p>
            <w:pPr>
              <w:keepNext/>
              <w:snapToGrid w:val="0"/>
              <w:spacing w:line="360" w:lineRule="auto"/>
              <w:rPr>
                <w:rFonts w:ascii="宋体" w:hAnsi="宋体" w:cs="宋体"/>
                <w:color w:val="auto"/>
                <w:sz w:val="22"/>
                <w:szCs w:val="21"/>
                <w:highlight w:val="none"/>
              </w:rPr>
            </w:pPr>
          </w:p>
        </w:tc>
      </w:tr>
    </w:tbl>
    <w:p>
      <w:pPr>
        <w:spacing w:line="360" w:lineRule="auto"/>
        <w:rPr>
          <w:rFonts w:ascii="宋体" w:hAnsi="宋体" w:cs="宋体"/>
          <w:color w:val="auto"/>
          <w:sz w:val="22"/>
          <w:szCs w:val="21"/>
          <w:highlight w:val="none"/>
        </w:rPr>
      </w:pPr>
    </w:p>
    <w:p>
      <w:pPr>
        <w:spacing w:line="360" w:lineRule="auto"/>
        <w:rPr>
          <w:rFonts w:ascii="宋体" w:hAnsi="宋体" w:cs="宋体"/>
          <w:color w:val="auto"/>
          <w:sz w:val="22"/>
          <w:szCs w:val="21"/>
          <w:highlight w:val="none"/>
        </w:rPr>
      </w:pPr>
    </w:p>
    <w:p>
      <w:pPr>
        <w:keepNext/>
        <w:keepLines/>
        <w:spacing w:before="120" w:after="120" w:line="360" w:lineRule="auto"/>
        <w:jc w:val="left"/>
        <w:outlineLvl w:val="2"/>
        <w:rPr>
          <w:rFonts w:ascii="宋体" w:hAnsi="宋体" w:cs="宋体"/>
          <w:bCs/>
          <w:color w:val="auto"/>
          <w:sz w:val="24"/>
          <w:highlight w:val="none"/>
        </w:rPr>
      </w:pPr>
      <w:bookmarkStart w:id="597" w:name="_Toc95223487"/>
      <w:r>
        <w:rPr>
          <w:rFonts w:hint="eastAsia" w:ascii="宋体" w:hAnsi="宋体" w:cs="宋体"/>
          <w:bCs/>
          <w:color w:val="auto"/>
          <w:sz w:val="24"/>
          <w:highlight w:val="none"/>
        </w:rPr>
        <w:t>附</w:t>
      </w:r>
      <w:bookmarkStart w:id="598" w:name="_Toc296503225"/>
      <w:bookmarkStart w:id="599" w:name="_Toc296891265"/>
      <w:bookmarkStart w:id="600" w:name="_Toc296346726"/>
      <w:bookmarkStart w:id="601" w:name="_Toc296944564"/>
      <w:bookmarkStart w:id="602" w:name="_Toc296347224"/>
      <w:bookmarkStart w:id="603" w:name="_Toc296891053"/>
      <w:bookmarkStart w:id="604" w:name="_Toc267261692"/>
      <w:r>
        <w:rPr>
          <w:rFonts w:hint="eastAsia" w:ascii="宋体" w:hAnsi="宋体" w:cs="宋体"/>
          <w:bCs/>
          <w:color w:val="auto"/>
          <w:sz w:val="24"/>
          <w:highlight w:val="none"/>
        </w:rPr>
        <w:t>件2：发包人供应材料设备一览表</w:t>
      </w:r>
      <w:bookmarkEnd w:id="597"/>
    </w:p>
    <w:bookmarkEnd w:id="598"/>
    <w:bookmarkEnd w:id="599"/>
    <w:bookmarkEnd w:id="600"/>
    <w:bookmarkEnd w:id="601"/>
    <w:bookmarkEnd w:id="602"/>
    <w:bookmarkEnd w:id="603"/>
    <w:bookmarkEnd w:id="604"/>
    <w:p>
      <w:pPr>
        <w:spacing w:line="360" w:lineRule="auto"/>
        <w:jc w:val="center"/>
        <w:rPr>
          <w:rFonts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28"/>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vAlign w:val="center"/>
          </w:tcPr>
          <w:p>
            <w:pPr>
              <w:keepNext/>
              <w:snapToGrid w:val="0"/>
              <w:spacing w:line="360" w:lineRule="auto"/>
              <w:rPr>
                <w:rFonts w:ascii="宋体" w:hAnsi="宋体" w:cs="宋体"/>
                <w:color w:val="auto"/>
                <w:sz w:val="22"/>
                <w:szCs w:val="21"/>
                <w:highlight w:val="none"/>
              </w:rPr>
            </w:pPr>
            <w:r>
              <w:rPr>
                <w:rFonts w:hint="eastAsia" w:ascii="宋体" w:hAnsi="宋体" w:cs="宋体"/>
                <w:color w:val="auto"/>
                <w:sz w:val="22"/>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1276"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1082"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940"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851"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1044"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992"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851"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966"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c>
          <w:tcPr>
            <w:tcW w:w="803" w:type="dxa"/>
            <w:tcBorders>
              <w:top w:val="double" w:color="auto" w:sz="6" w:space="0"/>
            </w:tcBorders>
            <w:vAlign w:val="center"/>
          </w:tcPr>
          <w:p>
            <w:pPr>
              <w:keepNext/>
              <w:snapToGrid w:val="0"/>
              <w:spacing w:line="360" w:lineRule="auto"/>
              <w:rPr>
                <w:rFonts w:ascii="宋体" w:hAnsi="宋体" w:cs="宋体"/>
                <w:color w:val="auto"/>
                <w:sz w:val="2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vAlign w:val="center"/>
          </w:tcPr>
          <w:p>
            <w:pPr>
              <w:snapToGrid w:val="0"/>
              <w:spacing w:line="360" w:lineRule="auto"/>
              <w:rPr>
                <w:rFonts w:ascii="宋体" w:hAnsi="宋体" w:cs="宋体"/>
                <w:color w:val="auto"/>
                <w:sz w:val="22"/>
                <w:szCs w:val="21"/>
                <w:highlight w:val="none"/>
              </w:rPr>
            </w:pPr>
          </w:p>
        </w:tc>
        <w:tc>
          <w:tcPr>
            <w:tcW w:w="1276" w:type="dxa"/>
            <w:vAlign w:val="center"/>
          </w:tcPr>
          <w:p>
            <w:pPr>
              <w:snapToGrid w:val="0"/>
              <w:spacing w:line="360" w:lineRule="auto"/>
              <w:rPr>
                <w:rFonts w:ascii="宋体" w:hAnsi="宋体" w:cs="宋体"/>
                <w:color w:val="auto"/>
                <w:sz w:val="22"/>
                <w:szCs w:val="21"/>
                <w:highlight w:val="none"/>
              </w:rPr>
            </w:pPr>
          </w:p>
        </w:tc>
        <w:tc>
          <w:tcPr>
            <w:tcW w:w="1082" w:type="dxa"/>
            <w:vAlign w:val="center"/>
          </w:tcPr>
          <w:p>
            <w:pPr>
              <w:snapToGrid w:val="0"/>
              <w:spacing w:line="360" w:lineRule="auto"/>
              <w:rPr>
                <w:rFonts w:ascii="宋体" w:hAnsi="宋体" w:cs="宋体"/>
                <w:color w:val="auto"/>
                <w:sz w:val="22"/>
                <w:szCs w:val="21"/>
                <w:highlight w:val="none"/>
              </w:rPr>
            </w:pPr>
          </w:p>
        </w:tc>
        <w:tc>
          <w:tcPr>
            <w:tcW w:w="940" w:type="dxa"/>
            <w:vAlign w:val="center"/>
          </w:tcPr>
          <w:p>
            <w:pPr>
              <w:snapToGrid w:val="0"/>
              <w:spacing w:line="360" w:lineRule="auto"/>
              <w:rPr>
                <w:rFonts w:ascii="宋体" w:hAnsi="宋体" w:cs="宋体"/>
                <w:color w:val="auto"/>
                <w:sz w:val="22"/>
                <w:szCs w:val="21"/>
                <w:highlight w:val="none"/>
              </w:rPr>
            </w:pPr>
          </w:p>
        </w:tc>
        <w:tc>
          <w:tcPr>
            <w:tcW w:w="851" w:type="dxa"/>
            <w:vAlign w:val="center"/>
          </w:tcPr>
          <w:p>
            <w:pPr>
              <w:snapToGrid w:val="0"/>
              <w:spacing w:line="360" w:lineRule="auto"/>
              <w:rPr>
                <w:rFonts w:ascii="宋体" w:hAnsi="宋体" w:cs="宋体"/>
                <w:color w:val="auto"/>
                <w:sz w:val="22"/>
                <w:szCs w:val="21"/>
                <w:highlight w:val="none"/>
              </w:rPr>
            </w:pPr>
          </w:p>
        </w:tc>
        <w:tc>
          <w:tcPr>
            <w:tcW w:w="1044" w:type="dxa"/>
            <w:vAlign w:val="center"/>
          </w:tcPr>
          <w:p>
            <w:pPr>
              <w:snapToGrid w:val="0"/>
              <w:spacing w:line="360" w:lineRule="auto"/>
              <w:rPr>
                <w:rFonts w:ascii="宋体" w:hAnsi="宋体" w:cs="宋体"/>
                <w:color w:val="auto"/>
                <w:sz w:val="22"/>
                <w:szCs w:val="21"/>
                <w:highlight w:val="none"/>
              </w:rPr>
            </w:pPr>
          </w:p>
        </w:tc>
        <w:tc>
          <w:tcPr>
            <w:tcW w:w="992" w:type="dxa"/>
            <w:vAlign w:val="center"/>
          </w:tcPr>
          <w:p>
            <w:pPr>
              <w:snapToGrid w:val="0"/>
              <w:spacing w:line="360" w:lineRule="auto"/>
              <w:rPr>
                <w:rFonts w:ascii="宋体" w:hAnsi="宋体" w:cs="宋体"/>
                <w:color w:val="auto"/>
                <w:sz w:val="22"/>
                <w:szCs w:val="21"/>
                <w:highlight w:val="none"/>
              </w:rPr>
            </w:pPr>
          </w:p>
        </w:tc>
        <w:tc>
          <w:tcPr>
            <w:tcW w:w="851" w:type="dxa"/>
            <w:vAlign w:val="center"/>
          </w:tcPr>
          <w:p>
            <w:pPr>
              <w:snapToGrid w:val="0"/>
              <w:spacing w:line="360" w:lineRule="auto"/>
              <w:rPr>
                <w:rFonts w:ascii="宋体" w:hAnsi="宋体" w:cs="宋体"/>
                <w:color w:val="auto"/>
                <w:sz w:val="22"/>
                <w:szCs w:val="21"/>
                <w:highlight w:val="none"/>
              </w:rPr>
            </w:pPr>
          </w:p>
        </w:tc>
        <w:tc>
          <w:tcPr>
            <w:tcW w:w="966" w:type="dxa"/>
            <w:vAlign w:val="center"/>
          </w:tcPr>
          <w:p>
            <w:pPr>
              <w:snapToGrid w:val="0"/>
              <w:spacing w:line="360" w:lineRule="auto"/>
              <w:rPr>
                <w:rFonts w:ascii="宋体" w:hAnsi="宋体" w:cs="宋体"/>
                <w:color w:val="auto"/>
                <w:sz w:val="22"/>
                <w:szCs w:val="21"/>
                <w:highlight w:val="none"/>
              </w:rPr>
            </w:pPr>
          </w:p>
        </w:tc>
        <w:tc>
          <w:tcPr>
            <w:tcW w:w="803" w:type="dxa"/>
            <w:vAlign w:val="center"/>
          </w:tcPr>
          <w:p>
            <w:pPr>
              <w:snapToGrid w:val="0"/>
              <w:spacing w:line="360" w:lineRule="auto"/>
              <w:rPr>
                <w:rFonts w:ascii="宋体" w:hAnsi="宋体" w:cs="宋体"/>
                <w:color w:val="auto"/>
                <w:sz w:val="2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vAlign w:val="center"/>
          </w:tcPr>
          <w:p>
            <w:pPr>
              <w:snapToGrid w:val="0"/>
              <w:spacing w:line="360" w:lineRule="auto"/>
              <w:rPr>
                <w:rFonts w:ascii="宋体" w:hAnsi="宋体" w:cs="宋体"/>
                <w:color w:val="auto"/>
                <w:sz w:val="22"/>
                <w:szCs w:val="21"/>
                <w:highlight w:val="none"/>
              </w:rPr>
            </w:pPr>
          </w:p>
        </w:tc>
        <w:tc>
          <w:tcPr>
            <w:tcW w:w="1276" w:type="dxa"/>
            <w:tcBorders>
              <w:bottom w:val="single" w:color="auto" w:sz="12" w:space="0"/>
            </w:tcBorders>
            <w:vAlign w:val="center"/>
          </w:tcPr>
          <w:p>
            <w:pPr>
              <w:snapToGrid w:val="0"/>
              <w:spacing w:line="360" w:lineRule="auto"/>
              <w:rPr>
                <w:rFonts w:ascii="宋体" w:hAnsi="宋体" w:cs="宋体"/>
                <w:color w:val="auto"/>
                <w:sz w:val="22"/>
                <w:szCs w:val="21"/>
                <w:highlight w:val="none"/>
              </w:rPr>
            </w:pPr>
          </w:p>
        </w:tc>
        <w:tc>
          <w:tcPr>
            <w:tcW w:w="1082" w:type="dxa"/>
            <w:tcBorders>
              <w:bottom w:val="single" w:color="auto" w:sz="12" w:space="0"/>
            </w:tcBorders>
            <w:vAlign w:val="center"/>
          </w:tcPr>
          <w:p>
            <w:pPr>
              <w:snapToGrid w:val="0"/>
              <w:spacing w:line="360" w:lineRule="auto"/>
              <w:rPr>
                <w:rFonts w:ascii="宋体" w:hAnsi="宋体" w:cs="宋体"/>
                <w:color w:val="auto"/>
                <w:sz w:val="22"/>
                <w:szCs w:val="21"/>
                <w:highlight w:val="none"/>
              </w:rPr>
            </w:pPr>
          </w:p>
        </w:tc>
        <w:tc>
          <w:tcPr>
            <w:tcW w:w="940" w:type="dxa"/>
            <w:tcBorders>
              <w:bottom w:val="single" w:color="auto" w:sz="12" w:space="0"/>
            </w:tcBorders>
            <w:vAlign w:val="center"/>
          </w:tcPr>
          <w:p>
            <w:pPr>
              <w:snapToGrid w:val="0"/>
              <w:spacing w:line="360" w:lineRule="auto"/>
              <w:rPr>
                <w:rFonts w:ascii="宋体" w:hAnsi="宋体" w:cs="宋体"/>
                <w:color w:val="auto"/>
                <w:sz w:val="22"/>
                <w:szCs w:val="21"/>
                <w:highlight w:val="none"/>
              </w:rPr>
            </w:pPr>
          </w:p>
        </w:tc>
        <w:tc>
          <w:tcPr>
            <w:tcW w:w="851" w:type="dxa"/>
            <w:tcBorders>
              <w:bottom w:val="single" w:color="auto" w:sz="12" w:space="0"/>
            </w:tcBorders>
            <w:vAlign w:val="center"/>
          </w:tcPr>
          <w:p>
            <w:pPr>
              <w:snapToGrid w:val="0"/>
              <w:spacing w:line="360" w:lineRule="auto"/>
              <w:rPr>
                <w:rFonts w:ascii="宋体" w:hAnsi="宋体" w:cs="宋体"/>
                <w:color w:val="auto"/>
                <w:sz w:val="22"/>
                <w:szCs w:val="21"/>
                <w:highlight w:val="none"/>
              </w:rPr>
            </w:pPr>
          </w:p>
        </w:tc>
        <w:tc>
          <w:tcPr>
            <w:tcW w:w="1044" w:type="dxa"/>
            <w:tcBorders>
              <w:bottom w:val="single" w:color="auto" w:sz="12" w:space="0"/>
            </w:tcBorders>
            <w:vAlign w:val="center"/>
          </w:tcPr>
          <w:p>
            <w:pPr>
              <w:snapToGrid w:val="0"/>
              <w:spacing w:line="360" w:lineRule="auto"/>
              <w:rPr>
                <w:rFonts w:ascii="宋体" w:hAnsi="宋体" w:cs="宋体"/>
                <w:color w:val="auto"/>
                <w:sz w:val="22"/>
                <w:szCs w:val="21"/>
                <w:highlight w:val="none"/>
              </w:rPr>
            </w:pPr>
          </w:p>
        </w:tc>
        <w:tc>
          <w:tcPr>
            <w:tcW w:w="992" w:type="dxa"/>
            <w:tcBorders>
              <w:bottom w:val="single" w:color="auto" w:sz="12" w:space="0"/>
            </w:tcBorders>
            <w:vAlign w:val="center"/>
          </w:tcPr>
          <w:p>
            <w:pPr>
              <w:snapToGrid w:val="0"/>
              <w:spacing w:line="360" w:lineRule="auto"/>
              <w:rPr>
                <w:rFonts w:ascii="宋体" w:hAnsi="宋体" w:cs="宋体"/>
                <w:color w:val="auto"/>
                <w:sz w:val="22"/>
                <w:szCs w:val="21"/>
                <w:highlight w:val="none"/>
              </w:rPr>
            </w:pPr>
          </w:p>
        </w:tc>
        <w:tc>
          <w:tcPr>
            <w:tcW w:w="851" w:type="dxa"/>
            <w:tcBorders>
              <w:bottom w:val="single" w:color="auto" w:sz="12" w:space="0"/>
            </w:tcBorders>
            <w:vAlign w:val="center"/>
          </w:tcPr>
          <w:p>
            <w:pPr>
              <w:snapToGrid w:val="0"/>
              <w:spacing w:line="360" w:lineRule="auto"/>
              <w:rPr>
                <w:rFonts w:ascii="宋体" w:hAnsi="宋体" w:cs="宋体"/>
                <w:color w:val="auto"/>
                <w:sz w:val="22"/>
                <w:szCs w:val="21"/>
                <w:highlight w:val="none"/>
              </w:rPr>
            </w:pPr>
          </w:p>
        </w:tc>
        <w:tc>
          <w:tcPr>
            <w:tcW w:w="966" w:type="dxa"/>
            <w:tcBorders>
              <w:bottom w:val="single" w:color="auto" w:sz="12" w:space="0"/>
            </w:tcBorders>
            <w:vAlign w:val="center"/>
          </w:tcPr>
          <w:p>
            <w:pPr>
              <w:snapToGrid w:val="0"/>
              <w:spacing w:line="360" w:lineRule="auto"/>
              <w:rPr>
                <w:rFonts w:ascii="宋体" w:hAnsi="宋体" w:cs="宋体"/>
                <w:color w:val="auto"/>
                <w:sz w:val="22"/>
                <w:szCs w:val="21"/>
                <w:highlight w:val="none"/>
              </w:rPr>
            </w:pPr>
          </w:p>
        </w:tc>
        <w:tc>
          <w:tcPr>
            <w:tcW w:w="803" w:type="dxa"/>
            <w:tcBorders>
              <w:bottom w:val="single" w:color="auto" w:sz="12" w:space="0"/>
            </w:tcBorders>
            <w:vAlign w:val="center"/>
          </w:tcPr>
          <w:p>
            <w:pPr>
              <w:snapToGrid w:val="0"/>
              <w:spacing w:line="360" w:lineRule="auto"/>
              <w:rPr>
                <w:rFonts w:ascii="宋体" w:hAnsi="宋体" w:cs="宋体"/>
                <w:color w:val="auto"/>
                <w:sz w:val="22"/>
                <w:szCs w:val="21"/>
                <w:highlight w:val="none"/>
              </w:rPr>
            </w:pPr>
          </w:p>
        </w:tc>
      </w:tr>
    </w:tbl>
    <w:p>
      <w:pPr>
        <w:spacing w:line="360" w:lineRule="auto"/>
        <w:rPr>
          <w:rFonts w:ascii="宋体" w:hAnsi="宋体" w:cs="宋体"/>
          <w:color w:val="auto"/>
          <w:sz w:val="22"/>
          <w:szCs w:val="21"/>
          <w:highlight w:val="none"/>
        </w:rPr>
      </w:pPr>
    </w:p>
    <w:p>
      <w:pPr>
        <w:spacing w:line="360" w:lineRule="auto"/>
        <w:rPr>
          <w:rFonts w:ascii="宋体" w:hAnsi="宋体" w:cs="宋体"/>
          <w:color w:val="auto"/>
          <w:sz w:val="22"/>
          <w:szCs w:val="21"/>
          <w:highlight w:val="none"/>
        </w:rPr>
      </w:pPr>
    </w:p>
    <w:p>
      <w:pPr>
        <w:keepNext/>
        <w:keepLines/>
        <w:spacing w:before="120" w:after="120" w:line="360" w:lineRule="auto"/>
        <w:jc w:val="left"/>
        <w:outlineLvl w:val="2"/>
        <w:rPr>
          <w:rFonts w:ascii="宋体" w:hAnsi="宋体" w:cs="宋体"/>
          <w:bCs/>
          <w:color w:val="auto"/>
          <w:sz w:val="22"/>
          <w:szCs w:val="21"/>
          <w:highlight w:val="none"/>
        </w:rPr>
      </w:pPr>
    </w:p>
    <w:p>
      <w:pPr>
        <w:pStyle w:val="2"/>
        <w:ind w:firstLine="420"/>
        <w:rPr>
          <w:color w:val="auto"/>
          <w:highlight w:val="none"/>
        </w:rPr>
      </w:pPr>
    </w:p>
    <w:p>
      <w:pPr>
        <w:rPr>
          <w:color w:val="auto"/>
          <w:highlight w:val="none"/>
        </w:rPr>
      </w:pPr>
    </w:p>
    <w:p>
      <w:pPr>
        <w:pStyle w:val="2"/>
        <w:ind w:firstLine="420"/>
        <w:rPr>
          <w:color w:val="auto"/>
          <w:highlight w:val="none"/>
        </w:rPr>
      </w:pPr>
    </w:p>
    <w:p>
      <w:pPr>
        <w:rPr>
          <w:color w:val="auto"/>
          <w:highlight w:val="none"/>
        </w:rPr>
      </w:pPr>
    </w:p>
    <w:p>
      <w:pPr>
        <w:pStyle w:val="2"/>
        <w:ind w:firstLine="420"/>
        <w:rPr>
          <w:color w:val="auto"/>
          <w:highlight w:val="none"/>
        </w:rPr>
      </w:pPr>
    </w:p>
    <w:p>
      <w:pPr>
        <w:rPr>
          <w:color w:val="auto"/>
          <w:highlight w:val="none"/>
        </w:rPr>
      </w:pPr>
    </w:p>
    <w:p>
      <w:pPr>
        <w:pStyle w:val="45"/>
        <w:rPr>
          <w:color w:val="auto"/>
          <w:highlight w:val="none"/>
        </w:rPr>
      </w:pPr>
    </w:p>
    <w:p>
      <w:pPr>
        <w:pStyle w:val="45"/>
        <w:rPr>
          <w:color w:val="auto"/>
          <w:highlight w:val="none"/>
        </w:rPr>
      </w:pPr>
    </w:p>
    <w:p>
      <w:pPr>
        <w:rPr>
          <w:color w:val="auto"/>
          <w:highlight w:val="none"/>
        </w:rPr>
      </w:pPr>
    </w:p>
    <w:p>
      <w:pPr>
        <w:pStyle w:val="2"/>
        <w:ind w:firstLine="420"/>
        <w:rPr>
          <w:color w:val="auto"/>
          <w:highlight w:val="none"/>
        </w:rPr>
      </w:pPr>
    </w:p>
    <w:p>
      <w:pPr>
        <w:keepNext/>
        <w:keepLines/>
        <w:spacing w:before="120" w:after="120" w:line="240" w:lineRule="auto"/>
        <w:jc w:val="left"/>
        <w:outlineLvl w:val="2"/>
        <w:rPr>
          <w:rFonts w:hint="eastAsia" w:ascii="宋体" w:hAnsi="宋体" w:eastAsia="宋体" w:cs="宋体"/>
          <w:bCs/>
          <w:color w:val="auto"/>
          <w:sz w:val="24"/>
          <w:highlight w:val="none"/>
          <w:lang w:eastAsia="zh-CN"/>
        </w:rPr>
      </w:pPr>
      <w:bookmarkStart w:id="605" w:name="_Toc95223488"/>
      <w:r>
        <w:rPr>
          <w:rFonts w:hint="eastAsia" w:ascii="宋体" w:hAnsi="宋体" w:cs="宋体"/>
          <w:bCs/>
          <w:color w:val="auto"/>
          <w:sz w:val="24"/>
          <w:highlight w:val="none"/>
        </w:rPr>
        <w:t>附件3：工程质量保修书</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房屋建筑工程</w:t>
      </w:r>
      <w:bookmarkEnd w:id="605"/>
      <w:r>
        <w:rPr>
          <w:rFonts w:hint="eastAsia" w:ascii="宋体" w:hAnsi="宋体" w:cs="宋体"/>
          <w:bCs/>
          <w:color w:val="auto"/>
          <w:sz w:val="24"/>
          <w:highlight w:val="none"/>
          <w:lang w:eastAsia="zh-CN"/>
        </w:rPr>
        <w:t>）</w:t>
      </w:r>
    </w:p>
    <w:p>
      <w:pPr>
        <w:adjustRightInd w:val="0"/>
        <w:snapToGrid w:val="0"/>
        <w:spacing w:before="120" w:beforeLines="50" w:after="120" w:afterLines="50" w:line="240" w:lineRule="auto"/>
        <w:jc w:val="center"/>
        <w:rPr>
          <w:rFonts w:ascii="宋体" w:hAnsi="宋体" w:cs="宋体"/>
          <w:b/>
          <w:color w:val="auto"/>
          <w:sz w:val="24"/>
          <w:highlight w:val="none"/>
        </w:rPr>
      </w:pPr>
      <w:r>
        <w:rPr>
          <w:rFonts w:hint="eastAsia" w:ascii="宋体" w:hAnsi="宋体" w:cs="宋体"/>
          <w:b/>
          <w:color w:val="auto"/>
          <w:sz w:val="24"/>
          <w:highlight w:val="none"/>
        </w:rPr>
        <w:t>工程质量保修书</w:t>
      </w:r>
    </w:p>
    <w:p>
      <w:pPr>
        <w:pStyle w:val="50"/>
        <w:keepNext w:val="0"/>
        <w:keepLines w:val="0"/>
        <w:pageBreakBefore w:val="0"/>
        <w:kinsoku/>
        <w:overflowPunct/>
        <w:autoSpaceDE/>
        <w:autoSpaceDN/>
        <w:bidi w:val="0"/>
        <w:spacing w:line="312"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 xml:space="preserve"> </w:t>
      </w:r>
      <w:r>
        <w:rPr>
          <w:rFonts w:hint="eastAsia" w:ascii="宋体" w:hAnsi="宋体" w:eastAsia="宋体" w:cs="宋体"/>
          <w:color w:val="auto"/>
          <w:kern w:val="2"/>
          <w:highlight w:val="none"/>
          <w:u w:val="single"/>
          <w:lang w:eastAsia="zh-CN"/>
        </w:rPr>
        <w:t>滁州经济技术开发区城北新区办事处</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rPr>
        <w:t xml:space="preserve">   </w:t>
      </w:r>
      <w:r>
        <w:rPr>
          <w:rFonts w:hint="eastAsia" w:ascii="Calibri" w:hAnsi="Calibri" w:eastAsia="宋体" w:cs="Times New Roman"/>
          <w:kern w:val="1"/>
          <w:szCs w:val="21"/>
          <w:u w:val="single"/>
        </w:rPr>
        <w:t>安徽金孔雀环境建设有限公司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发包人和承包人根据《中华人民共和国建筑法》和《建设工程质量管理条例》，经协商一致就</w:t>
      </w:r>
      <w:r>
        <w:rPr>
          <w:rFonts w:hint="eastAsia" w:ascii="宋体" w:hAnsi="宋体" w:eastAsia="宋体" w:cs="宋体"/>
          <w:color w:val="auto"/>
          <w:szCs w:val="21"/>
          <w:highlight w:val="none"/>
          <w:u w:val="single"/>
          <w:lang w:val="en-US" w:eastAsia="zh-CN"/>
        </w:rPr>
        <w:t>滁州经开区城北新区办事处夏岗社区党群服务中心装修项目</w:t>
      </w:r>
      <w:r>
        <w:rPr>
          <w:rFonts w:hint="eastAsia" w:ascii="宋体" w:hAnsi="宋体" w:eastAsia="宋体" w:cs="宋体"/>
          <w:color w:val="auto"/>
          <w:szCs w:val="21"/>
          <w:highlight w:val="none"/>
          <w:u w:val="single"/>
          <w:lang w:eastAsia="zh-CN"/>
        </w:rPr>
        <w:t>采购项目</w:t>
      </w:r>
      <w:r>
        <w:rPr>
          <w:rFonts w:hint="eastAsia" w:ascii="宋体" w:hAnsi="宋体" w:cs="宋体"/>
          <w:color w:val="auto"/>
          <w:szCs w:val="21"/>
          <w:highlight w:val="none"/>
        </w:rPr>
        <w:t>（工程全称）签订工程质量保修书。</w:t>
      </w:r>
    </w:p>
    <w:p>
      <w:pPr>
        <w:adjustRightInd w:val="0"/>
        <w:snapToGrid w:val="0"/>
        <w:spacing w:line="24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一、工程质量保修范围和内容</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24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二、质量保修期</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地基基础工程和主体结构工程为设计文件规定的工程合理使用年限；</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屋面防水工程、有防水要求的卫生间、房间和外墙面的防渗为</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装修工程为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电气管线、给排水管道、设备安装工程为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供热与供冷系统为</w:t>
      </w:r>
      <w:r>
        <w:rPr>
          <w:rFonts w:hint="eastAsia" w:ascii="宋体" w:hAnsi="宋体" w:cs="宋体"/>
          <w:color w:val="auto"/>
          <w:szCs w:val="21"/>
          <w:highlight w:val="none"/>
          <w:u w:val="single"/>
        </w:rPr>
        <w:t>2</w:t>
      </w:r>
      <w:r>
        <w:rPr>
          <w:rFonts w:hint="eastAsia" w:ascii="宋体" w:hAnsi="宋体" w:cs="宋体"/>
          <w:color w:val="auto"/>
          <w:szCs w:val="21"/>
          <w:highlight w:val="none"/>
        </w:rPr>
        <w:t>个采暖期、供冷期；</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 住宅小区内的给排水设施、道路等配套工程为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 其他项目保修期限约定如下：</w:t>
      </w:r>
      <w:r>
        <w:rPr>
          <w:rFonts w:hint="eastAsia" w:ascii="宋体" w:hAnsi="宋体" w:cs="宋体"/>
          <w:color w:val="auto"/>
          <w:szCs w:val="21"/>
          <w:highlight w:val="none"/>
          <w:u w:val="single"/>
        </w:rPr>
        <w:t>保温工程5年</w:t>
      </w:r>
      <w:r>
        <w:rPr>
          <w:rFonts w:hint="eastAsia" w:ascii="宋体" w:hAnsi="宋体" w:cs="宋体"/>
          <w:color w:val="auto"/>
          <w:szCs w:val="21"/>
          <w:highlight w:val="none"/>
        </w:rPr>
        <w:t>。</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质量保修期自工程竣工验收合格之日起计算。</w:t>
      </w:r>
    </w:p>
    <w:p>
      <w:pPr>
        <w:adjustRightInd w:val="0"/>
        <w:snapToGrid w:val="0"/>
        <w:spacing w:line="24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三、缺陷责任期</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pPr>
        <w:adjustRightInd w:val="0"/>
        <w:snapToGrid w:val="0"/>
        <w:spacing w:line="24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缺陷责任期终止后，发包人应退还剩余的质量保证金。</w:t>
      </w:r>
    </w:p>
    <w:p>
      <w:pPr>
        <w:adjustRightInd w:val="0"/>
        <w:snapToGrid w:val="0"/>
        <w:spacing w:line="24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四、质量保修责任</w:t>
      </w:r>
    </w:p>
    <w:p>
      <w:pPr>
        <w:adjustRightInd w:val="0"/>
        <w:snapToGrid w:val="0"/>
        <w:spacing w:line="240" w:lineRule="auto"/>
        <w:ind w:firstLine="430" w:firstLineChars="205"/>
        <w:rPr>
          <w:rFonts w:ascii="宋体" w:hAnsi="宋体" w:cs="宋体"/>
          <w:color w:val="auto"/>
          <w:szCs w:val="21"/>
          <w:highlight w:val="none"/>
        </w:rPr>
      </w:pPr>
      <w:r>
        <w:rPr>
          <w:rFonts w:hint="eastAsia" w:ascii="宋体" w:hAnsi="宋体" w:cs="宋体"/>
          <w:color w:val="auto"/>
          <w:szCs w:val="21"/>
          <w:highlight w:val="none"/>
        </w:rPr>
        <w:t>1. 属于保修范围、内容的项目，承包人应当在接到保修通知之日起7天内派人保修。承包人不在约定期限内派人保修的，发包人可以委托他人修理。</w:t>
      </w:r>
    </w:p>
    <w:p>
      <w:pPr>
        <w:adjustRightInd w:val="0"/>
        <w:snapToGrid w:val="0"/>
        <w:spacing w:line="240" w:lineRule="auto"/>
        <w:ind w:firstLine="430" w:firstLineChars="205"/>
        <w:rPr>
          <w:rFonts w:ascii="宋体" w:hAnsi="宋体" w:cs="宋体"/>
          <w:color w:val="auto"/>
          <w:szCs w:val="21"/>
          <w:highlight w:val="none"/>
        </w:rPr>
      </w:pPr>
      <w:r>
        <w:rPr>
          <w:rFonts w:hint="eastAsia" w:ascii="宋体" w:hAnsi="宋体" w:cs="宋体"/>
          <w:color w:val="auto"/>
          <w:szCs w:val="21"/>
          <w:highlight w:val="none"/>
        </w:rPr>
        <w:t>2. 发生紧急事故需抢修的，承包人在接到事故通知后，应当立即到达事故现场抢修。</w:t>
      </w:r>
    </w:p>
    <w:p>
      <w:pPr>
        <w:adjustRightInd w:val="0"/>
        <w:snapToGrid w:val="0"/>
        <w:spacing w:line="240" w:lineRule="auto"/>
        <w:ind w:firstLine="430" w:firstLineChars="205"/>
        <w:rPr>
          <w:rFonts w:ascii="宋体" w:hAnsi="宋体" w:cs="宋体"/>
          <w:color w:val="auto"/>
          <w:szCs w:val="21"/>
          <w:highlight w:val="none"/>
        </w:rPr>
      </w:pPr>
      <w:r>
        <w:rPr>
          <w:rFonts w:hint="eastAsia" w:ascii="宋体" w:hAnsi="宋体" w:cs="宋体"/>
          <w:color w:val="auto"/>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napToGrid w:val="0"/>
        <w:spacing w:line="240" w:lineRule="auto"/>
        <w:ind w:firstLine="430" w:firstLineChars="205"/>
        <w:rPr>
          <w:rFonts w:ascii="宋体" w:hAnsi="宋体" w:cs="宋体"/>
          <w:color w:val="auto"/>
          <w:szCs w:val="21"/>
          <w:highlight w:val="none"/>
        </w:rPr>
      </w:pPr>
      <w:r>
        <w:rPr>
          <w:rFonts w:hint="eastAsia" w:ascii="宋体" w:hAnsi="宋体" w:cs="宋体"/>
          <w:color w:val="auto"/>
          <w:szCs w:val="21"/>
          <w:highlight w:val="none"/>
        </w:rPr>
        <w:t>4. 质量保修完成后，由发包人组织验收。</w:t>
      </w:r>
    </w:p>
    <w:p>
      <w:pPr>
        <w:adjustRightInd w:val="0"/>
        <w:snapToGrid w:val="0"/>
        <w:spacing w:line="24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五、保修费用</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pPr>
        <w:adjustRightInd w:val="0"/>
        <w:snapToGrid w:val="0"/>
        <w:spacing w:line="24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pPr>
        <w:adjustRightInd w:val="0"/>
        <w:snapToGrid w:val="0"/>
        <w:spacing w:line="240" w:lineRule="auto"/>
        <w:ind w:firstLine="399" w:firstLineChars="190"/>
        <w:rPr>
          <w:rFonts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pPr>
        <w:adjustRightInd w:val="0"/>
        <w:snapToGrid w:val="0"/>
        <w:spacing w:line="240" w:lineRule="auto"/>
        <w:ind w:firstLine="420"/>
        <w:rPr>
          <w:rFonts w:ascii="宋体" w:hAnsi="宋体" w:cs="宋体"/>
          <w:color w:val="auto"/>
          <w:szCs w:val="21"/>
          <w:highlight w:val="none"/>
        </w:rPr>
      </w:pPr>
    </w:p>
    <w:p>
      <w:pPr>
        <w:adjustRightInd w:val="0"/>
        <w:snapToGrid w:val="0"/>
        <w:spacing w:line="240" w:lineRule="auto"/>
        <w:ind w:firstLine="420"/>
        <w:rPr>
          <w:rFonts w:ascii="宋体" w:hAnsi="宋体" w:cs="宋体"/>
          <w:color w:val="auto"/>
          <w:szCs w:val="21"/>
          <w:highlight w:val="none"/>
        </w:rPr>
      </w:pPr>
    </w:p>
    <w:p>
      <w:pPr>
        <w:adjustRightInd w:val="0"/>
        <w:snapToGrid w:val="0"/>
        <w:spacing w:line="240" w:lineRule="auto"/>
        <w:rPr>
          <w:rFonts w:ascii="宋体" w:hAnsi="宋体" w:cs="宋体"/>
          <w:color w:val="auto"/>
          <w:szCs w:val="21"/>
          <w:highlight w:val="none"/>
          <w:u w:val="single"/>
        </w:rPr>
      </w:pPr>
      <w:r>
        <w:rPr>
          <w:rFonts w:hint="eastAsia" w:ascii="宋体" w:hAnsi="宋体" w:cs="宋体"/>
          <w:color w:val="auto"/>
          <w:szCs w:val="21"/>
          <w:highlight w:val="none"/>
        </w:rPr>
        <w:t>发包人</w:t>
      </w:r>
      <w:r>
        <w:rPr>
          <w:rFonts w:hint="eastAsia" w:ascii="宋体" w:hAnsi="宋体" w:cs="宋体"/>
          <w:color w:val="auto"/>
          <w:szCs w:val="21"/>
          <w:highlight w:val="none"/>
          <w:lang w:eastAsia="zh-CN"/>
        </w:rPr>
        <w:t>（</w:t>
      </w:r>
      <w:r>
        <w:rPr>
          <w:rFonts w:hint="eastAsia" w:ascii="宋体" w:hAnsi="宋体" w:cs="宋体"/>
          <w:color w:val="auto"/>
          <w:szCs w:val="21"/>
          <w:highlight w:val="none"/>
        </w:rPr>
        <w:t>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w:t>
      </w:r>
      <w:r>
        <w:rPr>
          <w:rFonts w:hint="eastAsia" w:ascii="宋体" w:hAnsi="宋体" w:cs="宋体"/>
          <w:color w:val="auto"/>
          <w:szCs w:val="21"/>
          <w:highlight w:val="none"/>
          <w:lang w:eastAsia="zh-CN"/>
        </w:rPr>
        <w:t>（</w:t>
      </w:r>
      <w:r>
        <w:rPr>
          <w:rFonts w:hint="eastAsia" w:ascii="宋体" w:hAnsi="宋体" w:cs="宋体"/>
          <w:color w:val="auto"/>
          <w:szCs w:val="21"/>
          <w:highlight w:val="none"/>
        </w:rPr>
        <w:t>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 </w:t>
      </w:r>
    </w:p>
    <w:p>
      <w:pPr>
        <w:adjustRightInd w:val="0"/>
        <w:snapToGrid w:val="0"/>
        <w:spacing w:line="240" w:lineRule="auto"/>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pPr>
        <w:adjustRightInd w:val="0"/>
        <w:snapToGrid w:val="0"/>
        <w:spacing w:line="240" w:lineRule="auto"/>
        <w:rPr>
          <w:rFonts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adjustRightInd w:val="0"/>
        <w:snapToGrid w:val="0"/>
        <w:spacing w:line="240" w:lineRule="auto"/>
        <w:rPr>
          <w:rFonts w:ascii="宋体" w:hAns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adjustRightInd w:val="0"/>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pPr>
        <w:adjustRightInd w:val="0"/>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pPr>
        <w:adjustRightInd w:val="0"/>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pPr>
        <w:adjustRightInd w:val="0"/>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pPr>
        <w:adjustRightInd w:val="0"/>
        <w:snapToGrid w:val="0"/>
        <w:spacing w:line="240" w:lineRule="auto"/>
        <w:rPr>
          <w:rFonts w:ascii="宋体" w:hAnsi="宋体" w:cs="宋体"/>
          <w:color w:val="auto"/>
          <w:sz w:val="24"/>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pPr>
        <w:widowControl/>
        <w:jc w:val="left"/>
        <w:rPr>
          <w:rFonts w:ascii="宋体" w:hAnsi="宋体" w:cs="宋体"/>
          <w:b/>
          <w:color w:val="auto"/>
          <w:sz w:val="24"/>
          <w:highlight w:val="none"/>
        </w:rPr>
      </w:pPr>
    </w:p>
    <w:p>
      <w:pPr>
        <w:pStyle w:val="2"/>
        <w:ind w:firstLine="420"/>
        <w:rPr>
          <w:color w:val="auto"/>
          <w:highlight w:val="none"/>
        </w:rPr>
      </w:pPr>
    </w:p>
    <w:p>
      <w:pPr>
        <w:keepNext/>
        <w:keepLines/>
        <w:spacing w:before="120" w:after="120" w:line="240" w:lineRule="auto"/>
        <w:jc w:val="left"/>
        <w:outlineLvl w:val="2"/>
        <w:rPr>
          <w:rFonts w:hint="eastAsia" w:ascii="宋体" w:hAnsi="宋体" w:eastAsia="宋体" w:cs="宋体"/>
          <w:bCs/>
          <w:color w:val="auto"/>
          <w:sz w:val="24"/>
          <w:highlight w:val="none"/>
          <w:lang w:eastAsia="zh-CN"/>
        </w:rPr>
      </w:pPr>
      <w:bookmarkStart w:id="606" w:name="_Toc95223489"/>
      <w:r>
        <w:rPr>
          <w:rFonts w:hint="eastAsia" w:ascii="宋体" w:hAnsi="宋体" w:cs="宋体"/>
          <w:bCs/>
          <w:color w:val="auto"/>
          <w:sz w:val="24"/>
          <w:highlight w:val="none"/>
        </w:rPr>
        <w:t>附</w:t>
      </w:r>
      <w:bookmarkStart w:id="607" w:name="_Toc296891266"/>
      <w:bookmarkStart w:id="608" w:name="_Toc296346727"/>
      <w:bookmarkStart w:id="609" w:name="_Toc296347225"/>
      <w:bookmarkStart w:id="610" w:name="_Toc296891054"/>
      <w:bookmarkStart w:id="611" w:name="_Toc267261693"/>
      <w:bookmarkStart w:id="612" w:name="_Toc296944565"/>
      <w:bookmarkStart w:id="613" w:name="_Toc296503226"/>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w:t>
      </w:r>
      <w:bookmarkEnd w:id="607"/>
      <w:bookmarkEnd w:id="608"/>
      <w:bookmarkEnd w:id="609"/>
      <w:bookmarkEnd w:id="610"/>
      <w:bookmarkEnd w:id="611"/>
      <w:bookmarkEnd w:id="612"/>
      <w:bookmarkEnd w:id="613"/>
      <w:r>
        <w:rPr>
          <w:rFonts w:hint="eastAsia" w:ascii="宋体" w:hAnsi="宋体" w:cs="宋体"/>
          <w:bCs/>
          <w:color w:val="auto"/>
          <w:sz w:val="24"/>
          <w:highlight w:val="none"/>
        </w:rPr>
        <w:t>工程质量保修书</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建筑工程</w:t>
      </w:r>
      <w:bookmarkEnd w:id="606"/>
      <w:r>
        <w:rPr>
          <w:rFonts w:hint="eastAsia" w:ascii="宋体" w:hAnsi="宋体" w:cs="宋体"/>
          <w:bCs/>
          <w:color w:val="auto"/>
          <w:sz w:val="24"/>
          <w:highlight w:val="none"/>
          <w:lang w:eastAsia="zh-CN"/>
        </w:rPr>
        <w:t>）</w:t>
      </w:r>
    </w:p>
    <w:p>
      <w:pPr>
        <w:adjustRightInd w:val="0"/>
        <w:snapToGrid w:val="0"/>
        <w:spacing w:line="24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工程质量保修书</w:t>
      </w:r>
    </w:p>
    <w:p>
      <w:pPr>
        <w:adjustRightInd w:val="0"/>
        <w:snapToGrid w:val="0"/>
        <w:spacing w:line="240" w:lineRule="auto"/>
        <w:ind w:firstLine="420" w:firstLineChars="200"/>
        <w:rPr>
          <w:rFonts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pPr>
        <w:widowControl/>
        <w:adjustRightInd w:val="0"/>
        <w:snapToGrid w:val="0"/>
        <w:spacing w:line="240" w:lineRule="auto"/>
        <w:ind w:firstLine="420" w:firstLineChars="200"/>
        <w:jc w:val="left"/>
        <w:rPr>
          <w:rFonts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pPr>
        <w:widowControl/>
        <w:adjustRightInd w:val="0"/>
        <w:snapToGrid w:val="0"/>
        <w:spacing w:line="240" w:lineRule="auto"/>
        <w:ind w:firstLine="420" w:firstLineChars="200"/>
        <w:jc w:val="left"/>
        <w:rPr>
          <w:rFonts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发包人、承包人根据《中华人民共和国建筑法》《建设工程质量管理条例》,参照《房屋建筑工程质量保修办法》，经协商一致，对______________________工程签订工程质量保修书。</w:t>
      </w:r>
    </w:p>
    <w:p>
      <w:pPr>
        <w:widowControl/>
        <w:adjustRightInd w:val="0"/>
        <w:snapToGrid w:val="0"/>
        <w:spacing w:line="240" w:lineRule="auto"/>
        <w:ind w:firstLine="422" w:firstLineChars="200"/>
        <w:jc w:val="left"/>
        <w:rPr>
          <w:rFonts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pPr>
        <w:adjustRightInd w:val="0"/>
        <w:snapToGrid w:val="0"/>
        <w:spacing w:line="24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pPr>
        <w:adjustRightInd w:val="0"/>
        <w:snapToGrid w:val="0"/>
        <w:spacing w:line="24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pPr>
        <w:widowControl/>
        <w:adjustRightInd w:val="0"/>
        <w:snapToGrid w:val="0"/>
        <w:spacing w:line="240" w:lineRule="auto"/>
        <w:ind w:firstLine="422" w:firstLineChars="200"/>
        <w:jc w:val="left"/>
        <w:rPr>
          <w:rFonts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pPr>
        <w:adjustRightInd w:val="0"/>
        <w:snapToGrid w:val="0"/>
        <w:spacing w:line="240" w:lineRule="auto"/>
        <w:ind w:firstLine="420" w:firstLineChars="200"/>
        <w:jc w:val="left"/>
        <w:rPr>
          <w:rFonts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w:t>
      </w:r>
      <w:r>
        <w:rPr>
          <w:rFonts w:hint="eastAsia" w:ascii="宋体" w:hAnsi="宋体" w:cs="宋体"/>
          <w:color w:val="auto"/>
          <w:position w:val="6"/>
          <w:szCs w:val="21"/>
          <w:highlight w:val="none"/>
        </w:rPr>
        <w:t>《建设工程质量管理条例》</w:t>
      </w:r>
      <w:r>
        <w:rPr>
          <w:rFonts w:hint="eastAsia" w:ascii="宋体" w:hAnsi="宋体" w:cs="宋体"/>
          <w:color w:val="auto"/>
          <w:kern w:val="0"/>
          <w:position w:val="6"/>
          <w:szCs w:val="21"/>
          <w:highlight w:val="none"/>
        </w:rPr>
        <w:t>及有关规定，约定本工程的质量保修期如下：</w:t>
      </w:r>
    </w:p>
    <w:p>
      <w:pPr>
        <w:widowControl/>
        <w:adjustRightInd w:val="0"/>
        <w:snapToGrid w:val="0"/>
        <w:spacing w:line="240" w:lineRule="auto"/>
        <w:ind w:left="420" w:leftChars="200" w:firstLine="58" w:firstLineChars="28"/>
        <w:jc w:val="left"/>
        <w:rPr>
          <w:rFonts w:ascii="宋体" w:hAnsi="宋体" w:cs="宋体"/>
          <w:color w:val="auto"/>
          <w:kern w:val="0"/>
          <w:position w:val="6"/>
          <w:szCs w:val="21"/>
          <w:highlight w:val="none"/>
        </w:rPr>
      </w:pPr>
      <w:r>
        <w:rPr>
          <w:rFonts w:hint="eastAsia" w:ascii="宋体" w:hAnsi="宋体" w:cs="宋体"/>
          <w:color w:val="auto"/>
          <w:kern w:val="0"/>
          <w:position w:val="6"/>
          <w:szCs w:val="21"/>
          <w:highlight w:val="none"/>
        </w:rPr>
        <w:t>1. 主体结构和基础工程，为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pPr>
        <w:widowControl/>
        <w:adjustRightInd w:val="0"/>
        <w:snapToGrid w:val="0"/>
        <w:spacing w:line="240" w:lineRule="auto"/>
        <w:ind w:left="420" w:leftChars="200" w:firstLine="58" w:firstLineChars="28"/>
        <w:jc w:val="left"/>
        <w:rPr>
          <w:rFonts w:ascii="宋体" w:hAnsi="宋体" w:cs="宋体"/>
          <w:color w:val="auto"/>
          <w:kern w:val="0"/>
          <w:position w:val="6"/>
          <w:szCs w:val="21"/>
          <w:highlight w:val="none"/>
        </w:rPr>
      </w:pPr>
      <w:r>
        <w:rPr>
          <w:rFonts w:hint="eastAsia" w:ascii="宋体" w:hAnsi="宋体" w:cs="宋体"/>
          <w:color w:val="auto"/>
          <w:kern w:val="0"/>
          <w:position w:val="6"/>
          <w:szCs w:val="21"/>
          <w:highlight w:val="none"/>
        </w:rPr>
        <w:t>2. _____________工程，为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pPr>
        <w:widowControl/>
        <w:adjustRightInd w:val="0"/>
        <w:snapToGrid w:val="0"/>
        <w:spacing w:line="240" w:lineRule="auto"/>
        <w:ind w:left="420" w:leftChars="200" w:firstLine="58" w:firstLineChars="28"/>
        <w:jc w:val="left"/>
        <w:rPr>
          <w:rFonts w:ascii="宋体" w:hAnsi="宋体" w:cs="宋体"/>
          <w:color w:val="auto"/>
          <w:kern w:val="0"/>
          <w:position w:val="6"/>
          <w:szCs w:val="21"/>
          <w:highlight w:val="none"/>
        </w:rPr>
      </w:pPr>
      <w:r>
        <w:rPr>
          <w:rFonts w:hint="eastAsia" w:ascii="宋体" w:hAnsi="宋体" w:cs="宋体"/>
          <w:color w:val="auto"/>
          <w:kern w:val="0"/>
          <w:position w:val="6"/>
          <w:szCs w:val="21"/>
          <w:highlight w:val="none"/>
        </w:rPr>
        <w:t>3. _____________工程，为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pPr>
        <w:adjustRightInd w:val="0"/>
        <w:snapToGrid w:val="0"/>
        <w:spacing w:line="240" w:lineRule="auto"/>
        <w:ind w:left="359" w:leftChars="171" w:firstLine="105" w:firstLineChars="50"/>
        <w:rPr>
          <w:rFonts w:hint="eastAsia" w:ascii="宋体" w:hAnsi="宋体" w:eastAsia="宋体" w:cs="宋体"/>
          <w:color w:val="auto"/>
          <w:kern w:val="0"/>
          <w:position w:val="6"/>
          <w:szCs w:val="21"/>
          <w:highlight w:val="none"/>
          <w:lang w:eastAsia="zh-CN"/>
        </w:rPr>
      </w:pPr>
      <w:r>
        <w:rPr>
          <w:rFonts w:hint="eastAsia" w:ascii="宋体" w:hAnsi="宋体" w:cs="宋体"/>
          <w:color w:val="auto"/>
          <w:kern w:val="0"/>
          <w:position w:val="6"/>
          <w:szCs w:val="21"/>
          <w:highlight w:val="none"/>
        </w:rPr>
        <w:t xml:space="preserve">4. _____________工程，为 </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pPr>
        <w:adjustRightInd w:val="0"/>
        <w:snapToGrid w:val="0"/>
        <w:spacing w:line="240" w:lineRule="auto"/>
        <w:ind w:left="359" w:leftChars="171" w:firstLine="105" w:firstLineChars="50"/>
        <w:rPr>
          <w:rFonts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pPr>
        <w:adjustRightInd w:val="0"/>
        <w:snapToGrid w:val="0"/>
        <w:spacing w:line="24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三、缺陷责任期</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pPr>
        <w:widowControl/>
        <w:adjustRightInd w:val="0"/>
        <w:snapToGrid w:val="0"/>
        <w:spacing w:line="240" w:lineRule="auto"/>
        <w:ind w:firstLine="422" w:firstLineChars="200"/>
        <w:jc w:val="left"/>
        <w:rPr>
          <w:rFonts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pPr>
        <w:widowControl/>
        <w:adjustRightInd w:val="0"/>
        <w:snapToGrid w:val="0"/>
        <w:spacing w:line="240" w:lineRule="auto"/>
        <w:ind w:firstLine="420" w:firstLineChars="200"/>
        <w:jc w:val="left"/>
        <w:rPr>
          <w:rFonts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pPr>
        <w:widowControl/>
        <w:adjustRightInd w:val="0"/>
        <w:snapToGrid w:val="0"/>
        <w:spacing w:line="240" w:lineRule="auto"/>
        <w:ind w:firstLine="420" w:firstLineChars="200"/>
        <w:jc w:val="left"/>
        <w:rPr>
          <w:rFonts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pPr>
        <w:widowControl/>
        <w:adjustRightInd w:val="0"/>
        <w:snapToGrid w:val="0"/>
        <w:spacing w:line="240" w:lineRule="auto"/>
        <w:ind w:firstLine="420" w:firstLineChars="200"/>
        <w:jc w:val="left"/>
        <w:rPr>
          <w:rFonts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pPr>
        <w:widowControl/>
        <w:adjustRightInd w:val="0"/>
        <w:snapToGrid w:val="0"/>
        <w:spacing w:line="240" w:lineRule="auto"/>
        <w:ind w:firstLine="420" w:firstLineChars="200"/>
        <w:jc w:val="left"/>
        <w:rPr>
          <w:rFonts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pPr>
        <w:widowControl/>
        <w:adjustRightInd w:val="0"/>
        <w:snapToGrid w:val="0"/>
        <w:spacing w:line="240" w:lineRule="auto"/>
        <w:ind w:firstLine="422" w:firstLineChars="200"/>
        <w:jc w:val="left"/>
        <w:rPr>
          <w:rFonts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pPr>
        <w:widowControl/>
        <w:adjustRightInd w:val="0"/>
        <w:snapToGrid w:val="0"/>
        <w:spacing w:line="240" w:lineRule="auto"/>
        <w:ind w:firstLine="420" w:firstLineChars="200"/>
        <w:jc w:val="left"/>
        <w:rPr>
          <w:rFonts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pPr>
        <w:widowControl/>
        <w:adjustRightInd w:val="0"/>
        <w:snapToGrid w:val="0"/>
        <w:spacing w:line="240" w:lineRule="auto"/>
        <w:ind w:firstLine="420" w:firstLineChars="200"/>
        <w:jc w:val="left"/>
        <w:rPr>
          <w:rFonts w:ascii="宋体" w:hAnsi="宋体" w:cs="宋体"/>
          <w:b/>
          <w:color w:val="auto"/>
          <w:szCs w:val="21"/>
          <w:highlight w:val="none"/>
        </w:rPr>
      </w:pPr>
      <w:r>
        <w:rPr>
          <w:rFonts w:hint="eastAsia" w:ascii="宋体" w:hAnsi="宋体" w:cs="宋体"/>
          <w:bCs/>
          <w:color w:val="auto"/>
          <w:kern w:val="0"/>
          <w:position w:val="6"/>
          <w:szCs w:val="21"/>
          <w:highlight w:val="none"/>
        </w:rPr>
        <w:t>六、</w:t>
      </w:r>
      <w:r>
        <w:rPr>
          <w:rFonts w:hint="eastAsia" w:ascii="宋体" w:hAnsi="宋体" w:cs="宋体"/>
          <w:b/>
          <w:color w:val="auto"/>
          <w:szCs w:val="21"/>
          <w:highlight w:val="none"/>
        </w:rPr>
        <w:t>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pPr>
        <w:widowControl/>
        <w:adjustRightInd w:val="0"/>
        <w:snapToGrid w:val="0"/>
        <w:spacing w:line="24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pPr>
        <w:adjustRightInd w:val="0"/>
        <w:snapToGrid w:val="0"/>
        <w:spacing w:line="240" w:lineRule="auto"/>
        <w:ind w:firstLine="420"/>
        <w:rPr>
          <w:rFonts w:ascii="宋体" w:hAnsi="宋体" w:cs="宋体"/>
          <w:color w:val="auto"/>
          <w:szCs w:val="21"/>
          <w:highlight w:val="none"/>
        </w:rPr>
      </w:pPr>
    </w:p>
    <w:p>
      <w:pPr>
        <w:adjustRightInd w:val="0"/>
        <w:snapToGrid w:val="0"/>
        <w:spacing w:line="240" w:lineRule="auto"/>
        <w:rPr>
          <w:rFonts w:ascii="宋体" w:hAnsi="宋体" w:cs="宋体"/>
          <w:color w:val="auto"/>
          <w:szCs w:val="21"/>
          <w:highlight w:val="none"/>
          <w:u w:val="single"/>
        </w:rPr>
      </w:pPr>
      <w:r>
        <w:rPr>
          <w:rFonts w:hint="eastAsia" w:ascii="宋体" w:hAnsi="宋体" w:cs="宋体"/>
          <w:color w:val="auto"/>
          <w:szCs w:val="21"/>
          <w:highlight w:val="none"/>
        </w:rPr>
        <w:t>发包人</w:t>
      </w:r>
      <w:r>
        <w:rPr>
          <w:rFonts w:hint="eastAsia" w:ascii="宋体" w:hAnsi="宋体" w:cs="宋体"/>
          <w:color w:val="auto"/>
          <w:szCs w:val="21"/>
          <w:highlight w:val="none"/>
          <w:lang w:eastAsia="zh-CN"/>
        </w:rPr>
        <w:t>（</w:t>
      </w:r>
      <w:r>
        <w:rPr>
          <w:rFonts w:hint="eastAsia" w:ascii="宋体" w:hAnsi="宋体" w:cs="宋体"/>
          <w:color w:val="auto"/>
          <w:szCs w:val="21"/>
          <w:highlight w:val="none"/>
        </w:rPr>
        <w:t>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w:t>
      </w:r>
      <w:r>
        <w:rPr>
          <w:rFonts w:hint="eastAsia" w:ascii="宋体" w:hAnsi="宋体" w:cs="宋体"/>
          <w:color w:val="auto"/>
          <w:szCs w:val="21"/>
          <w:highlight w:val="none"/>
          <w:lang w:eastAsia="zh-CN"/>
        </w:rPr>
        <w:t>（</w:t>
      </w:r>
      <w:r>
        <w:rPr>
          <w:rFonts w:hint="eastAsia" w:ascii="宋体" w:hAnsi="宋体" w:cs="宋体"/>
          <w:color w:val="auto"/>
          <w:szCs w:val="21"/>
          <w:highlight w:val="none"/>
        </w:rPr>
        <w:t>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 </w:t>
      </w:r>
    </w:p>
    <w:p>
      <w:pPr>
        <w:adjustRightInd w:val="0"/>
        <w:snapToGrid w:val="0"/>
        <w:spacing w:line="240" w:lineRule="auto"/>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pPr>
        <w:adjustRightInd w:val="0"/>
        <w:snapToGrid w:val="0"/>
        <w:spacing w:line="240" w:lineRule="auto"/>
        <w:rPr>
          <w:rFonts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adjustRightInd w:val="0"/>
        <w:snapToGrid w:val="0"/>
        <w:spacing w:line="240" w:lineRule="auto"/>
        <w:rPr>
          <w:rFonts w:ascii="宋体" w:hAns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adjustRightInd w:val="0"/>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pPr>
        <w:adjustRightInd w:val="0"/>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pPr>
        <w:adjustRightInd w:val="0"/>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pPr>
        <w:adjustRightInd w:val="0"/>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pPr>
        <w:adjustRightInd w:val="0"/>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pPr>
        <w:keepNext/>
        <w:keepLines/>
        <w:spacing w:before="120" w:after="120" w:line="360" w:lineRule="auto"/>
        <w:jc w:val="left"/>
        <w:outlineLvl w:val="2"/>
        <w:rPr>
          <w:rFonts w:ascii="宋体" w:hAnsi="宋体" w:cs="宋体"/>
          <w:bCs/>
          <w:color w:val="auto"/>
          <w:sz w:val="24"/>
          <w:highlight w:val="none"/>
        </w:rPr>
      </w:pPr>
      <w:r>
        <w:rPr>
          <w:rFonts w:hint="eastAsia" w:ascii="宋体" w:hAnsi="宋体" w:cs="宋体"/>
          <w:b/>
          <w:bCs/>
          <w:color w:val="auto"/>
          <w:sz w:val="24"/>
          <w:highlight w:val="none"/>
        </w:rPr>
        <w:br w:type="page"/>
      </w:r>
      <w:bookmarkStart w:id="614" w:name="_Toc95223490"/>
      <w:r>
        <w:rPr>
          <w:rFonts w:hint="eastAsia" w:ascii="宋体" w:hAnsi="宋体" w:cs="宋体"/>
          <w:bCs/>
          <w:color w:val="auto"/>
          <w:sz w:val="24"/>
          <w:highlight w:val="none"/>
        </w:rPr>
        <w:t>附件4：主要建设工程文件目录</w:t>
      </w:r>
      <w:bookmarkEnd w:id="614"/>
    </w:p>
    <w:p>
      <w:pPr>
        <w:spacing w:before="120" w:beforeLines="50" w:after="120" w:afterLines="50"/>
        <w:jc w:val="center"/>
        <w:rPr>
          <w:rFonts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vAlign w:val="center"/>
          </w:tcPr>
          <w:p>
            <w:pPr>
              <w:keepNext/>
              <w:rPr>
                <w:rFonts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vAlign w:val="center"/>
          </w:tcPr>
          <w:p>
            <w:pPr>
              <w:keepNext/>
              <w:rPr>
                <w:rFonts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vAlign w:val="center"/>
          </w:tcPr>
          <w:p>
            <w:pPr>
              <w:keepNext/>
              <w:rPr>
                <w:rFonts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vAlign w:val="center"/>
          </w:tcPr>
          <w:p>
            <w:pPr>
              <w:keepNext/>
              <w:rPr>
                <w:rFonts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tcPr>
          <w:p>
            <w:pPr>
              <w:rPr>
                <w:rFonts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tcPr>
          <w:p>
            <w:pPr>
              <w:rPr>
                <w:rFonts w:ascii="宋体" w:hAnsi="宋体" w:cs="宋体"/>
                <w:color w:val="auto"/>
                <w:szCs w:val="21"/>
                <w:highlight w:val="none"/>
              </w:rPr>
            </w:pPr>
            <w:r>
              <w:rPr>
                <w:rFonts w:hint="eastAsia" w:ascii="宋体" w:hAnsi="宋体" w:cs="宋体"/>
                <w:color w:val="auto"/>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vAlign w:val="center"/>
          </w:tcPr>
          <w:p>
            <w:pPr>
              <w:keepNext/>
              <w:rPr>
                <w:rFonts w:ascii="宋体" w:hAnsi="宋体" w:cs="宋体"/>
                <w:color w:val="auto"/>
                <w:szCs w:val="21"/>
                <w:highlight w:val="none"/>
              </w:rPr>
            </w:pPr>
          </w:p>
        </w:tc>
        <w:tc>
          <w:tcPr>
            <w:tcW w:w="1276" w:type="dxa"/>
            <w:tcBorders>
              <w:top w:val="double" w:color="auto" w:sz="6" w:space="0"/>
            </w:tcBorders>
            <w:vAlign w:val="center"/>
          </w:tcPr>
          <w:p>
            <w:pPr>
              <w:keepNext/>
              <w:rPr>
                <w:rFonts w:ascii="宋体" w:hAnsi="宋体" w:cs="宋体"/>
                <w:color w:val="auto"/>
                <w:szCs w:val="21"/>
                <w:highlight w:val="none"/>
              </w:rPr>
            </w:pPr>
          </w:p>
        </w:tc>
        <w:tc>
          <w:tcPr>
            <w:tcW w:w="1450" w:type="dxa"/>
            <w:tcBorders>
              <w:top w:val="double" w:color="auto" w:sz="6" w:space="0"/>
            </w:tcBorders>
            <w:vAlign w:val="center"/>
          </w:tcPr>
          <w:p>
            <w:pPr>
              <w:keepNext/>
              <w:rPr>
                <w:rFonts w:ascii="宋体" w:hAnsi="宋体" w:cs="宋体"/>
                <w:color w:val="auto"/>
                <w:szCs w:val="21"/>
                <w:highlight w:val="none"/>
              </w:rPr>
            </w:pPr>
          </w:p>
        </w:tc>
        <w:tc>
          <w:tcPr>
            <w:tcW w:w="1243" w:type="dxa"/>
            <w:tcBorders>
              <w:top w:val="double" w:color="auto" w:sz="6" w:space="0"/>
            </w:tcBorders>
            <w:vAlign w:val="center"/>
          </w:tcPr>
          <w:p>
            <w:pPr>
              <w:keepNext/>
              <w:rPr>
                <w:rFonts w:ascii="宋体" w:hAnsi="宋体" w:cs="宋体"/>
                <w:color w:val="auto"/>
                <w:szCs w:val="21"/>
                <w:highlight w:val="none"/>
              </w:rPr>
            </w:pPr>
          </w:p>
        </w:tc>
        <w:tc>
          <w:tcPr>
            <w:tcW w:w="1450" w:type="dxa"/>
            <w:tcBorders>
              <w:top w:val="double" w:color="auto" w:sz="6" w:space="0"/>
            </w:tcBorders>
            <w:vAlign w:val="center"/>
          </w:tcPr>
          <w:p>
            <w:pPr>
              <w:keepNext/>
              <w:rPr>
                <w:rFonts w:ascii="宋体" w:hAnsi="宋体" w:cs="宋体"/>
                <w:color w:val="auto"/>
                <w:szCs w:val="21"/>
                <w:highlight w:val="none"/>
              </w:rPr>
            </w:pPr>
          </w:p>
        </w:tc>
        <w:tc>
          <w:tcPr>
            <w:tcW w:w="1667" w:type="dxa"/>
            <w:tcBorders>
              <w:top w:val="double" w:color="auto" w:sz="6" w:space="0"/>
            </w:tcBorders>
            <w:vAlign w:val="center"/>
          </w:tcPr>
          <w:p>
            <w:pPr>
              <w:keepNex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vAlign w:val="center"/>
          </w:tcPr>
          <w:p>
            <w:pPr>
              <w:keepNext/>
              <w:rPr>
                <w:rFonts w:ascii="宋体" w:hAnsi="宋体" w:cs="宋体"/>
                <w:color w:val="auto"/>
                <w:szCs w:val="21"/>
                <w:highlight w:val="none"/>
              </w:rPr>
            </w:pPr>
          </w:p>
        </w:tc>
        <w:tc>
          <w:tcPr>
            <w:tcW w:w="1276" w:type="dxa"/>
            <w:tcBorders>
              <w:top w:val="nil"/>
            </w:tcBorders>
            <w:vAlign w:val="center"/>
          </w:tcPr>
          <w:p>
            <w:pPr>
              <w:keepNext/>
              <w:rPr>
                <w:rFonts w:ascii="宋体" w:hAnsi="宋体" w:cs="宋体"/>
                <w:color w:val="auto"/>
                <w:szCs w:val="21"/>
                <w:highlight w:val="none"/>
              </w:rPr>
            </w:pPr>
          </w:p>
        </w:tc>
        <w:tc>
          <w:tcPr>
            <w:tcW w:w="1450" w:type="dxa"/>
            <w:tcBorders>
              <w:top w:val="nil"/>
            </w:tcBorders>
            <w:vAlign w:val="center"/>
          </w:tcPr>
          <w:p>
            <w:pPr>
              <w:keepNext/>
              <w:rPr>
                <w:rFonts w:ascii="宋体" w:hAnsi="宋体" w:cs="宋体"/>
                <w:color w:val="auto"/>
                <w:szCs w:val="21"/>
                <w:highlight w:val="none"/>
              </w:rPr>
            </w:pPr>
          </w:p>
        </w:tc>
        <w:tc>
          <w:tcPr>
            <w:tcW w:w="1243" w:type="dxa"/>
            <w:tcBorders>
              <w:top w:val="nil"/>
            </w:tcBorders>
            <w:vAlign w:val="center"/>
          </w:tcPr>
          <w:p>
            <w:pPr>
              <w:keepNext/>
              <w:rPr>
                <w:rFonts w:ascii="宋体" w:hAnsi="宋体" w:cs="宋体"/>
                <w:color w:val="auto"/>
                <w:szCs w:val="21"/>
                <w:highlight w:val="none"/>
              </w:rPr>
            </w:pPr>
          </w:p>
        </w:tc>
        <w:tc>
          <w:tcPr>
            <w:tcW w:w="1450" w:type="dxa"/>
            <w:tcBorders>
              <w:top w:val="nil"/>
            </w:tcBorders>
            <w:vAlign w:val="center"/>
          </w:tcPr>
          <w:p>
            <w:pPr>
              <w:keepNext/>
              <w:rPr>
                <w:rFonts w:ascii="宋体" w:hAnsi="宋体" w:cs="宋体"/>
                <w:color w:val="auto"/>
                <w:szCs w:val="21"/>
                <w:highlight w:val="none"/>
              </w:rPr>
            </w:pPr>
          </w:p>
        </w:tc>
        <w:tc>
          <w:tcPr>
            <w:tcW w:w="1667" w:type="dxa"/>
            <w:tcBorders>
              <w:top w:val="nil"/>
            </w:tcBorders>
            <w:vAlign w:val="center"/>
          </w:tcPr>
          <w:p>
            <w:pPr>
              <w:keepNex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tcPr>
          <w:p>
            <w:pPr>
              <w:rPr>
                <w:rFonts w:ascii="宋体" w:hAnsi="宋体" w:cs="宋体"/>
                <w:color w:val="auto"/>
                <w:szCs w:val="21"/>
                <w:highlight w:val="none"/>
              </w:rPr>
            </w:pPr>
          </w:p>
        </w:tc>
        <w:tc>
          <w:tcPr>
            <w:tcW w:w="1276" w:type="dxa"/>
            <w:tcBorders>
              <w:bottom w:val="single" w:color="auto" w:sz="12" w:space="0"/>
            </w:tcBorders>
          </w:tcPr>
          <w:p>
            <w:pPr>
              <w:rPr>
                <w:rFonts w:ascii="宋体" w:hAnsi="宋体" w:cs="宋体"/>
                <w:color w:val="auto"/>
                <w:szCs w:val="21"/>
                <w:highlight w:val="none"/>
              </w:rPr>
            </w:pPr>
          </w:p>
        </w:tc>
        <w:tc>
          <w:tcPr>
            <w:tcW w:w="1450" w:type="dxa"/>
            <w:tcBorders>
              <w:bottom w:val="single" w:color="auto" w:sz="12" w:space="0"/>
            </w:tcBorders>
          </w:tcPr>
          <w:p>
            <w:pPr>
              <w:rPr>
                <w:rFonts w:ascii="宋体" w:hAnsi="宋体" w:cs="宋体"/>
                <w:color w:val="auto"/>
                <w:szCs w:val="21"/>
                <w:highlight w:val="none"/>
              </w:rPr>
            </w:pPr>
          </w:p>
        </w:tc>
        <w:tc>
          <w:tcPr>
            <w:tcW w:w="1243" w:type="dxa"/>
            <w:tcBorders>
              <w:bottom w:val="single" w:color="auto" w:sz="12" w:space="0"/>
            </w:tcBorders>
          </w:tcPr>
          <w:p>
            <w:pPr>
              <w:rPr>
                <w:rFonts w:ascii="宋体" w:hAnsi="宋体" w:cs="宋体"/>
                <w:color w:val="auto"/>
                <w:szCs w:val="21"/>
                <w:highlight w:val="none"/>
              </w:rPr>
            </w:pPr>
          </w:p>
        </w:tc>
        <w:tc>
          <w:tcPr>
            <w:tcW w:w="1450" w:type="dxa"/>
            <w:tcBorders>
              <w:bottom w:val="single" w:color="auto" w:sz="12" w:space="0"/>
            </w:tcBorders>
          </w:tcPr>
          <w:p>
            <w:pPr>
              <w:rPr>
                <w:rFonts w:ascii="宋体" w:hAnsi="宋体" w:cs="宋体"/>
                <w:color w:val="auto"/>
                <w:szCs w:val="21"/>
                <w:highlight w:val="none"/>
              </w:rPr>
            </w:pPr>
          </w:p>
        </w:tc>
        <w:tc>
          <w:tcPr>
            <w:tcW w:w="1667" w:type="dxa"/>
            <w:tcBorders>
              <w:bottom w:val="single" w:color="auto" w:sz="12" w:space="0"/>
            </w:tcBorders>
          </w:tcPr>
          <w:p>
            <w:pPr>
              <w:rPr>
                <w:rFonts w:ascii="宋体" w:hAnsi="宋体" w:cs="宋体"/>
                <w:color w:val="auto"/>
                <w:szCs w:val="21"/>
                <w:highlight w:val="none"/>
              </w:rPr>
            </w:pPr>
          </w:p>
        </w:tc>
      </w:tr>
    </w:tbl>
    <w:p>
      <w:pPr>
        <w:rPr>
          <w:rFonts w:ascii="宋体" w:hAnsi="宋体" w:cs="宋体"/>
          <w:color w:val="auto"/>
          <w:szCs w:val="21"/>
          <w:highlight w:val="none"/>
        </w:rPr>
      </w:pPr>
    </w:p>
    <w:p>
      <w:pPr>
        <w:keepNext/>
        <w:keepLines/>
        <w:spacing w:before="120" w:after="120" w:line="360" w:lineRule="auto"/>
        <w:jc w:val="left"/>
        <w:outlineLvl w:val="2"/>
        <w:rPr>
          <w:rFonts w:ascii="宋体" w:hAnsi="宋体" w:cs="宋体"/>
          <w:bCs/>
          <w:color w:val="auto"/>
          <w:sz w:val="24"/>
          <w:highlight w:val="none"/>
        </w:rPr>
      </w:pPr>
      <w:bookmarkStart w:id="615" w:name="_Toc95223491"/>
      <w:r>
        <w:rPr>
          <w:rFonts w:hint="eastAsia" w:ascii="宋体" w:hAnsi="宋体" w:cs="宋体"/>
          <w:bCs/>
          <w:color w:val="auto"/>
          <w:sz w:val="24"/>
          <w:highlight w:val="none"/>
        </w:rPr>
        <w:t>附</w:t>
      </w:r>
      <w:bookmarkStart w:id="616" w:name="_Toc296891267"/>
      <w:bookmarkStart w:id="617" w:name="_Toc296891055"/>
      <w:bookmarkStart w:id="618" w:name="_Toc296944566"/>
      <w:bookmarkStart w:id="619" w:name="_Toc296347226"/>
      <w:bookmarkStart w:id="620" w:name="_Toc296346728"/>
      <w:bookmarkStart w:id="621" w:name="_Toc296503227"/>
      <w:bookmarkStart w:id="622" w:name="_Toc267261698"/>
      <w:r>
        <w:rPr>
          <w:rFonts w:hint="eastAsia" w:ascii="宋体" w:hAnsi="宋体" w:cs="宋体"/>
          <w:bCs/>
          <w:color w:val="auto"/>
          <w:sz w:val="24"/>
          <w:highlight w:val="none"/>
        </w:rPr>
        <w:t>件5：承包人用于本工程施工的机械设备表</w:t>
      </w:r>
      <w:bookmarkEnd w:id="615"/>
    </w:p>
    <w:bookmarkEnd w:id="616"/>
    <w:bookmarkEnd w:id="617"/>
    <w:bookmarkEnd w:id="618"/>
    <w:bookmarkEnd w:id="619"/>
    <w:bookmarkEnd w:id="620"/>
    <w:bookmarkEnd w:id="621"/>
    <w:bookmarkEnd w:id="622"/>
    <w:p>
      <w:pPr>
        <w:spacing w:before="120" w:beforeLines="50" w:after="120" w:afterLines="50"/>
        <w:jc w:val="center"/>
        <w:rPr>
          <w:rFonts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28"/>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vAlign w:val="center"/>
          </w:tcPr>
          <w:p>
            <w:pPr>
              <w:keepNext/>
              <w:rPr>
                <w:rFonts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vAlign w:val="center"/>
          </w:tcPr>
          <w:p>
            <w:pPr>
              <w:keepNext/>
              <w:rPr>
                <w:rFonts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vAlign w:val="center"/>
          </w:tcPr>
          <w:p>
            <w:pPr>
              <w:keepNext/>
              <w:rPr>
                <w:rFonts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vAlign w:val="center"/>
          </w:tcPr>
          <w:p>
            <w:pPr>
              <w:keepNext/>
              <w:rPr>
                <w:rFonts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vAlign w:val="center"/>
          </w:tcPr>
          <w:p>
            <w:pPr>
              <w:keepNext/>
              <w:rPr>
                <w:rFonts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vAlign w:val="center"/>
          </w:tcPr>
          <w:p>
            <w:pPr>
              <w:keepNext/>
              <w:rPr>
                <w:rFonts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vAlign w:val="center"/>
          </w:tcPr>
          <w:p>
            <w:pPr>
              <w:keepNex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额定功率</w:t>
            </w:r>
            <w:r>
              <w:rPr>
                <w:rFonts w:hint="eastAsia" w:ascii="宋体" w:hAnsi="宋体" w:cs="宋体"/>
                <w:color w:val="auto"/>
                <w:szCs w:val="21"/>
                <w:highlight w:val="none"/>
                <w:lang w:eastAsia="zh-CN"/>
              </w:rPr>
              <w:t>（</w:t>
            </w:r>
            <w:r>
              <w:rPr>
                <w:rFonts w:hint="eastAsia" w:ascii="宋体" w:hAnsi="宋体" w:cs="宋体"/>
                <w:color w:val="auto"/>
                <w:szCs w:val="21"/>
                <w:highlight w:val="none"/>
              </w:rPr>
              <w:t>kW</w:t>
            </w:r>
            <w:r>
              <w:rPr>
                <w:rFonts w:hint="eastAsia" w:ascii="宋体" w:hAnsi="宋体" w:cs="宋体"/>
                <w:color w:val="auto"/>
                <w:szCs w:val="21"/>
                <w:highlight w:val="none"/>
                <w:lang w:eastAsia="zh-CN"/>
              </w:rPr>
              <w:t>）</w:t>
            </w:r>
          </w:p>
        </w:tc>
        <w:tc>
          <w:tcPr>
            <w:tcW w:w="1020" w:type="dxa"/>
            <w:tcBorders>
              <w:top w:val="single" w:color="auto" w:sz="12" w:space="0"/>
              <w:bottom w:val="double" w:color="auto" w:sz="6" w:space="0"/>
            </w:tcBorders>
            <w:vAlign w:val="center"/>
          </w:tcPr>
          <w:p>
            <w:pPr>
              <w:keepNext/>
              <w:rPr>
                <w:rFonts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vAlign w:val="center"/>
          </w:tcPr>
          <w:p>
            <w:pPr>
              <w:keepNext/>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vAlign w:val="center"/>
          </w:tcPr>
          <w:p>
            <w:pPr>
              <w:keepNext/>
              <w:rPr>
                <w:rFonts w:ascii="宋体" w:hAnsi="宋体" w:cs="宋体"/>
                <w:color w:val="auto"/>
                <w:szCs w:val="21"/>
                <w:highlight w:val="none"/>
              </w:rPr>
            </w:pPr>
          </w:p>
        </w:tc>
        <w:tc>
          <w:tcPr>
            <w:tcW w:w="1418" w:type="dxa"/>
            <w:tcBorders>
              <w:top w:val="double" w:color="auto" w:sz="6" w:space="0"/>
            </w:tcBorders>
            <w:vAlign w:val="center"/>
          </w:tcPr>
          <w:p>
            <w:pPr>
              <w:keepNext/>
              <w:rPr>
                <w:rFonts w:ascii="宋体" w:hAnsi="宋体" w:cs="宋体"/>
                <w:color w:val="auto"/>
                <w:szCs w:val="21"/>
                <w:highlight w:val="none"/>
              </w:rPr>
            </w:pPr>
          </w:p>
        </w:tc>
        <w:tc>
          <w:tcPr>
            <w:tcW w:w="850" w:type="dxa"/>
            <w:tcBorders>
              <w:top w:val="double" w:color="auto" w:sz="6" w:space="0"/>
            </w:tcBorders>
            <w:vAlign w:val="center"/>
          </w:tcPr>
          <w:p>
            <w:pPr>
              <w:keepNext/>
              <w:rPr>
                <w:rFonts w:ascii="宋体" w:hAnsi="宋体" w:cs="宋体"/>
                <w:color w:val="auto"/>
                <w:szCs w:val="21"/>
                <w:highlight w:val="none"/>
              </w:rPr>
            </w:pPr>
          </w:p>
        </w:tc>
        <w:tc>
          <w:tcPr>
            <w:tcW w:w="709" w:type="dxa"/>
            <w:tcBorders>
              <w:top w:val="double" w:color="auto" w:sz="6" w:space="0"/>
            </w:tcBorders>
            <w:vAlign w:val="center"/>
          </w:tcPr>
          <w:p>
            <w:pPr>
              <w:keepNext/>
              <w:rPr>
                <w:rFonts w:ascii="宋体" w:hAnsi="宋体" w:cs="宋体"/>
                <w:color w:val="auto"/>
                <w:szCs w:val="21"/>
                <w:highlight w:val="none"/>
              </w:rPr>
            </w:pPr>
          </w:p>
        </w:tc>
        <w:tc>
          <w:tcPr>
            <w:tcW w:w="850" w:type="dxa"/>
            <w:tcBorders>
              <w:top w:val="double" w:color="auto" w:sz="6" w:space="0"/>
            </w:tcBorders>
            <w:vAlign w:val="center"/>
          </w:tcPr>
          <w:p>
            <w:pPr>
              <w:keepNext/>
              <w:rPr>
                <w:rFonts w:ascii="宋体" w:hAnsi="宋体" w:cs="宋体"/>
                <w:color w:val="auto"/>
                <w:szCs w:val="21"/>
                <w:highlight w:val="none"/>
              </w:rPr>
            </w:pPr>
          </w:p>
        </w:tc>
        <w:tc>
          <w:tcPr>
            <w:tcW w:w="963" w:type="dxa"/>
            <w:tcBorders>
              <w:top w:val="double" w:color="auto" w:sz="6" w:space="0"/>
            </w:tcBorders>
            <w:vAlign w:val="center"/>
          </w:tcPr>
          <w:p>
            <w:pPr>
              <w:keepNext/>
              <w:rPr>
                <w:rFonts w:ascii="宋体" w:hAnsi="宋体" w:cs="宋体"/>
                <w:color w:val="auto"/>
                <w:szCs w:val="21"/>
                <w:highlight w:val="none"/>
              </w:rPr>
            </w:pPr>
          </w:p>
        </w:tc>
        <w:tc>
          <w:tcPr>
            <w:tcW w:w="1480" w:type="dxa"/>
            <w:tcBorders>
              <w:top w:val="double" w:color="auto" w:sz="6" w:space="0"/>
            </w:tcBorders>
            <w:vAlign w:val="center"/>
          </w:tcPr>
          <w:p>
            <w:pPr>
              <w:keepNext/>
              <w:rPr>
                <w:rFonts w:ascii="宋体" w:hAnsi="宋体" w:cs="宋体"/>
                <w:color w:val="auto"/>
                <w:szCs w:val="21"/>
                <w:highlight w:val="none"/>
              </w:rPr>
            </w:pPr>
          </w:p>
        </w:tc>
        <w:tc>
          <w:tcPr>
            <w:tcW w:w="1020" w:type="dxa"/>
            <w:tcBorders>
              <w:top w:val="double" w:color="auto" w:sz="6" w:space="0"/>
            </w:tcBorders>
            <w:vAlign w:val="center"/>
          </w:tcPr>
          <w:p>
            <w:pPr>
              <w:keepNext/>
              <w:rPr>
                <w:rFonts w:ascii="宋体" w:hAnsi="宋体" w:cs="宋体"/>
                <w:color w:val="auto"/>
                <w:szCs w:val="21"/>
                <w:highlight w:val="none"/>
              </w:rPr>
            </w:pPr>
          </w:p>
        </w:tc>
        <w:tc>
          <w:tcPr>
            <w:tcW w:w="932" w:type="dxa"/>
            <w:tcBorders>
              <w:top w:val="double" w:color="auto" w:sz="6" w:space="0"/>
            </w:tcBorders>
            <w:vAlign w:val="center"/>
          </w:tcPr>
          <w:p>
            <w:pPr>
              <w:keepNex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vAlign w:val="center"/>
          </w:tcPr>
          <w:p>
            <w:pPr>
              <w:keepNext/>
              <w:rPr>
                <w:rFonts w:ascii="宋体" w:hAnsi="宋体" w:cs="宋体"/>
                <w:color w:val="auto"/>
                <w:szCs w:val="21"/>
                <w:highlight w:val="none"/>
              </w:rPr>
            </w:pPr>
          </w:p>
        </w:tc>
        <w:tc>
          <w:tcPr>
            <w:tcW w:w="1418" w:type="dxa"/>
            <w:tcBorders>
              <w:top w:val="nil"/>
            </w:tcBorders>
            <w:vAlign w:val="center"/>
          </w:tcPr>
          <w:p>
            <w:pPr>
              <w:keepNext/>
              <w:rPr>
                <w:rFonts w:ascii="宋体" w:hAnsi="宋体" w:cs="宋体"/>
                <w:color w:val="auto"/>
                <w:szCs w:val="21"/>
                <w:highlight w:val="none"/>
              </w:rPr>
            </w:pPr>
          </w:p>
        </w:tc>
        <w:tc>
          <w:tcPr>
            <w:tcW w:w="850" w:type="dxa"/>
            <w:tcBorders>
              <w:top w:val="nil"/>
            </w:tcBorders>
            <w:vAlign w:val="center"/>
          </w:tcPr>
          <w:p>
            <w:pPr>
              <w:keepNext/>
              <w:rPr>
                <w:rFonts w:ascii="宋体" w:hAnsi="宋体" w:cs="宋体"/>
                <w:color w:val="auto"/>
                <w:szCs w:val="21"/>
                <w:highlight w:val="none"/>
              </w:rPr>
            </w:pPr>
          </w:p>
        </w:tc>
        <w:tc>
          <w:tcPr>
            <w:tcW w:w="709" w:type="dxa"/>
            <w:tcBorders>
              <w:top w:val="nil"/>
            </w:tcBorders>
            <w:vAlign w:val="center"/>
          </w:tcPr>
          <w:p>
            <w:pPr>
              <w:keepNext/>
              <w:rPr>
                <w:rFonts w:ascii="宋体" w:hAnsi="宋体" w:cs="宋体"/>
                <w:color w:val="auto"/>
                <w:szCs w:val="21"/>
                <w:highlight w:val="none"/>
              </w:rPr>
            </w:pPr>
          </w:p>
        </w:tc>
        <w:tc>
          <w:tcPr>
            <w:tcW w:w="850" w:type="dxa"/>
            <w:tcBorders>
              <w:top w:val="nil"/>
            </w:tcBorders>
            <w:vAlign w:val="center"/>
          </w:tcPr>
          <w:p>
            <w:pPr>
              <w:keepNext/>
              <w:rPr>
                <w:rFonts w:ascii="宋体" w:hAnsi="宋体" w:cs="宋体"/>
                <w:color w:val="auto"/>
                <w:szCs w:val="21"/>
                <w:highlight w:val="none"/>
              </w:rPr>
            </w:pPr>
          </w:p>
        </w:tc>
        <w:tc>
          <w:tcPr>
            <w:tcW w:w="963" w:type="dxa"/>
            <w:tcBorders>
              <w:top w:val="nil"/>
            </w:tcBorders>
            <w:vAlign w:val="center"/>
          </w:tcPr>
          <w:p>
            <w:pPr>
              <w:keepNext/>
              <w:rPr>
                <w:rFonts w:ascii="宋体" w:hAnsi="宋体" w:cs="宋体"/>
                <w:color w:val="auto"/>
                <w:szCs w:val="21"/>
                <w:highlight w:val="none"/>
              </w:rPr>
            </w:pPr>
          </w:p>
        </w:tc>
        <w:tc>
          <w:tcPr>
            <w:tcW w:w="1480" w:type="dxa"/>
            <w:tcBorders>
              <w:top w:val="nil"/>
            </w:tcBorders>
            <w:vAlign w:val="center"/>
          </w:tcPr>
          <w:p>
            <w:pPr>
              <w:keepNext/>
              <w:rPr>
                <w:rFonts w:ascii="宋体" w:hAnsi="宋体" w:cs="宋体"/>
                <w:color w:val="auto"/>
                <w:szCs w:val="21"/>
                <w:highlight w:val="none"/>
              </w:rPr>
            </w:pPr>
          </w:p>
        </w:tc>
        <w:tc>
          <w:tcPr>
            <w:tcW w:w="1020" w:type="dxa"/>
            <w:tcBorders>
              <w:top w:val="nil"/>
            </w:tcBorders>
            <w:vAlign w:val="center"/>
          </w:tcPr>
          <w:p>
            <w:pPr>
              <w:keepNext/>
              <w:rPr>
                <w:rFonts w:ascii="宋体" w:hAnsi="宋体" w:cs="宋体"/>
                <w:color w:val="auto"/>
                <w:szCs w:val="21"/>
                <w:highlight w:val="none"/>
              </w:rPr>
            </w:pPr>
          </w:p>
        </w:tc>
        <w:tc>
          <w:tcPr>
            <w:tcW w:w="932" w:type="dxa"/>
            <w:tcBorders>
              <w:top w:val="nil"/>
            </w:tcBorders>
            <w:vAlign w:val="center"/>
          </w:tcPr>
          <w:p>
            <w:pPr>
              <w:keepNex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709"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963"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32"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709"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963"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32"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tcPr>
          <w:p>
            <w:pPr>
              <w:rPr>
                <w:rFonts w:ascii="宋体" w:hAnsi="宋体" w:cs="宋体"/>
                <w:color w:val="auto"/>
                <w:szCs w:val="21"/>
                <w:highlight w:val="none"/>
              </w:rPr>
            </w:pPr>
          </w:p>
        </w:tc>
        <w:tc>
          <w:tcPr>
            <w:tcW w:w="1418" w:type="dxa"/>
            <w:tcBorders>
              <w:bottom w:val="single" w:color="auto" w:sz="12" w:space="0"/>
            </w:tcBorders>
          </w:tcPr>
          <w:p>
            <w:pPr>
              <w:rPr>
                <w:rFonts w:ascii="宋体" w:hAnsi="宋体" w:cs="宋体"/>
                <w:color w:val="auto"/>
                <w:szCs w:val="21"/>
                <w:highlight w:val="none"/>
              </w:rPr>
            </w:pPr>
          </w:p>
        </w:tc>
        <w:tc>
          <w:tcPr>
            <w:tcW w:w="850" w:type="dxa"/>
            <w:tcBorders>
              <w:bottom w:val="single" w:color="auto" w:sz="12" w:space="0"/>
            </w:tcBorders>
          </w:tcPr>
          <w:p>
            <w:pPr>
              <w:rPr>
                <w:rFonts w:ascii="宋体" w:hAnsi="宋体" w:cs="宋体"/>
                <w:color w:val="auto"/>
                <w:szCs w:val="21"/>
                <w:highlight w:val="none"/>
              </w:rPr>
            </w:pPr>
          </w:p>
        </w:tc>
        <w:tc>
          <w:tcPr>
            <w:tcW w:w="709" w:type="dxa"/>
            <w:tcBorders>
              <w:bottom w:val="single" w:color="auto" w:sz="12" w:space="0"/>
            </w:tcBorders>
          </w:tcPr>
          <w:p>
            <w:pPr>
              <w:rPr>
                <w:rFonts w:ascii="宋体" w:hAnsi="宋体" w:cs="宋体"/>
                <w:color w:val="auto"/>
                <w:szCs w:val="21"/>
                <w:highlight w:val="none"/>
              </w:rPr>
            </w:pPr>
          </w:p>
        </w:tc>
        <w:tc>
          <w:tcPr>
            <w:tcW w:w="850" w:type="dxa"/>
            <w:tcBorders>
              <w:bottom w:val="single" w:color="auto" w:sz="12" w:space="0"/>
            </w:tcBorders>
          </w:tcPr>
          <w:p>
            <w:pPr>
              <w:rPr>
                <w:rFonts w:ascii="宋体" w:hAnsi="宋体" w:cs="宋体"/>
                <w:color w:val="auto"/>
                <w:szCs w:val="21"/>
                <w:highlight w:val="none"/>
              </w:rPr>
            </w:pPr>
          </w:p>
        </w:tc>
        <w:tc>
          <w:tcPr>
            <w:tcW w:w="963" w:type="dxa"/>
            <w:tcBorders>
              <w:bottom w:val="single" w:color="auto" w:sz="12" w:space="0"/>
            </w:tcBorders>
          </w:tcPr>
          <w:p>
            <w:pPr>
              <w:rPr>
                <w:rFonts w:ascii="宋体" w:hAnsi="宋体" w:cs="宋体"/>
                <w:color w:val="auto"/>
                <w:szCs w:val="21"/>
                <w:highlight w:val="none"/>
              </w:rPr>
            </w:pPr>
          </w:p>
        </w:tc>
        <w:tc>
          <w:tcPr>
            <w:tcW w:w="1480" w:type="dxa"/>
            <w:tcBorders>
              <w:bottom w:val="single" w:color="auto" w:sz="12" w:space="0"/>
            </w:tcBorders>
          </w:tcPr>
          <w:p>
            <w:pPr>
              <w:rPr>
                <w:rFonts w:ascii="宋体" w:hAnsi="宋体" w:cs="宋体"/>
                <w:color w:val="auto"/>
                <w:szCs w:val="21"/>
                <w:highlight w:val="none"/>
              </w:rPr>
            </w:pPr>
          </w:p>
        </w:tc>
        <w:tc>
          <w:tcPr>
            <w:tcW w:w="1020" w:type="dxa"/>
            <w:tcBorders>
              <w:bottom w:val="single" w:color="auto" w:sz="12" w:space="0"/>
            </w:tcBorders>
          </w:tcPr>
          <w:p>
            <w:pPr>
              <w:rPr>
                <w:rFonts w:ascii="宋体" w:hAnsi="宋体" w:cs="宋体"/>
                <w:color w:val="auto"/>
                <w:szCs w:val="21"/>
                <w:highlight w:val="none"/>
              </w:rPr>
            </w:pPr>
          </w:p>
        </w:tc>
        <w:tc>
          <w:tcPr>
            <w:tcW w:w="932" w:type="dxa"/>
            <w:tcBorders>
              <w:bottom w:val="single" w:color="auto" w:sz="12" w:space="0"/>
            </w:tcBorders>
          </w:tcPr>
          <w:p>
            <w:pPr>
              <w:rPr>
                <w:rFonts w:ascii="宋体" w:hAnsi="宋体" w:cs="宋体"/>
                <w:color w:val="auto"/>
                <w:szCs w:val="21"/>
                <w:highlight w:val="none"/>
              </w:rPr>
            </w:pPr>
          </w:p>
        </w:tc>
      </w:tr>
    </w:tbl>
    <w:p>
      <w:pPr>
        <w:rPr>
          <w:rFonts w:ascii="宋体" w:hAnsi="宋体" w:cs="宋体"/>
          <w:color w:val="auto"/>
          <w:szCs w:val="21"/>
          <w:highlight w:val="none"/>
        </w:rPr>
      </w:pPr>
    </w:p>
    <w:p>
      <w:pPr>
        <w:widowControl/>
        <w:spacing w:line="360" w:lineRule="auto"/>
        <w:jc w:val="center"/>
        <w:rPr>
          <w:rFonts w:ascii="宋体" w:hAnsi="宋体" w:cs="宋体"/>
          <w:color w:val="auto"/>
          <w:sz w:val="24"/>
          <w:highlight w:val="none"/>
        </w:rPr>
      </w:pPr>
      <w:r>
        <w:rPr>
          <w:rFonts w:hint="eastAsia" w:ascii="宋体" w:hAnsi="宋体" w:cs="宋体"/>
          <w:color w:val="auto"/>
          <w:szCs w:val="21"/>
          <w:highlight w:val="none"/>
        </w:rPr>
        <w:br w:type="page"/>
      </w:r>
    </w:p>
    <w:p>
      <w:pPr>
        <w:keepNext/>
        <w:keepLines/>
        <w:spacing w:before="120" w:after="120" w:line="360" w:lineRule="auto"/>
        <w:jc w:val="left"/>
        <w:outlineLvl w:val="2"/>
        <w:rPr>
          <w:rFonts w:ascii="宋体" w:hAnsi="宋体" w:cs="宋体"/>
          <w:bCs/>
          <w:color w:val="auto"/>
          <w:sz w:val="24"/>
          <w:highlight w:val="none"/>
        </w:rPr>
      </w:pPr>
      <w:bookmarkStart w:id="623" w:name="_Toc95223492"/>
      <w:r>
        <w:rPr>
          <w:rFonts w:hint="eastAsia" w:ascii="宋体" w:hAnsi="宋体" w:cs="宋体"/>
          <w:bCs/>
          <w:color w:val="auto"/>
          <w:sz w:val="24"/>
          <w:highlight w:val="none"/>
        </w:rPr>
        <w:t>附</w:t>
      </w:r>
      <w:bookmarkStart w:id="624" w:name="_Toc296891268"/>
      <w:bookmarkStart w:id="625" w:name="_Toc296503228"/>
      <w:bookmarkStart w:id="626" w:name="_Toc267261699"/>
      <w:bookmarkStart w:id="627" w:name="_Toc296347227"/>
      <w:bookmarkStart w:id="628" w:name="_Toc296891056"/>
      <w:bookmarkStart w:id="629" w:name="_Toc296346729"/>
      <w:bookmarkStart w:id="630" w:name="_Toc296944567"/>
      <w:r>
        <w:rPr>
          <w:rFonts w:hint="eastAsia" w:ascii="宋体" w:hAnsi="宋体" w:cs="宋体"/>
          <w:bCs/>
          <w:color w:val="auto"/>
          <w:sz w:val="24"/>
          <w:highlight w:val="none"/>
        </w:rPr>
        <w:t>件</w:t>
      </w:r>
      <w:bookmarkEnd w:id="624"/>
      <w:bookmarkEnd w:id="625"/>
      <w:bookmarkEnd w:id="626"/>
      <w:bookmarkEnd w:id="627"/>
      <w:bookmarkEnd w:id="628"/>
      <w:bookmarkEnd w:id="629"/>
      <w:bookmarkEnd w:id="630"/>
      <w:r>
        <w:rPr>
          <w:rFonts w:hint="eastAsia" w:ascii="宋体" w:hAnsi="宋体" w:cs="宋体"/>
          <w:bCs/>
          <w:color w:val="auto"/>
          <w:sz w:val="24"/>
          <w:highlight w:val="none"/>
        </w:rPr>
        <w:t>6：承包人主要施工管理人员表</w:t>
      </w:r>
      <w:bookmarkEnd w:id="623"/>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28"/>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60"/>
        <w:gridCol w:w="1243"/>
        <w:gridCol w:w="995"/>
        <w:gridCol w:w="995"/>
        <w:gridCol w:w="2536"/>
        <w:gridCol w:w="22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vAlign w:val="center"/>
          </w:tcPr>
          <w:p>
            <w:pPr>
              <w:keepNext/>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vAlign w:val="center"/>
          </w:tcPr>
          <w:p>
            <w:pPr>
              <w:keepNext/>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vAlign w:val="center"/>
          </w:tcPr>
          <w:p>
            <w:pPr>
              <w:keepNext/>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vAlign w:val="center"/>
          </w:tcPr>
          <w:p>
            <w:pPr>
              <w:keepNext/>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vAlign w:val="center"/>
          </w:tcPr>
          <w:p>
            <w:pPr>
              <w:keepNext/>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tcPr>
          <w:p>
            <w:pPr>
              <w:keepNext/>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vAlign w:val="center"/>
          </w:tcPr>
          <w:p>
            <w:pPr>
              <w:keepNext/>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vAlign w:val="center"/>
          </w:tcPr>
          <w:p>
            <w:pPr>
              <w:keepNext/>
              <w:spacing w:line="360" w:lineRule="auto"/>
              <w:jc w:val="center"/>
              <w:rPr>
                <w:rFonts w:ascii="宋体" w:hAnsi="宋体" w:cs="宋体"/>
                <w:color w:val="auto"/>
                <w:szCs w:val="21"/>
                <w:highlight w:val="none"/>
              </w:rPr>
            </w:pPr>
          </w:p>
        </w:tc>
        <w:tc>
          <w:tcPr>
            <w:tcW w:w="502" w:type="pct"/>
            <w:tcBorders>
              <w:top w:val="nil"/>
            </w:tcBorders>
            <w:vAlign w:val="center"/>
          </w:tcPr>
          <w:p>
            <w:pPr>
              <w:keepNext/>
              <w:spacing w:line="360" w:lineRule="auto"/>
              <w:jc w:val="center"/>
              <w:rPr>
                <w:rFonts w:ascii="宋体" w:hAnsi="宋体" w:cs="宋体"/>
                <w:color w:val="auto"/>
                <w:szCs w:val="21"/>
                <w:highlight w:val="none"/>
              </w:rPr>
            </w:pPr>
          </w:p>
        </w:tc>
        <w:tc>
          <w:tcPr>
            <w:tcW w:w="502" w:type="pct"/>
            <w:tcBorders>
              <w:top w:val="nil"/>
            </w:tcBorders>
            <w:vAlign w:val="center"/>
          </w:tcPr>
          <w:p>
            <w:pPr>
              <w:keepNext/>
              <w:spacing w:line="360" w:lineRule="auto"/>
              <w:jc w:val="center"/>
              <w:rPr>
                <w:rFonts w:ascii="宋体" w:hAnsi="宋体" w:cs="宋体"/>
                <w:color w:val="auto"/>
                <w:szCs w:val="21"/>
                <w:highlight w:val="none"/>
              </w:rPr>
            </w:pPr>
          </w:p>
        </w:tc>
        <w:tc>
          <w:tcPr>
            <w:tcW w:w="1279" w:type="pct"/>
            <w:tcBorders>
              <w:top w:val="nil"/>
            </w:tcBorders>
            <w:vAlign w:val="center"/>
          </w:tcPr>
          <w:p>
            <w:pPr>
              <w:keepNext/>
              <w:spacing w:line="360" w:lineRule="auto"/>
              <w:jc w:val="center"/>
              <w:rPr>
                <w:rFonts w:ascii="宋体" w:hAnsi="宋体" w:cs="宋体"/>
                <w:color w:val="auto"/>
                <w:szCs w:val="21"/>
                <w:highlight w:val="none"/>
              </w:rPr>
            </w:pPr>
          </w:p>
        </w:tc>
        <w:tc>
          <w:tcPr>
            <w:tcW w:w="1153" w:type="pct"/>
            <w:tcBorders>
              <w:top w:val="nil"/>
            </w:tcBorders>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vAlign w:val="center"/>
          </w:tcPr>
          <w:p>
            <w:pPr>
              <w:spacing w:line="360" w:lineRule="auto"/>
              <w:jc w:val="center"/>
              <w:rPr>
                <w:rFonts w:ascii="宋体" w:hAnsi="宋体" w:cs="宋体"/>
                <w:color w:val="auto"/>
                <w:szCs w:val="21"/>
                <w:highlight w:val="none"/>
              </w:rPr>
            </w:pPr>
          </w:p>
        </w:tc>
        <w:tc>
          <w:tcPr>
            <w:tcW w:w="627"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1279" w:type="pct"/>
            <w:vAlign w:val="center"/>
          </w:tcPr>
          <w:p>
            <w:pPr>
              <w:keepNext/>
              <w:spacing w:line="360" w:lineRule="auto"/>
              <w:jc w:val="center"/>
              <w:rPr>
                <w:rFonts w:ascii="宋体" w:hAnsi="宋体" w:cs="宋体"/>
                <w:color w:val="auto"/>
                <w:szCs w:val="21"/>
                <w:highlight w:val="none"/>
              </w:rPr>
            </w:pPr>
          </w:p>
        </w:tc>
        <w:tc>
          <w:tcPr>
            <w:tcW w:w="1153" w:type="pct"/>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其他人员</w:t>
            </w:r>
          </w:p>
        </w:tc>
        <w:tc>
          <w:tcPr>
            <w:tcW w:w="627"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1279" w:type="pct"/>
            <w:vAlign w:val="center"/>
          </w:tcPr>
          <w:p>
            <w:pPr>
              <w:keepNext/>
              <w:spacing w:line="360" w:lineRule="auto"/>
              <w:jc w:val="center"/>
              <w:rPr>
                <w:rFonts w:ascii="宋体" w:hAnsi="宋体" w:cs="宋体"/>
                <w:color w:val="auto"/>
                <w:szCs w:val="21"/>
                <w:highlight w:val="none"/>
              </w:rPr>
            </w:pPr>
          </w:p>
        </w:tc>
        <w:tc>
          <w:tcPr>
            <w:tcW w:w="1153" w:type="pct"/>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pPr>
              <w:spacing w:line="360" w:lineRule="auto"/>
              <w:jc w:val="center"/>
              <w:rPr>
                <w:rFonts w:ascii="宋体" w:hAnsi="宋体" w:cs="宋体"/>
                <w:color w:val="auto"/>
                <w:szCs w:val="21"/>
                <w:highlight w:val="none"/>
              </w:rPr>
            </w:pPr>
          </w:p>
        </w:tc>
        <w:tc>
          <w:tcPr>
            <w:tcW w:w="627"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1279" w:type="pct"/>
            <w:vAlign w:val="center"/>
          </w:tcPr>
          <w:p>
            <w:pPr>
              <w:keepNext/>
              <w:spacing w:line="360" w:lineRule="auto"/>
              <w:jc w:val="center"/>
              <w:rPr>
                <w:rFonts w:ascii="宋体" w:hAnsi="宋体" w:cs="宋体"/>
                <w:color w:val="auto"/>
                <w:szCs w:val="21"/>
                <w:highlight w:val="none"/>
              </w:rPr>
            </w:pPr>
          </w:p>
        </w:tc>
        <w:tc>
          <w:tcPr>
            <w:tcW w:w="1153" w:type="pct"/>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vAlign w:val="center"/>
          </w:tcPr>
          <w:p>
            <w:pPr>
              <w:keepNext/>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二、现场人员</w:t>
            </w:r>
          </w:p>
        </w:tc>
        <w:tc>
          <w:tcPr>
            <w:tcW w:w="1153" w:type="pct"/>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627"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1279" w:type="pct"/>
            <w:vAlign w:val="center"/>
          </w:tcPr>
          <w:p>
            <w:pPr>
              <w:keepNext/>
              <w:spacing w:line="360" w:lineRule="auto"/>
              <w:jc w:val="center"/>
              <w:rPr>
                <w:rFonts w:ascii="宋体" w:hAnsi="宋体" w:cs="宋体"/>
                <w:color w:val="auto"/>
                <w:szCs w:val="21"/>
                <w:highlight w:val="none"/>
              </w:rPr>
            </w:pPr>
          </w:p>
        </w:tc>
        <w:tc>
          <w:tcPr>
            <w:tcW w:w="1153" w:type="pct"/>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项目副经理</w:t>
            </w:r>
          </w:p>
        </w:tc>
        <w:tc>
          <w:tcPr>
            <w:tcW w:w="627"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1279" w:type="pct"/>
            <w:vAlign w:val="center"/>
          </w:tcPr>
          <w:p>
            <w:pPr>
              <w:keepNext/>
              <w:spacing w:line="360" w:lineRule="auto"/>
              <w:jc w:val="center"/>
              <w:rPr>
                <w:rFonts w:ascii="宋体" w:hAnsi="宋体" w:cs="宋体"/>
                <w:color w:val="auto"/>
                <w:szCs w:val="21"/>
                <w:highlight w:val="none"/>
              </w:rPr>
            </w:pPr>
          </w:p>
        </w:tc>
        <w:tc>
          <w:tcPr>
            <w:tcW w:w="1153" w:type="pct"/>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1279" w:type="pct"/>
            <w:vAlign w:val="center"/>
          </w:tcPr>
          <w:p>
            <w:pPr>
              <w:keepNext/>
              <w:spacing w:line="360" w:lineRule="auto"/>
              <w:jc w:val="center"/>
              <w:rPr>
                <w:rFonts w:ascii="宋体" w:hAnsi="宋体" w:cs="宋体"/>
                <w:color w:val="auto"/>
                <w:szCs w:val="21"/>
                <w:highlight w:val="none"/>
              </w:rPr>
            </w:pPr>
          </w:p>
        </w:tc>
        <w:tc>
          <w:tcPr>
            <w:tcW w:w="1153" w:type="pct"/>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施工员</w:t>
            </w:r>
          </w:p>
        </w:tc>
        <w:tc>
          <w:tcPr>
            <w:tcW w:w="627"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1279" w:type="pct"/>
            <w:vAlign w:val="center"/>
          </w:tcPr>
          <w:p>
            <w:pPr>
              <w:keepNext/>
              <w:spacing w:line="360" w:lineRule="auto"/>
              <w:jc w:val="center"/>
              <w:rPr>
                <w:rFonts w:ascii="宋体" w:hAnsi="宋体" w:cs="宋体"/>
                <w:color w:val="auto"/>
                <w:szCs w:val="21"/>
                <w:highlight w:val="none"/>
              </w:rPr>
            </w:pPr>
          </w:p>
        </w:tc>
        <w:tc>
          <w:tcPr>
            <w:tcW w:w="1153" w:type="pct"/>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1279" w:type="pct"/>
            <w:vAlign w:val="center"/>
          </w:tcPr>
          <w:p>
            <w:pPr>
              <w:keepNext/>
              <w:spacing w:line="360" w:lineRule="auto"/>
              <w:jc w:val="center"/>
              <w:rPr>
                <w:rFonts w:ascii="宋体" w:hAnsi="宋体" w:cs="宋体"/>
                <w:color w:val="auto"/>
                <w:szCs w:val="21"/>
                <w:highlight w:val="none"/>
              </w:rPr>
            </w:pPr>
          </w:p>
        </w:tc>
        <w:tc>
          <w:tcPr>
            <w:tcW w:w="1153" w:type="pct"/>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安全员</w:t>
            </w:r>
          </w:p>
        </w:tc>
        <w:tc>
          <w:tcPr>
            <w:tcW w:w="627"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1279" w:type="pct"/>
            <w:vAlign w:val="center"/>
          </w:tcPr>
          <w:p>
            <w:pPr>
              <w:keepNext/>
              <w:spacing w:line="360" w:lineRule="auto"/>
              <w:jc w:val="center"/>
              <w:rPr>
                <w:rFonts w:ascii="宋体" w:hAnsi="宋体" w:cs="宋体"/>
                <w:color w:val="auto"/>
                <w:szCs w:val="21"/>
                <w:highlight w:val="none"/>
              </w:rPr>
            </w:pPr>
          </w:p>
        </w:tc>
        <w:tc>
          <w:tcPr>
            <w:tcW w:w="1153" w:type="pct"/>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资料员</w:t>
            </w:r>
          </w:p>
        </w:tc>
        <w:tc>
          <w:tcPr>
            <w:tcW w:w="627"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1279" w:type="pct"/>
            <w:vAlign w:val="center"/>
          </w:tcPr>
          <w:p>
            <w:pPr>
              <w:keepNext/>
              <w:spacing w:line="360" w:lineRule="auto"/>
              <w:jc w:val="center"/>
              <w:rPr>
                <w:rFonts w:ascii="宋体" w:hAnsi="宋体" w:cs="宋体"/>
                <w:color w:val="auto"/>
                <w:szCs w:val="21"/>
                <w:highlight w:val="none"/>
              </w:rPr>
            </w:pPr>
          </w:p>
        </w:tc>
        <w:tc>
          <w:tcPr>
            <w:tcW w:w="1153" w:type="pct"/>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其他人员</w:t>
            </w:r>
          </w:p>
        </w:tc>
        <w:tc>
          <w:tcPr>
            <w:tcW w:w="627"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1279" w:type="pct"/>
            <w:vAlign w:val="center"/>
          </w:tcPr>
          <w:p>
            <w:pPr>
              <w:keepNext/>
              <w:spacing w:line="360" w:lineRule="auto"/>
              <w:jc w:val="center"/>
              <w:rPr>
                <w:rFonts w:ascii="宋体" w:hAnsi="宋体" w:cs="宋体"/>
                <w:color w:val="auto"/>
                <w:szCs w:val="21"/>
                <w:highlight w:val="none"/>
              </w:rPr>
            </w:pPr>
          </w:p>
        </w:tc>
        <w:tc>
          <w:tcPr>
            <w:tcW w:w="1153" w:type="pct"/>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pPr>
              <w:keepNext/>
              <w:spacing w:line="360" w:lineRule="auto"/>
              <w:jc w:val="center"/>
              <w:rPr>
                <w:rFonts w:ascii="宋体" w:hAnsi="宋体" w:cs="宋体"/>
                <w:color w:val="auto"/>
                <w:szCs w:val="21"/>
                <w:highlight w:val="none"/>
              </w:rPr>
            </w:pPr>
          </w:p>
        </w:tc>
        <w:tc>
          <w:tcPr>
            <w:tcW w:w="627" w:type="pct"/>
            <w:tcBorders>
              <w:bottom w:val="nil"/>
            </w:tcBorders>
            <w:vAlign w:val="center"/>
          </w:tcPr>
          <w:p>
            <w:pPr>
              <w:keepNext/>
              <w:spacing w:line="360" w:lineRule="auto"/>
              <w:jc w:val="center"/>
              <w:rPr>
                <w:rFonts w:ascii="宋体" w:hAnsi="宋体" w:cs="宋体"/>
                <w:color w:val="auto"/>
                <w:szCs w:val="21"/>
                <w:highlight w:val="none"/>
              </w:rPr>
            </w:pPr>
          </w:p>
        </w:tc>
        <w:tc>
          <w:tcPr>
            <w:tcW w:w="502" w:type="pct"/>
            <w:tcBorders>
              <w:bottom w:val="nil"/>
            </w:tcBorders>
            <w:vAlign w:val="center"/>
          </w:tcPr>
          <w:p>
            <w:pPr>
              <w:keepNext/>
              <w:spacing w:line="360" w:lineRule="auto"/>
              <w:jc w:val="center"/>
              <w:rPr>
                <w:rFonts w:ascii="宋体" w:hAnsi="宋体" w:cs="宋体"/>
                <w:color w:val="auto"/>
                <w:szCs w:val="21"/>
                <w:highlight w:val="none"/>
              </w:rPr>
            </w:pPr>
          </w:p>
        </w:tc>
        <w:tc>
          <w:tcPr>
            <w:tcW w:w="502" w:type="pct"/>
            <w:tcBorders>
              <w:bottom w:val="nil"/>
            </w:tcBorders>
            <w:vAlign w:val="center"/>
          </w:tcPr>
          <w:p>
            <w:pPr>
              <w:keepNext/>
              <w:spacing w:line="360" w:lineRule="auto"/>
              <w:jc w:val="center"/>
              <w:rPr>
                <w:rFonts w:ascii="宋体" w:hAnsi="宋体" w:cs="宋体"/>
                <w:color w:val="auto"/>
                <w:szCs w:val="21"/>
                <w:highlight w:val="none"/>
              </w:rPr>
            </w:pPr>
          </w:p>
        </w:tc>
        <w:tc>
          <w:tcPr>
            <w:tcW w:w="1279" w:type="pct"/>
            <w:tcBorders>
              <w:bottom w:val="nil"/>
            </w:tcBorders>
            <w:vAlign w:val="center"/>
          </w:tcPr>
          <w:p>
            <w:pPr>
              <w:keepNext/>
              <w:spacing w:line="360" w:lineRule="auto"/>
              <w:jc w:val="center"/>
              <w:rPr>
                <w:rFonts w:ascii="宋体" w:hAnsi="宋体" w:cs="宋体"/>
                <w:color w:val="auto"/>
                <w:szCs w:val="21"/>
                <w:highlight w:val="none"/>
              </w:rPr>
            </w:pPr>
          </w:p>
        </w:tc>
        <w:tc>
          <w:tcPr>
            <w:tcW w:w="1153" w:type="pct"/>
            <w:tcBorders>
              <w:bottom w:val="nil"/>
            </w:tcBorders>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pPr>
              <w:keepNext/>
              <w:spacing w:line="360" w:lineRule="auto"/>
              <w:jc w:val="center"/>
              <w:rPr>
                <w:rFonts w:ascii="宋体" w:hAnsi="宋体" w:cs="宋体"/>
                <w:color w:val="auto"/>
                <w:szCs w:val="21"/>
                <w:highlight w:val="none"/>
              </w:rPr>
            </w:pPr>
          </w:p>
        </w:tc>
        <w:tc>
          <w:tcPr>
            <w:tcW w:w="627"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1279" w:type="pct"/>
            <w:vAlign w:val="center"/>
          </w:tcPr>
          <w:p>
            <w:pPr>
              <w:keepNext/>
              <w:spacing w:line="360" w:lineRule="auto"/>
              <w:jc w:val="center"/>
              <w:rPr>
                <w:rFonts w:ascii="宋体" w:hAnsi="宋体" w:cs="宋体"/>
                <w:color w:val="auto"/>
                <w:szCs w:val="21"/>
                <w:highlight w:val="none"/>
              </w:rPr>
            </w:pPr>
          </w:p>
        </w:tc>
        <w:tc>
          <w:tcPr>
            <w:tcW w:w="1153" w:type="pct"/>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pPr>
              <w:keepNext/>
              <w:spacing w:line="360" w:lineRule="auto"/>
              <w:jc w:val="center"/>
              <w:rPr>
                <w:rFonts w:ascii="宋体" w:hAnsi="宋体" w:cs="宋体"/>
                <w:color w:val="auto"/>
                <w:szCs w:val="21"/>
                <w:highlight w:val="none"/>
              </w:rPr>
            </w:pPr>
          </w:p>
        </w:tc>
        <w:tc>
          <w:tcPr>
            <w:tcW w:w="627"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1279" w:type="pct"/>
            <w:vAlign w:val="center"/>
          </w:tcPr>
          <w:p>
            <w:pPr>
              <w:keepNext/>
              <w:spacing w:line="360" w:lineRule="auto"/>
              <w:jc w:val="center"/>
              <w:rPr>
                <w:rFonts w:ascii="宋体" w:hAnsi="宋体" w:cs="宋体"/>
                <w:color w:val="auto"/>
                <w:szCs w:val="21"/>
                <w:highlight w:val="none"/>
              </w:rPr>
            </w:pPr>
          </w:p>
        </w:tc>
        <w:tc>
          <w:tcPr>
            <w:tcW w:w="1153" w:type="pct"/>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pPr>
              <w:keepNext/>
              <w:spacing w:line="360" w:lineRule="auto"/>
              <w:jc w:val="center"/>
              <w:rPr>
                <w:rFonts w:ascii="宋体" w:hAnsi="宋体" w:cs="宋体"/>
                <w:color w:val="auto"/>
                <w:szCs w:val="21"/>
                <w:highlight w:val="none"/>
              </w:rPr>
            </w:pPr>
          </w:p>
        </w:tc>
        <w:tc>
          <w:tcPr>
            <w:tcW w:w="627"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502" w:type="pct"/>
            <w:vAlign w:val="center"/>
          </w:tcPr>
          <w:p>
            <w:pPr>
              <w:keepNext/>
              <w:spacing w:line="360" w:lineRule="auto"/>
              <w:jc w:val="center"/>
              <w:rPr>
                <w:rFonts w:ascii="宋体" w:hAnsi="宋体" w:cs="宋体"/>
                <w:color w:val="auto"/>
                <w:szCs w:val="21"/>
                <w:highlight w:val="none"/>
              </w:rPr>
            </w:pPr>
          </w:p>
        </w:tc>
        <w:tc>
          <w:tcPr>
            <w:tcW w:w="1279" w:type="pct"/>
            <w:vAlign w:val="center"/>
          </w:tcPr>
          <w:p>
            <w:pPr>
              <w:keepNext/>
              <w:spacing w:line="360" w:lineRule="auto"/>
              <w:jc w:val="center"/>
              <w:rPr>
                <w:rFonts w:ascii="宋体" w:hAnsi="宋体" w:cs="宋体"/>
                <w:color w:val="auto"/>
                <w:szCs w:val="21"/>
                <w:highlight w:val="none"/>
              </w:rPr>
            </w:pPr>
          </w:p>
        </w:tc>
        <w:tc>
          <w:tcPr>
            <w:tcW w:w="1153" w:type="pct"/>
          </w:tcPr>
          <w:p>
            <w:pPr>
              <w:keepNext/>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vAlign w:val="center"/>
          </w:tcPr>
          <w:p>
            <w:pPr>
              <w:keepNext/>
              <w:spacing w:line="360" w:lineRule="auto"/>
              <w:jc w:val="center"/>
              <w:rPr>
                <w:rFonts w:ascii="宋体" w:hAnsi="宋体" w:cs="宋体"/>
                <w:color w:val="auto"/>
                <w:szCs w:val="21"/>
                <w:highlight w:val="none"/>
              </w:rPr>
            </w:pPr>
          </w:p>
        </w:tc>
        <w:tc>
          <w:tcPr>
            <w:tcW w:w="627" w:type="pct"/>
            <w:tcBorders>
              <w:bottom w:val="single" w:color="auto" w:sz="12" w:space="0"/>
            </w:tcBorders>
            <w:vAlign w:val="center"/>
          </w:tcPr>
          <w:p>
            <w:pPr>
              <w:keepNext/>
              <w:spacing w:line="360" w:lineRule="auto"/>
              <w:jc w:val="center"/>
              <w:rPr>
                <w:rFonts w:ascii="宋体" w:hAnsi="宋体" w:cs="宋体"/>
                <w:color w:val="auto"/>
                <w:szCs w:val="21"/>
                <w:highlight w:val="none"/>
              </w:rPr>
            </w:pPr>
          </w:p>
        </w:tc>
        <w:tc>
          <w:tcPr>
            <w:tcW w:w="502" w:type="pct"/>
            <w:tcBorders>
              <w:bottom w:val="single" w:color="auto" w:sz="12" w:space="0"/>
            </w:tcBorders>
            <w:vAlign w:val="center"/>
          </w:tcPr>
          <w:p>
            <w:pPr>
              <w:keepNext/>
              <w:spacing w:line="360" w:lineRule="auto"/>
              <w:jc w:val="center"/>
              <w:rPr>
                <w:rFonts w:ascii="宋体" w:hAnsi="宋体" w:cs="宋体"/>
                <w:color w:val="auto"/>
                <w:szCs w:val="21"/>
                <w:highlight w:val="none"/>
              </w:rPr>
            </w:pPr>
          </w:p>
        </w:tc>
        <w:tc>
          <w:tcPr>
            <w:tcW w:w="502" w:type="pct"/>
            <w:tcBorders>
              <w:bottom w:val="single" w:color="auto" w:sz="12" w:space="0"/>
            </w:tcBorders>
            <w:vAlign w:val="center"/>
          </w:tcPr>
          <w:p>
            <w:pPr>
              <w:keepNext/>
              <w:spacing w:line="360" w:lineRule="auto"/>
              <w:jc w:val="center"/>
              <w:rPr>
                <w:rFonts w:ascii="宋体" w:hAnsi="宋体" w:cs="宋体"/>
                <w:color w:val="auto"/>
                <w:szCs w:val="21"/>
                <w:highlight w:val="none"/>
              </w:rPr>
            </w:pPr>
          </w:p>
        </w:tc>
        <w:tc>
          <w:tcPr>
            <w:tcW w:w="1279" w:type="pct"/>
            <w:tcBorders>
              <w:bottom w:val="single" w:color="auto" w:sz="12" w:space="0"/>
            </w:tcBorders>
            <w:vAlign w:val="center"/>
          </w:tcPr>
          <w:p>
            <w:pPr>
              <w:keepNext/>
              <w:spacing w:line="360" w:lineRule="auto"/>
              <w:jc w:val="center"/>
              <w:rPr>
                <w:rFonts w:ascii="宋体" w:hAnsi="宋体" w:cs="宋体"/>
                <w:color w:val="auto"/>
                <w:szCs w:val="21"/>
                <w:highlight w:val="none"/>
              </w:rPr>
            </w:pPr>
          </w:p>
        </w:tc>
        <w:tc>
          <w:tcPr>
            <w:tcW w:w="1153" w:type="pct"/>
            <w:tcBorders>
              <w:bottom w:val="single" w:color="auto" w:sz="12" w:space="0"/>
            </w:tcBorders>
          </w:tcPr>
          <w:p>
            <w:pPr>
              <w:keepNext/>
              <w:spacing w:line="360" w:lineRule="auto"/>
              <w:jc w:val="center"/>
              <w:rPr>
                <w:rFonts w:ascii="宋体" w:hAnsi="宋体" w:cs="宋体"/>
                <w:color w:val="auto"/>
                <w:szCs w:val="21"/>
                <w:highlight w:val="none"/>
              </w:rPr>
            </w:pPr>
          </w:p>
        </w:tc>
      </w:tr>
    </w:tbl>
    <w:p>
      <w:pPr>
        <w:keepNext/>
        <w:keepLines/>
        <w:spacing w:before="120" w:after="120" w:line="360" w:lineRule="auto"/>
        <w:jc w:val="left"/>
        <w:outlineLvl w:val="2"/>
        <w:rPr>
          <w:rFonts w:ascii="宋体" w:hAnsi="宋体" w:cs="宋体"/>
          <w:bCs/>
          <w:color w:val="auto"/>
          <w:sz w:val="24"/>
          <w:highlight w:val="none"/>
        </w:rPr>
      </w:pPr>
      <w:r>
        <w:rPr>
          <w:rFonts w:hint="eastAsia" w:ascii="宋体" w:hAnsi="宋体" w:cs="宋体"/>
          <w:bCs/>
          <w:color w:val="auto"/>
          <w:sz w:val="24"/>
          <w:highlight w:val="none"/>
        </w:rPr>
        <w:br w:type="page"/>
      </w:r>
      <w:bookmarkStart w:id="631" w:name="_Toc95223493"/>
      <w:r>
        <w:rPr>
          <w:rFonts w:hint="eastAsia" w:ascii="宋体" w:hAnsi="宋体" w:cs="宋体"/>
          <w:bCs/>
          <w:color w:val="auto"/>
          <w:sz w:val="24"/>
          <w:highlight w:val="none"/>
        </w:rPr>
        <w:t>附</w:t>
      </w:r>
      <w:bookmarkStart w:id="632" w:name="_Toc296347228"/>
      <w:bookmarkStart w:id="633" w:name="_Toc296891269"/>
      <w:bookmarkStart w:id="634" w:name="_Toc296944568"/>
      <w:bookmarkStart w:id="635" w:name="_Toc296503229"/>
      <w:bookmarkStart w:id="636" w:name="_Toc296346730"/>
      <w:bookmarkStart w:id="637" w:name="_Toc296891057"/>
      <w:r>
        <w:rPr>
          <w:rFonts w:hint="eastAsia" w:ascii="宋体" w:hAnsi="宋体" w:cs="宋体"/>
          <w:bCs/>
          <w:color w:val="auto"/>
          <w:sz w:val="24"/>
          <w:highlight w:val="none"/>
        </w:rPr>
        <w:t>件7：分包人主要施工管理人员表</w:t>
      </w:r>
      <w:bookmarkEnd w:id="631"/>
    </w:p>
    <w:bookmarkEnd w:id="632"/>
    <w:bookmarkEnd w:id="633"/>
    <w:bookmarkEnd w:id="634"/>
    <w:bookmarkEnd w:id="635"/>
    <w:bookmarkEnd w:id="636"/>
    <w:bookmarkEnd w:id="637"/>
    <w:p>
      <w:pPr>
        <w:spacing w:before="120" w:beforeLines="50" w:after="120" w:afterLines="50" w:line="360" w:lineRule="auto"/>
        <w:jc w:val="center"/>
        <w:outlineLvl w:val="0"/>
        <w:rPr>
          <w:rFonts w:ascii="宋体" w:hAnsi="宋体" w:cs="宋体"/>
          <w:b/>
          <w:color w:val="auto"/>
          <w:szCs w:val="21"/>
          <w:highlight w:val="none"/>
        </w:rPr>
      </w:pPr>
      <w:bookmarkStart w:id="638" w:name="_Toc95223494"/>
      <w:bookmarkStart w:id="639" w:name="_Toc179"/>
      <w:bookmarkStart w:id="640" w:name="_Toc4971"/>
      <w:bookmarkStart w:id="641" w:name="_Toc22101"/>
      <w:bookmarkStart w:id="642" w:name="_Toc609"/>
      <w:r>
        <w:rPr>
          <w:rFonts w:hint="eastAsia" w:ascii="宋体" w:hAnsi="宋体" w:cs="宋体"/>
          <w:b/>
          <w:color w:val="auto"/>
          <w:szCs w:val="21"/>
          <w:highlight w:val="none"/>
        </w:rPr>
        <w:t>分包人主要施工管理人员表</w:t>
      </w:r>
      <w:bookmarkEnd w:id="638"/>
      <w:bookmarkEnd w:id="639"/>
      <w:bookmarkEnd w:id="640"/>
      <w:bookmarkEnd w:id="641"/>
      <w:bookmarkEnd w:id="642"/>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640"/>
        <w:gridCol w:w="1243"/>
        <w:gridCol w:w="995"/>
        <w:gridCol w:w="725"/>
        <w:gridCol w:w="3354"/>
        <w:gridCol w:w="17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single" w:color="auto" w:sz="12" w:space="0"/>
              <w:bottom w:val="double" w:color="auto" w:sz="6" w:space="0"/>
            </w:tcBorders>
            <w:vAlign w:val="center"/>
          </w:tcPr>
          <w:p>
            <w:pPr>
              <w:keepNext/>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    称</w:t>
            </w:r>
          </w:p>
        </w:tc>
        <w:tc>
          <w:tcPr>
            <w:tcW w:w="641" w:type="pct"/>
            <w:tcBorders>
              <w:top w:val="single" w:color="auto" w:sz="12" w:space="0"/>
              <w:bottom w:val="double" w:color="auto" w:sz="6" w:space="0"/>
            </w:tcBorders>
            <w:vAlign w:val="center"/>
          </w:tcPr>
          <w:p>
            <w:pPr>
              <w:keepNext/>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513" w:type="pct"/>
            <w:tcBorders>
              <w:top w:val="single" w:color="auto" w:sz="12" w:space="0"/>
              <w:bottom w:val="double" w:color="auto" w:sz="6" w:space="0"/>
            </w:tcBorders>
            <w:vAlign w:val="center"/>
          </w:tcPr>
          <w:p>
            <w:pPr>
              <w:keepNext/>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374" w:type="pct"/>
            <w:tcBorders>
              <w:top w:val="single" w:color="auto" w:sz="12" w:space="0"/>
              <w:bottom w:val="double" w:color="auto" w:sz="6" w:space="0"/>
            </w:tcBorders>
            <w:vAlign w:val="center"/>
          </w:tcPr>
          <w:p>
            <w:pPr>
              <w:keepNext/>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730" w:type="pct"/>
            <w:tcBorders>
              <w:top w:val="single" w:color="auto" w:sz="12" w:space="0"/>
              <w:bottom w:val="double" w:color="auto" w:sz="6" w:space="0"/>
            </w:tcBorders>
            <w:vAlign w:val="center"/>
          </w:tcPr>
          <w:p>
            <w:pPr>
              <w:keepNext/>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896" w:type="pct"/>
            <w:tcBorders>
              <w:top w:val="single" w:color="auto" w:sz="12" w:space="0"/>
              <w:bottom w:val="double" w:color="auto" w:sz="6" w:space="0"/>
            </w:tcBorders>
            <w:vAlign w:val="center"/>
          </w:tcPr>
          <w:p>
            <w:pPr>
              <w:keepNext/>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vAlign w:val="center"/>
          </w:tcPr>
          <w:p>
            <w:pPr>
              <w:keepNext/>
              <w:spacing w:line="360" w:lineRule="auto"/>
              <w:rPr>
                <w:rFonts w:ascii="宋体" w:hAnsi="宋体" w:cs="宋体"/>
                <w:color w:val="auto"/>
                <w:szCs w:val="21"/>
                <w:highlight w:val="none"/>
              </w:rPr>
            </w:pPr>
            <w:r>
              <w:rPr>
                <w:rFonts w:hint="eastAsia" w:ascii="宋体" w:hAnsi="宋体" w:cs="宋体"/>
                <w:color w:val="auto"/>
                <w:szCs w:val="21"/>
                <w:highlight w:val="none"/>
              </w:rPr>
              <w:t>一、总部人员</w:t>
            </w:r>
          </w:p>
        </w:tc>
        <w:tc>
          <w:tcPr>
            <w:tcW w:w="896" w:type="pct"/>
            <w:tcBorders>
              <w:top w:val="double" w:color="auto" w:sz="6" w:space="0"/>
            </w:tcBorders>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vAlign w:val="center"/>
          </w:tcPr>
          <w:p>
            <w:pPr>
              <w:keepNext/>
              <w:spacing w:line="360" w:lineRule="auto"/>
              <w:rPr>
                <w:rFonts w:ascii="宋体" w:hAnsi="宋体" w:cs="宋体"/>
                <w:color w:val="auto"/>
                <w:szCs w:val="21"/>
                <w:highlight w:val="none"/>
              </w:rPr>
            </w:pPr>
            <w:r>
              <w:rPr>
                <w:rFonts w:hint="eastAsia" w:ascii="宋体" w:hAnsi="宋体" w:cs="宋体"/>
                <w:color w:val="auto"/>
                <w:szCs w:val="21"/>
                <w:highlight w:val="none"/>
              </w:rPr>
              <w:t>项目主管</w:t>
            </w:r>
          </w:p>
        </w:tc>
        <w:tc>
          <w:tcPr>
            <w:tcW w:w="641" w:type="pct"/>
            <w:tcBorders>
              <w:top w:val="nil"/>
            </w:tcBorders>
            <w:vAlign w:val="center"/>
          </w:tcPr>
          <w:p>
            <w:pPr>
              <w:keepNext/>
              <w:spacing w:line="360" w:lineRule="auto"/>
              <w:rPr>
                <w:rFonts w:ascii="宋体" w:hAnsi="宋体" w:cs="宋体"/>
                <w:color w:val="auto"/>
                <w:szCs w:val="21"/>
                <w:highlight w:val="none"/>
              </w:rPr>
            </w:pPr>
          </w:p>
        </w:tc>
        <w:tc>
          <w:tcPr>
            <w:tcW w:w="513" w:type="pct"/>
            <w:tcBorders>
              <w:top w:val="nil"/>
            </w:tcBorders>
            <w:vAlign w:val="center"/>
          </w:tcPr>
          <w:p>
            <w:pPr>
              <w:keepNext/>
              <w:spacing w:line="360" w:lineRule="auto"/>
              <w:rPr>
                <w:rFonts w:ascii="宋体" w:hAnsi="宋体" w:cs="宋体"/>
                <w:color w:val="auto"/>
                <w:szCs w:val="21"/>
                <w:highlight w:val="none"/>
              </w:rPr>
            </w:pPr>
          </w:p>
        </w:tc>
        <w:tc>
          <w:tcPr>
            <w:tcW w:w="374" w:type="pct"/>
            <w:tcBorders>
              <w:top w:val="nil"/>
            </w:tcBorders>
            <w:vAlign w:val="center"/>
          </w:tcPr>
          <w:p>
            <w:pPr>
              <w:keepNext/>
              <w:spacing w:line="360" w:lineRule="auto"/>
              <w:rPr>
                <w:rFonts w:ascii="宋体" w:hAnsi="宋体" w:cs="宋体"/>
                <w:color w:val="auto"/>
                <w:szCs w:val="21"/>
                <w:highlight w:val="none"/>
              </w:rPr>
            </w:pPr>
          </w:p>
        </w:tc>
        <w:tc>
          <w:tcPr>
            <w:tcW w:w="1730" w:type="pct"/>
            <w:tcBorders>
              <w:top w:val="nil"/>
            </w:tcBorders>
            <w:vAlign w:val="center"/>
          </w:tcPr>
          <w:p>
            <w:pPr>
              <w:keepNext/>
              <w:spacing w:line="360" w:lineRule="auto"/>
              <w:rPr>
                <w:rFonts w:ascii="宋体" w:hAnsi="宋体" w:cs="宋体"/>
                <w:color w:val="auto"/>
                <w:szCs w:val="21"/>
                <w:highlight w:val="none"/>
              </w:rPr>
            </w:pPr>
          </w:p>
        </w:tc>
        <w:tc>
          <w:tcPr>
            <w:tcW w:w="896" w:type="pct"/>
            <w:tcBorders>
              <w:top w:val="nil"/>
            </w:tcBorders>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bottom w:val="nil"/>
            </w:tcBorders>
            <w:vAlign w:val="center"/>
          </w:tcPr>
          <w:p>
            <w:pPr>
              <w:keepNext/>
              <w:spacing w:line="360" w:lineRule="auto"/>
              <w:rPr>
                <w:rFonts w:ascii="宋体" w:hAnsi="宋体" w:cs="宋体"/>
                <w:color w:val="auto"/>
                <w:szCs w:val="21"/>
                <w:highlight w:val="none"/>
              </w:rPr>
            </w:pPr>
          </w:p>
        </w:tc>
        <w:tc>
          <w:tcPr>
            <w:tcW w:w="641" w:type="pct"/>
            <w:vAlign w:val="center"/>
          </w:tcPr>
          <w:p>
            <w:pPr>
              <w:keepNext/>
              <w:spacing w:line="360" w:lineRule="auto"/>
              <w:rPr>
                <w:rFonts w:ascii="宋体" w:hAnsi="宋体" w:cs="宋体"/>
                <w:color w:val="auto"/>
                <w:szCs w:val="21"/>
                <w:highlight w:val="none"/>
              </w:rPr>
            </w:pPr>
          </w:p>
        </w:tc>
        <w:tc>
          <w:tcPr>
            <w:tcW w:w="513" w:type="pct"/>
            <w:vAlign w:val="center"/>
          </w:tcPr>
          <w:p>
            <w:pPr>
              <w:keepNext/>
              <w:spacing w:line="360" w:lineRule="auto"/>
              <w:rPr>
                <w:rFonts w:ascii="宋体" w:hAnsi="宋体" w:cs="宋体"/>
                <w:color w:val="auto"/>
                <w:szCs w:val="21"/>
                <w:highlight w:val="none"/>
              </w:rPr>
            </w:pPr>
          </w:p>
        </w:tc>
        <w:tc>
          <w:tcPr>
            <w:tcW w:w="374" w:type="pct"/>
            <w:vAlign w:val="center"/>
          </w:tcPr>
          <w:p>
            <w:pPr>
              <w:keepNext/>
              <w:spacing w:line="360" w:lineRule="auto"/>
              <w:rPr>
                <w:rFonts w:ascii="宋体" w:hAnsi="宋体" w:cs="宋体"/>
                <w:color w:val="auto"/>
                <w:szCs w:val="21"/>
                <w:highlight w:val="none"/>
              </w:rPr>
            </w:pPr>
          </w:p>
        </w:tc>
        <w:tc>
          <w:tcPr>
            <w:tcW w:w="1730" w:type="pct"/>
            <w:vAlign w:val="center"/>
          </w:tcPr>
          <w:p>
            <w:pPr>
              <w:keepNext/>
              <w:spacing w:line="360" w:lineRule="auto"/>
              <w:rPr>
                <w:rFonts w:ascii="宋体" w:hAnsi="宋体" w:cs="宋体"/>
                <w:color w:val="auto"/>
                <w:szCs w:val="21"/>
                <w:highlight w:val="none"/>
              </w:rPr>
            </w:pPr>
          </w:p>
        </w:tc>
        <w:tc>
          <w:tcPr>
            <w:tcW w:w="896" w:type="pct"/>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vAlign w:val="center"/>
          </w:tcPr>
          <w:p>
            <w:pPr>
              <w:keepNext/>
              <w:spacing w:line="360" w:lineRule="auto"/>
              <w:rPr>
                <w:rFonts w:ascii="宋体" w:hAnsi="宋体" w:cs="宋体"/>
                <w:color w:val="auto"/>
                <w:szCs w:val="21"/>
                <w:highlight w:val="none"/>
              </w:rPr>
            </w:pPr>
            <w:r>
              <w:rPr>
                <w:rFonts w:hint="eastAsia" w:ascii="宋体" w:hAnsi="宋体" w:cs="宋体"/>
                <w:color w:val="auto"/>
                <w:szCs w:val="21"/>
                <w:highlight w:val="none"/>
              </w:rPr>
              <w:t>其他人员</w:t>
            </w:r>
          </w:p>
        </w:tc>
        <w:tc>
          <w:tcPr>
            <w:tcW w:w="641" w:type="pct"/>
            <w:vAlign w:val="center"/>
          </w:tcPr>
          <w:p>
            <w:pPr>
              <w:keepNext/>
              <w:spacing w:line="360" w:lineRule="auto"/>
              <w:rPr>
                <w:rFonts w:ascii="宋体" w:hAnsi="宋体" w:cs="宋体"/>
                <w:color w:val="auto"/>
                <w:szCs w:val="21"/>
                <w:highlight w:val="none"/>
              </w:rPr>
            </w:pPr>
          </w:p>
        </w:tc>
        <w:tc>
          <w:tcPr>
            <w:tcW w:w="513" w:type="pct"/>
            <w:vAlign w:val="center"/>
          </w:tcPr>
          <w:p>
            <w:pPr>
              <w:keepNext/>
              <w:spacing w:line="360" w:lineRule="auto"/>
              <w:rPr>
                <w:rFonts w:ascii="宋体" w:hAnsi="宋体" w:cs="宋体"/>
                <w:color w:val="auto"/>
                <w:szCs w:val="21"/>
                <w:highlight w:val="none"/>
              </w:rPr>
            </w:pPr>
          </w:p>
        </w:tc>
        <w:tc>
          <w:tcPr>
            <w:tcW w:w="374" w:type="pct"/>
            <w:vAlign w:val="center"/>
          </w:tcPr>
          <w:p>
            <w:pPr>
              <w:keepNext/>
              <w:spacing w:line="360" w:lineRule="auto"/>
              <w:rPr>
                <w:rFonts w:ascii="宋体" w:hAnsi="宋体" w:cs="宋体"/>
                <w:color w:val="auto"/>
                <w:szCs w:val="21"/>
                <w:highlight w:val="none"/>
              </w:rPr>
            </w:pPr>
          </w:p>
        </w:tc>
        <w:tc>
          <w:tcPr>
            <w:tcW w:w="1730" w:type="pct"/>
            <w:vAlign w:val="center"/>
          </w:tcPr>
          <w:p>
            <w:pPr>
              <w:keepNext/>
              <w:spacing w:line="360" w:lineRule="auto"/>
              <w:rPr>
                <w:rFonts w:ascii="宋体" w:hAnsi="宋体" w:cs="宋体"/>
                <w:color w:val="auto"/>
                <w:szCs w:val="21"/>
                <w:highlight w:val="none"/>
              </w:rPr>
            </w:pPr>
          </w:p>
        </w:tc>
        <w:tc>
          <w:tcPr>
            <w:tcW w:w="896" w:type="pct"/>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vAlign w:val="center"/>
          </w:tcPr>
          <w:p>
            <w:pPr>
              <w:keepNext/>
              <w:spacing w:line="360" w:lineRule="auto"/>
              <w:rPr>
                <w:rFonts w:ascii="宋体" w:hAnsi="宋体" w:cs="宋体"/>
                <w:color w:val="auto"/>
                <w:szCs w:val="21"/>
                <w:highlight w:val="none"/>
              </w:rPr>
            </w:pPr>
          </w:p>
        </w:tc>
        <w:tc>
          <w:tcPr>
            <w:tcW w:w="641" w:type="pct"/>
            <w:vAlign w:val="center"/>
          </w:tcPr>
          <w:p>
            <w:pPr>
              <w:keepNext/>
              <w:spacing w:line="360" w:lineRule="auto"/>
              <w:rPr>
                <w:rFonts w:ascii="宋体" w:hAnsi="宋体" w:cs="宋体"/>
                <w:color w:val="auto"/>
                <w:szCs w:val="21"/>
                <w:highlight w:val="none"/>
              </w:rPr>
            </w:pPr>
          </w:p>
        </w:tc>
        <w:tc>
          <w:tcPr>
            <w:tcW w:w="513" w:type="pct"/>
            <w:vAlign w:val="center"/>
          </w:tcPr>
          <w:p>
            <w:pPr>
              <w:keepNext/>
              <w:spacing w:line="360" w:lineRule="auto"/>
              <w:rPr>
                <w:rFonts w:ascii="宋体" w:hAnsi="宋体" w:cs="宋体"/>
                <w:color w:val="auto"/>
                <w:szCs w:val="21"/>
                <w:highlight w:val="none"/>
              </w:rPr>
            </w:pPr>
          </w:p>
        </w:tc>
        <w:tc>
          <w:tcPr>
            <w:tcW w:w="374" w:type="pct"/>
            <w:vAlign w:val="center"/>
          </w:tcPr>
          <w:p>
            <w:pPr>
              <w:keepNext/>
              <w:spacing w:line="360" w:lineRule="auto"/>
              <w:rPr>
                <w:rFonts w:ascii="宋体" w:hAnsi="宋体" w:cs="宋体"/>
                <w:color w:val="auto"/>
                <w:szCs w:val="21"/>
                <w:highlight w:val="none"/>
              </w:rPr>
            </w:pPr>
          </w:p>
        </w:tc>
        <w:tc>
          <w:tcPr>
            <w:tcW w:w="1730" w:type="pct"/>
            <w:vAlign w:val="center"/>
          </w:tcPr>
          <w:p>
            <w:pPr>
              <w:keepNext/>
              <w:spacing w:line="360" w:lineRule="auto"/>
              <w:rPr>
                <w:rFonts w:ascii="宋体" w:hAnsi="宋体" w:cs="宋体"/>
                <w:color w:val="auto"/>
                <w:szCs w:val="21"/>
                <w:highlight w:val="none"/>
              </w:rPr>
            </w:pPr>
          </w:p>
        </w:tc>
        <w:tc>
          <w:tcPr>
            <w:tcW w:w="896" w:type="pct"/>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vAlign w:val="center"/>
          </w:tcPr>
          <w:p>
            <w:pPr>
              <w:keepNext/>
              <w:spacing w:line="360" w:lineRule="auto"/>
              <w:rPr>
                <w:rFonts w:ascii="宋体" w:hAnsi="宋体" w:cs="宋体"/>
                <w:color w:val="auto"/>
                <w:szCs w:val="21"/>
                <w:highlight w:val="none"/>
              </w:rPr>
            </w:pPr>
            <w:r>
              <w:rPr>
                <w:rFonts w:hint="eastAsia" w:ascii="宋体" w:hAnsi="宋体" w:cs="宋体"/>
                <w:color w:val="auto"/>
                <w:szCs w:val="21"/>
                <w:highlight w:val="none"/>
              </w:rPr>
              <w:t>二、现场人员</w:t>
            </w:r>
          </w:p>
        </w:tc>
        <w:tc>
          <w:tcPr>
            <w:tcW w:w="896" w:type="pct"/>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Pr>
          <w:p>
            <w:pPr>
              <w:spacing w:line="360" w:lineRule="auto"/>
              <w:rPr>
                <w:rFonts w:ascii="宋体" w:hAnsi="宋体" w:cs="宋体"/>
                <w:color w:val="auto"/>
                <w:szCs w:val="22"/>
                <w:highlight w:val="none"/>
              </w:rPr>
            </w:pPr>
            <w:r>
              <w:rPr>
                <w:rFonts w:hint="eastAsia" w:ascii="宋体" w:hAnsi="宋体" w:cs="宋体"/>
                <w:color w:val="auto"/>
                <w:szCs w:val="22"/>
                <w:highlight w:val="none"/>
              </w:rPr>
              <w:t>项目经理</w:t>
            </w:r>
          </w:p>
        </w:tc>
        <w:tc>
          <w:tcPr>
            <w:tcW w:w="641" w:type="pct"/>
            <w:vAlign w:val="center"/>
          </w:tcPr>
          <w:p>
            <w:pPr>
              <w:keepNext/>
              <w:spacing w:line="360" w:lineRule="auto"/>
              <w:rPr>
                <w:rFonts w:ascii="宋体" w:hAnsi="宋体" w:cs="宋体"/>
                <w:color w:val="auto"/>
                <w:szCs w:val="21"/>
                <w:highlight w:val="none"/>
              </w:rPr>
            </w:pPr>
          </w:p>
        </w:tc>
        <w:tc>
          <w:tcPr>
            <w:tcW w:w="513" w:type="pct"/>
            <w:vAlign w:val="center"/>
          </w:tcPr>
          <w:p>
            <w:pPr>
              <w:keepNext/>
              <w:spacing w:line="360" w:lineRule="auto"/>
              <w:rPr>
                <w:rFonts w:ascii="宋体" w:hAnsi="宋体" w:cs="宋体"/>
                <w:color w:val="auto"/>
                <w:szCs w:val="21"/>
                <w:highlight w:val="none"/>
              </w:rPr>
            </w:pPr>
          </w:p>
        </w:tc>
        <w:tc>
          <w:tcPr>
            <w:tcW w:w="374" w:type="pct"/>
            <w:vAlign w:val="center"/>
          </w:tcPr>
          <w:p>
            <w:pPr>
              <w:keepNext/>
              <w:spacing w:line="360" w:lineRule="auto"/>
              <w:rPr>
                <w:rFonts w:ascii="宋体" w:hAnsi="宋体" w:cs="宋体"/>
                <w:color w:val="auto"/>
                <w:szCs w:val="21"/>
                <w:highlight w:val="none"/>
              </w:rPr>
            </w:pPr>
          </w:p>
        </w:tc>
        <w:tc>
          <w:tcPr>
            <w:tcW w:w="1730" w:type="pct"/>
            <w:vAlign w:val="center"/>
          </w:tcPr>
          <w:p>
            <w:pPr>
              <w:keepNext/>
              <w:spacing w:line="360" w:lineRule="auto"/>
              <w:rPr>
                <w:rFonts w:ascii="宋体" w:hAnsi="宋体" w:cs="宋体"/>
                <w:color w:val="auto"/>
                <w:szCs w:val="21"/>
                <w:highlight w:val="none"/>
              </w:rPr>
            </w:pPr>
          </w:p>
        </w:tc>
        <w:tc>
          <w:tcPr>
            <w:tcW w:w="896" w:type="pct"/>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Pr>
          <w:p>
            <w:pPr>
              <w:spacing w:line="360" w:lineRule="auto"/>
              <w:rPr>
                <w:rFonts w:ascii="宋体" w:hAnsi="宋体" w:cs="宋体"/>
                <w:color w:val="auto"/>
                <w:szCs w:val="22"/>
                <w:highlight w:val="none"/>
              </w:rPr>
            </w:pPr>
            <w:r>
              <w:rPr>
                <w:rFonts w:hint="eastAsia" w:ascii="宋体" w:hAnsi="宋体" w:cs="宋体"/>
                <w:color w:val="auto"/>
                <w:szCs w:val="22"/>
                <w:highlight w:val="none"/>
              </w:rPr>
              <w:t>项目副经理</w:t>
            </w:r>
          </w:p>
        </w:tc>
        <w:tc>
          <w:tcPr>
            <w:tcW w:w="641" w:type="pct"/>
            <w:vAlign w:val="center"/>
          </w:tcPr>
          <w:p>
            <w:pPr>
              <w:keepNext/>
              <w:spacing w:line="360" w:lineRule="auto"/>
              <w:rPr>
                <w:rFonts w:ascii="宋体" w:hAnsi="宋体" w:cs="宋体"/>
                <w:color w:val="auto"/>
                <w:szCs w:val="21"/>
                <w:highlight w:val="none"/>
              </w:rPr>
            </w:pPr>
          </w:p>
        </w:tc>
        <w:tc>
          <w:tcPr>
            <w:tcW w:w="513" w:type="pct"/>
            <w:vAlign w:val="center"/>
          </w:tcPr>
          <w:p>
            <w:pPr>
              <w:keepNext/>
              <w:spacing w:line="360" w:lineRule="auto"/>
              <w:rPr>
                <w:rFonts w:ascii="宋体" w:hAnsi="宋体" w:cs="宋体"/>
                <w:color w:val="auto"/>
                <w:szCs w:val="21"/>
                <w:highlight w:val="none"/>
              </w:rPr>
            </w:pPr>
          </w:p>
        </w:tc>
        <w:tc>
          <w:tcPr>
            <w:tcW w:w="374" w:type="pct"/>
            <w:vAlign w:val="center"/>
          </w:tcPr>
          <w:p>
            <w:pPr>
              <w:keepNext/>
              <w:spacing w:line="360" w:lineRule="auto"/>
              <w:rPr>
                <w:rFonts w:ascii="宋体" w:hAnsi="宋体" w:cs="宋体"/>
                <w:color w:val="auto"/>
                <w:szCs w:val="21"/>
                <w:highlight w:val="none"/>
              </w:rPr>
            </w:pPr>
          </w:p>
        </w:tc>
        <w:tc>
          <w:tcPr>
            <w:tcW w:w="1730" w:type="pct"/>
            <w:vAlign w:val="center"/>
          </w:tcPr>
          <w:p>
            <w:pPr>
              <w:keepNext/>
              <w:spacing w:line="360" w:lineRule="auto"/>
              <w:rPr>
                <w:rFonts w:ascii="宋体" w:hAnsi="宋体" w:cs="宋体"/>
                <w:color w:val="auto"/>
                <w:szCs w:val="21"/>
                <w:highlight w:val="none"/>
              </w:rPr>
            </w:pPr>
          </w:p>
        </w:tc>
        <w:tc>
          <w:tcPr>
            <w:tcW w:w="896" w:type="pct"/>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Pr>
          <w:p>
            <w:pPr>
              <w:spacing w:line="360" w:lineRule="auto"/>
              <w:rPr>
                <w:rFonts w:ascii="宋体" w:hAnsi="宋体" w:cs="宋体"/>
                <w:color w:val="auto"/>
                <w:szCs w:val="22"/>
                <w:highlight w:val="none"/>
              </w:rPr>
            </w:pPr>
            <w:r>
              <w:rPr>
                <w:rFonts w:hint="eastAsia" w:ascii="宋体" w:hAnsi="宋体" w:cs="宋体"/>
                <w:color w:val="auto"/>
                <w:szCs w:val="22"/>
                <w:highlight w:val="none"/>
              </w:rPr>
              <w:t>项目技术负责人</w:t>
            </w:r>
          </w:p>
        </w:tc>
        <w:tc>
          <w:tcPr>
            <w:tcW w:w="641" w:type="pct"/>
            <w:vAlign w:val="center"/>
          </w:tcPr>
          <w:p>
            <w:pPr>
              <w:keepNext/>
              <w:spacing w:line="360" w:lineRule="auto"/>
              <w:rPr>
                <w:rFonts w:ascii="宋体" w:hAnsi="宋体" w:cs="宋体"/>
                <w:color w:val="auto"/>
                <w:szCs w:val="21"/>
                <w:highlight w:val="none"/>
              </w:rPr>
            </w:pPr>
          </w:p>
        </w:tc>
        <w:tc>
          <w:tcPr>
            <w:tcW w:w="513" w:type="pct"/>
            <w:vAlign w:val="center"/>
          </w:tcPr>
          <w:p>
            <w:pPr>
              <w:keepNext/>
              <w:spacing w:line="360" w:lineRule="auto"/>
              <w:rPr>
                <w:rFonts w:ascii="宋体" w:hAnsi="宋体" w:cs="宋体"/>
                <w:color w:val="auto"/>
                <w:szCs w:val="21"/>
                <w:highlight w:val="none"/>
              </w:rPr>
            </w:pPr>
          </w:p>
        </w:tc>
        <w:tc>
          <w:tcPr>
            <w:tcW w:w="374" w:type="pct"/>
            <w:vAlign w:val="center"/>
          </w:tcPr>
          <w:p>
            <w:pPr>
              <w:keepNext/>
              <w:spacing w:line="360" w:lineRule="auto"/>
              <w:rPr>
                <w:rFonts w:ascii="宋体" w:hAnsi="宋体" w:cs="宋体"/>
                <w:color w:val="auto"/>
                <w:szCs w:val="21"/>
                <w:highlight w:val="none"/>
              </w:rPr>
            </w:pPr>
          </w:p>
        </w:tc>
        <w:tc>
          <w:tcPr>
            <w:tcW w:w="1730" w:type="pct"/>
            <w:vAlign w:val="center"/>
          </w:tcPr>
          <w:p>
            <w:pPr>
              <w:keepNext/>
              <w:spacing w:line="360" w:lineRule="auto"/>
              <w:rPr>
                <w:rFonts w:ascii="宋体" w:hAnsi="宋体" w:cs="宋体"/>
                <w:color w:val="auto"/>
                <w:szCs w:val="21"/>
                <w:highlight w:val="none"/>
              </w:rPr>
            </w:pPr>
          </w:p>
        </w:tc>
        <w:tc>
          <w:tcPr>
            <w:tcW w:w="896" w:type="pct"/>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Pr>
          <w:p>
            <w:pPr>
              <w:spacing w:line="360" w:lineRule="auto"/>
              <w:rPr>
                <w:rFonts w:ascii="宋体" w:hAnsi="宋体" w:cs="宋体"/>
                <w:color w:val="auto"/>
                <w:szCs w:val="22"/>
                <w:highlight w:val="none"/>
              </w:rPr>
            </w:pPr>
            <w:r>
              <w:rPr>
                <w:rFonts w:hint="eastAsia" w:ascii="宋体" w:hAnsi="宋体" w:cs="宋体"/>
                <w:color w:val="auto"/>
                <w:szCs w:val="22"/>
                <w:highlight w:val="none"/>
              </w:rPr>
              <w:t>施工员</w:t>
            </w:r>
          </w:p>
        </w:tc>
        <w:tc>
          <w:tcPr>
            <w:tcW w:w="641" w:type="pct"/>
            <w:vAlign w:val="center"/>
          </w:tcPr>
          <w:p>
            <w:pPr>
              <w:keepNext/>
              <w:spacing w:line="360" w:lineRule="auto"/>
              <w:rPr>
                <w:rFonts w:ascii="宋体" w:hAnsi="宋体" w:cs="宋体"/>
                <w:color w:val="auto"/>
                <w:szCs w:val="21"/>
                <w:highlight w:val="none"/>
              </w:rPr>
            </w:pPr>
          </w:p>
        </w:tc>
        <w:tc>
          <w:tcPr>
            <w:tcW w:w="513" w:type="pct"/>
            <w:vAlign w:val="center"/>
          </w:tcPr>
          <w:p>
            <w:pPr>
              <w:keepNext/>
              <w:spacing w:line="360" w:lineRule="auto"/>
              <w:rPr>
                <w:rFonts w:ascii="宋体" w:hAnsi="宋体" w:cs="宋体"/>
                <w:color w:val="auto"/>
                <w:szCs w:val="21"/>
                <w:highlight w:val="none"/>
              </w:rPr>
            </w:pPr>
          </w:p>
        </w:tc>
        <w:tc>
          <w:tcPr>
            <w:tcW w:w="374" w:type="pct"/>
            <w:vAlign w:val="center"/>
          </w:tcPr>
          <w:p>
            <w:pPr>
              <w:keepNext/>
              <w:spacing w:line="360" w:lineRule="auto"/>
              <w:rPr>
                <w:rFonts w:ascii="宋体" w:hAnsi="宋体" w:cs="宋体"/>
                <w:color w:val="auto"/>
                <w:szCs w:val="21"/>
                <w:highlight w:val="none"/>
              </w:rPr>
            </w:pPr>
          </w:p>
        </w:tc>
        <w:tc>
          <w:tcPr>
            <w:tcW w:w="1730" w:type="pct"/>
            <w:vAlign w:val="center"/>
          </w:tcPr>
          <w:p>
            <w:pPr>
              <w:keepNext/>
              <w:spacing w:line="360" w:lineRule="auto"/>
              <w:rPr>
                <w:rFonts w:ascii="宋体" w:hAnsi="宋体" w:cs="宋体"/>
                <w:color w:val="auto"/>
                <w:szCs w:val="21"/>
                <w:highlight w:val="none"/>
              </w:rPr>
            </w:pPr>
          </w:p>
        </w:tc>
        <w:tc>
          <w:tcPr>
            <w:tcW w:w="896" w:type="pct"/>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Pr>
          <w:p>
            <w:pPr>
              <w:spacing w:line="360" w:lineRule="auto"/>
              <w:rPr>
                <w:rFonts w:ascii="宋体" w:hAnsi="宋体" w:cs="宋体"/>
                <w:color w:val="auto"/>
                <w:szCs w:val="22"/>
                <w:highlight w:val="none"/>
              </w:rPr>
            </w:pPr>
            <w:r>
              <w:rPr>
                <w:rFonts w:hint="eastAsia" w:ascii="宋体" w:hAnsi="宋体" w:cs="宋体"/>
                <w:color w:val="auto"/>
                <w:szCs w:val="22"/>
                <w:highlight w:val="none"/>
              </w:rPr>
              <w:t>质检员（质量员）</w:t>
            </w:r>
          </w:p>
        </w:tc>
        <w:tc>
          <w:tcPr>
            <w:tcW w:w="641" w:type="pct"/>
            <w:vAlign w:val="center"/>
          </w:tcPr>
          <w:p>
            <w:pPr>
              <w:keepNext/>
              <w:spacing w:line="360" w:lineRule="auto"/>
              <w:rPr>
                <w:rFonts w:ascii="宋体" w:hAnsi="宋体" w:cs="宋体"/>
                <w:color w:val="auto"/>
                <w:szCs w:val="21"/>
                <w:highlight w:val="none"/>
              </w:rPr>
            </w:pPr>
          </w:p>
        </w:tc>
        <w:tc>
          <w:tcPr>
            <w:tcW w:w="513" w:type="pct"/>
            <w:vAlign w:val="center"/>
          </w:tcPr>
          <w:p>
            <w:pPr>
              <w:keepNext/>
              <w:spacing w:line="360" w:lineRule="auto"/>
              <w:rPr>
                <w:rFonts w:ascii="宋体" w:hAnsi="宋体" w:cs="宋体"/>
                <w:color w:val="auto"/>
                <w:szCs w:val="21"/>
                <w:highlight w:val="none"/>
              </w:rPr>
            </w:pPr>
          </w:p>
        </w:tc>
        <w:tc>
          <w:tcPr>
            <w:tcW w:w="374" w:type="pct"/>
            <w:vAlign w:val="center"/>
          </w:tcPr>
          <w:p>
            <w:pPr>
              <w:keepNext/>
              <w:spacing w:line="360" w:lineRule="auto"/>
              <w:rPr>
                <w:rFonts w:ascii="宋体" w:hAnsi="宋体" w:cs="宋体"/>
                <w:color w:val="auto"/>
                <w:szCs w:val="21"/>
                <w:highlight w:val="none"/>
              </w:rPr>
            </w:pPr>
          </w:p>
        </w:tc>
        <w:tc>
          <w:tcPr>
            <w:tcW w:w="1730" w:type="pct"/>
            <w:vAlign w:val="center"/>
          </w:tcPr>
          <w:p>
            <w:pPr>
              <w:keepNext/>
              <w:spacing w:line="360" w:lineRule="auto"/>
              <w:rPr>
                <w:rFonts w:ascii="宋体" w:hAnsi="宋体" w:cs="宋体"/>
                <w:color w:val="auto"/>
                <w:szCs w:val="21"/>
                <w:highlight w:val="none"/>
              </w:rPr>
            </w:pPr>
          </w:p>
        </w:tc>
        <w:tc>
          <w:tcPr>
            <w:tcW w:w="896" w:type="pct"/>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Pr>
          <w:p>
            <w:pPr>
              <w:spacing w:line="360" w:lineRule="auto"/>
              <w:rPr>
                <w:rFonts w:ascii="宋体" w:hAnsi="宋体" w:cs="宋体"/>
                <w:color w:val="auto"/>
                <w:szCs w:val="22"/>
                <w:highlight w:val="none"/>
              </w:rPr>
            </w:pPr>
            <w:r>
              <w:rPr>
                <w:rFonts w:hint="eastAsia" w:ascii="宋体" w:hAnsi="宋体" w:cs="宋体"/>
                <w:color w:val="auto"/>
                <w:szCs w:val="22"/>
                <w:highlight w:val="none"/>
              </w:rPr>
              <w:t>安全员</w:t>
            </w:r>
          </w:p>
        </w:tc>
        <w:tc>
          <w:tcPr>
            <w:tcW w:w="641" w:type="pct"/>
            <w:vAlign w:val="center"/>
          </w:tcPr>
          <w:p>
            <w:pPr>
              <w:keepNext/>
              <w:spacing w:line="360" w:lineRule="auto"/>
              <w:rPr>
                <w:rFonts w:ascii="宋体" w:hAnsi="宋体" w:cs="宋体"/>
                <w:color w:val="auto"/>
                <w:szCs w:val="21"/>
                <w:highlight w:val="none"/>
              </w:rPr>
            </w:pPr>
          </w:p>
        </w:tc>
        <w:tc>
          <w:tcPr>
            <w:tcW w:w="513" w:type="pct"/>
            <w:vAlign w:val="center"/>
          </w:tcPr>
          <w:p>
            <w:pPr>
              <w:keepNext/>
              <w:spacing w:line="360" w:lineRule="auto"/>
              <w:rPr>
                <w:rFonts w:ascii="宋体" w:hAnsi="宋体" w:cs="宋体"/>
                <w:color w:val="auto"/>
                <w:szCs w:val="21"/>
                <w:highlight w:val="none"/>
              </w:rPr>
            </w:pPr>
          </w:p>
        </w:tc>
        <w:tc>
          <w:tcPr>
            <w:tcW w:w="374" w:type="pct"/>
            <w:vAlign w:val="center"/>
          </w:tcPr>
          <w:p>
            <w:pPr>
              <w:keepNext/>
              <w:spacing w:line="360" w:lineRule="auto"/>
              <w:rPr>
                <w:rFonts w:ascii="宋体" w:hAnsi="宋体" w:cs="宋体"/>
                <w:color w:val="auto"/>
                <w:szCs w:val="21"/>
                <w:highlight w:val="none"/>
              </w:rPr>
            </w:pPr>
          </w:p>
        </w:tc>
        <w:tc>
          <w:tcPr>
            <w:tcW w:w="1730" w:type="pct"/>
            <w:vAlign w:val="center"/>
          </w:tcPr>
          <w:p>
            <w:pPr>
              <w:keepNext/>
              <w:spacing w:line="360" w:lineRule="auto"/>
              <w:rPr>
                <w:rFonts w:ascii="宋体" w:hAnsi="宋体" w:cs="宋体"/>
                <w:color w:val="auto"/>
                <w:szCs w:val="21"/>
                <w:highlight w:val="none"/>
              </w:rPr>
            </w:pPr>
          </w:p>
        </w:tc>
        <w:tc>
          <w:tcPr>
            <w:tcW w:w="896" w:type="pct"/>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Pr>
          <w:p>
            <w:pPr>
              <w:spacing w:line="360" w:lineRule="auto"/>
              <w:rPr>
                <w:rFonts w:ascii="宋体" w:hAnsi="宋体" w:cs="宋体"/>
                <w:color w:val="auto"/>
                <w:szCs w:val="22"/>
                <w:highlight w:val="none"/>
              </w:rPr>
            </w:pPr>
            <w:r>
              <w:rPr>
                <w:rFonts w:hint="eastAsia" w:ascii="宋体" w:hAnsi="宋体" w:cs="宋体"/>
                <w:color w:val="auto"/>
                <w:szCs w:val="22"/>
                <w:highlight w:val="none"/>
              </w:rPr>
              <w:t>资料员</w:t>
            </w:r>
          </w:p>
        </w:tc>
        <w:tc>
          <w:tcPr>
            <w:tcW w:w="641" w:type="pct"/>
            <w:vAlign w:val="center"/>
          </w:tcPr>
          <w:p>
            <w:pPr>
              <w:keepNext/>
              <w:spacing w:line="360" w:lineRule="auto"/>
              <w:rPr>
                <w:rFonts w:ascii="宋体" w:hAnsi="宋体" w:cs="宋体"/>
                <w:color w:val="auto"/>
                <w:szCs w:val="21"/>
                <w:highlight w:val="none"/>
              </w:rPr>
            </w:pPr>
          </w:p>
        </w:tc>
        <w:tc>
          <w:tcPr>
            <w:tcW w:w="513" w:type="pct"/>
            <w:vAlign w:val="center"/>
          </w:tcPr>
          <w:p>
            <w:pPr>
              <w:keepNext/>
              <w:spacing w:line="360" w:lineRule="auto"/>
              <w:rPr>
                <w:rFonts w:ascii="宋体" w:hAnsi="宋体" w:cs="宋体"/>
                <w:color w:val="auto"/>
                <w:szCs w:val="21"/>
                <w:highlight w:val="none"/>
              </w:rPr>
            </w:pPr>
          </w:p>
        </w:tc>
        <w:tc>
          <w:tcPr>
            <w:tcW w:w="374" w:type="pct"/>
            <w:vAlign w:val="center"/>
          </w:tcPr>
          <w:p>
            <w:pPr>
              <w:keepNext/>
              <w:spacing w:line="360" w:lineRule="auto"/>
              <w:rPr>
                <w:rFonts w:ascii="宋体" w:hAnsi="宋体" w:cs="宋体"/>
                <w:color w:val="auto"/>
                <w:szCs w:val="21"/>
                <w:highlight w:val="none"/>
              </w:rPr>
            </w:pPr>
          </w:p>
        </w:tc>
        <w:tc>
          <w:tcPr>
            <w:tcW w:w="1730" w:type="pct"/>
            <w:vAlign w:val="center"/>
          </w:tcPr>
          <w:p>
            <w:pPr>
              <w:keepNext/>
              <w:spacing w:line="360" w:lineRule="auto"/>
              <w:rPr>
                <w:rFonts w:ascii="宋体" w:hAnsi="宋体" w:cs="宋体"/>
                <w:color w:val="auto"/>
                <w:szCs w:val="21"/>
                <w:highlight w:val="none"/>
              </w:rPr>
            </w:pPr>
          </w:p>
        </w:tc>
        <w:tc>
          <w:tcPr>
            <w:tcW w:w="896" w:type="pct"/>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restart"/>
            <w:vAlign w:val="center"/>
          </w:tcPr>
          <w:p>
            <w:pPr>
              <w:keepNext/>
              <w:spacing w:line="360" w:lineRule="auto"/>
              <w:rPr>
                <w:rFonts w:ascii="宋体" w:hAnsi="宋体" w:cs="宋体"/>
                <w:color w:val="auto"/>
                <w:szCs w:val="21"/>
                <w:highlight w:val="none"/>
              </w:rPr>
            </w:pPr>
            <w:r>
              <w:rPr>
                <w:rFonts w:hint="eastAsia" w:ascii="宋体" w:hAnsi="宋体" w:cs="宋体"/>
                <w:color w:val="auto"/>
                <w:szCs w:val="21"/>
                <w:highlight w:val="none"/>
              </w:rPr>
              <w:t>其他人员</w:t>
            </w:r>
          </w:p>
        </w:tc>
        <w:tc>
          <w:tcPr>
            <w:tcW w:w="641" w:type="pct"/>
            <w:vAlign w:val="center"/>
          </w:tcPr>
          <w:p>
            <w:pPr>
              <w:keepNext/>
              <w:spacing w:line="360" w:lineRule="auto"/>
              <w:rPr>
                <w:rFonts w:ascii="宋体" w:hAnsi="宋体" w:cs="宋体"/>
                <w:color w:val="auto"/>
                <w:szCs w:val="21"/>
                <w:highlight w:val="none"/>
              </w:rPr>
            </w:pPr>
          </w:p>
        </w:tc>
        <w:tc>
          <w:tcPr>
            <w:tcW w:w="513" w:type="pct"/>
            <w:vAlign w:val="center"/>
          </w:tcPr>
          <w:p>
            <w:pPr>
              <w:keepNext/>
              <w:spacing w:line="360" w:lineRule="auto"/>
              <w:rPr>
                <w:rFonts w:ascii="宋体" w:hAnsi="宋体" w:cs="宋体"/>
                <w:color w:val="auto"/>
                <w:szCs w:val="21"/>
                <w:highlight w:val="none"/>
              </w:rPr>
            </w:pPr>
          </w:p>
        </w:tc>
        <w:tc>
          <w:tcPr>
            <w:tcW w:w="374" w:type="pct"/>
            <w:vAlign w:val="center"/>
          </w:tcPr>
          <w:p>
            <w:pPr>
              <w:keepNext/>
              <w:spacing w:line="360" w:lineRule="auto"/>
              <w:rPr>
                <w:rFonts w:ascii="宋体" w:hAnsi="宋体" w:cs="宋体"/>
                <w:color w:val="auto"/>
                <w:szCs w:val="21"/>
                <w:highlight w:val="none"/>
              </w:rPr>
            </w:pPr>
          </w:p>
        </w:tc>
        <w:tc>
          <w:tcPr>
            <w:tcW w:w="1730" w:type="pct"/>
            <w:vAlign w:val="center"/>
          </w:tcPr>
          <w:p>
            <w:pPr>
              <w:keepNext/>
              <w:spacing w:line="360" w:lineRule="auto"/>
              <w:rPr>
                <w:rFonts w:ascii="宋体" w:hAnsi="宋体" w:cs="宋体"/>
                <w:color w:val="auto"/>
                <w:szCs w:val="21"/>
                <w:highlight w:val="none"/>
              </w:rPr>
            </w:pPr>
          </w:p>
        </w:tc>
        <w:tc>
          <w:tcPr>
            <w:tcW w:w="896" w:type="pct"/>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vAlign w:val="center"/>
          </w:tcPr>
          <w:p>
            <w:pPr>
              <w:keepNext/>
              <w:spacing w:line="360" w:lineRule="auto"/>
              <w:rPr>
                <w:rFonts w:ascii="宋体" w:hAnsi="宋体" w:cs="宋体"/>
                <w:color w:val="auto"/>
                <w:szCs w:val="21"/>
                <w:highlight w:val="none"/>
              </w:rPr>
            </w:pPr>
          </w:p>
        </w:tc>
        <w:tc>
          <w:tcPr>
            <w:tcW w:w="641" w:type="pct"/>
            <w:tcBorders>
              <w:bottom w:val="nil"/>
            </w:tcBorders>
            <w:vAlign w:val="center"/>
          </w:tcPr>
          <w:p>
            <w:pPr>
              <w:keepNext/>
              <w:spacing w:line="360" w:lineRule="auto"/>
              <w:rPr>
                <w:rFonts w:ascii="宋体" w:hAnsi="宋体" w:cs="宋体"/>
                <w:color w:val="auto"/>
                <w:szCs w:val="21"/>
                <w:highlight w:val="none"/>
              </w:rPr>
            </w:pPr>
          </w:p>
        </w:tc>
        <w:tc>
          <w:tcPr>
            <w:tcW w:w="513" w:type="pct"/>
            <w:tcBorders>
              <w:bottom w:val="nil"/>
            </w:tcBorders>
            <w:vAlign w:val="center"/>
          </w:tcPr>
          <w:p>
            <w:pPr>
              <w:keepNext/>
              <w:spacing w:line="360" w:lineRule="auto"/>
              <w:rPr>
                <w:rFonts w:ascii="宋体" w:hAnsi="宋体" w:cs="宋体"/>
                <w:color w:val="auto"/>
                <w:szCs w:val="21"/>
                <w:highlight w:val="none"/>
              </w:rPr>
            </w:pPr>
          </w:p>
        </w:tc>
        <w:tc>
          <w:tcPr>
            <w:tcW w:w="374" w:type="pct"/>
            <w:tcBorders>
              <w:bottom w:val="nil"/>
            </w:tcBorders>
            <w:vAlign w:val="center"/>
          </w:tcPr>
          <w:p>
            <w:pPr>
              <w:keepNext/>
              <w:spacing w:line="360" w:lineRule="auto"/>
              <w:rPr>
                <w:rFonts w:ascii="宋体" w:hAnsi="宋体" w:cs="宋体"/>
                <w:color w:val="auto"/>
                <w:szCs w:val="21"/>
                <w:highlight w:val="none"/>
              </w:rPr>
            </w:pPr>
          </w:p>
        </w:tc>
        <w:tc>
          <w:tcPr>
            <w:tcW w:w="1730" w:type="pct"/>
            <w:tcBorders>
              <w:bottom w:val="nil"/>
            </w:tcBorders>
            <w:vAlign w:val="center"/>
          </w:tcPr>
          <w:p>
            <w:pPr>
              <w:keepNext/>
              <w:spacing w:line="360" w:lineRule="auto"/>
              <w:rPr>
                <w:rFonts w:ascii="宋体" w:hAnsi="宋体" w:cs="宋体"/>
                <w:color w:val="auto"/>
                <w:szCs w:val="21"/>
                <w:highlight w:val="none"/>
              </w:rPr>
            </w:pPr>
          </w:p>
        </w:tc>
        <w:tc>
          <w:tcPr>
            <w:tcW w:w="896" w:type="pct"/>
            <w:tcBorders>
              <w:bottom w:val="nil"/>
            </w:tcBorders>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vAlign w:val="center"/>
          </w:tcPr>
          <w:p>
            <w:pPr>
              <w:keepNext/>
              <w:spacing w:line="360" w:lineRule="auto"/>
              <w:rPr>
                <w:rFonts w:ascii="宋体" w:hAnsi="宋体" w:cs="宋体"/>
                <w:color w:val="auto"/>
                <w:szCs w:val="21"/>
                <w:highlight w:val="none"/>
              </w:rPr>
            </w:pPr>
          </w:p>
        </w:tc>
        <w:tc>
          <w:tcPr>
            <w:tcW w:w="641" w:type="pct"/>
            <w:vAlign w:val="center"/>
          </w:tcPr>
          <w:p>
            <w:pPr>
              <w:keepNext/>
              <w:spacing w:line="360" w:lineRule="auto"/>
              <w:rPr>
                <w:rFonts w:ascii="宋体" w:hAnsi="宋体" w:cs="宋体"/>
                <w:color w:val="auto"/>
                <w:szCs w:val="21"/>
                <w:highlight w:val="none"/>
              </w:rPr>
            </w:pPr>
          </w:p>
        </w:tc>
        <w:tc>
          <w:tcPr>
            <w:tcW w:w="513" w:type="pct"/>
            <w:vAlign w:val="center"/>
          </w:tcPr>
          <w:p>
            <w:pPr>
              <w:keepNext/>
              <w:spacing w:line="360" w:lineRule="auto"/>
              <w:rPr>
                <w:rFonts w:ascii="宋体" w:hAnsi="宋体" w:cs="宋体"/>
                <w:color w:val="auto"/>
                <w:szCs w:val="21"/>
                <w:highlight w:val="none"/>
              </w:rPr>
            </w:pPr>
          </w:p>
        </w:tc>
        <w:tc>
          <w:tcPr>
            <w:tcW w:w="374" w:type="pct"/>
            <w:vAlign w:val="center"/>
          </w:tcPr>
          <w:p>
            <w:pPr>
              <w:keepNext/>
              <w:spacing w:line="360" w:lineRule="auto"/>
              <w:rPr>
                <w:rFonts w:ascii="宋体" w:hAnsi="宋体" w:cs="宋体"/>
                <w:color w:val="auto"/>
                <w:szCs w:val="21"/>
                <w:highlight w:val="none"/>
              </w:rPr>
            </w:pPr>
          </w:p>
        </w:tc>
        <w:tc>
          <w:tcPr>
            <w:tcW w:w="1730" w:type="pct"/>
            <w:vAlign w:val="center"/>
          </w:tcPr>
          <w:p>
            <w:pPr>
              <w:keepNext/>
              <w:spacing w:line="360" w:lineRule="auto"/>
              <w:rPr>
                <w:rFonts w:ascii="宋体" w:hAnsi="宋体" w:cs="宋体"/>
                <w:color w:val="auto"/>
                <w:szCs w:val="21"/>
                <w:highlight w:val="none"/>
              </w:rPr>
            </w:pPr>
          </w:p>
        </w:tc>
        <w:tc>
          <w:tcPr>
            <w:tcW w:w="896" w:type="pct"/>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vAlign w:val="center"/>
          </w:tcPr>
          <w:p>
            <w:pPr>
              <w:keepNext/>
              <w:spacing w:line="360" w:lineRule="auto"/>
              <w:rPr>
                <w:rFonts w:ascii="宋体" w:hAnsi="宋体" w:cs="宋体"/>
                <w:color w:val="auto"/>
                <w:szCs w:val="21"/>
                <w:highlight w:val="none"/>
              </w:rPr>
            </w:pPr>
          </w:p>
        </w:tc>
        <w:tc>
          <w:tcPr>
            <w:tcW w:w="641" w:type="pct"/>
            <w:vAlign w:val="center"/>
          </w:tcPr>
          <w:p>
            <w:pPr>
              <w:keepNext/>
              <w:spacing w:line="360" w:lineRule="auto"/>
              <w:rPr>
                <w:rFonts w:ascii="宋体" w:hAnsi="宋体" w:cs="宋体"/>
                <w:color w:val="auto"/>
                <w:szCs w:val="21"/>
                <w:highlight w:val="none"/>
              </w:rPr>
            </w:pPr>
          </w:p>
        </w:tc>
        <w:tc>
          <w:tcPr>
            <w:tcW w:w="513" w:type="pct"/>
            <w:vAlign w:val="center"/>
          </w:tcPr>
          <w:p>
            <w:pPr>
              <w:keepNext/>
              <w:spacing w:line="360" w:lineRule="auto"/>
              <w:rPr>
                <w:rFonts w:ascii="宋体" w:hAnsi="宋体" w:cs="宋体"/>
                <w:color w:val="auto"/>
                <w:szCs w:val="21"/>
                <w:highlight w:val="none"/>
              </w:rPr>
            </w:pPr>
          </w:p>
        </w:tc>
        <w:tc>
          <w:tcPr>
            <w:tcW w:w="374" w:type="pct"/>
            <w:vAlign w:val="center"/>
          </w:tcPr>
          <w:p>
            <w:pPr>
              <w:keepNext/>
              <w:spacing w:line="360" w:lineRule="auto"/>
              <w:rPr>
                <w:rFonts w:ascii="宋体" w:hAnsi="宋体" w:cs="宋体"/>
                <w:color w:val="auto"/>
                <w:szCs w:val="21"/>
                <w:highlight w:val="none"/>
              </w:rPr>
            </w:pPr>
          </w:p>
        </w:tc>
        <w:tc>
          <w:tcPr>
            <w:tcW w:w="1730" w:type="pct"/>
            <w:vAlign w:val="center"/>
          </w:tcPr>
          <w:p>
            <w:pPr>
              <w:keepNext/>
              <w:spacing w:line="360" w:lineRule="auto"/>
              <w:rPr>
                <w:rFonts w:ascii="宋体" w:hAnsi="宋体" w:cs="宋体"/>
                <w:color w:val="auto"/>
                <w:szCs w:val="21"/>
                <w:highlight w:val="none"/>
              </w:rPr>
            </w:pPr>
          </w:p>
        </w:tc>
        <w:tc>
          <w:tcPr>
            <w:tcW w:w="896" w:type="pct"/>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vAlign w:val="center"/>
          </w:tcPr>
          <w:p>
            <w:pPr>
              <w:keepNext/>
              <w:spacing w:line="360" w:lineRule="auto"/>
              <w:rPr>
                <w:rFonts w:ascii="宋体" w:hAnsi="宋体" w:cs="宋体"/>
                <w:color w:val="auto"/>
                <w:szCs w:val="21"/>
                <w:highlight w:val="none"/>
              </w:rPr>
            </w:pPr>
          </w:p>
        </w:tc>
        <w:tc>
          <w:tcPr>
            <w:tcW w:w="641" w:type="pct"/>
            <w:vAlign w:val="center"/>
          </w:tcPr>
          <w:p>
            <w:pPr>
              <w:keepNext/>
              <w:spacing w:line="360" w:lineRule="auto"/>
              <w:rPr>
                <w:rFonts w:ascii="宋体" w:hAnsi="宋体" w:cs="宋体"/>
                <w:color w:val="auto"/>
                <w:szCs w:val="21"/>
                <w:highlight w:val="none"/>
              </w:rPr>
            </w:pPr>
          </w:p>
        </w:tc>
        <w:tc>
          <w:tcPr>
            <w:tcW w:w="513" w:type="pct"/>
            <w:vAlign w:val="center"/>
          </w:tcPr>
          <w:p>
            <w:pPr>
              <w:keepNext/>
              <w:spacing w:line="360" w:lineRule="auto"/>
              <w:rPr>
                <w:rFonts w:ascii="宋体" w:hAnsi="宋体" w:cs="宋体"/>
                <w:color w:val="auto"/>
                <w:szCs w:val="21"/>
                <w:highlight w:val="none"/>
              </w:rPr>
            </w:pPr>
          </w:p>
        </w:tc>
        <w:tc>
          <w:tcPr>
            <w:tcW w:w="374" w:type="pct"/>
            <w:vAlign w:val="center"/>
          </w:tcPr>
          <w:p>
            <w:pPr>
              <w:keepNext/>
              <w:spacing w:line="360" w:lineRule="auto"/>
              <w:rPr>
                <w:rFonts w:ascii="宋体" w:hAnsi="宋体" w:cs="宋体"/>
                <w:color w:val="auto"/>
                <w:szCs w:val="21"/>
                <w:highlight w:val="none"/>
              </w:rPr>
            </w:pPr>
          </w:p>
        </w:tc>
        <w:tc>
          <w:tcPr>
            <w:tcW w:w="1730" w:type="pct"/>
            <w:vAlign w:val="center"/>
          </w:tcPr>
          <w:p>
            <w:pPr>
              <w:keepNext/>
              <w:spacing w:line="360" w:lineRule="auto"/>
              <w:rPr>
                <w:rFonts w:ascii="宋体" w:hAnsi="宋体" w:cs="宋体"/>
                <w:color w:val="auto"/>
                <w:szCs w:val="21"/>
                <w:highlight w:val="none"/>
              </w:rPr>
            </w:pPr>
          </w:p>
        </w:tc>
        <w:tc>
          <w:tcPr>
            <w:tcW w:w="896" w:type="pct"/>
          </w:tcPr>
          <w:p>
            <w:pPr>
              <w:keepNext/>
              <w:spacing w:line="360" w:lineRule="auto"/>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tcBorders>
              <w:bottom w:val="single" w:color="auto" w:sz="12" w:space="0"/>
            </w:tcBorders>
            <w:vAlign w:val="center"/>
          </w:tcPr>
          <w:p>
            <w:pPr>
              <w:keepNext/>
              <w:spacing w:line="360" w:lineRule="auto"/>
              <w:rPr>
                <w:rFonts w:ascii="宋体" w:hAnsi="宋体" w:cs="宋体"/>
                <w:color w:val="auto"/>
                <w:szCs w:val="21"/>
                <w:highlight w:val="none"/>
              </w:rPr>
            </w:pPr>
          </w:p>
        </w:tc>
        <w:tc>
          <w:tcPr>
            <w:tcW w:w="641" w:type="pct"/>
            <w:tcBorders>
              <w:bottom w:val="single" w:color="auto" w:sz="12" w:space="0"/>
            </w:tcBorders>
            <w:vAlign w:val="center"/>
          </w:tcPr>
          <w:p>
            <w:pPr>
              <w:keepNext/>
              <w:spacing w:line="360" w:lineRule="auto"/>
              <w:rPr>
                <w:rFonts w:ascii="宋体" w:hAnsi="宋体" w:cs="宋体"/>
                <w:color w:val="auto"/>
                <w:szCs w:val="21"/>
                <w:highlight w:val="none"/>
              </w:rPr>
            </w:pPr>
          </w:p>
        </w:tc>
        <w:tc>
          <w:tcPr>
            <w:tcW w:w="513" w:type="pct"/>
            <w:tcBorders>
              <w:bottom w:val="single" w:color="auto" w:sz="12" w:space="0"/>
            </w:tcBorders>
            <w:vAlign w:val="center"/>
          </w:tcPr>
          <w:p>
            <w:pPr>
              <w:keepNext/>
              <w:spacing w:line="360" w:lineRule="auto"/>
              <w:rPr>
                <w:rFonts w:ascii="宋体" w:hAnsi="宋体" w:cs="宋体"/>
                <w:color w:val="auto"/>
                <w:szCs w:val="21"/>
                <w:highlight w:val="none"/>
              </w:rPr>
            </w:pPr>
          </w:p>
        </w:tc>
        <w:tc>
          <w:tcPr>
            <w:tcW w:w="374" w:type="pct"/>
            <w:tcBorders>
              <w:bottom w:val="single" w:color="auto" w:sz="12" w:space="0"/>
            </w:tcBorders>
            <w:vAlign w:val="center"/>
          </w:tcPr>
          <w:p>
            <w:pPr>
              <w:keepNext/>
              <w:spacing w:line="360" w:lineRule="auto"/>
              <w:rPr>
                <w:rFonts w:ascii="宋体" w:hAnsi="宋体" w:cs="宋体"/>
                <w:color w:val="auto"/>
                <w:szCs w:val="21"/>
                <w:highlight w:val="none"/>
              </w:rPr>
            </w:pPr>
          </w:p>
        </w:tc>
        <w:tc>
          <w:tcPr>
            <w:tcW w:w="1730" w:type="pct"/>
            <w:tcBorders>
              <w:bottom w:val="single" w:color="auto" w:sz="12" w:space="0"/>
            </w:tcBorders>
            <w:vAlign w:val="center"/>
          </w:tcPr>
          <w:p>
            <w:pPr>
              <w:keepNext/>
              <w:spacing w:line="360" w:lineRule="auto"/>
              <w:rPr>
                <w:rFonts w:ascii="宋体" w:hAnsi="宋体" w:cs="宋体"/>
                <w:color w:val="auto"/>
                <w:szCs w:val="21"/>
                <w:highlight w:val="none"/>
              </w:rPr>
            </w:pPr>
          </w:p>
        </w:tc>
        <w:tc>
          <w:tcPr>
            <w:tcW w:w="896" w:type="pct"/>
            <w:tcBorders>
              <w:bottom w:val="single" w:color="auto" w:sz="12" w:space="0"/>
            </w:tcBorders>
          </w:tcPr>
          <w:p>
            <w:pPr>
              <w:keepNext/>
              <w:spacing w:line="360" w:lineRule="auto"/>
              <w:rPr>
                <w:rFonts w:ascii="宋体" w:hAnsi="宋体" w:cs="宋体"/>
                <w:color w:val="auto"/>
                <w:szCs w:val="21"/>
                <w:highlight w:val="none"/>
              </w:rPr>
            </w:pPr>
          </w:p>
        </w:tc>
      </w:tr>
    </w:tbl>
    <w:p>
      <w:pPr>
        <w:keepNext/>
        <w:keepLines/>
        <w:pageBreakBefore w:val="0"/>
        <w:kinsoku/>
        <w:wordWrap/>
        <w:overflowPunct/>
        <w:topLinePunct w:val="0"/>
        <w:autoSpaceDE/>
        <w:autoSpaceDN/>
        <w:bidi w:val="0"/>
        <w:adjustRightInd/>
        <w:snapToGrid/>
        <w:spacing w:before="120" w:after="120" w:line="312" w:lineRule="auto"/>
        <w:jc w:val="left"/>
        <w:textAlignment w:val="auto"/>
        <w:outlineLvl w:val="0"/>
        <w:rPr>
          <w:rFonts w:ascii="宋体" w:hAnsi="宋体" w:cs="宋体"/>
          <w:bCs/>
          <w:color w:val="auto"/>
          <w:sz w:val="24"/>
          <w:highlight w:val="none"/>
        </w:rPr>
      </w:pPr>
      <w:r>
        <w:rPr>
          <w:rFonts w:hint="eastAsia" w:ascii="宋体" w:hAnsi="宋体" w:cs="宋体"/>
          <w:bCs/>
          <w:color w:val="auto"/>
          <w:sz w:val="24"/>
          <w:highlight w:val="none"/>
        </w:rPr>
        <w:br w:type="page"/>
      </w:r>
      <w:bookmarkStart w:id="643" w:name="_Toc25726"/>
      <w:bookmarkStart w:id="644" w:name="_Toc7655"/>
      <w:bookmarkStart w:id="645" w:name="_Toc95223495"/>
      <w:bookmarkStart w:id="646" w:name="_Toc28289"/>
      <w:bookmarkStart w:id="647" w:name="_Toc12397"/>
      <w:r>
        <w:rPr>
          <w:rFonts w:hint="eastAsia" w:ascii="宋体" w:hAnsi="宋体" w:cs="宋体"/>
          <w:bCs/>
          <w:color w:val="auto"/>
          <w:sz w:val="24"/>
          <w:highlight w:val="none"/>
        </w:rPr>
        <w:t>附</w:t>
      </w:r>
      <w:bookmarkStart w:id="648" w:name="_Toc296347230"/>
      <w:bookmarkStart w:id="649" w:name="_Toc296891271"/>
      <w:bookmarkStart w:id="650" w:name="_Toc296346732"/>
      <w:bookmarkStart w:id="651" w:name="_Toc296503231"/>
      <w:bookmarkStart w:id="652" w:name="_Toc296944570"/>
      <w:bookmarkStart w:id="653" w:name="_Toc296891059"/>
      <w:r>
        <w:rPr>
          <w:rFonts w:hint="eastAsia" w:ascii="宋体" w:hAnsi="宋体" w:cs="宋体"/>
          <w:bCs/>
          <w:color w:val="auto"/>
          <w:sz w:val="24"/>
          <w:highlight w:val="none"/>
        </w:rPr>
        <w:t>件8：廉政协议</w:t>
      </w:r>
      <w:bookmarkEnd w:id="643"/>
      <w:bookmarkEnd w:id="644"/>
      <w:bookmarkEnd w:id="645"/>
      <w:bookmarkEnd w:id="646"/>
      <w:bookmarkEnd w:id="647"/>
    </w:p>
    <w:bookmarkEnd w:id="648"/>
    <w:bookmarkEnd w:id="649"/>
    <w:bookmarkEnd w:id="650"/>
    <w:bookmarkEnd w:id="651"/>
    <w:bookmarkEnd w:id="652"/>
    <w:bookmarkEnd w:id="653"/>
    <w:p>
      <w:pPr>
        <w:pageBreakBefore w:val="0"/>
        <w:widowControl/>
        <w:kinsoku/>
        <w:wordWrap/>
        <w:overflowPunct/>
        <w:topLinePunct w:val="0"/>
        <w:autoSpaceDE/>
        <w:autoSpaceDN/>
        <w:bidi w:val="0"/>
        <w:adjustRightInd/>
        <w:snapToGrid/>
        <w:spacing w:line="312" w:lineRule="auto"/>
        <w:ind w:firstLine="643"/>
        <w:jc w:val="center"/>
        <w:textAlignment w:val="auto"/>
        <w:outlineLvl w:val="0"/>
        <w:rPr>
          <w:rFonts w:ascii="宋体" w:hAnsi="宋体" w:cs="宋体"/>
          <w:b/>
          <w:bCs/>
          <w:color w:val="auto"/>
          <w:kern w:val="0"/>
          <w:sz w:val="32"/>
          <w:szCs w:val="32"/>
          <w:highlight w:val="none"/>
        </w:rPr>
      </w:pPr>
      <w:bookmarkStart w:id="654" w:name="_Toc95223496"/>
      <w:bookmarkStart w:id="655" w:name="_Toc7607"/>
      <w:bookmarkStart w:id="656" w:name="_Toc2037"/>
      <w:bookmarkStart w:id="657" w:name="_Toc13300"/>
      <w:bookmarkStart w:id="658" w:name="_Toc9808"/>
      <w:r>
        <w:rPr>
          <w:rFonts w:hint="eastAsia" w:ascii="宋体" w:hAnsi="宋体" w:cs="宋体"/>
          <w:b/>
          <w:bCs/>
          <w:color w:val="auto"/>
          <w:kern w:val="0"/>
          <w:sz w:val="32"/>
          <w:szCs w:val="32"/>
          <w:highlight w:val="none"/>
        </w:rPr>
        <w:t>廉 政 协 议</w:t>
      </w:r>
      <w:bookmarkEnd w:id="654"/>
      <w:bookmarkEnd w:id="655"/>
      <w:bookmarkEnd w:id="656"/>
      <w:bookmarkEnd w:id="657"/>
      <w:bookmarkEnd w:id="658"/>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以下称甲方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以下称乙方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，特此订立本协议共同遵照执行。</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outlineLvl w:val="0"/>
        <w:rPr>
          <w:rFonts w:ascii="宋体" w:hAnsi="宋体" w:cs="宋体"/>
          <w:color w:val="auto"/>
          <w:kern w:val="0"/>
          <w:szCs w:val="21"/>
          <w:highlight w:val="none"/>
        </w:rPr>
      </w:pPr>
      <w:bookmarkStart w:id="659" w:name="_Toc10967"/>
      <w:bookmarkStart w:id="660" w:name="_Toc95223497"/>
      <w:bookmarkStart w:id="661" w:name="_Toc30435"/>
      <w:bookmarkStart w:id="662" w:name="_Toc21306"/>
      <w:bookmarkStart w:id="663" w:name="_Toc9888"/>
      <w:r>
        <w:rPr>
          <w:rFonts w:hint="eastAsia" w:ascii="宋体" w:hAnsi="宋体" w:cs="宋体"/>
          <w:color w:val="auto"/>
          <w:kern w:val="0"/>
          <w:szCs w:val="21"/>
          <w:highlight w:val="none"/>
        </w:rPr>
        <w:t>第一条 甲乙双方的权利和义务</w:t>
      </w:r>
      <w:bookmarkEnd w:id="659"/>
      <w:bookmarkEnd w:id="660"/>
      <w:bookmarkEnd w:id="661"/>
      <w:bookmarkEnd w:id="662"/>
      <w:bookmarkEnd w:id="663"/>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outlineLvl w:val="0"/>
        <w:rPr>
          <w:rFonts w:ascii="宋体" w:hAnsi="宋体" w:cs="宋体"/>
          <w:color w:val="auto"/>
          <w:kern w:val="0"/>
          <w:szCs w:val="21"/>
          <w:highlight w:val="none"/>
        </w:rPr>
      </w:pPr>
      <w:bookmarkStart w:id="664" w:name="_Toc95223498"/>
      <w:bookmarkStart w:id="665" w:name="_Toc618"/>
      <w:bookmarkStart w:id="666" w:name="_Toc1917"/>
      <w:bookmarkStart w:id="667" w:name="_Toc3866"/>
      <w:bookmarkStart w:id="668" w:name="_Toc1532"/>
      <w:r>
        <w:rPr>
          <w:rFonts w:hint="eastAsia" w:ascii="宋体" w:hAnsi="宋体" w:cs="宋体"/>
          <w:color w:val="auto"/>
          <w:kern w:val="0"/>
          <w:szCs w:val="21"/>
          <w:highlight w:val="none"/>
        </w:rPr>
        <w:t>第二条 甲方的义务</w:t>
      </w:r>
      <w:bookmarkEnd w:id="664"/>
      <w:bookmarkEnd w:id="665"/>
      <w:bookmarkEnd w:id="666"/>
      <w:bookmarkEnd w:id="667"/>
      <w:bookmarkEnd w:id="668"/>
    </w:p>
    <w:p>
      <w:pPr>
        <w:pageBreakBefore w:val="0"/>
        <w:widowControl/>
        <w:kinsoku/>
        <w:wordWrap/>
        <w:overflowPunct/>
        <w:topLinePunct w:val="0"/>
        <w:autoSpaceDE/>
        <w:autoSpaceDN/>
        <w:bidi w:val="0"/>
        <w:adjustRightInd/>
        <w:snapToGrid/>
        <w:spacing w:line="312" w:lineRule="auto"/>
        <w:ind w:firstLine="525" w:firstLineChars="25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一</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甲方及其工作人员不得索要或接受乙方的礼金、有价证券和贵重物品，不得在乙方报销任何应由甲方单位或个人支付的费用等。</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outlineLvl w:val="0"/>
        <w:rPr>
          <w:rFonts w:ascii="宋体" w:hAnsi="宋体" w:cs="宋体"/>
          <w:color w:val="auto"/>
          <w:kern w:val="0"/>
          <w:szCs w:val="21"/>
          <w:highlight w:val="none"/>
        </w:rPr>
      </w:pPr>
      <w:bookmarkStart w:id="669" w:name="_Toc10556"/>
      <w:bookmarkStart w:id="670" w:name="_Toc20831"/>
      <w:bookmarkStart w:id="671" w:name="_Toc20780"/>
      <w:bookmarkStart w:id="672" w:name="_Toc20407"/>
      <w:bookmarkStart w:id="673" w:name="_Toc95223499"/>
      <w:r>
        <w:rPr>
          <w:rFonts w:hint="eastAsia" w:ascii="宋体" w:hAnsi="宋体" w:cs="宋体"/>
          <w:color w:val="auto"/>
          <w:kern w:val="0"/>
          <w:szCs w:val="21"/>
          <w:highlight w:val="none"/>
        </w:rPr>
        <w:t>第三条 乙方的义务</w:t>
      </w:r>
      <w:bookmarkEnd w:id="669"/>
      <w:bookmarkEnd w:id="670"/>
      <w:bookmarkEnd w:id="671"/>
      <w:bookmarkEnd w:id="672"/>
      <w:bookmarkEnd w:id="673"/>
    </w:p>
    <w:p>
      <w:pPr>
        <w:pageBreakBefore w:val="0"/>
        <w:widowControl/>
        <w:kinsoku/>
        <w:wordWrap/>
        <w:overflowPunct/>
        <w:topLinePunct w:val="0"/>
        <w:autoSpaceDE/>
        <w:autoSpaceDN/>
        <w:bidi w:val="0"/>
        <w:adjustRightInd/>
        <w:snapToGrid/>
        <w:spacing w:line="312" w:lineRule="auto"/>
        <w:ind w:firstLine="525" w:firstLineChars="25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一</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乙方不得以任何理由向甲方及其工作人员行贿或馈赠礼金、有价证券、贵重礼品。</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（二</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乙方不得以任何名义为甲方及其工作人员报销应由甲方单位或个人支付的任何费用。</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三</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乙方不得以任何理由安排甲方工作人员参加可能影响相关业务公开、公正、公平性的宴请及娱乐活动。</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如有</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要求开展相关工作。</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outlineLvl w:val="0"/>
        <w:rPr>
          <w:rFonts w:ascii="宋体" w:hAnsi="宋体" w:cs="宋体"/>
          <w:color w:val="auto"/>
          <w:kern w:val="0"/>
          <w:szCs w:val="21"/>
          <w:highlight w:val="none"/>
        </w:rPr>
      </w:pPr>
      <w:bookmarkStart w:id="674" w:name="_Toc14507"/>
      <w:bookmarkStart w:id="675" w:name="_Toc11615"/>
      <w:bookmarkStart w:id="676" w:name="_Toc2198"/>
      <w:bookmarkStart w:id="677" w:name="_Toc1513"/>
      <w:bookmarkStart w:id="678" w:name="_Toc95223500"/>
      <w:r>
        <w:rPr>
          <w:rFonts w:hint="eastAsia" w:ascii="宋体" w:hAnsi="宋体" w:cs="宋体"/>
          <w:color w:val="auto"/>
          <w:kern w:val="0"/>
          <w:szCs w:val="21"/>
          <w:highlight w:val="none"/>
        </w:rPr>
        <w:t>第四条 违约责任</w:t>
      </w:r>
      <w:bookmarkEnd w:id="674"/>
      <w:bookmarkEnd w:id="675"/>
      <w:bookmarkEnd w:id="676"/>
      <w:bookmarkEnd w:id="677"/>
      <w:bookmarkEnd w:id="678"/>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outlineLvl w:val="0"/>
        <w:rPr>
          <w:rFonts w:ascii="宋体" w:hAnsi="宋体" w:cs="宋体"/>
          <w:color w:val="auto"/>
          <w:kern w:val="0"/>
          <w:szCs w:val="21"/>
          <w:highlight w:val="none"/>
        </w:rPr>
      </w:pPr>
      <w:bookmarkStart w:id="679" w:name="_Toc17417"/>
      <w:bookmarkStart w:id="680" w:name="_Toc95223501"/>
      <w:bookmarkStart w:id="681" w:name="_Toc2334"/>
      <w:bookmarkStart w:id="682" w:name="_Toc24665"/>
      <w:bookmarkStart w:id="683" w:name="_Toc10228"/>
      <w:r>
        <w:rPr>
          <w:rFonts w:hint="eastAsia" w:ascii="宋体" w:hAnsi="宋体" w:cs="宋体"/>
          <w:color w:val="auto"/>
          <w:kern w:val="0"/>
          <w:szCs w:val="21"/>
          <w:highlight w:val="none"/>
        </w:rPr>
        <w:t>第五条 双方约定</w:t>
      </w:r>
      <w:bookmarkEnd w:id="679"/>
      <w:bookmarkEnd w:id="680"/>
      <w:bookmarkEnd w:id="681"/>
      <w:bookmarkEnd w:id="682"/>
      <w:bookmarkEnd w:id="683"/>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outlineLvl w:val="0"/>
        <w:rPr>
          <w:rFonts w:ascii="宋体" w:hAnsi="宋体" w:cs="宋体"/>
          <w:color w:val="auto"/>
          <w:kern w:val="0"/>
          <w:szCs w:val="21"/>
          <w:highlight w:val="none"/>
        </w:rPr>
      </w:pPr>
      <w:bookmarkStart w:id="684" w:name="_Toc4249"/>
      <w:bookmarkStart w:id="685" w:name="_Toc95223502"/>
      <w:bookmarkStart w:id="686" w:name="_Toc5124"/>
      <w:bookmarkStart w:id="687" w:name="_Toc32140"/>
      <w:bookmarkStart w:id="688" w:name="_Toc17717"/>
      <w:r>
        <w:rPr>
          <w:rFonts w:hint="eastAsia" w:ascii="宋体" w:hAnsi="宋体" w:cs="宋体"/>
          <w:color w:val="auto"/>
          <w:kern w:val="0"/>
          <w:szCs w:val="21"/>
          <w:highlight w:val="none"/>
        </w:rPr>
        <w:t>第六条  本协议有效期为甲乙双方签署之日起至合同终止。</w:t>
      </w:r>
      <w:bookmarkEnd w:id="684"/>
      <w:bookmarkEnd w:id="685"/>
      <w:bookmarkEnd w:id="686"/>
      <w:bookmarkEnd w:id="687"/>
      <w:bookmarkEnd w:id="688"/>
      <w:r>
        <w:rPr>
          <w:rFonts w:hint="eastAsia" w:ascii="宋体" w:hAnsi="宋体" w:cs="宋体"/>
          <w:color w:val="auto"/>
          <w:kern w:val="0"/>
          <w:szCs w:val="21"/>
          <w:highlight w:val="none"/>
        </w:rPr>
        <w:t xml:space="preserve">  </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outlineLvl w:val="0"/>
        <w:rPr>
          <w:rFonts w:ascii="宋体" w:hAnsi="宋体" w:cs="宋体"/>
          <w:color w:val="auto"/>
          <w:kern w:val="0"/>
          <w:szCs w:val="21"/>
          <w:highlight w:val="none"/>
        </w:rPr>
      </w:pPr>
      <w:bookmarkStart w:id="689" w:name="_Toc26942"/>
      <w:bookmarkStart w:id="690" w:name="_Toc95223503"/>
      <w:bookmarkStart w:id="691" w:name="_Toc1871"/>
      <w:bookmarkStart w:id="692" w:name="_Toc24032"/>
      <w:bookmarkStart w:id="693" w:name="_Toc23283"/>
      <w:r>
        <w:rPr>
          <w:rFonts w:hint="eastAsia" w:ascii="宋体" w:hAnsi="宋体" w:cs="宋体"/>
          <w:color w:val="auto"/>
          <w:kern w:val="0"/>
          <w:szCs w:val="21"/>
          <w:highlight w:val="none"/>
        </w:rPr>
        <w:t>第七条  本协议作为合同的附件，与本合同具有同等法律效力。</w:t>
      </w:r>
      <w:bookmarkEnd w:id="689"/>
      <w:bookmarkEnd w:id="690"/>
      <w:bookmarkEnd w:id="691"/>
      <w:bookmarkEnd w:id="692"/>
      <w:bookmarkEnd w:id="693"/>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lang w:eastAsia="zh-CN"/>
        </w:rPr>
        <w:t>）</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pPr>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pPr>
        <w:keepNext/>
        <w:keepLines/>
        <w:pageBreakBefore w:val="0"/>
        <w:widowControl w:val="0"/>
        <w:kinsoku/>
        <w:overflowPunct/>
        <w:topLinePunct w:val="0"/>
        <w:autoSpaceDE/>
        <w:autoSpaceDN/>
        <w:bidi w:val="0"/>
        <w:spacing w:before="120" w:after="120" w:line="312" w:lineRule="auto"/>
        <w:jc w:val="left"/>
        <w:textAlignment w:val="auto"/>
        <w:outlineLvl w:val="2"/>
        <w:rPr>
          <w:rFonts w:ascii="宋体" w:hAnsi="宋体" w:cs="宋体"/>
          <w:color w:val="auto"/>
          <w:szCs w:val="21"/>
          <w:highlight w:val="none"/>
        </w:rPr>
      </w:pPr>
      <w:r>
        <w:rPr>
          <w:rFonts w:hint="eastAsia" w:ascii="宋体" w:hAnsi="宋体" w:cs="宋体"/>
          <w:bCs/>
          <w:color w:val="auto"/>
          <w:kern w:val="0"/>
          <w:sz w:val="24"/>
          <w:szCs w:val="21"/>
          <w:highlight w:val="none"/>
        </w:rPr>
        <w:br w:type="page"/>
      </w:r>
      <w:bookmarkStart w:id="694" w:name="_Toc95223504"/>
      <w:r>
        <w:rPr>
          <w:rFonts w:hint="eastAsia" w:ascii="宋体" w:hAnsi="宋体" w:cs="宋体"/>
          <w:bCs/>
          <w:color w:val="auto"/>
          <w:sz w:val="24"/>
          <w:highlight w:val="none"/>
        </w:rPr>
        <w:t>附件9：履约保证金</w:t>
      </w:r>
      <w:bookmarkEnd w:id="694"/>
    </w:p>
    <w:p>
      <w:pPr>
        <w:pageBreakBefore w:val="0"/>
        <w:widowControl w:val="0"/>
        <w:kinsoku/>
        <w:overflowPunct/>
        <w:topLinePunct w:val="0"/>
        <w:autoSpaceDE/>
        <w:autoSpaceDN/>
        <w:bidi w:val="0"/>
        <w:adjustRightInd w:val="0"/>
        <w:snapToGrid w:val="0"/>
        <w:spacing w:line="312" w:lineRule="auto"/>
        <w:jc w:val="center"/>
        <w:textAlignment w:val="auto"/>
        <w:outlineLvl w:val="0"/>
        <w:rPr>
          <w:rFonts w:ascii="宋体" w:hAnsi="宋体" w:cs="宋体"/>
          <w:b/>
          <w:bCs/>
          <w:color w:val="auto"/>
          <w:sz w:val="32"/>
          <w:szCs w:val="32"/>
          <w:highlight w:val="none"/>
        </w:rPr>
      </w:pPr>
      <w:bookmarkStart w:id="695" w:name="_Toc1720"/>
      <w:bookmarkStart w:id="696" w:name="_Toc95223505"/>
      <w:bookmarkStart w:id="697" w:name="_Toc11600"/>
      <w:bookmarkStart w:id="698" w:name="_Toc25855"/>
      <w:bookmarkStart w:id="699" w:name="_Toc8655"/>
      <w:r>
        <w:rPr>
          <w:rFonts w:hint="eastAsia" w:ascii="宋体" w:hAnsi="宋体" w:cs="宋体"/>
          <w:b/>
          <w:bCs/>
          <w:color w:val="auto"/>
          <w:sz w:val="32"/>
          <w:szCs w:val="32"/>
          <w:highlight w:val="none"/>
        </w:rPr>
        <w:t>履约保函示范文本</w:t>
      </w:r>
      <w:bookmarkEnd w:id="695"/>
      <w:bookmarkEnd w:id="696"/>
      <w:bookmarkEnd w:id="697"/>
      <w:bookmarkEnd w:id="698"/>
      <w:bookmarkEnd w:id="699"/>
    </w:p>
    <w:p>
      <w:pPr>
        <w:pageBreakBefore w:val="0"/>
        <w:widowControl w:val="0"/>
        <w:kinsoku/>
        <w:wordWrap w:val="0"/>
        <w:overflowPunct/>
        <w:topLinePunct w:val="0"/>
        <w:autoSpaceDE/>
        <w:autoSpaceDN/>
        <w:bidi w:val="0"/>
        <w:adjustRightInd w:val="0"/>
        <w:snapToGrid w:val="0"/>
        <w:spacing w:line="312" w:lineRule="auto"/>
        <w:jc w:val="right"/>
        <w:textAlignment w:val="auto"/>
        <w:rPr>
          <w:rFonts w:ascii="宋体" w:hAnsi="宋体" w:cs="宋体"/>
          <w:color w:val="auto"/>
          <w:szCs w:val="21"/>
          <w:highlight w:val="none"/>
        </w:rPr>
      </w:pPr>
      <w:r>
        <w:rPr>
          <w:rFonts w:hint="eastAsia" w:ascii="宋体" w:hAnsi="宋体" w:cs="宋体"/>
          <w:color w:val="auto"/>
          <w:szCs w:val="21"/>
          <w:highlight w:val="none"/>
        </w:rPr>
        <w:t xml:space="preserve">编号：           </w:t>
      </w:r>
    </w:p>
    <w:p>
      <w:pPr>
        <w:pageBreakBefore w:val="0"/>
        <w:widowControl w:val="0"/>
        <w:kinsoku/>
        <w:overflowPunct/>
        <w:topLinePunct w:val="0"/>
        <w:autoSpaceDE/>
        <w:autoSpaceDN/>
        <w:bidi w:val="0"/>
        <w:adjustRightInd w:val="0"/>
        <w:snapToGrid w:val="0"/>
        <w:spacing w:line="312"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pPr>
        <w:pageBreakBefore w:val="0"/>
        <w:widowControl w:val="0"/>
        <w:kinsoku/>
        <w:overflowPunct/>
        <w:topLinePunct w:val="0"/>
        <w:autoSpaceDE/>
        <w:autoSpaceDN/>
        <w:bidi w:val="0"/>
        <w:adjustRightInd w:val="0"/>
        <w:snapToGrid w:val="0"/>
        <w:spacing w:line="312" w:lineRule="auto"/>
        <w:ind w:firstLine="480"/>
        <w:textAlignment w:val="auto"/>
        <w:rPr>
          <w:rFonts w:ascii="宋体" w:hAnsi="宋体" w:cs="宋体"/>
          <w:color w:val="auto"/>
          <w:szCs w:val="21"/>
          <w:highlight w:val="none"/>
        </w:rPr>
      </w:pPr>
      <w:bookmarkStart w:id="700"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700"/>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（2）载明要求支付的金额；</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ageBreakBefore w:val="0"/>
        <w:widowControl w:val="0"/>
        <w:kinsoku/>
        <w:overflowPunct/>
        <w:topLinePunct w:val="0"/>
        <w:autoSpaceDE/>
        <w:autoSpaceDN/>
        <w:bidi w:val="0"/>
        <w:adjustRightInd w:val="0"/>
        <w:snapToGrid w:val="0"/>
        <w:spacing w:line="312" w:lineRule="auto"/>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bookmarkStart w:id="701" w:name="_Hlk40303486"/>
      <w:r>
        <w:rPr>
          <w:rFonts w:hint="eastAsia" w:ascii="宋体" w:hAnsi="宋体" w:cs="宋体"/>
          <w:color w:val="auto"/>
          <w:szCs w:val="21"/>
          <w:highlight w:val="none"/>
        </w:rPr>
        <w:t>受益人发出的书面付款通知应由其法定代表人（负责人）或授权代理人签字并加盖公章。</w:t>
      </w:r>
      <w:bookmarkEnd w:id="701"/>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bookmarkStart w:id="702" w:name="_Hlk40303383"/>
      <w:bookmarkStart w:id="703" w:name="_Hlk40354981"/>
      <w:r>
        <w:rPr>
          <w:rFonts w:hint="eastAsia" w:ascii="宋体" w:hAnsi="宋体" w:cs="宋体"/>
          <w:color w:val="auto"/>
          <w:szCs w:val="21"/>
          <w:highlight w:val="none"/>
        </w:rPr>
        <w:t xml:space="preserve">七、本保函项下的义务和责任均在保函有效期到期后自动消灭。 </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702"/>
      <w:r>
        <w:rPr>
          <w:rFonts w:hint="eastAsia" w:ascii="宋体" w:hAnsi="宋体" w:cs="宋体"/>
          <w:color w:val="auto"/>
          <w:szCs w:val="21"/>
          <w:highlight w:val="none"/>
        </w:rPr>
        <w:t xml:space="preserve">由受益人所在地人民法院管辖。 </w:t>
      </w:r>
    </w:p>
    <w:bookmarkEnd w:id="703"/>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hint="eastAsia" w:ascii="宋体" w:hAnsi="宋体" w:cs="宋体"/>
          <w:color w:val="auto"/>
          <w:szCs w:val="21"/>
          <w:highlight w:val="none"/>
        </w:rPr>
      </w:pP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pPr>
        <w:pageBreakBefore w:val="0"/>
        <w:widowControl w:val="0"/>
        <w:kinsoku/>
        <w:overflowPunct/>
        <w:topLinePunct w:val="0"/>
        <w:autoSpaceDE/>
        <w:autoSpaceDN/>
        <w:bidi w:val="0"/>
        <w:adjustRightInd w:val="0"/>
        <w:snapToGrid w:val="0"/>
        <w:spacing w:line="312"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pPr>
        <w:pageBreakBefore w:val="0"/>
        <w:widowControl w:val="0"/>
        <w:kinsoku/>
        <w:overflowPunct/>
        <w:topLinePunct w:val="0"/>
        <w:autoSpaceDE/>
        <w:autoSpaceDN/>
        <w:bidi w:val="0"/>
        <w:adjustRightInd w:val="0"/>
        <w:snapToGrid w:val="0"/>
        <w:spacing w:line="312" w:lineRule="auto"/>
        <w:ind w:left="1323" w:leftChars="200" w:hanging="903" w:hangingChars="430"/>
        <w:textAlignment w:val="auto"/>
        <w:rPr>
          <w:rFonts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ind w:left="1329" w:hanging="1329" w:hangingChars="633"/>
        <w:rPr>
          <w:rFonts w:ascii="宋体" w:hAnsi="宋体" w:cs="宋体"/>
          <w:color w:val="auto"/>
          <w:szCs w:val="21"/>
          <w:highlight w:val="none"/>
        </w:rPr>
      </w:pPr>
    </w:p>
    <w:p>
      <w:pPr>
        <w:spacing w:line="360" w:lineRule="auto"/>
        <w:ind w:left="1329" w:hanging="1329" w:hangingChars="633"/>
        <w:rPr>
          <w:rFonts w:ascii="宋体" w:hAnsi="宋体" w:cs="宋体"/>
          <w:color w:val="auto"/>
          <w:szCs w:val="21"/>
          <w:highlight w:val="none"/>
        </w:rPr>
      </w:pPr>
    </w:p>
    <w:p>
      <w:pPr>
        <w:keepNext/>
        <w:keepLines/>
        <w:adjustRightInd w:val="0"/>
        <w:snapToGrid w:val="0"/>
        <w:spacing w:line="360" w:lineRule="auto"/>
        <w:jc w:val="left"/>
        <w:outlineLvl w:val="2"/>
        <w:rPr>
          <w:rFonts w:ascii="宋体" w:hAnsi="宋体" w:cs="宋体"/>
          <w:bCs/>
          <w:color w:val="auto"/>
          <w:sz w:val="24"/>
          <w:highlight w:val="none"/>
        </w:rPr>
      </w:pPr>
      <w:r>
        <w:rPr>
          <w:rFonts w:hint="eastAsia" w:ascii="宋体" w:hAnsi="宋体" w:cs="宋体"/>
          <w:bCs/>
          <w:color w:val="auto"/>
          <w:sz w:val="24"/>
          <w:highlight w:val="none"/>
        </w:rPr>
        <w:br w:type="page"/>
      </w:r>
      <w:bookmarkStart w:id="704" w:name="_Toc95223508"/>
      <w:r>
        <w:rPr>
          <w:rFonts w:hint="eastAsia" w:ascii="宋体" w:hAnsi="宋体" w:cs="宋体"/>
          <w:bCs/>
          <w:color w:val="auto"/>
          <w:sz w:val="24"/>
          <w:highlight w:val="none"/>
        </w:rPr>
        <w:t>附</w:t>
      </w:r>
      <w:bookmarkStart w:id="705" w:name="_Toc296944572"/>
      <w:bookmarkStart w:id="706" w:name="_Toc296891273"/>
      <w:bookmarkStart w:id="707" w:name="_Toc296503233"/>
      <w:bookmarkStart w:id="708" w:name="_Toc296891061"/>
      <w:bookmarkStart w:id="709" w:name="_Toc296346734"/>
      <w:bookmarkStart w:id="710" w:name="_Toc296347232"/>
      <w:r>
        <w:rPr>
          <w:rFonts w:hint="eastAsia" w:ascii="宋体" w:hAnsi="宋体" w:cs="宋体"/>
          <w:bCs/>
          <w:color w:val="auto"/>
          <w:sz w:val="24"/>
          <w:highlight w:val="none"/>
        </w:rPr>
        <w:t>件1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：支付担保</w:t>
      </w:r>
      <w:bookmarkEnd w:id="704"/>
      <w:bookmarkEnd w:id="705"/>
      <w:bookmarkEnd w:id="706"/>
      <w:bookmarkEnd w:id="707"/>
      <w:bookmarkEnd w:id="708"/>
      <w:bookmarkEnd w:id="709"/>
      <w:bookmarkEnd w:id="710"/>
    </w:p>
    <w:p>
      <w:pPr>
        <w:adjustRightInd w:val="0"/>
        <w:snapToGrid w:val="0"/>
        <w:spacing w:line="240" w:lineRule="auto"/>
        <w:jc w:val="center"/>
        <w:outlineLvl w:val="0"/>
        <w:rPr>
          <w:rFonts w:ascii="宋体" w:hAnsi="宋体" w:cs="宋体"/>
          <w:b/>
          <w:bCs/>
          <w:color w:val="auto"/>
          <w:sz w:val="32"/>
          <w:szCs w:val="32"/>
          <w:highlight w:val="none"/>
        </w:rPr>
      </w:pPr>
      <w:bookmarkStart w:id="711" w:name="_Toc6279"/>
      <w:bookmarkStart w:id="712" w:name="_Toc3562"/>
      <w:bookmarkStart w:id="713" w:name="_Toc8319"/>
      <w:bookmarkStart w:id="714" w:name="_Toc95223509"/>
      <w:bookmarkStart w:id="715" w:name="_Toc21026"/>
      <w:r>
        <w:rPr>
          <w:rFonts w:hint="eastAsia" w:ascii="宋体" w:hAnsi="宋体" w:cs="宋体"/>
          <w:b/>
          <w:bCs/>
          <w:color w:val="auto"/>
          <w:sz w:val="32"/>
          <w:szCs w:val="32"/>
          <w:highlight w:val="none"/>
        </w:rPr>
        <w:t>支付保函示范文本</w:t>
      </w:r>
      <w:bookmarkEnd w:id="711"/>
      <w:bookmarkEnd w:id="712"/>
      <w:bookmarkEnd w:id="713"/>
      <w:bookmarkEnd w:id="714"/>
      <w:bookmarkEnd w:id="715"/>
    </w:p>
    <w:p>
      <w:pPr>
        <w:wordWrap w:val="0"/>
        <w:adjustRightInd w:val="0"/>
        <w:snapToGrid w:val="0"/>
        <w:spacing w:line="240" w:lineRule="auto"/>
        <w:jc w:val="right"/>
        <w:rPr>
          <w:rFonts w:ascii="宋体" w:hAnsi="宋体" w:cs="宋体"/>
          <w:color w:val="auto"/>
          <w:szCs w:val="21"/>
          <w:highlight w:val="none"/>
        </w:rPr>
      </w:pPr>
      <w:r>
        <w:rPr>
          <w:rFonts w:hint="eastAsia" w:ascii="宋体" w:hAnsi="宋体" w:cs="宋体"/>
          <w:color w:val="auto"/>
          <w:szCs w:val="21"/>
          <w:highlight w:val="none"/>
        </w:rPr>
        <w:t xml:space="preserve">编号：           </w:t>
      </w:r>
    </w:p>
    <w:p>
      <w:pPr>
        <w:adjustRightInd w:val="0"/>
        <w:snapToGrid w:val="0"/>
        <w:spacing w:line="240" w:lineRule="auto"/>
        <w:rPr>
          <w:rFonts w:ascii="宋体" w:hAnsi="宋体" w:cs="宋体"/>
          <w:color w:val="auto"/>
          <w:szCs w:val="21"/>
          <w:highlight w:val="none"/>
        </w:rPr>
      </w:pPr>
    </w:p>
    <w:p>
      <w:pPr>
        <w:adjustRightInd w:val="0"/>
        <w:snapToGrid w:val="0"/>
        <w:spacing w:line="240" w:lineRule="auto"/>
        <w:rPr>
          <w:rFonts w:ascii="宋体" w:hAnsi="宋体" w:cs="宋体"/>
          <w:color w:val="auto"/>
          <w:szCs w:val="21"/>
          <w:highlight w:val="none"/>
        </w:rPr>
      </w:pPr>
      <w:bookmarkStart w:id="716" w:name="_Hlk40355074"/>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bookmarkEnd w:id="716"/>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一、本保函担保范围：申请人未履行基础合同约定的工程款支付义务，应当向受益人承担的违约责任和赔偿因此造成的损失、利息、律师费、诉讼费用等实现债权的费用。</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三、本保函有效期自开立之日起至基础合同约定的除工程质量保修金以外的全部工程结算款项支付之日后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日止。 </w:t>
      </w:r>
    </w:p>
    <w:p>
      <w:pPr>
        <w:adjustRightInd w:val="0"/>
        <w:snapToGrid w:val="0"/>
        <w:spacing w:line="240" w:lineRule="auto"/>
        <w:ind w:firstLine="480"/>
        <w:rPr>
          <w:rFonts w:ascii="宋体" w:hAnsi="宋体" w:cs="宋体"/>
          <w:color w:val="auto"/>
          <w:szCs w:val="21"/>
          <w:highlight w:val="none"/>
        </w:rPr>
      </w:pPr>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（2）载明要求支付的金额；</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 xml:space="preserve">    受益人发出的书面付款通知应由其法定代表人（负责人）或授权代理人签字并加盖公章。</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五、本保函项下的权利不得转让，不得设定担保。受益人未经开立人书面同意转让本保函或其项下任何权利，对开立人不发生法律效力。 </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六、本保函项下的基础交易不成立、不生效、无效、被撤销、被解除，不影响本保函的独立有效。</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七、本保函项下的义务和责任均在保函有效期到期后自动消灭。 </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八、本保函适用的法律为中华人民共和国法律，因本保函产生的纠纷案件，由申请人所在地人民法院管辖。 </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pPr>
        <w:adjustRightInd w:val="0"/>
        <w:snapToGrid w:val="0"/>
        <w:spacing w:line="240" w:lineRule="auto"/>
        <w:ind w:firstLine="420" w:firstLineChars="200"/>
        <w:rPr>
          <w:rFonts w:ascii="宋体" w:hAnsi="宋体" w:cs="宋体"/>
          <w:color w:val="auto"/>
          <w:szCs w:val="21"/>
          <w:highlight w:val="none"/>
        </w:rPr>
      </w:pPr>
    </w:p>
    <w:p>
      <w:pPr>
        <w:adjustRightInd w:val="0"/>
        <w:snapToGrid w:val="0"/>
        <w:spacing w:line="240" w:lineRule="auto"/>
        <w:ind w:firstLine="420" w:firstLineChars="200"/>
        <w:rPr>
          <w:rFonts w:ascii="宋体" w:hAnsi="宋体" w:cs="宋体"/>
          <w:color w:val="auto"/>
          <w:szCs w:val="21"/>
          <w:highlight w:val="none"/>
        </w:rPr>
      </w:pP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pPr>
        <w:adjustRightInd w:val="0"/>
        <w:snapToGrid w:val="0"/>
        <w:spacing w:line="24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pPr>
        <w:adjustRightInd w:val="0"/>
        <w:snapToGrid w:val="0"/>
        <w:spacing w:line="240" w:lineRule="auto"/>
        <w:ind w:left="1323" w:leftChars="200" w:hanging="903" w:hangingChars="430"/>
        <w:rPr>
          <w:rFonts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keepNext/>
        <w:keepLines/>
        <w:adjustRightInd w:val="0"/>
        <w:snapToGrid w:val="0"/>
        <w:spacing w:line="360" w:lineRule="auto"/>
        <w:jc w:val="left"/>
        <w:outlineLvl w:val="2"/>
        <w:rPr>
          <w:rFonts w:ascii="宋体" w:hAnsi="宋体" w:cs="宋体"/>
          <w:bCs/>
          <w:color w:val="auto"/>
          <w:sz w:val="24"/>
          <w:highlight w:val="none"/>
        </w:rPr>
      </w:pPr>
      <w:r>
        <w:rPr>
          <w:rFonts w:hint="eastAsia" w:ascii="宋体" w:hAnsi="宋体" w:cs="宋体"/>
          <w:bCs/>
          <w:color w:val="auto"/>
          <w:sz w:val="24"/>
          <w:highlight w:val="none"/>
        </w:rPr>
        <w:br w:type="page"/>
      </w:r>
      <w:bookmarkStart w:id="717" w:name="_Toc95223510"/>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：暂估价一览表</w:t>
      </w:r>
      <w:bookmarkEnd w:id="717"/>
    </w:p>
    <w:p>
      <w:pPr>
        <w:spacing w:before="120" w:beforeLines="50" w:after="120" w:afterLines="50" w:line="440" w:lineRule="exact"/>
        <w:jc w:val="center"/>
        <w:rPr>
          <w:rFonts w:ascii="宋体" w:hAnsi="宋体" w:cs="宋体"/>
          <w:color w:val="auto"/>
          <w:szCs w:val="21"/>
          <w:highlight w:val="none"/>
        </w:rPr>
      </w:pPr>
      <w:r>
        <w:rPr>
          <w:rFonts w:hint="eastAsia" w:ascii="宋体" w:hAnsi="宋体" w:cs="宋体"/>
          <w:color w:val="auto"/>
          <w:szCs w:val="21"/>
          <w:highlight w:val="none"/>
        </w:rPr>
        <w:t>12-1：材料暂估价表</w:t>
      </w:r>
    </w:p>
    <w:tbl>
      <w:tblPr>
        <w:tblStyle w:val="2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pPr>
              <w:keepNext/>
              <w:spacing w:line="440" w:lineRule="exact"/>
              <w:rPr>
                <w:rFonts w:ascii="宋体" w:hAnsi="宋体" w:cs="宋体"/>
                <w:color w:val="auto"/>
                <w:szCs w:val="21"/>
                <w:highlight w:val="none"/>
              </w:rPr>
            </w:pPr>
          </w:p>
        </w:tc>
        <w:tc>
          <w:tcPr>
            <w:tcW w:w="1984" w:type="dxa"/>
            <w:tcBorders>
              <w:top w:val="double" w:color="auto" w:sz="6" w:space="0"/>
            </w:tcBorders>
          </w:tcPr>
          <w:p>
            <w:pPr>
              <w:keepNext/>
              <w:spacing w:line="440" w:lineRule="exact"/>
              <w:rPr>
                <w:rFonts w:ascii="宋体" w:hAnsi="宋体" w:cs="宋体"/>
                <w:color w:val="auto"/>
                <w:szCs w:val="21"/>
                <w:highlight w:val="none"/>
              </w:rPr>
            </w:pPr>
          </w:p>
        </w:tc>
        <w:tc>
          <w:tcPr>
            <w:tcW w:w="851" w:type="dxa"/>
            <w:tcBorders>
              <w:top w:val="double" w:color="auto" w:sz="6" w:space="0"/>
            </w:tcBorders>
          </w:tcPr>
          <w:p>
            <w:pPr>
              <w:keepNext/>
              <w:spacing w:line="440" w:lineRule="exact"/>
              <w:rPr>
                <w:rFonts w:ascii="宋体" w:hAnsi="宋体" w:cs="宋体"/>
                <w:color w:val="auto"/>
                <w:szCs w:val="21"/>
                <w:highlight w:val="none"/>
              </w:rPr>
            </w:pPr>
          </w:p>
        </w:tc>
        <w:tc>
          <w:tcPr>
            <w:tcW w:w="774" w:type="dxa"/>
            <w:tcBorders>
              <w:top w:val="double" w:color="auto" w:sz="6" w:space="0"/>
            </w:tcBorders>
          </w:tcPr>
          <w:p>
            <w:pPr>
              <w:keepNext/>
              <w:spacing w:line="440" w:lineRule="exact"/>
              <w:rPr>
                <w:rFonts w:ascii="宋体" w:hAnsi="宋体" w:cs="宋体"/>
                <w:color w:val="auto"/>
                <w:szCs w:val="21"/>
                <w:highlight w:val="none"/>
              </w:rPr>
            </w:pPr>
          </w:p>
        </w:tc>
        <w:tc>
          <w:tcPr>
            <w:tcW w:w="1352" w:type="dxa"/>
            <w:tcBorders>
              <w:top w:val="double" w:color="auto" w:sz="6" w:space="0"/>
            </w:tcBorders>
          </w:tcPr>
          <w:p>
            <w:pPr>
              <w:keepNext/>
              <w:spacing w:line="440" w:lineRule="exact"/>
              <w:rPr>
                <w:rFonts w:ascii="宋体" w:hAnsi="宋体" w:cs="宋体"/>
                <w:color w:val="auto"/>
                <w:szCs w:val="21"/>
                <w:highlight w:val="none"/>
              </w:rPr>
            </w:pPr>
          </w:p>
        </w:tc>
        <w:tc>
          <w:tcPr>
            <w:tcW w:w="1418" w:type="dxa"/>
            <w:tcBorders>
              <w:top w:val="double" w:color="auto" w:sz="6" w:space="0"/>
            </w:tcBorders>
          </w:tcPr>
          <w:p>
            <w:pPr>
              <w:keepNext/>
              <w:spacing w:line="440" w:lineRule="exact"/>
              <w:rPr>
                <w:rFonts w:ascii="宋体" w:hAnsi="宋体" w:cs="宋体"/>
                <w:color w:val="auto"/>
                <w:szCs w:val="21"/>
                <w:highlight w:val="none"/>
              </w:rPr>
            </w:pPr>
          </w:p>
        </w:tc>
        <w:tc>
          <w:tcPr>
            <w:tcW w:w="1701" w:type="dxa"/>
            <w:tcBorders>
              <w:top w:val="double" w:color="auto" w:sz="6" w:space="0"/>
            </w:tcBorders>
          </w:tcPr>
          <w:p>
            <w:pPr>
              <w:keepNext/>
              <w:spacing w:line="44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spacing w:line="440" w:lineRule="exact"/>
              <w:rPr>
                <w:rFonts w:ascii="宋体" w:hAnsi="宋体" w:cs="宋体"/>
                <w:color w:val="auto"/>
                <w:szCs w:val="21"/>
                <w:highlight w:val="none"/>
              </w:rPr>
            </w:pPr>
          </w:p>
        </w:tc>
        <w:tc>
          <w:tcPr>
            <w:tcW w:w="1984" w:type="dxa"/>
            <w:tcBorders>
              <w:top w:val="nil"/>
            </w:tcBorders>
          </w:tcPr>
          <w:p>
            <w:pPr>
              <w:keepNext/>
              <w:spacing w:line="440" w:lineRule="exact"/>
              <w:rPr>
                <w:rFonts w:ascii="宋体" w:hAnsi="宋体" w:cs="宋体"/>
                <w:color w:val="auto"/>
                <w:szCs w:val="21"/>
                <w:highlight w:val="none"/>
              </w:rPr>
            </w:pPr>
          </w:p>
        </w:tc>
        <w:tc>
          <w:tcPr>
            <w:tcW w:w="851" w:type="dxa"/>
            <w:tcBorders>
              <w:top w:val="nil"/>
            </w:tcBorders>
          </w:tcPr>
          <w:p>
            <w:pPr>
              <w:keepNext/>
              <w:spacing w:line="440" w:lineRule="exact"/>
              <w:rPr>
                <w:rFonts w:ascii="宋体" w:hAnsi="宋体" w:cs="宋体"/>
                <w:color w:val="auto"/>
                <w:szCs w:val="21"/>
                <w:highlight w:val="none"/>
              </w:rPr>
            </w:pPr>
          </w:p>
        </w:tc>
        <w:tc>
          <w:tcPr>
            <w:tcW w:w="774" w:type="dxa"/>
            <w:tcBorders>
              <w:top w:val="nil"/>
            </w:tcBorders>
          </w:tcPr>
          <w:p>
            <w:pPr>
              <w:keepNext/>
              <w:spacing w:line="440" w:lineRule="exact"/>
              <w:rPr>
                <w:rFonts w:ascii="宋体" w:hAnsi="宋体" w:cs="宋体"/>
                <w:color w:val="auto"/>
                <w:szCs w:val="21"/>
                <w:highlight w:val="none"/>
              </w:rPr>
            </w:pPr>
          </w:p>
        </w:tc>
        <w:tc>
          <w:tcPr>
            <w:tcW w:w="1352" w:type="dxa"/>
            <w:tcBorders>
              <w:top w:val="nil"/>
            </w:tcBorders>
          </w:tcPr>
          <w:p>
            <w:pPr>
              <w:keepNext/>
              <w:spacing w:line="440" w:lineRule="exact"/>
              <w:rPr>
                <w:rFonts w:ascii="宋体" w:hAnsi="宋体" w:cs="宋体"/>
                <w:color w:val="auto"/>
                <w:szCs w:val="21"/>
                <w:highlight w:val="none"/>
              </w:rPr>
            </w:pPr>
          </w:p>
        </w:tc>
        <w:tc>
          <w:tcPr>
            <w:tcW w:w="1418" w:type="dxa"/>
            <w:tcBorders>
              <w:top w:val="nil"/>
            </w:tcBorders>
          </w:tcPr>
          <w:p>
            <w:pPr>
              <w:keepNext/>
              <w:spacing w:line="440" w:lineRule="exact"/>
              <w:rPr>
                <w:rFonts w:ascii="宋体" w:hAnsi="宋体" w:cs="宋体"/>
                <w:color w:val="auto"/>
                <w:szCs w:val="21"/>
                <w:highlight w:val="none"/>
              </w:rPr>
            </w:pPr>
          </w:p>
        </w:tc>
        <w:tc>
          <w:tcPr>
            <w:tcW w:w="1701" w:type="dxa"/>
            <w:tcBorders>
              <w:top w:val="nil"/>
            </w:tcBorders>
          </w:tcPr>
          <w:p>
            <w:pPr>
              <w:keepNext/>
              <w:spacing w:line="44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rPr>
                <w:rFonts w:ascii="宋体" w:hAnsi="宋体" w:cs="宋体"/>
                <w:color w:val="auto"/>
                <w:szCs w:val="21"/>
                <w:highlight w:val="none"/>
              </w:rPr>
            </w:pPr>
          </w:p>
        </w:tc>
        <w:tc>
          <w:tcPr>
            <w:tcW w:w="1984" w:type="dxa"/>
          </w:tcPr>
          <w:p>
            <w:pPr>
              <w:keepNext/>
              <w:spacing w:line="440" w:lineRule="exact"/>
              <w:rPr>
                <w:rFonts w:ascii="宋体" w:hAnsi="宋体" w:cs="宋体"/>
                <w:color w:val="auto"/>
                <w:szCs w:val="21"/>
                <w:highlight w:val="none"/>
              </w:rPr>
            </w:pPr>
          </w:p>
        </w:tc>
        <w:tc>
          <w:tcPr>
            <w:tcW w:w="851" w:type="dxa"/>
          </w:tcPr>
          <w:p>
            <w:pPr>
              <w:keepNext/>
              <w:spacing w:line="440" w:lineRule="exact"/>
              <w:rPr>
                <w:rFonts w:ascii="宋体" w:hAnsi="宋体" w:cs="宋体"/>
                <w:color w:val="auto"/>
                <w:szCs w:val="21"/>
                <w:highlight w:val="none"/>
              </w:rPr>
            </w:pPr>
          </w:p>
        </w:tc>
        <w:tc>
          <w:tcPr>
            <w:tcW w:w="774" w:type="dxa"/>
          </w:tcPr>
          <w:p>
            <w:pPr>
              <w:keepNext/>
              <w:spacing w:line="440" w:lineRule="exact"/>
              <w:rPr>
                <w:rFonts w:ascii="宋体" w:hAnsi="宋体" w:cs="宋体"/>
                <w:color w:val="auto"/>
                <w:szCs w:val="21"/>
                <w:highlight w:val="none"/>
              </w:rPr>
            </w:pPr>
          </w:p>
        </w:tc>
        <w:tc>
          <w:tcPr>
            <w:tcW w:w="1352" w:type="dxa"/>
          </w:tcPr>
          <w:p>
            <w:pPr>
              <w:keepNext/>
              <w:spacing w:line="440" w:lineRule="exact"/>
              <w:rPr>
                <w:rFonts w:ascii="宋体" w:hAnsi="宋体" w:cs="宋体"/>
                <w:color w:val="auto"/>
                <w:szCs w:val="21"/>
                <w:highlight w:val="none"/>
              </w:rPr>
            </w:pPr>
          </w:p>
        </w:tc>
        <w:tc>
          <w:tcPr>
            <w:tcW w:w="1418" w:type="dxa"/>
          </w:tcPr>
          <w:p>
            <w:pPr>
              <w:keepNext/>
              <w:spacing w:line="440" w:lineRule="exact"/>
              <w:rPr>
                <w:rFonts w:ascii="宋体" w:hAnsi="宋体" w:cs="宋体"/>
                <w:color w:val="auto"/>
                <w:szCs w:val="21"/>
                <w:highlight w:val="none"/>
              </w:rPr>
            </w:pPr>
          </w:p>
        </w:tc>
        <w:tc>
          <w:tcPr>
            <w:tcW w:w="1701" w:type="dxa"/>
          </w:tcPr>
          <w:p>
            <w:pPr>
              <w:keepNext/>
              <w:spacing w:line="44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rPr>
                <w:rFonts w:ascii="宋体" w:hAnsi="宋体" w:cs="宋体"/>
                <w:color w:val="auto"/>
                <w:szCs w:val="21"/>
                <w:highlight w:val="none"/>
              </w:rPr>
            </w:pPr>
          </w:p>
        </w:tc>
        <w:tc>
          <w:tcPr>
            <w:tcW w:w="1984" w:type="dxa"/>
          </w:tcPr>
          <w:p>
            <w:pPr>
              <w:keepNext/>
              <w:spacing w:line="440" w:lineRule="exact"/>
              <w:rPr>
                <w:rFonts w:ascii="宋体" w:hAnsi="宋体" w:cs="宋体"/>
                <w:color w:val="auto"/>
                <w:szCs w:val="21"/>
                <w:highlight w:val="none"/>
              </w:rPr>
            </w:pPr>
          </w:p>
        </w:tc>
        <w:tc>
          <w:tcPr>
            <w:tcW w:w="851" w:type="dxa"/>
          </w:tcPr>
          <w:p>
            <w:pPr>
              <w:keepNext/>
              <w:spacing w:line="440" w:lineRule="exact"/>
              <w:rPr>
                <w:rFonts w:ascii="宋体" w:hAnsi="宋体" w:cs="宋体"/>
                <w:color w:val="auto"/>
                <w:szCs w:val="21"/>
                <w:highlight w:val="none"/>
              </w:rPr>
            </w:pPr>
          </w:p>
        </w:tc>
        <w:tc>
          <w:tcPr>
            <w:tcW w:w="774" w:type="dxa"/>
          </w:tcPr>
          <w:p>
            <w:pPr>
              <w:keepNext/>
              <w:spacing w:line="440" w:lineRule="exact"/>
              <w:rPr>
                <w:rFonts w:ascii="宋体" w:hAnsi="宋体" w:cs="宋体"/>
                <w:color w:val="auto"/>
                <w:szCs w:val="21"/>
                <w:highlight w:val="none"/>
              </w:rPr>
            </w:pPr>
          </w:p>
        </w:tc>
        <w:tc>
          <w:tcPr>
            <w:tcW w:w="1352" w:type="dxa"/>
          </w:tcPr>
          <w:p>
            <w:pPr>
              <w:keepNext/>
              <w:spacing w:line="440" w:lineRule="exact"/>
              <w:rPr>
                <w:rFonts w:ascii="宋体" w:hAnsi="宋体" w:cs="宋体"/>
                <w:color w:val="auto"/>
                <w:szCs w:val="21"/>
                <w:highlight w:val="none"/>
              </w:rPr>
            </w:pPr>
          </w:p>
        </w:tc>
        <w:tc>
          <w:tcPr>
            <w:tcW w:w="1418" w:type="dxa"/>
          </w:tcPr>
          <w:p>
            <w:pPr>
              <w:keepNext/>
              <w:spacing w:line="440" w:lineRule="exact"/>
              <w:rPr>
                <w:rFonts w:ascii="宋体" w:hAnsi="宋体" w:cs="宋体"/>
                <w:color w:val="auto"/>
                <w:szCs w:val="21"/>
                <w:highlight w:val="none"/>
              </w:rPr>
            </w:pPr>
          </w:p>
        </w:tc>
        <w:tc>
          <w:tcPr>
            <w:tcW w:w="1701" w:type="dxa"/>
          </w:tcPr>
          <w:p>
            <w:pPr>
              <w:keepNext/>
              <w:spacing w:line="44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pPr>
              <w:keepNext/>
              <w:spacing w:line="440" w:lineRule="exact"/>
              <w:rPr>
                <w:rFonts w:ascii="宋体" w:hAnsi="宋体" w:cs="宋体"/>
                <w:color w:val="auto"/>
                <w:szCs w:val="21"/>
                <w:highlight w:val="none"/>
              </w:rPr>
            </w:pPr>
          </w:p>
        </w:tc>
        <w:tc>
          <w:tcPr>
            <w:tcW w:w="1984" w:type="dxa"/>
            <w:tcBorders>
              <w:bottom w:val="single" w:color="auto" w:sz="12" w:space="0"/>
            </w:tcBorders>
          </w:tcPr>
          <w:p>
            <w:pPr>
              <w:keepNext/>
              <w:spacing w:line="440" w:lineRule="exact"/>
              <w:rPr>
                <w:rFonts w:ascii="宋体" w:hAnsi="宋体" w:cs="宋体"/>
                <w:color w:val="auto"/>
                <w:szCs w:val="21"/>
                <w:highlight w:val="none"/>
              </w:rPr>
            </w:pPr>
          </w:p>
        </w:tc>
        <w:tc>
          <w:tcPr>
            <w:tcW w:w="851" w:type="dxa"/>
            <w:tcBorders>
              <w:bottom w:val="single" w:color="auto" w:sz="12" w:space="0"/>
            </w:tcBorders>
          </w:tcPr>
          <w:p>
            <w:pPr>
              <w:keepNext/>
              <w:spacing w:line="440" w:lineRule="exact"/>
              <w:rPr>
                <w:rFonts w:ascii="宋体" w:hAnsi="宋体" w:cs="宋体"/>
                <w:color w:val="auto"/>
                <w:szCs w:val="21"/>
                <w:highlight w:val="none"/>
              </w:rPr>
            </w:pPr>
          </w:p>
        </w:tc>
        <w:tc>
          <w:tcPr>
            <w:tcW w:w="774" w:type="dxa"/>
            <w:tcBorders>
              <w:bottom w:val="single" w:color="auto" w:sz="12" w:space="0"/>
            </w:tcBorders>
          </w:tcPr>
          <w:p>
            <w:pPr>
              <w:keepNext/>
              <w:spacing w:line="440" w:lineRule="exact"/>
              <w:rPr>
                <w:rFonts w:ascii="宋体" w:hAnsi="宋体" w:cs="宋体"/>
                <w:color w:val="auto"/>
                <w:szCs w:val="21"/>
                <w:highlight w:val="none"/>
              </w:rPr>
            </w:pPr>
          </w:p>
        </w:tc>
        <w:tc>
          <w:tcPr>
            <w:tcW w:w="1352" w:type="dxa"/>
            <w:tcBorders>
              <w:bottom w:val="single" w:color="auto" w:sz="12" w:space="0"/>
            </w:tcBorders>
          </w:tcPr>
          <w:p>
            <w:pPr>
              <w:keepNext/>
              <w:spacing w:line="440" w:lineRule="exact"/>
              <w:rPr>
                <w:rFonts w:ascii="宋体" w:hAnsi="宋体" w:cs="宋体"/>
                <w:color w:val="auto"/>
                <w:szCs w:val="21"/>
                <w:highlight w:val="none"/>
              </w:rPr>
            </w:pPr>
          </w:p>
        </w:tc>
        <w:tc>
          <w:tcPr>
            <w:tcW w:w="1418" w:type="dxa"/>
            <w:tcBorders>
              <w:bottom w:val="single" w:color="auto" w:sz="12" w:space="0"/>
            </w:tcBorders>
          </w:tcPr>
          <w:p>
            <w:pPr>
              <w:keepNext/>
              <w:spacing w:line="440" w:lineRule="exact"/>
              <w:rPr>
                <w:rFonts w:ascii="宋体" w:hAnsi="宋体" w:cs="宋体"/>
                <w:color w:val="auto"/>
                <w:szCs w:val="21"/>
                <w:highlight w:val="none"/>
              </w:rPr>
            </w:pPr>
          </w:p>
        </w:tc>
        <w:tc>
          <w:tcPr>
            <w:tcW w:w="1701" w:type="dxa"/>
            <w:tcBorders>
              <w:bottom w:val="single" w:color="auto" w:sz="12" w:space="0"/>
            </w:tcBorders>
          </w:tcPr>
          <w:p>
            <w:pPr>
              <w:keepNext/>
              <w:spacing w:line="440" w:lineRule="exact"/>
              <w:rPr>
                <w:rFonts w:ascii="宋体" w:hAnsi="宋体" w:cs="宋体"/>
                <w:color w:val="auto"/>
                <w:szCs w:val="21"/>
                <w:highlight w:val="none"/>
              </w:rPr>
            </w:pPr>
          </w:p>
        </w:tc>
      </w:tr>
    </w:tbl>
    <w:p>
      <w:pPr>
        <w:spacing w:before="120" w:beforeLines="50" w:after="120" w:afterLines="50" w:line="440" w:lineRule="exact"/>
        <w:rPr>
          <w:rFonts w:ascii="宋体" w:hAnsi="宋体" w:cs="宋体"/>
          <w:color w:val="auto"/>
          <w:szCs w:val="21"/>
          <w:highlight w:val="none"/>
        </w:rPr>
      </w:pPr>
    </w:p>
    <w:p>
      <w:pPr>
        <w:spacing w:before="120" w:beforeLines="50" w:after="120" w:afterLines="50" w:line="440" w:lineRule="exact"/>
        <w:jc w:val="center"/>
        <w:rPr>
          <w:rFonts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2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pPr>
              <w:keepNext/>
              <w:spacing w:line="440" w:lineRule="exact"/>
              <w:rPr>
                <w:rFonts w:ascii="宋体" w:hAnsi="宋体" w:cs="宋体"/>
                <w:color w:val="auto"/>
                <w:szCs w:val="21"/>
                <w:highlight w:val="none"/>
              </w:rPr>
            </w:pPr>
          </w:p>
        </w:tc>
        <w:tc>
          <w:tcPr>
            <w:tcW w:w="1984" w:type="dxa"/>
            <w:tcBorders>
              <w:top w:val="double" w:color="auto" w:sz="6" w:space="0"/>
            </w:tcBorders>
          </w:tcPr>
          <w:p>
            <w:pPr>
              <w:keepNext/>
              <w:spacing w:line="440" w:lineRule="exact"/>
              <w:rPr>
                <w:rFonts w:ascii="宋体" w:hAnsi="宋体" w:cs="宋体"/>
                <w:color w:val="auto"/>
                <w:szCs w:val="21"/>
                <w:highlight w:val="none"/>
              </w:rPr>
            </w:pPr>
          </w:p>
        </w:tc>
        <w:tc>
          <w:tcPr>
            <w:tcW w:w="851" w:type="dxa"/>
            <w:tcBorders>
              <w:top w:val="double" w:color="auto" w:sz="6" w:space="0"/>
            </w:tcBorders>
          </w:tcPr>
          <w:p>
            <w:pPr>
              <w:keepNext/>
              <w:spacing w:line="440" w:lineRule="exact"/>
              <w:rPr>
                <w:rFonts w:ascii="宋体" w:hAnsi="宋体" w:cs="宋体"/>
                <w:color w:val="auto"/>
                <w:szCs w:val="21"/>
                <w:highlight w:val="none"/>
              </w:rPr>
            </w:pPr>
          </w:p>
        </w:tc>
        <w:tc>
          <w:tcPr>
            <w:tcW w:w="774" w:type="dxa"/>
            <w:tcBorders>
              <w:top w:val="double" w:color="auto" w:sz="6" w:space="0"/>
            </w:tcBorders>
          </w:tcPr>
          <w:p>
            <w:pPr>
              <w:keepNext/>
              <w:spacing w:line="440" w:lineRule="exact"/>
              <w:rPr>
                <w:rFonts w:ascii="宋体" w:hAnsi="宋体" w:cs="宋体"/>
                <w:color w:val="auto"/>
                <w:szCs w:val="21"/>
                <w:highlight w:val="none"/>
              </w:rPr>
            </w:pPr>
          </w:p>
        </w:tc>
        <w:tc>
          <w:tcPr>
            <w:tcW w:w="1352" w:type="dxa"/>
            <w:tcBorders>
              <w:top w:val="double" w:color="auto" w:sz="6" w:space="0"/>
            </w:tcBorders>
          </w:tcPr>
          <w:p>
            <w:pPr>
              <w:keepNext/>
              <w:spacing w:line="440" w:lineRule="exact"/>
              <w:rPr>
                <w:rFonts w:ascii="宋体" w:hAnsi="宋体" w:cs="宋体"/>
                <w:color w:val="auto"/>
                <w:szCs w:val="21"/>
                <w:highlight w:val="none"/>
              </w:rPr>
            </w:pPr>
          </w:p>
        </w:tc>
        <w:tc>
          <w:tcPr>
            <w:tcW w:w="1418" w:type="dxa"/>
            <w:tcBorders>
              <w:top w:val="double" w:color="auto" w:sz="6" w:space="0"/>
            </w:tcBorders>
          </w:tcPr>
          <w:p>
            <w:pPr>
              <w:keepNext/>
              <w:spacing w:line="440" w:lineRule="exact"/>
              <w:rPr>
                <w:rFonts w:ascii="宋体" w:hAnsi="宋体" w:cs="宋体"/>
                <w:color w:val="auto"/>
                <w:szCs w:val="21"/>
                <w:highlight w:val="none"/>
              </w:rPr>
            </w:pPr>
          </w:p>
        </w:tc>
        <w:tc>
          <w:tcPr>
            <w:tcW w:w="1701" w:type="dxa"/>
            <w:tcBorders>
              <w:top w:val="double" w:color="auto" w:sz="6" w:space="0"/>
            </w:tcBorders>
          </w:tcPr>
          <w:p>
            <w:pPr>
              <w:keepNext/>
              <w:spacing w:line="44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spacing w:line="440" w:lineRule="exact"/>
              <w:rPr>
                <w:rFonts w:ascii="宋体" w:hAnsi="宋体" w:cs="宋体"/>
                <w:color w:val="auto"/>
                <w:szCs w:val="21"/>
                <w:highlight w:val="none"/>
              </w:rPr>
            </w:pPr>
          </w:p>
        </w:tc>
        <w:tc>
          <w:tcPr>
            <w:tcW w:w="1984" w:type="dxa"/>
            <w:tcBorders>
              <w:top w:val="nil"/>
            </w:tcBorders>
          </w:tcPr>
          <w:p>
            <w:pPr>
              <w:keepNext/>
              <w:spacing w:line="440" w:lineRule="exact"/>
              <w:rPr>
                <w:rFonts w:ascii="宋体" w:hAnsi="宋体" w:cs="宋体"/>
                <w:color w:val="auto"/>
                <w:szCs w:val="21"/>
                <w:highlight w:val="none"/>
              </w:rPr>
            </w:pPr>
          </w:p>
        </w:tc>
        <w:tc>
          <w:tcPr>
            <w:tcW w:w="851" w:type="dxa"/>
            <w:tcBorders>
              <w:top w:val="nil"/>
            </w:tcBorders>
          </w:tcPr>
          <w:p>
            <w:pPr>
              <w:keepNext/>
              <w:spacing w:line="440" w:lineRule="exact"/>
              <w:rPr>
                <w:rFonts w:ascii="宋体" w:hAnsi="宋体" w:cs="宋体"/>
                <w:color w:val="auto"/>
                <w:szCs w:val="21"/>
                <w:highlight w:val="none"/>
              </w:rPr>
            </w:pPr>
          </w:p>
        </w:tc>
        <w:tc>
          <w:tcPr>
            <w:tcW w:w="774" w:type="dxa"/>
            <w:tcBorders>
              <w:top w:val="nil"/>
            </w:tcBorders>
          </w:tcPr>
          <w:p>
            <w:pPr>
              <w:keepNext/>
              <w:spacing w:line="440" w:lineRule="exact"/>
              <w:rPr>
                <w:rFonts w:ascii="宋体" w:hAnsi="宋体" w:cs="宋体"/>
                <w:color w:val="auto"/>
                <w:szCs w:val="21"/>
                <w:highlight w:val="none"/>
              </w:rPr>
            </w:pPr>
          </w:p>
        </w:tc>
        <w:tc>
          <w:tcPr>
            <w:tcW w:w="1352" w:type="dxa"/>
            <w:tcBorders>
              <w:top w:val="nil"/>
            </w:tcBorders>
          </w:tcPr>
          <w:p>
            <w:pPr>
              <w:keepNext/>
              <w:spacing w:line="440" w:lineRule="exact"/>
              <w:rPr>
                <w:rFonts w:ascii="宋体" w:hAnsi="宋体" w:cs="宋体"/>
                <w:color w:val="auto"/>
                <w:szCs w:val="21"/>
                <w:highlight w:val="none"/>
              </w:rPr>
            </w:pPr>
          </w:p>
        </w:tc>
        <w:tc>
          <w:tcPr>
            <w:tcW w:w="1418" w:type="dxa"/>
            <w:tcBorders>
              <w:top w:val="nil"/>
            </w:tcBorders>
          </w:tcPr>
          <w:p>
            <w:pPr>
              <w:keepNext/>
              <w:spacing w:line="440" w:lineRule="exact"/>
              <w:rPr>
                <w:rFonts w:ascii="宋体" w:hAnsi="宋体" w:cs="宋体"/>
                <w:color w:val="auto"/>
                <w:szCs w:val="21"/>
                <w:highlight w:val="none"/>
              </w:rPr>
            </w:pPr>
          </w:p>
        </w:tc>
        <w:tc>
          <w:tcPr>
            <w:tcW w:w="1701" w:type="dxa"/>
            <w:tcBorders>
              <w:top w:val="nil"/>
            </w:tcBorders>
          </w:tcPr>
          <w:p>
            <w:pPr>
              <w:keepNext/>
              <w:spacing w:line="44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rPr>
                <w:rFonts w:ascii="宋体" w:hAnsi="宋体" w:cs="宋体"/>
                <w:color w:val="auto"/>
                <w:szCs w:val="21"/>
                <w:highlight w:val="none"/>
              </w:rPr>
            </w:pPr>
          </w:p>
        </w:tc>
        <w:tc>
          <w:tcPr>
            <w:tcW w:w="1984" w:type="dxa"/>
          </w:tcPr>
          <w:p>
            <w:pPr>
              <w:keepNext/>
              <w:spacing w:line="440" w:lineRule="exact"/>
              <w:rPr>
                <w:rFonts w:ascii="宋体" w:hAnsi="宋体" w:cs="宋体"/>
                <w:color w:val="auto"/>
                <w:szCs w:val="21"/>
                <w:highlight w:val="none"/>
              </w:rPr>
            </w:pPr>
          </w:p>
        </w:tc>
        <w:tc>
          <w:tcPr>
            <w:tcW w:w="851" w:type="dxa"/>
          </w:tcPr>
          <w:p>
            <w:pPr>
              <w:keepNext/>
              <w:spacing w:line="440" w:lineRule="exact"/>
              <w:rPr>
                <w:rFonts w:ascii="宋体" w:hAnsi="宋体" w:cs="宋体"/>
                <w:color w:val="auto"/>
                <w:szCs w:val="21"/>
                <w:highlight w:val="none"/>
              </w:rPr>
            </w:pPr>
          </w:p>
        </w:tc>
        <w:tc>
          <w:tcPr>
            <w:tcW w:w="774" w:type="dxa"/>
          </w:tcPr>
          <w:p>
            <w:pPr>
              <w:keepNext/>
              <w:spacing w:line="440" w:lineRule="exact"/>
              <w:rPr>
                <w:rFonts w:ascii="宋体" w:hAnsi="宋体" w:cs="宋体"/>
                <w:color w:val="auto"/>
                <w:szCs w:val="21"/>
                <w:highlight w:val="none"/>
              </w:rPr>
            </w:pPr>
          </w:p>
        </w:tc>
        <w:tc>
          <w:tcPr>
            <w:tcW w:w="1352" w:type="dxa"/>
          </w:tcPr>
          <w:p>
            <w:pPr>
              <w:keepNext/>
              <w:spacing w:line="440" w:lineRule="exact"/>
              <w:rPr>
                <w:rFonts w:ascii="宋体" w:hAnsi="宋体" w:cs="宋体"/>
                <w:color w:val="auto"/>
                <w:szCs w:val="21"/>
                <w:highlight w:val="none"/>
              </w:rPr>
            </w:pPr>
          </w:p>
        </w:tc>
        <w:tc>
          <w:tcPr>
            <w:tcW w:w="1418" w:type="dxa"/>
          </w:tcPr>
          <w:p>
            <w:pPr>
              <w:keepNext/>
              <w:spacing w:line="440" w:lineRule="exact"/>
              <w:rPr>
                <w:rFonts w:ascii="宋体" w:hAnsi="宋体" w:cs="宋体"/>
                <w:color w:val="auto"/>
                <w:szCs w:val="21"/>
                <w:highlight w:val="none"/>
              </w:rPr>
            </w:pPr>
          </w:p>
        </w:tc>
        <w:tc>
          <w:tcPr>
            <w:tcW w:w="1701" w:type="dxa"/>
          </w:tcPr>
          <w:p>
            <w:pPr>
              <w:keepNext/>
              <w:spacing w:line="44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pPr>
              <w:keepNext/>
              <w:spacing w:line="440" w:lineRule="exact"/>
              <w:rPr>
                <w:rFonts w:ascii="宋体" w:hAnsi="宋体" w:cs="宋体"/>
                <w:color w:val="auto"/>
                <w:szCs w:val="21"/>
                <w:highlight w:val="none"/>
              </w:rPr>
            </w:pPr>
          </w:p>
        </w:tc>
        <w:tc>
          <w:tcPr>
            <w:tcW w:w="1984" w:type="dxa"/>
            <w:tcBorders>
              <w:bottom w:val="single" w:color="auto" w:sz="12" w:space="0"/>
            </w:tcBorders>
          </w:tcPr>
          <w:p>
            <w:pPr>
              <w:keepNext/>
              <w:spacing w:line="440" w:lineRule="exact"/>
              <w:rPr>
                <w:rFonts w:ascii="宋体" w:hAnsi="宋体" w:cs="宋体"/>
                <w:color w:val="auto"/>
                <w:szCs w:val="21"/>
                <w:highlight w:val="none"/>
              </w:rPr>
            </w:pPr>
          </w:p>
        </w:tc>
        <w:tc>
          <w:tcPr>
            <w:tcW w:w="851" w:type="dxa"/>
            <w:tcBorders>
              <w:bottom w:val="single" w:color="auto" w:sz="12" w:space="0"/>
            </w:tcBorders>
          </w:tcPr>
          <w:p>
            <w:pPr>
              <w:keepNext/>
              <w:spacing w:line="440" w:lineRule="exact"/>
              <w:rPr>
                <w:rFonts w:ascii="宋体" w:hAnsi="宋体" w:cs="宋体"/>
                <w:color w:val="auto"/>
                <w:szCs w:val="21"/>
                <w:highlight w:val="none"/>
              </w:rPr>
            </w:pPr>
          </w:p>
        </w:tc>
        <w:tc>
          <w:tcPr>
            <w:tcW w:w="774" w:type="dxa"/>
            <w:tcBorders>
              <w:bottom w:val="single" w:color="auto" w:sz="12" w:space="0"/>
            </w:tcBorders>
          </w:tcPr>
          <w:p>
            <w:pPr>
              <w:keepNext/>
              <w:spacing w:line="440" w:lineRule="exact"/>
              <w:rPr>
                <w:rFonts w:ascii="宋体" w:hAnsi="宋体" w:cs="宋体"/>
                <w:color w:val="auto"/>
                <w:szCs w:val="21"/>
                <w:highlight w:val="none"/>
              </w:rPr>
            </w:pPr>
          </w:p>
        </w:tc>
        <w:tc>
          <w:tcPr>
            <w:tcW w:w="1352" w:type="dxa"/>
            <w:tcBorders>
              <w:bottom w:val="single" w:color="auto" w:sz="12" w:space="0"/>
            </w:tcBorders>
          </w:tcPr>
          <w:p>
            <w:pPr>
              <w:keepNext/>
              <w:spacing w:line="440" w:lineRule="exact"/>
              <w:rPr>
                <w:rFonts w:ascii="宋体" w:hAnsi="宋体" w:cs="宋体"/>
                <w:color w:val="auto"/>
                <w:szCs w:val="21"/>
                <w:highlight w:val="none"/>
              </w:rPr>
            </w:pPr>
          </w:p>
        </w:tc>
        <w:tc>
          <w:tcPr>
            <w:tcW w:w="1418" w:type="dxa"/>
            <w:tcBorders>
              <w:bottom w:val="single" w:color="auto" w:sz="12" w:space="0"/>
            </w:tcBorders>
          </w:tcPr>
          <w:p>
            <w:pPr>
              <w:keepNext/>
              <w:spacing w:line="440" w:lineRule="exact"/>
              <w:rPr>
                <w:rFonts w:ascii="宋体" w:hAnsi="宋体" w:cs="宋体"/>
                <w:color w:val="auto"/>
                <w:szCs w:val="21"/>
                <w:highlight w:val="none"/>
              </w:rPr>
            </w:pPr>
          </w:p>
        </w:tc>
        <w:tc>
          <w:tcPr>
            <w:tcW w:w="1701" w:type="dxa"/>
            <w:tcBorders>
              <w:bottom w:val="single" w:color="auto" w:sz="12" w:space="0"/>
            </w:tcBorders>
          </w:tcPr>
          <w:p>
            <w:pPr>
              <w:keepNext/>
              <w:spacing w:line="440" w:lineRule="exact"/>
              <w:rPr>
                <w:rFonts w:ascii="宋体" w:hAnsi="宋体" w:cs="宋体"/>
                <w:color w:val="auto"/>
                <w:szCs w:val="21"/>
                <w:highlight w:val="none"/>
              </w:rPr>
            </w:pPr>
          </w:p>
        </w:tc>
      </w:tr>
    </w:tbl>
    <w:p>
      <w:pPr>
        <w:spacing w:line="440" w:lineRule="exact"/>
        <w:rPr>
          <w:rFonts w:ascii="宋体" w:hAnsi="宋体" w:cs="宋体"/>
          <w:color w:val="auto"/>
          <w:szCs w:val="21"/>
          <w:highlight w:val="none"/>
        </w:rPr>
      </w:pPr>
    </w:p>
    <w:p>
      <w:pPr>
        <w:spacing w:before="120" w:beforeLines="50" w:after="120" w:afterLines="50" w:line="440" w:lineRule="exact"/>
        <w:jc w:val="center"/>
        <w:rPr>
          <w:rFonts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2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tcPr>
          <w:p>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pPr>
              <w:keepNext/>
              <w:spacing w:line="440" w:lineRule="exact"/>
              <w:rPr>
                <w:rFonts w:ascii="宋体" w:hAnsi="宋体" w:cs="宋体"/>
                <w:color w:val="auto"/>
                <w:szCs w:val="21"/>
                <w:highlight w:val="none"/>
              </w:rPr>
            </w:pPr>
          </w:p>
        </w:tc>
        <w:tc>
          <w:tcPr>
            <w:tcW w:w="1984" w:type="dxa"/>
            <w:tcBorders>
              <w:top w:val="double" w:color="auto" w:sz="6" w:space="0"/>
            </w:tcBorders>
          </w:tcPr>
          <w:p>
            <w:pPr>
              <w:keepNext/>
              <w:spacing w:line="440" w:lineRule="exact"/>
              <w:rPr>
                <w:rFonts w:ascii="宋体" w:hAnsi="宋体" w:cs="宋体"/>
                <w:color w:val="auto"/>
                <w:szCs w:val="21"/>
                <w:highlight w:val="none"/>
              </w:rPr>
            </w:pPr>
          </w:p>
        </w:tc>
        <w:tc>
          <w:tcPr>
            <w:tcW w:w="851" w:type="dxa"/>
            <w:tcBorders>
              <w:top w:val="double" w:color="auto" w:sz="6" w:space="0"/>
            </w:tcBorders>
          </w:tcPr>
          <w:p>
            <w:pPr>
              <w:keepNext/>
              <w:spacing w:line="440" w:lineRule="exact"/>
              <w:rPr>
                <w:rFonts w:ascii="宋体" w:hAnsi="宋体" w:cs="宋体"/>
                <w:color w:val="auto"/>
                <w:szCs w:val="21"/>
                <w:highlight w:val="none"/>
              </w:rPr>
            </w:pPr>
          </w:p>
        </w:tc>
        <w:tc>
          <w:tcPr>
            <w:tcW w:w="774" w:type="dxa"/>
            <w:tcBorders>
              <w:top w:val="double" w:color="auto" w:sz="6" w:space="0"/>
            </w:tcBorders>
          </w:tcPr>
          <w:p>
            <w:pPr>
              <w:keepNext/>
              <w:spacing w:line="440" w:lineRule="exact"/>
              <w:rPr>
                <w:rFonts w:ascii="宋体" w:hAnsi="宋体" w:cs="宋体"/>
                <w:color w:val="auto"/>
                <w:szCs w:val="21"/>
                <w:highlight w:val="none"/>
              </w:rPr>
            </w:pPr>
          </w:p>
        </w:tc>
        <w:tc>
          <w:tcPr>
            <w:tcW w:w="1352" w:type="dxa"/>
            <w:tcBorders>
              <w:top w:val="double" w:color="auto" w:sz="6" w:space="0"/>
            </w:tcBorders>
          </w:tcPr>
          <w:p>
            <w:pPr>
              <w:keepNext/>
              <w:spacing w:line="440" w:lineRule="exact"/>
              <w:rPr>
                <w:rFonts w:ascii="宋体" w:hAnsi="宋体" w:cs="宋体"/>
                <w:color w:val="auto"/>
                <w:szCs w:val="21"/>
                <w:highlight w:val="none"/>
              </w:rPr>
            </w:pPr>
          </w:p>
        </w:tc>
        <w:tc>
          <w:tcPr>
            <w:tcW w:w="1418" w:type="dxa"/>
            <w:tcBorders>
              <w:top w:val="double" w:color="auto" w:sz="6" w:space="0"/>
            </w:tcBorders>
          </w:tcPr>
          <w:p>
            <w:pPr>
              <w:keepNext/>
              <w:spacing w:line="440" w:lineRule="exact"/>
              <w:rPr>
                <w:rFonts w:ascii="宋体" w:hAnsi="宋体" w:cs="宋体"/>
                <w:color w:val="auto"/>
                <w:szCs w:val="21"/>
                <w:highlight w:val="none"/>
              </w:rPr>
            </w:pPr>
          </w:p>
        </w:tc>
        <w:tc>
          <w:tcPr>
            <w:tcW w:w="1701" w:type="dxa"/>
            <w:tcBorders>
              <w:top w:val="double" w:color="auto" w:sz="6" w:space="0"/>
            </w:tcBorders>
          </w:tcPr>
          <w:p>
            <w:pPr>
              <w:keepNext/>
              <w:spacing w:line="44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spacing w:line="440" w:lineRule="exact"/>
              <w:rPr>
                <w:rFonts w:ascii="宋体" w:hAnsi="宋体" w:cs="宋体"/>
                <w:color w:val="auto"/>
                <w:szCs w:val="21"/>
                <w:highlight w:val="none"/>
              </w:rPr>
            </w:pPr>
          </w:p>
        </w:tc>
        <w:tc>
          <w:tcPr>
            <w:tcW w:w="1984" w:type="dxa"/>
            <w:tcBorders>
              <w:top w:val="nil"/>
            </w:tcBorders>
          </w:tcPr>
          <w:p>
            <w:pPr>
              <w:keepNext/>
              <w:spacing w:line="440" w:lineRule="exact"/>
              <w:rPr>
                <w:rFonts w:ascii="宋体" w:hAnsi="宋体" w:cs="宋体"/>
                <w:color w:val="auto"/>
                <w:szCs w:val="21"/>
                <w:highlight w:val="none"/>
              </w:rPr>
            </w:pPr>
          </w:p>
        </w:tc>
        <w:tc>
          <w:tcPr>
            <w:tcW w:w="851" w:type="dxa"/>
            <w:tcBorders>
              <w:top w:val="nil"/>
            </w:tcBorders>
          </w:tcPr>
          <w:p>
            <w:pPr>
              <w:keepNext/>
              <w:spacing w:line="440" w:lineRule="exact"/>
              <w:rPr>
                <w:rFonts w:ascii="宋体" w:hAnsi="宋体" w:cs="宋体"/>
                <w:color w:val="auto"/>
                <w:szCs w:val="21"/>
                <w:highlight w:val="none"/>
              </w:rPr>
            </w:pPr>
          </w:p>
        </w:tc>
        <w:tc>
          <w:tcPr>
            <w:tcW w:w="774" w:type="dxa"/>
            <w:tcBorders>
              <w:top w:val="nil"/>
            </w:tcBorders>
          </w:tcPr>
          <w:p>
            <w:pPr>
              <w:keepNext/>
              <w:spacing w:line="440" w:lineRule="exact"/>
              <w:rPr>
                <w:rFonts w:ascii="宋体" w:hAnsi="宋体" w:cs="宋体"/>
                <w:color w:val="auto"/>
                <w:szCs w:val="21"/>
                <w:highlight w:val="none"/>
              </w:rPr>
            </w:pPr>
          </w:p>
        </w:tc>
        <w:tc>
          <w:tcPr>
            <w:tcW w:w="1352" w:type="dxa"/>
            <w:tcBorders>
              <w:top w:val="nil"/>
            </w:tcBorders>
          </w:tcPr>
          <w:p>
            <w:pPr>
              <w:keepNext/>
              <w:spacing w:line="440" w:lineRule="exact"/>
              <w:rPr>
                <w:rFonts w:ascii="宋体" w:hAnsi="宋体" w:cs="宋体"/>
                <w:color w:val="auto"/>
                <w:szCs w:val="21"/>
                <w:highlight w:val="none"/>
              </w:rPr>
            </w:pPr>
          </w:p>
        </w:tc>
        <w:tc>
          <w:tcPr>
            <w:tcW w:w="1418" w:type="dxa"/>
            <w:tcBorders>
              <w:top w:val="nil"/>
            </w:tcBorders>
          </w:tcPr>
          <w:p>
            <w:pPr>
              <w:keepNext/>
              <w:spacing w:line="440" w:lineRule="exact"/>
              <w:rPr>
                <w:rFonts w:ascii="宋体" w:hAnsi="宋体" w:cs="宋体"/>
                <w:color w:val="auto"/>
                <w:szCs w:val="21"/>
                <w:highlight w:val="none"/>
              </w:rPr>
            </w:pPr>
          </w:p>
        </w:tc>
        <w:tc>
          <w:tcPr>
            <w:tcW w:w="1701" w:type="dxa"/>
            <w:tcBorders>
              <w:top w:val="nil"/>
            </w:tcBorders>
          </w:tcPr>
          <w:p>
            <w:pPr>
              <w:keepNext/>
              <w:spacing w:line="44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rPr>
                <w:rFonts w:ascii="宋体" w:hAnsi="宋体" w:cs="宋体"/>
                <w:color w:val="auto"/>
                <w:szCs w:val="21"/>
                <w:highlight w:val="none"/>
              </w:rPr>
            </w:pPr>
          </w:p>
        </w:tc>
        <w:tc>
          <w:tcPr>
            <w:tcW w:w="1984" w:type="dxa"/>
          </w:tcPr>
          <w:p>
            <w:pPr>
              <w:keepNext/>
              <w:spacing w:line="440" w:lineRule="exact"/>
              <w:rPr>
                <w:rFonts w:ascii="宋体" w:hAnsi="宋体" w:cs="宋体"/>
                <w:color w:val="auto"/>
                <w:szCs w:val="21"/>
                <w:highlight w:val="none"/>
              </w:rPr>
            </w:pPr>
          </w:p>
        </w:tc>
        <w:tc>
          <w:tcPr>
            <w:tcW w:w="851" w:type="dxa"/>
          </w:tcPr>
          <w:p>
            <w:pPr>
              <w:keepNext/>
              <w:spacing w:line="440" w:lineRule="exact"/>
              <w:rPr>
                <w:rFonts w:ascii="宋体" w:hAnsi="宋体" w:cs="宋体"/>
                <w:color w:val="auto"/>
                <w:szCs w:val="21"/>
                <w:highlight w:val="none"/>
              </w:rPr>
            </w:pPr>
          </w:p>
        </w:tc>
        <w:tc>
          <w:tcPr>
            <w:tcW w:w="774" w:type="dxa"/>
          </w:tcPr>
          <w:p>
            <w:pPr>
              <w:keepNext/>
              <w:spacing w:line="440" w:lineRule="exact"/>
              <w:rPr>
                <w:rFonts w:ascii="宋体" w:hAnsi="宋体" w:cs="宋体"/>
                <w:color w:val="auto"/>
                <w:szCs w:val="21"/>
                <w:highlight w:val="none"/>
              </w:rPr>
            </w:pPr>
          </w:p>
        </w:tc>
        <w:tc>
          <w:tcPr>
            <w:tcW w:w="1352" w:type="dxa"/>
          </w:tcPr>
          <w:p>
            <w:pPr>
              <w:keepNext/>
              <w:spacing w:line="440" w:lineRule="exact"/>
              <w:rPr>
                <w:rFonts w:ascii="宋体" w:hAnsi="宋体" w:cs="宋体"/>
                <w:color w:val="auto"/>
                <w:szCs w:val="21"/>
                <w:highlight w:val="none"/>
              </w:rPr>
            </w:pPr>
          </w:p>
        </w:tc>
        <w:tc>
          <w:tcPr>
            <w:tcW w:w="1418" w:type="dxa"/>
          </w:tcPr>
          <w:p>
            <w:pPr>
              <w:keepNext/>
              <w:spacing w:line="440" w:lineRule="exact"/>
              <w:rPr>
                <w:rFonts w:ascii="宋体" w:hAnsi="宋体" w:cs="宋体"/>
                <w:color w:val="auto"/>
                <w:szCs w:val="21"/>
                <w:highlight w:val="none"/>
              </w:rPr>
            </w:pPr>
          </w:p>
        </w:tc>
        <w:tc>
          <w:tcPr>
            <w:tcW w:w="1701" w:type="dxa"/>
          </w:tcPr>
          <w:p>
            <w:pPr>
              <w:keepNext/>
              <w:spacing w:line="44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pPr>
              <w:keepNext/>
              <w:spacing w:line="440" w:lineRule="exact"/>
              <w:rPr>
                <w:rFonts w:ascii="宋体" w:hAnsi="宋体" w:cs="宋体"/>
                <w:color w:val="auto"/>
                <w:szCs w:val="21"/>
                <w:highlight w:val="none"/>
              </w:rPr>
            </w:pPr>
          </w:p>
        </w:tc>
        <w:tc>
          <w:tcPr>
            <w:tcW w:w="1984" w:type="dxa"/>
            <w:tcBorders>
              <w:bottom w:val="single" w:color="auto" w:sz="12" w:space="0"/>
            </w:tcBorders>
          </w:tcPr>
          <w:p>
            <w:pPr>
              <w:keepNext/>
              <w:spacing w:line="440" w:lineRule="exact"/>
              <w:rPr>
                <w:rFonts w:ascii="宋体" w:hAnsi="宋体" w:cs="宋体"/>
                <w:color w:val="auto"/>
                <w:szCs w:val="21"/>
                <w:highlight w:val="none"/>
              </w:rPr>
            </w:pPr>
          </w:p>
        </w:tc>
        <w:tc>
          <w:tcPr>
            <w:tcW w:w="851" w:type="dxa"/>
            <w:tcBorders>
              <w:bottom w:val="single" w:color="auto" w:sz="12" w:space="0"/>
            </w:tcBorders>
          </w:tcPr>
          <w:p>
            <w:pPr>
              <w:keepNext/>
              <w:spacing w:line="440" w:lineRule="exact"/>
              <w:rPr>
                <w:rFonts w:ascii="宋体" w:hAnsi="宋体" w:cs="宋体"/>
                <w:color w:val="auto"/>
                <w:szCs w:val="21"/>
                <w:highlight w:val="none"/>
              </w:rPr>
            </w:pPr>
          </w:p>
        </w:tc>
        <w:tc>
          <w:tcPr>
            <w:tcW w:w="774" w:type="dxa"/>
            <w:tcBorders>
              <w:bottom w:val="single" w:color="auto" w:sz="12" w:space="0"/>
            </w:tcBorders>
          </w:tcPr>
          <w:p>
            <w:pPr>
              <w:keepNext/>
              <w:spacing w:line="440" w:lineRule="exact"/>
              <w:rPr>
                <w:rFonts w:ascii="宋体" w:hAnsi="宋体" w:cs="宋体"/>
                <w:color w:val="auto"/>
                <w:szCs w:val="21"/>
                <w:highlight w:val="none"/>
              </w:rPr>
            </w:pPr>
          </w:p>
        </w:tc>
        <w:tc>
          <w:tcPr>
            <w:tcW w:w="1352" w:type="dxa"/>
            <w:tcBorders>
              <w:bottom w:val="single" w:color="auto" w:sz="12" w:space="0"/>
            </w:tcBorders>
          </w:tcPr>
          <w:p>
            <w:pPr>
              <w:keepNext/>
              <w:spacing w:line="440" w:lineRule="exact"/>
              <w:rPr>
                <w:rFonts w:ascii="宋体" w:hAnsi="宋体" w:cs="宋体"/>
                <w:color w:val="auto"/>
                <w:szCs w:val="21"/>
                <w:highlight w:val="none"/>
              </w:rPr>
            </w:pPr>
          </w:p>
        </w:tc>
        <w:tc>
          <w:tcPr>
            <w:tcW w:w="1418" w:type="dxa"/>
            <w:tcBorders>
              <w:bottom w:val="single" w:color="auto" w:sz="12" w:space="0"/>
            </w:tcBorders>
          </w:tcPr>
          <w:p>
            <w:pPr>
              <w:keepNext/>
              <w:spacing w:line="440" w:lineRule="exact"/>
              <w:rPr>
                <w:rFonts w:ascii="宋体" w:hAnsi="宋体" w:cs="宋体"/>
                <w:color w:val="auto"/>
                <w:szCs w:val="21"/>
                <w:highlight w:val="none"/>
              </w:rPr>
            </w:pPr>
          </w:p>
        </w:tc>
        <w:tc>
          <w:tcPr>
            <w:tcW w:w="1701" w:type="dxa"/>
            <w:tcBorders>
              <w:bottom w:val="single" w:color="auto" w:sz="12" w:space="0"/>
            </w:tcBorders>
          </w:tcPr>
          <w:p>
            <w:pPr>
              <w:keepNext/>
              <w:spacing w:line="440" w:lineRule="exact"/>
              <w:rPr>
                <w:rFonts w:ascii="宋体" w:hAnsi="宋体" w:cs="宋体"/>
                <w:color w:val="auto"/>
                <w:szCs w:val="21"/>
                <w:highlight w:val="none"/>
              </w:rPr>
            </w:pPr>
          </w:p>
        </w:tc>
      </w:tr>
    </w:tbl>
    <w:p>
      <w:pPr>
        <w:rPr>
          <w:rFonts w:ascii="宋体" w:hAnsi="宋体" w:cs="宋体"/>
          <w:color w:val="auto"/>
          <w:szCs w:val="21"/>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keepNext/>
        <w:keepLines/>
        <w:spacing w:before="120" w:after="120" w:line="360" w:lineRule="auto"/>
        <w:jc w:val="left"/>
        <w:outlineLvl w:val="2"/>
        <w:rPr>
          <w:rFonts w:ascii="宋体" w:hAnsi="宋体" w:cs="宋体"/>
          <w:color w:val="auto"/>
          <w:highlight w:val="none"/>
        </w:rPr>
        <w:sectPr>
          <w:headerReference r:id="rId3" w:type="default"/>
          <w:footerReference r:id="rId4" w:type="default"/>
          <w:footnotePr>
            <w:numFmt w:val="decimalEnclosedCircleChinese"/>
            <w:numRestart w:val="eachPage"/>
          </w:footnotePr>
          <w:pgSz w:w="11907" w:h="16840"/>
          <w:pgMar w:top="1134" w:right="1134" w:bottom="1134" w:left="1134" w:header="799" w:footer="907" w:gutter="0"/>
          <w:pgNumType w:fmt="decimal" w:start="1"/>
          <w:cols w:space="720" w:num="1"/>
          <w:docGrid w:linePitch="271" w:charSpace="0"/>
        </w:sectPr>
      </w:pPr>
    </w:p>
    <w:p>
      <w:pPr>
        <w:pStyle w:val="50"/>
        <w:keepNext w:val="0"/>
        <w:keepLines w:val="0"/>
        <w:pageBreakBefore w:val="0"/>
        <w:kinsoku/>
        <w:overflowPunct/>
        <w:autoSpaceDE/>
        <w:autoSpaceDN/>
        <w:bidi w:val="0"/>
        <w:spacing w:line="312" w:lineRule="auto"/>
        <w:jc w:val="left"/>
        <w:textAlignment w:val="auto"/>
        <w:rPr>
          <w:rFonts w:ascii="宋体" w:hAnsi="宋体" w:cs="宋体"/>
          <w:bCs/>
          <w:color w:val="auto"/>
          <w:sz w:val="24"/>
          <w:highlight w:val="none"/>
        </w:rPr>
      </w:pPr>
      <w:bookmarkStart w:id="718" w:name="_Toc95223511"/>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：安全生产合同</w:t>
      </w:r>
      <w:bookmarkEnd w:id="718"/>
    </w:p>
    <w:p>
      <w:pPr>
        <w:adjustRightInd w:val="0"/>
        <w:snapToGrid w:val="0"/>
        <w:spacing w:line="360" w:lineRule="auto"/>
        <w:jc w:val="center"/>
        <w:outlineLvl w:val="0"/>
        <w:rPr>
          <w:rFonts w:ascii="宋体" w:hAnsi="宋体" w:cs="宋体"/>
          <w:b/>
          <w:color w:val="auto"/>
          <w:sz w:val="32"/>
          <w:szCs w:val="32"/>
          <w:highlight w:val="none"/>
        </w:rPr>
      </w:pPr>
      <w:bookmarkStart w:id="719" w:name="_Toc16956"/>
      <w:bookmarkStart w:id="720" w:name="_Toc26763"/>
      <w:bookmarkStart w:id="721" w:name="_Toc95223512"/>
      <w:bookmarkStart w:id="722" w:name="_Toc30246"/>
      <w:bookmarkStart w:id="723" w:name="_Toc32439"/>
      <w:r>
        <w:rPr>
          <w:rFonts w:hint="eastAsia" w:ascii="宋体" w:hAnsi="宋体" w:cs="宋体"/>
          <w:b/>
          <w:color w:val="auto"/>
          <w:sz w:val="32"/>
          <w:szCs w:val="32"/>
          <w:highlight w:val="none"/>
        </w:rPr>
        <w:t>安全生产合同</w:t>
      </w:r>
      <w:bookmarkEnd w:id="719"/>
      <w:bookmarkEnd w:id="720"/>
      <w:bookmarkEnd w:id="721"/>
      <w:bookmarkEnd w:id="722"/>
      <w:bookmarkEnd w:id="723"/>
    </w:p>
    <w:p>
      <w:pPr>
        <w:pStyle w:val="50"/>
        <w:keepNext w:val="0"/>
        <w:keepLines w:val="0"/>
        <w:pageBreakBefore w:val="0"/>
        <w:kinsoku/>
        <w:overflowPunct/>
        <w:autoSpaceDE/>
        <w:autoSpaceDN/>
        <w:bidi w:val="0"/>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滁州经开区城北新区办事处夏岗社区党群服务中心装修项目</w:t>
      </w:r>
      <w:r>
        <w:rPr>
          <w:rFonts w:hint="eastAsia" w:ascii="宋体" w:hAnsi="宋体" w:eastAsia="宋体" w:cs="宋体"/>
          <w:color w:val="auto"/>
          <w:szCs w:val="21"/>
          <w:highlight w:val="none"/>
          <w:u w:val="single"/>
          <w:lang w:eastAsia="zh-CN"/>
        </w:rPr>
        <w:t>采购项目</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w:t>
      </w:r>
      <w:r>
        <w:rPr>
          <w:rFonts w:hint="eastAsia" w:ascii="宋体" w:hAnsi="宋体" w:eastAsia="宋体" w:cs="宋体"/>
          <w:color w:val="auto"/>
          <w:szCs w:val="21"/>
          <w:highlight w:val="none"/>
        </w:rPr>
        <w:t>发包</w:t>
      </w:r>
      <w:r>
        <w:rPr>
          <w:rFonts w:hint="eastAsia" w:ascii="宋体" w:hAnsi="宋体" w:cs="宋体"/>
          <w:color w:val="auto"/>
          <w:szCs w:val="21"/>
          <w:highlight w:val="none"/>
        </w:rPr>
        <w:t>人</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滁州经济技术开发区城北新区办事处</w:t>
      </w:r>
      <w:r>
        <w:rPr>
          <w:rFonts w:hint="eastAsia" w:ascii="宋体" w:hAnsi="宋体" w:eastAsia="宋体" w:cs="宋体"/>
          <w:color w:val="auto"/>
          <w:szCs w:val="21"/>
          <w:highlight w:val="none"/>
        </w:rPr>
        <w:t>（</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Calibri" w:hAnsi="Calibri" w:eastAsia="宋体" w:cs="Times New Roman"/>
          <w:kern w:val="1"/>
          <w:szCs w:val="21"/>
          <w:u w:val="single"/>
        </w:rPr>
        <w:t>安徽金孔雀环境建设有限公司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1.发包人职责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2.承包人职责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3.违约责任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360" w:lineRule="auto"/>
        <w:rPr>
          <w:rFonts w:ascii="宋体" w:hAnsi="宋体" w:cs="宋体"/>
          <w:color w:val="auto"/>
          <w:szCs w:val="21"/>
          <w:highlight w:val="none"/>
        </w:rPr>
      </w:pPr>
    </w:p>
    <w:p>
      <w:pPr>
        <w:spacing w:line="360" w:lineRule="auto"/>
        <w:ind w:firstLine="84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keepNext/>
        <w:keepLines/>
        <w:spacing w:before="120" w:after="120" w:line="360" w:lineRule="auto"/>
        <w:jc w:val="left"/>
        <w:outlineLvl w:val="2"/>
        <w:rPr>
          <w:rFonts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724"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：项目经理质量终身责任制承诺</w:t>
      </w:r>
      <w:bookmarkEnd w:id="724"/>
    </w:p>
    <w:p>
      <w:pPr>
        <w:keepNext/>
        <w:keepLines/>
        <w:spacing w:before="120" w:after="120" w:line="360" w:lineRule="auto"/>
        <w:jc w:val="left"/>
        <w:outlineLvl w:val="2"/>
        <w:rPr>
          <w:rFonts w:ascii="宋体" w:hAnsi="宋体" w:cs="宋体"/>
          <w:bCs/>
          <w:color w:val="auto"/>
          <w:sz w:val="24"/>
          <w:highlight w:val="none"/>
        </w:rPr>
      </w:pPr>
    </w:p>
    <w:p>
      <w:pPr>
        <w:adjustRightInd w:val="0"/>
        <w:snapToGrid w:val="0"/>
        <w:spacing w:line="360" w:lineRule="auto"/>
        <w:jc w:val="center"/>
        <w:outlineLvl w:val="0"/>
        <w:rPr>
          <w:rFonts w:ascii="宋体" w:hAnsi="宋体" w:cs="宋体"/>
          <w:b/>
          <w:color w:val="auto"/>
          <w:sz w:val="32"/>
          <w:szCs w:val="32"/>
          <w:highlight w:val="none"/>
        </w:rPr>
      </w:pPr>
      <w:bookmarkStart w:id="725" w:name="_Toc23479"/>
      <w:bookmarkStart w:id="726" w:name="_Toc20282"/>
      <w:bookmarkStart w:id="727" w:name="_Toc95223514"/>
      <w:bookmarkStart w:id="728" w:name="_Toc24577"/>
      <w:bookmarkStart w:id="729" w:name="_Toc19059"/>
      <w:r>
        <w:rPr>
          <w:rFonts w:hint="eastAsia" w:ascii="宋体" w:hAnsi="宋体" w:cs="宋体"/>
          <w:b/>
          <w:color w:val="auto"/>
          <w:sz w:val="32"/>
          <w:szCs w:val="32"/>
          <w:highlight w:val="none"/>
        </w:rPr>
        <w:t>项目经理质量终身责任制承诺</w:t>
      </w:r>
      <w:bookmarkEnd w:id="725"/>
      <w:bookmarkEnd w:id="726"/>
      <w:bookmarkEnd w:id="727"/>
      <w:bookmarkEnd w:id="728"/>
      <w:bookmarkEnd w:id="729"/>
    </w:p>
    <w:p>
      <w:pPr>
        <w:adjustRightInd w:val="0"/>
        <w:snapToGrid w:val="0"/>
        <w:spacing w:line="360" w:lineRule="auto"/>
        <w:jc w:val="center"/>
        <w:outlineLvl w:val="0"/>
        <w:rPr>
          <w:rFonts w:ascii="宋体" w:hAnsi="宋体" w:cs="宋体"/>
          <w:b/>
          <w:color w:val="auto"/>
          <w:sz w:val="32"/>
          <w:szCs w:val="32"/>
          <w:highlight w:val="none"/>
        </w:rPr>
      </w:pPr>
    </w:p>
    <w:p>
      <w:pPr>
        <w:adjustRightInd w:val="0"/>
        <w:snapToGrid w:val="0"/>
        <w:spacing w:line="360" w:lineRule="auto"/>
        <w:rPr>
          <w:rFonts w:hint="eastAsia" w:ascii="宋体" w:hAnsi="宋体" w:eastAsia="宋体" w:cs="宋体"/>
          <w:bCs/>
          <w:color w:val="auto"/>
          <w:sz w:val="24"/>
          <w:szCs w:val="21"/>
          <w:highlight w:val="none"/>
          <w:lang w:eastAsia="zh-CN"/>
        </w:rPr>
      </w:pPr>
      <w:r>
        <w:rPr>
          <w:rFonts w:hint="eastAsia" w:ascii="宋体" w:hAnsi="宋体" w:cs="宋体"/>
          <w:bCs/>
          <w:color w:val="auto"/>
          <w:sz w:val="24"/>
          <w:szCs w:val="21"/>
          <w:highlight w:val="none"/>
        </w:rPr>
        <w:t>致：</w:t>
      </w:r>
      <w:r>
        <w:rPr>
          <w:rFonts w:hint="eastAsia" w:ascii="宋体" w:hAnsi="宋体" w:eastAsia="宋体" w:cs="宋体"/>
          <w:color w:val="auto"/>
          <w:kern w:val="2"/>
          <w:highlight w:val="none"/>
          <w:u w:val="single"/>
          <w:lang w:eastAsia="zh-CN"/>
        </w:rPr>
        <w:t>滁州经济技术开发区城北新区办事处</w:t>
      </w:r>
      <w:r>
        <w:rPr>
          <w:rFonts w:hint="eastAsia" w:ascii="宋体" w:hAnsi="宋体" w:cs="宋体"/>
          <w:bCs/>
          <w:color w:val="auto"/>
          <w:sz w:val="24"/>
          <w:szCs w:val="21"/>
          <w:highlight w:val="none"/>
          <w:lang w:eastAsia="zh-CN"/>
        </w:rPr>
        <w:t>（发包</w:t>
      </w:r>
      <w:r>
        <w:rPr>
          <w:rFonts w:hint="eastAsia" w:ascii="宋体" w:hAnsi="宋体" w:cs="宋体"/>
          <w:bCs/>
          <w:color w:val="auto"/>
          <w:sz w:val="24"/>
          <w:szCs w:val="21"/>
          <w:highlight w:val="none"/>
        </w:rPr>
        <w:t>人名称</w:t>
      </w:r>
      <w:r>
        <w:rPr>
          <w:rFonts w:hint="eastAsia" w:ascii="宋体" w:hAnsi="宋体" w:cs="宋体"/>
          <w:bCs/>
          <w:color w:val="auto"/>
          <w:sz w:val="24"/>
          <w:szCs w:val="21"/>
          <w:highlight w:val="none"/>
          <w:lang w:eastAsia="zh-CN"/>
        </w:rPr>
        <w:t>）</w:t>
      </w:r>
    </w:p>
    <w:p>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pPr>
        <w:spacing w:line="360" w:lineRule="auto"/>
        <w:ind w:left="359" w:leftChars="171" w:firstLine="720" w:firstLineChars="300"/>
        <w:rPr>
          <w:rFonts w:ascii="宋体" w:hAnsi="宋体" w:cs="宋体"/>
          <w:bCs/>
          <w:color w:val="auto"/>
          <w:sz w:val="24"/>
          <w:szCs w:val="21"/>
          <w:highlight w:val="none"/>
        </w:rPr>
      </w:pPr>
    </w:p>
    <w:p>
      <w:pPr>
        <w:spacing w:line="360" w:lineRule="auto"/>
        <w:ind w:left="359" w:leftChars="171" w:firstLine="720" w:firstLineChars="300"/>
        <w:rPr>
          <w:rFonts w:ascii="宋体" w:hAnsi="宋体" w:cs="宋体"/>
          <w:bCs/>
          <w:color w:val="auto"/>
          <w:sz w:val="24"/>
          <w:szCs w:val="21"/>
          <w:highlight w:val="none"/>
        </w:rPr>
      </w:pPr>
    </w:p>
    <w:p>
      <w:pPr>
        <w:spacing w:line="360" w:lineRule="auto"/>
        <w:ind w:left="359" w:leftChars="171" w:firstLine="720" w:firstLineChars="300"/>
        <w:rPr>
          <w:rFonts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pPr>
        <w:spacing w:line="360" w:lineRule="auto"/>
        <w:ind w:left="359" w:leftChars="171" w:firstLine="720" w:firstLineChars="300"/>
        <w:rPr>
          <w:rFonts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pPr>
        <w:spacing w:before="156" w:beforeLines="50" w:after="156" w:afterLines="50"/>
        <w:jc w:val="center"/>
        <w:outlineLvl w:val="0"/>
        <w:rPr>
          <w:rFonts w:ascii="宋体"/>
          <w:b/>
          <w:color w:val="auto"/>
          <w:sz w:val="32"/>
          <w:szCs w:val="32"/>
          <w:highlight w:val="none"/>
        </w:rPr>
      </w:pPr>
    </w:p>
    <w:p>
      <w:pPr>
        <w:spacing w:before="156" w:beforeLines="50" w:after="156" w:afterLines="50"/>
        <w:jc w:val="center"/>
        <w:outlineLvl w:val="0"/>
        <w:rPr>
          <w:rFonts w:ascii="宋体"/>
          <w:b/>
          <w:color w:val="auto"/>
          <w:sz w:val="32"/>
          <w:szCs w:val="32"/>
          <w:highlight w:val="none"/>
        </w:rPr>
      </w:pPr>
    </w:p>
    <w:p>
      <w:pPr>
        <w:spacing w:before="156" w:beforeLines="50" w:after="156" w:afterLines="50"/>
        <w:jc w:val="center"/>
        <w:outlineLvl w:val="0"/>
        <w:rPr>
          <w:rFonts w:ascii="宋体"/>
          <w:b/>
          <w:color w:val="auto"/>
          <w:sz w:val="32"/>
          <w:szCs w:val="32"/>
          <w:highlight w:val="none"/>
        </w:rPr>
      </w:pPr>
    </w:p>
    <w:p>
      <w:pPr>
        <w:spacing w:line="400" w:lineRule="exact"/>
        <w:ind w:firstLine="420" w:firstLineChars="200"/>
        <w:rPr>
          <w:rFonts w:ascii="宋体" w:hAnsi="宋体" w:cs="宋体"/>
          <w:color w:val="auto"/>
          <w:szCs w:val="21"/>
          <w:highlight w:val="none"/>
        </w:rPr>
      </w:pPr>
    </w:p>
    <w:bookmarkEnd w:id="0"/>
    <w:bookmarkEnd w:id="1"/>
    <w:bookmarkEnd w:id="2"/>
    <w:bookmarkEnd w:id="3"/>
    <w:bookmarkEnd w:id="4"/>
    <w:bookmarkEnd w:id="5"/>
    <w:bookmarkEnd w:id="6"/>
    <w:p>
      <w:pPr>
        <w:spacing w:line="440" w:lineRule="exact"/>
        <w:ind w:firstLine="562" w:firstLineChars="200"/>
        <w:rPr>
          <w:rFonts w:hint="eastAsia" w:ascii="宋体" w:hAnsi="宋体" w:cs="宋体"/>
          <w:b/>
          <w:color w:val="auto"/>
          <w:sz w:val="28"/>
          <w:szCs w:val="28"/>
          <w:highlight w:val="none"/>
        </w:rPr>
      </w:pPr>
    </w:p>
    <w:sectPr>
      <w:footerReference r:id="rId5" w:type="default"/>
      <w:pgSz w:w="11906" w:h="16838"/>
      <w:pgMar w:top="1134" w:right="1417" w:bottom="1134" w:left="1417" w:header="680" w:footer="680"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BBDE20C-AC01-4E1E-8758-152DE5AE5419}"/>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2" w:fontKey="{DBD0CF46-64B3-4191-8D6C-3A06D5D5D418}"/>
  </w:font>
  <w:font w:name="仿宋_GB2312">
    <w:panose1 w:val="02010609030101010101"/>
    <w:charset w:val="86"/>
    <w:family w:val="auto"/>
    <w:pitch w:val="default"/>
    <w:sig w:usb0="00000001" w:usb1="080E0000" w:usb2="00000000" w:usb3="00000000" w:csb0="00040000" w:csb1="00000000"/>
    <w:embedRegular r:id="rId3" w:fontKey="{CFD6789A-78F9-4DDE-8591-02BBD3C6EBDB}"/>
  </w:font>
  <w:font w:name="仿宋">
    <w:panose1 w:val="02010609060101010101"/>
    <w:charset w:val="86"/>
    <w:family w:val="modern"/>
    <w:pitch w:val="default"/>
    <w:sig w:usb0="800002BF" w:usb1="38CF7CFA" w:usb2="00000016" w:usb3="00000000" w:csb0="00040001" w:csb1="00000000"/>
    <w:embedRegular r:id="rId4" w:fontKey="{2DAB7976-6205-4CC1-ACC7-8E4335364748}"/>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76</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LOOGvcEBAACNAwAADgAAAAAAAAABACAAAAAeAQAAZHJzL2Uyb0RvYy54bWxQSwUG&#10;AAAAAAYABgBZAQAAUQ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N2Y3ZjJhYzhkYmI0MTExMmEwMjQ3MzEzZmM4ZjUifQ=="/>
    <w:docVar w:name="KSO_WPS_MARK_KEY" w:val="626c4fa4-3d58-4878-bcba-3acb9feae3b3"/>
  </w:docVars>
  <w:rsids>
    <w:rsidRoot w:val="00CA7D7C"/>
    <w:rsid w:val="00020F14"/>
    <w:rsid w:val="000F5374"/>
    <w:rsid w:val="001671F4"/>
    <w:rsid w:val="00186323"/>
    <w:rsid w:val="001D44BC"/>
    <w:rsid w:val="00247D20"/>
    <w:rsid w:val="0028539C"/>
    <w:rsid w:val="00332AC1"/>
    <w:rsid w:val="00411626"/>
    <w:rsid w:val="0045446A"/>
    <w:rsid w:val="004C0611"/>
    <w:rsid w:val="004D46E3"/>
    <w:rsid w:val="005031D6"/>
    <w:rsid w:val="00504C4E"/>
    <w:rsid w:val="0051368C"/>
    <w:rsid w:val="006160A4"/>
    <w:rsid w:val="008B75C1"/>
    <w:rsid w:val="00A77488"/>
    <w:rsid w:val="00B3446B"/>
    <w:rsid w:val="00C87303"/>
    <w:rsid w:val="00CA7D7C"/>
    <w:rsid w:val="00F1181F"/>
    <w:rsid w:val="00F22C3A"/>
    <w:rsid w:val="00F60ACC"/>
    <w:rsid w:val="00F83AA6"/>
    <w:rsid w:val="00FE451C"/>
    <w:rsid w:val="011C7AF1"/>
    <w:rsid w:val="0185537A"/>
    <w:rsid w:val="02173CC0"/>
    <w:rsid w:val="0268736B"/>
    <w:rsid w:val="02823D42"/>
    <w:rsid w:val="029F2C5A"/>
    <w:rsid w:val="02F17DBA"/>
    <w:rsid w:val="035563E6"/>
    <w:rsid w:val="035863AC"/>
    <w:rsid w:val="03B167C7"/>
    <w:rsid w:val="03C63DF1"/>
    <w:rsid w:val="03D32D3F"/>
    <w:rsid w:val="03DA228E"/>
    <w:rsid w:val="04CD77B0"/>
    <w:rsid w:val="0580501B"/>
    <w:rsid w:val="05A430F5"/>
    <w:rsid w:val="05BB24F7"/>
    <w:rsid w:val="05CF14EE"/>
    <w:rsid w:val="061C01B7"/>
    <w:rsid w:val="068B2B29"/>
    <w:rsid w:val="06E74EFA"/>
    <w:rsid w:val="070B3501"/>
    <w:rsid w:val="0721643C"/>
    <w:rsid w:val="074778FA"/>
    <w:rsid w:val="0748381A"/>
    <w:rsid w:val="07F74BD3"/>
    <w:rsid w:val="07FC47C8"/>
    <w:rsid w:val="090858F8"/>
    <w:rsid w:val="0993239A"/>
    <w:rsid w:val="0A0649B9"/>
    <w:rsid w:val="0A3B3C06"/>
    <w:rsid w:val="0AC72EE8"/>
    <w:rsid w:val="0B3068C5"/>
    <w:rsid w:val="0C440B6E"/>
    <w:rsid w:val="0C451498"/>
    <w:rsid w:val="0CA337A5"/>
    <w:rsid w:val="0CF77AE8"/>
    <w:rsid w:val="0D766D04"/>
    <w:rsid w:val="0D7770DA"/>
    <w:rsid w:val="0D98645C"/>
    <w:rsid w:val="0DB04DA6"/>
    <w:rsid w:val="0E277278"/>
    <w:rsid w:val="0EF67752"/>
    <w:rsid w:val="0F6601D9"/>
    <w:rsid w:val="0FE73EE9"/>
    <w:rsid w:val="101210C7"/>
    <w:rsid w:val="10186A9E"/>
    <w:rsid w:val="106A362C"/>
    <w:rsid w:val="10815A61"/>
    <w:rsid w:val="10A14E64"/>
    <w:rsid w:val="10A22752"/>
    <w:rsid w:val="10EF574B"/>
    <w:rsid w:val="11316D3D"/>
    <w:rsid w:val="118E6D12"/>
    <w:rsid w:val="11FA0BB0"/>
    <w:rsid w:val="11FF19BD"/>
    <w:rsid w:val="121A564D"/>
    <w:rsid w:val="122A7F27"/>
    <w:rsid w:val="12535865"/>
    <w:rsid w:val="12A71D45"/>
    <w:rsid w:val="12CD2319"/>
    <w:rsid w:val="12DE7825"/>
    <w:rsid w:val="130D76C5"/>
    <w:rsid w:val="1319085D"/>
    <w:rsid w:val="13916E2C"/>
    <w:rsid w:val="1399697C"/>
    <w:rsid w:val="13AC411C"/>
    <w:rsid w:val="13E208FA"/>
    <w:rsid w:val="149A3C1F"/>
    <w:rsid w:val="151E03AD"/>
    <w:rsid w:val="15345FB3"/>
    <w:rsid w:val="155816E8"/>
    <w:rsid w:val="157B6B82"/>
    <w:rsid w:val="15EB4733"/>
    <w:rsid w:val="16877353"/>
    <w:rsid w:val="16A90223"/>
    <w:rsid w:val="16B546F7"/>
    <w:rsid w:val="16C41CDE"/>
    <w:rsid w:val="16CC417B"/>
    <w:rsid w:val="174D7207"/>
    <w:rsid w:val="17D834D4"/>
    <w:rsid w:val="188C2B14"/>
    <w:rsid w:val="18AE64DD"/>
    <w:rsid w:val="18C54AE4"/>
    <w:rsid w:val="18D13ADB"/>
    <w:rsid w:val="18E216F1"/>
    <w:rsid w:val="191A5E56"/>
    <w:rsid w:val="195C3D44"/>
    <w:rsid w:val="1968067D"/>
    <w:rsid w:val="196C00A9"/>
    <w:rsid w:val="1A09256F"/>
    <w:rsid w:val="1A4E66DC"/>
    <w:rsid w:val="1A50517F"/>
    <w:rsid w:val="1A757407"/>
    <w:rsid w:val="1AA9696A"/>
    <w:rsid w:val="1B3F24BA"/>
    <w:rsid w:val="1BC2205A"/>
    <w:rsid w:val="1C462643"/>
    <w:rsid w:val="1C470054"/>
    <w:rsid w:val="1C5648D0"/>
    <w:rsid w:val="1CED4DA2"/>
    <w:rsid w:val="1D010DEC"/>
    <w:rsid w:val="1D7278B0"/>
    <w:rsid w:val="1D81597C"/>
    <w:rsid w:val="1D884F5D"/>
    <w:rsid w:val="1D9F1B4E"/>
    <w:rsid w:val="1E330D07"/>
    <w:rsid w:val="1E334947"/>
    <w:rsid w:val="1E99357C"/>
    <w:rsid w:val="1E9E628A"/>
    <w:rsid w:val="1EE05946"/>
    <w:rsid w:val="1F005E3D"/>
    <w:rsid w:val="1F122D30"/>
    <w:rsid w:val="1FA802A8"/>
    <w:rsid w:val="1FFC1515"/>
    <w:rsid w:val="200A518B"/>
    <w:rsid w:val="208B66DE"/>
    <w:rsid w:val="219F24AE"/>
    <w:rsid w:val="21DC13D3"/>
    <w:rsid w:val="21DF7F40"/>
    <w:rsid w:val="21EE30F0"/>
    <w:rsid w:val="22021630"/>
    <w:rsid w:val="22201520"/>
    <w:rsid w:val="22670ADB"/>
    <w:rsid w:val="22D54D7A"/>
    <w:rsid w:val="22F015DA"/>
    <w:rsid w:val="23100A1A"/>
    <w:rsid w:val="232B17ED"/>
    <w:rsid w:val="2330206A"/>
    <w:rsid w:val="236D038B"/>
    <w:rsid w:val="23D679B0"/>
    <w:rsid w:val="244639AD"/>
    <w:rsid w:val="24C2575A"/>
    <w:rsid w:val="250B703F"/>
    <w:rsid w:val="250F1A0C"/>
    <w:rsid w:val="254D64FA"/>
    <w:rsid w:val="25551670"/>
    <w:rsid w:val="25EC6351"/>
    <w:rsid w:val="26127E93"/>
    <w:rsid w:val="26192233"/>
    <w:rsid w:val="27120E77"/>
    <w:rsid w:val="271E248E"/>
    <w:rsid w:val="27461612"/>
    <w:rsid w:val="27663217"/>
    <w:rsid w:val="27664216"/>
    <w:rsid w:val="277328E7"/>
    <w:rsid w:val="27D368F9"/>
    <w:rsid w:val="27D74B17"/>
    <w:rsid w:val="27F34664"/>
    <w:rsid w:val="27FC39E5"/>
    <w:rsid w:val="285036E5"/>
    <w:rsid w:val="29093F63"/>
    <w:rsid w:val="290D3BDD"/>
    <w:rsid w:val="292C21FE"/>
    <w:rsid w:val="2935034B"/>
    <w:rsid w:val="29754249"/>
    <w:rsid w:val="29801397"/>
    <w:rsid w:val="29A4409B"/>
    <w:rsid w:val="29C76E0D"/>
    <w:rsid w:val="29C86C5E"/>
    <w:rsid w:val="29F37CBE"/>
    <w:rsid w:val="2A020B44"/>
    <w:rsid w:val="2A0A7A76"/>
    <w:rsid w:val="2A18267C"/>
    <w:rsid w:val="2A1C2CB5"/>
    <w:rsid w:val="2A9D34F4"/>
    <w:rsid w:val="2AA52C26"/>
    <w:rsid w:val="2AA8279A"/>
    <w:rsid w:val="2AC1385C"/>
    <w:rsid w:val="2B314C35"/>
    <w:rsid w:val="2B9471A4"/>
    <w:rsid w:val="2C024294"/>
    <w:rsid w:val="2C080A7E"/>
    <w:rsid w:val="2C1F06C7"/>
    <w:rsid w:val="2C59568D"/>
    <w:rsid w:val="2CD84AA3"/>
    <w:rsid w:val="2D0E383D"/>
    <w:rsid w:val="2DB94CBF"/>
    <w:rsid w:val="2DF54081"/>
    <w:rsid w:val="2ECB4CA9"/>
    <w:rsid w:val="2FAC3FA8"/>
    <w:rsid w:val="2FCB0B3F"/>
    <w:rsid w:val="2FF16992"/>
    <w:rsid w:val="2FF94832"/>
    <w:rsid w:val="2FF975F4"/>
    <w:rsid w:val="301F6344"/>
    <w:rsid w:val="30231005"/>
    <w:rsid w:val="302653BF"/>
    <w:rsid w:val="30B31EBF"/>
    <w:rsid w:val="312812AE"/>
    <w:rsid w:val="315E7B47"/>
    <w:rsid w:val="31642EB0"/>
    <w:rsid w:val="317C50ED"/>
    <w:rsid w:val="317F0136"/>
    <w:rsid w:val="31947FB6"/>
    <w:rsid w:val="319A4FD0"/>
    <w:rsid w:val="31C757E8"/>
    <w:rsid w:val="31F07456"/>
    <w:rsid w:val="3221798E"/>
    <w:rsid w:val="32810ADC"/>
    <w:rsid w:val="32DC6EAD"/>
    <w:rsid w:val="32FD58C4"/>
    <w:rsid w:val="335963D3"/>
    <w:rsid w:val="33FE342B"/>
    <w:rsid w:val="341C37D7"/>
    <w:rsid w:val="3425147A"/>
    <w:rsid w:val="343D19BC"/>
    <w:rsid w:val="34545741"/>
    <w:rsid w:val="347B190F"/>
    <w:rsid w:val="348778C5"/>
    <w:rsid w:val="348F0527"/>
    <w:rsid w:val="34AB3004"/>
    <w:rsid w:val="34CC3851"/>
    <w:rsid w:val="34E36DF5"/>
    <w:rsid w:val="35101668"/>
    <w:rsid w:val="35592662"/>
    <w:rsid w:val="35CC1533"/>
    <w:rsid w:val="36426286"/>
    <w:rsid w:val="368D3AEA"/>
    <w:rsid w:val="36AB44F2"/>
    <w:rsid w:val="3776777C"/>
    <w:rsid w:val="377A2070"/>
    <w:rsid w:val="377E264B"/>
    <w:rsid w:val="37A10C9D"/>
    <w:rsid w:val="37AA7A55"/>
    <w:rsid w:val="37AB3982"/>
    <w:rsid w:val="37C318F2"/>
    <w:rsid w:val="381C1087"/>
    <w:rsid w:val="38637010"/>
    <w:rsid w:val="389053A4"/>
    <w:rsid w:val="38B35BDE"/>
    <w:rsid w:val="39017A8D"/>
    <w:rsid w:val="394445BA"/>
    <w:rsid w:val="39B60842"/>
    <w:rsid w:val="3A1E6749"/>
    <w:rsid w:val="3A533BE8"/>
    <w:rsid w:val="3A842950"/>
    <w:rsid w:val="3A946897"/>
    <w:rsid w:val="3AA87897"/>
    <w:rsid w:val="3ADA1FBE"/>
    <w:rsid w:val="3AEC0163"/>
    <w:rsid w:val="3B023462"/>
    <w:rsid w:val="3B6B71A1"/>
    <w:rsid w:val="3B9763AB"/>
    <w:rsid w:val="3BB413CB"/>
    <w:rsid w:val="3BCF055E"/>
    <w:rsid w:val="3C0D4DBE"/>
    <w:rsid w:val="3C2A61AB"/>
    <w:rsid w:val="3C3D2476"/>
    <w:rsid w:val="3C3F1789"/>
    <w:rsid w:val="3C7126FC"/>
    <w:rsid w:val="3CAE5E45"/>
    <w:rsid w:val="3CBE2E5C"/>
    <w:rsid w:val="3CBE5E4E"/>
    <w:rsid w:val="3CC30B4B"/>
    <w:rsid w:val="3CC84E99"/>
    <w:rsid w:val="3CD04854"/>
    <w:rsid w:val="3CF61143"/>
    <w:rsid w:val="3DA02670"/>
    <w:rsid w:val="3DBD0841"/>
    <w:rsid w:val="3DC80B14"/>
    <w:rsid w:val="3DF1492D"/>
    <w:rsid w:val="3E345FAB"/>
    <w:rsid w:val="3E524E74"/>
    <w:rsid w:val="3EB70DA6"/>
    <w:rsid w:val="3EBD5D8E"/>
    <w:rsid w:val="3EF7085E"/>
    <w:rsid w:val="3F767B2C"/>
    <w:rsid w:val="3F8B69AA"/>
    <w:rsid w:val="3FCC5CCA"/>
    <w:rsid w:val="3FE335CD"/>
    <w:rsid w:val="3FE342ED"/>
    <w:rsid w:val="401F7F45"/>
    <w:rsid w:val="4031372B"/>
    <w:rsid w:val="405D62C4"/>
    <w:rsid w:val="407B26B5"/>
    <w:rsid w:val="40866112"/>
    <w:rsid w:val="40881D01"/>
    <w:rsid w:val="40C91325"/>
    <w:rsid w:val="40D572E1"/>
    <w:rsid w:val="41BD2E1E"/>
    <w:rsid w:val="41DE664A"/>
    <w:rsid w:val="41EE38AA"/>
    <w:rsid w:val="42B20202"/>
    <w:rsid w:val="435117C9"/>
    <w:rsid w:val="43951AD1"/>
    <w:rsid w:val="43ED76E8"/>
    <w:rsid w:val="43F42155"/>
    <w:rsid w:val="440544CB"/>
    <w:rsid w:val="440B306C"/>
    <w:rsid w:val="44C0566D"/>
    <w:rsid w:val="44E4666D"/>
    <w:rsid w:val="450965D9"/>
    <w:rsid w:val="45156803"/>
    <w:rsid w:val="45561319"/>
    <w:rsid w:val="475E08B5"/>
    <w:rsid w:val="476D294A"/>
    <w:rsid w:val="47C63E08"/>
    <w:rsid w:val="47CA0F35"/>
    <w:rsid w:val="47CD6F16"/>
    <w:rsid w:val="48171DDC"/>
    <w:rsid w:val="482A48FE"/>
    <w:rsid w:val="483E083F"/>
    <w:rsid w:val="488D68BD"/>
    <w:rsid w:val="48AB3D89"/>
    <w:rsid w:val="48E62955"/>
    <w:rsid w:val="49415E3C"/>
    <w:rsid w:val="499E6D18"/>
    <w:rsid w:val="49B22286"/>
    <w:rsid w:val="49D50EF8"/>
    <w:rsid w:val="49F96717"/>
    <w:rsid w:val="4A017700"/>
    <w:rsid w:val="4A1672C9"/>
    <w:rsid w:val="4A3E05CE"/>
    <w:rsid w:val="4A657908"/>
    <w:rsid w:val="4A822873"/>
    <w:rsid w:val="4AC87B36"/>
    <w:rsid w:val="4B522A51"/>
    <w:rsid w:val="4B524C30"/>
    <w:rsid w:val="4B5E3E48"/>
    <w:rsid w:val="4BC66AD5"/>
    <w:rsid w:val="4BCF5981"/>
    <w:rsid w:val="4C7567F1"/>
    <w:rsid w:val="4CF270BF"/>
    <w:rsid w:val="4EBF0A0B"/>
    <w:rsid w:val="4F67554E"/>
    <w:rsid w:val="4F852E19"/>
    <w:rsid w:val="4F934F18"/>
    <w:rsid w:val="4FED4BEC"/>
    <w:rsid w:val="500870C0"/>
    <w:rsid w:val="5044375A"/>
    <w:rsid w:val="50592DB3"/>
    <w:rsid w:val="508F56DF"/>
    <w:rsid w:val="5094546F"/>
    <w:rsid w:val="50A2270C"/>
    <w:rsid w:val="50C61C4A"/>
    <w:rsid w:val="50D41276"/>
    <w:rsid w:val="51045862"/>
    <w:rsid w:val="52432C25"/>
    <w:rsid w:val="528021EE"/>
    <w:rsid w:val="52955E3A"/>
    <w:rsid w:val="52C622B3"/>
    <w:rsid w:val="53202379"/>
    <w:rsid w:val="539961C4"/>
    <w:rsid w:val="53D84AC8"/>
    <w:rsid w:val="54233615"/>
    <w:rsid w:val="5434657A"/>
    <w:rsid w:val="54532EC8"/>
    <w:rsid w:val="5455210D"/>
    <w:rsid w:val="5461271F"/>
    <w:rsid w:val="54730736"/>
    <w:rsid w:val="54A95628"/>
    <w:rsid w:val="55445C9B"/>
    <w:rsid w:val="554B0234"/>
    <w:rsid w:val="55A21A11"/>
    <w:rsid w:val="55B31E70"/>
    <w:rsid w:val="563332FB"/>
    <w:rsid w:val="56551179"/>
    <w:rsid w:val="565A2300"/>
    <w:rsid w:val="56C13E76"/>
    <w:rsid w:val="572022AD"/>
    <w:rsid w:val="575C4CC5"/>
    <w:rsid w:val="57976ADB"/>
    <w:rsid w:val="57990B47"/>
    <w:rsid w:val="57C000B9"/>
    <w:rsid w:val="57FA11E0"/>
    <w:rsid w:val="582510BE"/>
    <w:rsid w:val="58260F8E"/>
    <w:rsid w:val="582E2D1D"/>
    <w:rsid w:val="5851771E"/>
    <w:rsid w:val="587D49B7"/>
    <w:rsid w:val="58AA2FA7"/>
    <w:rsid w:val="58C9490A"/>
    <w:rsid w:val="58F14E83"/>
    <w:rsid w:val="5971773E"/>
    <w:rsid w:val="59C73558"/>
    <w:rsid w:val="5A0127CA"/>
    <w:rsid w:val="5A146C55"/>
    <w:rsid w:val="5A1F1C6D"/>
    <w:rsid w:val="5A2F1813"/>
    <w:rsid w:val="5A5A4FB0"/>
    <w:rsid w:val="5A924D7E"/>
    <w:rsid w:val="5A9841EB"/>
    <w:rsid w:val="5A993C05"/>
    <w:rsid w:val="5B280B1F"/>
    <w:rsid w:val="5B374FE5"/>
    <w:rsid w:val="5B9F0763"/>
    <w:rsid w:val="5BB701E0"/>
    <w:rsid w:val="5BFF197F"/>
    <w:rsid w:val="5C052CF9"/>
    <w:rsid w:val="5C1D0043"/>
    <w:rsid w:val="5C3B36A3"/>
    <w:rsid w:val="5C563555"/>
    <w:rsid w:val="5C8805F5"/>
    <w:rsid w:val="5D0D6309"/>
    <w:rsid w:val="5D3A1B3E"/>
    <w:rsid w:val="5DCB3ACF"/>
    <w:rsid w:val="5E1816F8"/>
    <w:rsid w:val="5EA33379"/>
    <w:rsid w:val="5EC536E5"/>
    <w:rsid w:val="5EC923F3"/>
    <w:rsid w:val="5EE239D0"/>
    <w:rsid w:val="5F4F2AE7"/>
    <w:rsid w:val="600345DB"/>
    <w:rsid w:val="600861E3"/>
    <w:rsid w:val="60254689"/>
    <w:rsid w:val="60452AB9"/>
    <w:rsid w:val="6082700E"/>
    <w:rsid w:val="61105A58"/>
    <w:rsid w:val="61291238"/>
    <w:rsid w:val="6186216E"/>
    <w:rsid w:val="618E466E"/>
    <w:rsid w:val="61C40F61"/>
    <w:rsid w:val="620B0511"/>
    <w:rsid w:val="621973CA"/>
    <w:rsid w:val="62D022B5"/>
    <w:rsid w:val="62EB5C57"/>
    <w:rsid w:val="638B066B"/>
    <w:rsid w:val="63DD455C"/>
    <w:rsid w:val="63F333CE"/>
    <w:rsid w:val="64227DC9"/>
    <w:rsid w:val="643E0FE0"/>
    <w:rsid w:val="64746A8A"/>
    <w:rsid w:val="64A07804"/>
    <w:rsid w:val="64BE67FA"/>
    <w:rsid w:val="64DA228B"/>
    <w:rsid w:val="64EB208F"/>
    <w:rsid w:val="6532453E"/>
    <w:rsid w:val="659A6BA8"/>
    <w:rsid w:val="65B405D8"/>
    <w:rsid w:val="65C967E9"/>
    <w:rsid w:val="65ED46C2"/>
    <w:rsid w:val="66377CEC"/>
    <w:rsid w:val="66B3296E"/>
    <w:rsid w:val="66EC5913"/>
    <w:rsid w:val="66F61BBC"/>
    <w:rsid w:val="67017587"/>
    <w:rsid w:val="672D787F"/>
    <w:rsid w:val="67670D0C"/>
    <w:rsid w:val="676B07FC"/>
    <w:rsid w:val="67E67E83"/>
    <w:rsid w:val="680B5F3B"/>
    <w:rsid w:val="68472543"/>
    <w:rsid w:val="68BB1007"/>
    <w:rsid w:val="68BC5F86"/>
    <w:rsid w:val="68C12039"/>
    <w:rsid w:val="69A05CD4"/>
    <w:rsid w:val="69A772BD"/>
    <w:rsid w:val="6AC0558E"/>
    <w:rsid w:val="6B3453A9"/>
    <w:rsid w:val="6B95695E"/>
    <w:rsid w:val="6BD82770"/>
    <w:rsid w:val="6C1B6D30"/>
    <w:rsid w:val="6C357CC9"/>
    <w:rsid w:val="6C52118B"/>
    <w:rsid w:val="6C87513B"/>
    <w:rsid w:val="6CFE0D17"/>
    <w:rsid w:val="6D09165D"/>
    <w:rsid w:val="6D1339A7"/>
    <w:rsid w:val="6D155C7C"/>
    <w:rsid w:val="6D2D0FED"/>
    <w:rsid w:val="6D855A48"/>
    <w:rsid w:val="6D874340"/>
    <w:rsid w:val="6DA454B0"/>
    <w:rsid w:val="6DC36570"/>
    <w:rsid w:val="6DD51EB8"/>
    <w:rsid w:val="6DE73EA1"/>
    <w:rsid w:val="6E012965"/>
    <w:rsid w:val="6E070B53"/>
    <w:rsid w:val="6E252201"/>
    <w:rsid w:val="6E7E6EF2"/>
    <w:rsid w:val="6E8C7305"/>
    <w:rsid w:val="6EC947C2"/>
    <w:rsid w:val="6EDC3D8E"/>
    <w:rsid w:val="6EE318CE"/>
    <w:rsid w:val="6EEA46FD"/>
    <w:rsid w:val="6F017B00"/>
    <w:rsid w:val="6F874FF1"/>
    <w:rsid w:val="6F912984"/>
    <w:rsid w:val="6FA860E2"/>
    <w:rsid w:val="6FCD0DCD"/>
    <w:rsid w:val="70416FE8"/>
    <w:rsid w:val="70A56E0D"/>
    <w:rsid w:val="70AF5629"/>
    <w:rsid w:val="711361A6"/>
    <w:rsid w:val="71186D21"/>
    <w:rsid w:val="712D1392"/>
    <w:rsid w:val="714479C8"/>
    <w:rsid w:val="71CF2DA3"/>
    <w:rsid w:val="720F4406"/>
    <w:rsid w:val="7346211D"/>
    <w:rsid w:val="7363772B"/>
    <w:rsid w:val="736E1368"/>
    <w:rsid w:val="7379604F"/>
    <w:rsid w:val="73B21561"/>
    <w:rsid w:val="74163843"/>
    <w:rsid w:val="741953E8"/>
    <w:rsid w:val="751C6063"/>
    <w:rsid w:val="75492AA3"/>
    <w:rsid w:val="75584C9F"/>
    <w:rsid w:val="756E770A"/>
    <w:rsid w:val="758F1542"/>
    <w:rsid w:val="75CE1F56"/>
    <w:rsid w:val="75E65E4F"/>
    <w:rsid w:val="75E83018"/>
    <w:rsid w:val="760F6F5A"/>
    <w:rsid w:val="769211D6"/>
    <w:rsid w:val="77845882"/>
    <w:rsid w:val="778B00FF"/>
    <w:rsid w:val="7807108E"/>
    <w:rsid w:val="78556921"/>
    <w:rsid w:val="78F36CE0"/>
    <w:rsid w:val="791B46D8"/>
    <w:rsid w:val="796754B7"/>
    <w:rsid w:val="79816AE6"/>
    <w:rsid w:val="79BB2BF2"/>
    <w:rsid w:val="79D51EAF"/>
    <w:rsid w:val="7A604B61"/>
    <w:rsid w:val="7A6B1788"/>
    <w:rsid w:val="7A7E340F"/>
    <w:rsid w:val="7A815907"/>
    <w:rsid w:val="7ACB517C"/>
    <w:rsid w:val="7BA15218"/>
    <w:rsid w:val="7C013770"/>
    <w:rsid w:val="7C1816F3"/>
    <w:rsid w:val="7C6C21D0"/>
    <w:rsid w:val="7CA22955"/>
    <w:rsid w:val="7CC524BF"/>
    <w:rsid w:val="7CD04806"/>
    <w:rsid w:val="7DB358A3"/>
    <w:rsid w:val="7DD32800"/>
    <w:rsid w:val="7DDC0665"/>
    <w:rsid w:val="7E3F1C43"/>
    <w:rsid w:val="7E4B5AC1"/>
    <w:rsid w:val="7E58095A"/>
    <w:rsid w:val="7F0E6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autoRedefine/>
    <w:qFormat/>
    <w:uiPriority w:val="0"/>
    <w:pPr>
      <w:keepNext/>
      <w:keepLines/>
      <w:spacing w:before="340" w:after="330" w:line="578" w:lineRule="auto"/>
      <w:jc w:val="center"/>
      <w:outlineLvl w:val="0"/>
    </w:pPr>
    <w:rPr>
      <w:b/>
      <w:bCs/>
      <w:kern w:val="44"/>
      <w:sz w:val="36"/>
      <w:szCs w:val="44"/>
    </w:rPr>
  </w:style>
  <w:style w:type="paragraph" w:styleId="7">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8">
    <w:name w:val="heading 3"/>
    <w:basedOn w:val="1"/>
    <w:next w:val="1"/>
    <w:autoRedefine/>
    <w:qFormat/>
    <w:uiPriority w:val="0"/>
    <w:pPr>
      <w:keepNext/>
      <w:keepLines/>
      <w:spacing w:before="260" w:after="260" w:line="416" w:lineRule="auto"/>
      <w:outlineLvl w:val="2"/>
    </w:pPr>
    <w:rPr>
      <w:rFonts w:cs="Calibri"/>
      <w:b/>
      <w:bCs/>
      <w:sz w:val="32"/>
      <w:szCs w:val="32"/>
    </w:rPr>
  </w:style>
  <w:style w:type="paragraph" w:styleId="9">
    <w:name w:val="heading 4"/>
    <w:basedOn w:val="1"/>
    <w:next w:val="1"/>
    <w:autoRedefine/>
    <w:qFormat/>
    <w:uiPriority w:val="0"/>
    <w:pPr>
      <w:keepNext/>
      <w:keepLines/>
      <w:spacing w:before="280" w:after="290" w:line="376" w:lineRule="auto"/>
      <w:outlineLvl w:val="3"/>
    </w:pPr>
    <w:rPr>
      <w:rFonts w:ascii="Cambria" w:hAnsi="Cambria" w:cs="Cambria"/>
      <w:b/>
      <w:bCs/>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pPr>
    <w:rPr>
      <w:sz w:val="21"/>
    </w:rPr>
  </w:style>
  <w:style w:type="paragraph" w:styleId="3">
    <w:name w:val="Body Text Indent"/>
    <w:basedOn w:val="1"/>
    <w:next w:val="4"/>
    <w:autoRedefine/>
    <w:qFormat/>
    <w:uiPriority w:val="0"/>
    <w:pPr>
      <w:ind w:firstLine="600" w:firstLineChars="200"/>
    </w:pPr>
    <w:rPr>
      <w:rFonts w:ascii="宋体"/>
      <w:sz w:val="30"/>
      <w:szCs w:val="20"/>
    </w:r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0">
    <w:name w:val="Normal Indent"/>
    <w:basedOn w:val="1"/>
    <w:autoRedefine/>
    <w:qFormat/>
    <w:uiPriority w:val="0"/>
    <w:pPr>
      <w:adjustRightInd w:val="0"/>
      <w:spacing w:line="360" w:lineRule="atLeast"/>
      <w:ind w:firstLine="482"/>
      <w:textAlignment w:val="baseline"/>
    </w:pPr>
    <w:rPr>
      <w:kern w:val="0"/>
      <w:sz w:val="24"/>
      <w:szCs w:val="20"/>
    </w:rPr>
  </w:style>
  <w:style w:type="paragraph" w:styleId="11">
    <w:name w:val="annotation text"/>
    <w:basedOn w:val="1"/>
    <w:link w:val="69"/>
    <w:autoRedefine/>
    <w:qFormat/>
    <w:uiPriority w:val="0"/>
    <w:pPr>
      <w:jc w:val="left"/>
    </w:pPr>
  </w:style>
  <w:style w:type="paragraph" w:styleId="12">
    <w:name w:val="Body Text 3"/>
    <w:basedOn w:val="1"/>
    <w:autoRedefine/>
    <w:qFormat/>
    <w:uiPriority w:val="0"/>
    <w:rPr>
      <w:rFonts w:ascii="宋体"/>
      <w:sz w:val="24"/>
      <w:szCs w:val="20"/>
    </w:rPr>
  </w:style>
  <w:style w:type="paragraph" w:styleId="13">
    <w:name w:val="Body Text"/>
    <w:basedOn w:val="1"/>
    <w:next w:val="14"/>
    <w:autoRedefine/>
    <w:qFormat/>
    <w:uiPriority w:val="0"/>
    <w:pPr>
      <w:pBdr>
        <w:top w:val="single" w:color="auto" w:sz="4" w:space="1"/>
      </w:pBdr>
    </w:pPr>
    <w:rPr>
      <w:b/>
      <w:bCs/>
    </w:rPr>
  </w:style>
  <w:style w:type="paragraph" w:styleId="14">
    <w:name w:val="Date"/>
    <w:basedOn w:val="1"/>
    <w:next w:val="1"/>
    <w:autoRedefine/>
    <w:qFormat/>
    <w:uiPriority w:val="0"/>
    <w:pPr>
      <w:ind w:left="100" w:leftChars="2500"/>
    </w:pPr>
  </w:style>
  <w:style w:type="paragraph" w:styleId="15">
    <w:name w:val="toc 3"/>
    <w:basedOn w:val="1"/>
    <w:next w:val="1"/>
    <w:autoRedefine/>
    <w:qFormat/>
    <w:uiPriority w:val="0"/>
    <w:pPr>
      <w:ind w:left="840" w:leftChars="400"/>
    </w:pPr>
  </w:style>
  <w:style w:type="paragraph" w:styleId="16">
    <w:name w:val="Plain Text"/>
    <w:basedOn w:val="1"/>
    <w:next w:val="1"/>
    <w:autoRedefine/>
    <w:qFormat/>
    <w:uiPriority w:val="0"/>
    <w:rPr>
      <w:rFonts w:ascii="宋体" w:hAnsi="Courier New"/>
    </w:rPr>
  </w:style>
  <w:style w:type="paragraph" w:styleId="17">
    <w:name w:val="Body Text Indent 2"/>
    <w:basedOn w:val="1"/>
    <w:autoRedefine/>
    <w:qFormat/>
    <w:uiPriority w:val="0"/>
    <w:pPr>
      <w:spacing w:line="360" w:lineRule="exact"/>
      <w:ind w:firstLine="600" w:firstLineChars="250"/>
      <w:jc w:val="left"/>
    </w:pPr>
    <w:rPr>
      <w:sz w:val="24"/>
    </w:rPr>
  </w:style>
  <w:style w:type="paragraph" w:styleId="18">
    <w:name w:val="Balloon Text"/>
    <w:basedOn w:val="1"/>
    <w:link w:val="68"/>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tabs>
        <w:tab w:val="right" w:leader="dot" w:pos="8777"/>
      </w:tabs>
      <w:spacing w:line="320" w:lineRule="exact"/>
    </w:pPr>
    <w:rPr>
      <w:rFonts w:ascii="黑体" w:hAnsi="宋体" w:eastAsia="黑体"/>
      <w:b/>
      <w:sz w:val="28"/>
      <w:szCs w:val="28"/>
    </w:rPr>
  </w:style>
  <w:style w:type="paragraph" w:styleId="22">
    <w:name w:val="List"/>
    <w:basedOn w:val="1"/>
    <w:autoRedefine/>
    <w:qFormat/>
    <w:uiPriority w:val="0"/>
    <w:pPr>
      <w:ind w:left="420" w:hanging="420"/>
    </w:pPr>
    <w:rPr>
      <w:rFonts w:ascii="Arial" w:hAnsi="Arial" w:eastAsia="楷体_GB2312"/>
      <w:sz w:val="28"/>
    </w:rPr>
  </w:style>
  <w:style w:type="paragraph" w:styleId="23">
    <w:name w:val="toc 2"/>
    <w:basedOn w:val="1"/>
    <w:next w:val="1"/>
    <w:autoRedefine/>
    <w:qFormat/>
    <w:uiPriority w:val="39"/>
    <w:pPr>
      <w:ind w:left="420" w:leftChars="200"/>
    </w:pPr>
  </w:style>
  <w:style w:type="paragraph" w:styleId="24">
    <w:name w:val="Normal (Web)"/>
    <w:basedOn w:val="1"/>
    <w:autoRedefine/>
    <w:qFormat/>
    <w:uiPriority w:val="0"/>
    <w:pPr>
      <w:widowControl/>
      <w:jc w:val="left"/>
    </w:pPr>
    <w:rPr>
      <w:rFonts w:ascii="宋体" w:hAnsi="宋体" w:cs="宋体"/>
      <w:kern w:val="0"/>
      <w:sz w:val="18"/>
      <w:szCs w:val="18"/>
    </w:rPr>
  </w:style>
  <w:style w:type="paragraph" w:styleId="25">
    <w:name w:val="Title"/>
    <w:basedOn w:val="1"/>
    <w:next w:val="1"/>
    <w:autoRedefine/>
    <w:qFormat/>
    <w:uiPriority w:val="0"/>
    <w:pPr>
      <w:adjustRightInd w:val="0"/>
      <w:spacing w:before="240" w:after="60" w:line="420" w:lineRule="atLeast"/>
      <w:jc w:val="center"/>
      <w:textAlignment w:val="baseline"/>
      <w:outlineLvl w:val="0"/>
    </w:pPr>
    <w:rPr>
      <w:rFonts w:ascii="Cambria" w:hAnsi="Cambria"/>
      <w:b/>
      <w:bCs/>
      <w:kern w:val="0"/>
      <w:sz w:val="32"/>
      <w:szCs w:val="32"/>
    </w:rPr>
  </w:style>
  <w:style w:type="paragraph" w:styleId="26">
    <w:name w:val="annotation subject"/>
    <w:basedOn w:val="11"/>
    <w:next w:val="11"/>
    <w:link w:val="70"/>
    <w:autoRedefine/>
    <w:qFormat/>
    <w:uiPriority w:val="0"/>
    <w:rPr>
      <w:b/>
      <w:bCs/>
    </w:rPr>
  </w:style>
  <w:style w:type="paragraph" w:styleId="27">
    <w:name w:val="Body Text First Indent"/>
    <w:basedOn w:val="13"/>
    <w:next w:val="1"/>
    <w:autoRedefine/>
    <w:unhideWhenUsed/>
    <w:qFormat/>
    <w:uiPriority w:val="99"/>
    <w:pPr>
      <w:ind w:firstLine="420" w:firstLineChars="100"/>
    </w:p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bCs/>
    </w:rPr>
  </w:style>
  <w:style w:type="character" w:styleId="32">
    <w:name w:val="page number"/>
    <w:basedOn w:val="30"/>
    <w:autoRedefine/>
    <w:qFormat/>
    <w:uiPriority w:val="0"/>
  </w:style>
  <w:style w:type="character" w:styleId="33">
    <w:name w:val="FollowedHyperlink"/>
    <w:basedOn w:val="30"/>
    <w:autoRedefine/>
    <w:qFormat/>
    <w:uiPriority w:val="0"/>
    <w:rPr>
      <w:color w:val="333333"/>
      <w:u w:val="none"/>
    </w:rPr>
  </w:style>
  <w:style w:type="character" w:styleId="34">
    <w:name w:val="Emphasis"/>
    <w:basedOn w:val="30"/>
    <w:autoRedefine/>
    <w:qFormat/>
    <w:uiPriority w:val="0"/>
    <w:rPr>
      <w:b/>
      <w:bCs/>
    </w:rPr>
  </w:style>
  <w:style w:type="character" w:styleId="35">
    <w:name w:val="HTML Definition"/>
    <w:basedOn w:val="30"/>
    <w:autoRedefine/>
    <w:qFormat/>
    <w:uiPriority w:val="0"/>
  </w:style>
  <w:style w:type="character" w:styleId="36">
    <w:name w:val="HTML Typewriter"/>
    <w:basedOn w:val="30"/>
    <w:autoRedefine/>
    <w:qFormat/>
    <w:uiPriority w:val="0"/>
    <w:rPr>
      <w:rFonts w:hint="default" w:ascii="monospace" w:hAnsi="monospace" w:eastAsia="monospace" w:cs="monospace"/>
      <w:sz w:val="20"/>
    </w:rPr>
  </w:style>
  <w:style w:type="character" w:styleId="37">
    <w:name w:val="HTML Acronym"/>
    <w:basedOn w:val="30"/>
    <w:autoRedefine/>
    <w:qFormat/>
    <w:uiPriority w:val="0"/>
  </w:style>
  <w:style w:type="character" w:styleId="38">
    <w:name w:val="HTML Variable"/>
    <w:basedOn w:val="30"/>
    <w:autoRedefine/>
    <w:qFormat/>
    <w:uiPriority w:val="0"/>
  </w:style>
  <w:style w:type="character" w:styleId="39">
    <w:name w:val="Hyperlink"/>
    <w:basedOn w:val="30"/>
    <w:autoRedefine/>
    <w:qFormat/>
    <w:uiPriority w:val="99"/>
    <w:rPr>
      <w:color w:val="333333"/>
      <w:u w:val="none"/>
    </w:rPr>
  </w:style>
  <w:style w:type="character" w:styleId="40">
    <w:name w:val="HTML Code"/>
    <w:basedOn w:val="30"/>
    <w:autoRedefine/>
    <w:qFormat/>
    <w:uiPriority w:val="0"/>
    <w:rPr>
      <w:rFonts w:hint="default" w:ascii="monospace" w:hAnsi="monospace" w:eastAsia="monospace" w:cs="monospace"/>
      <w:sz w:val="20"/>
    </w:rPr>
  </w:style>
  <w:style w:type="character" w:styleId="41">
    <w:name w:val="annotation reference"/>
    <w:basedOn w:val="30"/>
    <w:autoRedefine/>
    <w:qFormat/>
    <w:uiPriority w:val="0"/>
    <w:rPr>
      <w:sz w:val="21"/>
      <w:szCs w:val="21"/>
    </w:rPr>
  </w:style>
  <w:style w:type="character" w:styleId="42">
    <w:name w:val="HTML Cite"/>
    <w:basedOn w:val="30"/>
    <w:autoRedefine/>
    <w:qFormat/>
    <w:uiPriority w:val="0"/>
  </w:style>
  <w:style w:type="character" w:styleId="43">
    <w:name w:val="HTML Keyboard"/>
    <w:basedOn w:val="30"/>
    <w:autoRedefine/>
    <w:qFormat/>
    <w:uiPriority w:val="0"/>
    <w:rPr>
      <w:rFonts w:ascii="monospace" w:hAnsi="monospace" w:eastAsia="monospace" w:cs="monospace"/>
      <w:sz w:val="20"/>
    </w:rPr>
  </w:style>
  <w:style w:type="character" w:styleId="44">
    <w:name w:val="HTML Sample"/>
    <w:basedOn w:val="30"/>
    <w:autoRedefine/>
    <w:qFormat/>
    <w:uiPriority w:val="0"/>
    <w:rPr>
      <w:rFonts w:hint="default" w:ascii="monospace" w:hAnsi="monospace" w:eastAsia="monospace" w:cs="monospace"/>
    </w:rPr>
  </w:style>
  <w:style w:type="paragraph" w:customStyle="1" w:styleId="45">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6">
    <w:name w:val="正文文字 8"/>
    <w:basedOn w:val="1"/>
    <w:next w:val="1"/>
    <w:autoRedefine/>
    <w:qFormat/>
    <w:uiPriority w:val="0"/>
    <w:pPr>
      <w:ind w:left="240"/>
    </w:pPr>
    <w:rPr>
      <w:sz w:val="16"/>
    </w:rPr>
  </w:style>
  <w:style w:type="paragraph" w:customStyle="1" w:styleId="47">
    <w:name w:val="表格文字"/>
    <w:basedOn w:val="1"/>
    <w:autoRedefine/>
    <w:qFormat/>
    <w:uiPriority w:val="0"/>
    <w:pPr>
      <w:adjustRightInd w:val="0"/>
      <w:spacing w:line="420" w:lineRule="atLeast"/>
      <w:jc w:val="left"/>
      <w:textAlignment w:val="baseline"/>
    </w:pPr>
    <w:rPr>
      <w:kern w:val="0"/>
      <w:szCs w:val="20"/>
    </w:rPr>
  </w:style>
  <w:style w:type="paragraph" w:customStyle="1" w:styleId="48">
    <w:name w:val="首行缩进"/>
    <w:basedOn w:val="1"/>
    <w:autoRedefine/>
    <w:qFormat/>
    <w:uiPriority w:val="0"/>
    <w:pPr>
      <w:spacing w:line="360" w:lineRule="auto"/>
      <w:ind w:firstLine="420" w:firstLineChars="200"/>
    </w:pPr>
  </w:style>
  <w:style w:type="paragraph" w:customStyle="1" w:styleId="4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50">
    <w:name w:val="p0"/>
    <w:basedOn w:val="1"/>
    <w:autoRedefine/>
    <w:qFormat/>
    <w:uiPriority w:val="0"/>
    <w:pPr>
      <w:widowControl/>
    </w:pPr>
    <w:rPr>
      <w:kern w:val="0"/>
      <w:szCs w:val="21"/>
    </w:rPr>
  </w:style>
  <w:style w:type="paragraph" w:customStyle="1" w:styleId="51">
    <w:name w:val="Table Paragraph"/>
    <w:basedOn w:val="1"/>
    <w:autoRedefine/>
    <w:qFormat/>
    <w:uiPriority w:val="1"/>
    <w:rPr>
      <w:rFonts w:ascii="宋体" w:hAnsi="宋体" w:cs="宋体"/>
      <w:lang w:val="zh-CN" w:bidi="zh-CN"/>
    </w:rPr>
  </w:style>
  <w:style w:type="paragraph" w:customStyle="1" w:styleId="52">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character" w:customStyle="1" w:styleId="53">
    <w:name w:val="layui-this"/>
    <w:basedOn w:val="30"/>
    <w:autoRedefine/>
    <w:qFormat/>
    <w:uiPriority w:val="0"/>
    <w:rPr>
      <w:bdr w:val="single" w:color="EEEEEE" w:sz="6" w:space="0"/>
      <w:shd w:val="clear" w:color="auto" w:fill="FFFFFF"/>
    </w:rPr>
  </w:style>
  <w:style w:type="character" w:customStyle="1" w:styleId="54">
    <w:name w:val="first-child1"/>
    <w:basedOn w:val="30"/>
    <w:autoRedefine/>
    <w:qFormat/>
    <w:uiPriority w:val="0"/>
  </w:style>
  <w:style w:type="character" w:customStyle="1" w:styleId="55">
    <w:name w:val="first-child"/>
    <w:basedOn w:val="30"/>
    <w:autoRedefine/>
    <w:qFormat/>
    <w:uiPriority w:val="0"/>
  </w:style>
  <w:style w:type="character" w:customStyle="1" w:styleId="56">
    <w:name w:val="cfdate"/>
    <w:basedOn w:val="30"/>
    <w:autoRedefine/>
    <w:qFormat/>
    <w:uiPriority w:val="0"/>
    <w:rPr>
      <w:color w:val="333333"/>
      <w:sz w:val="18"/>
      <w:szCs w:val="18"/>
    </w:rPr>
  </w:style>
  <w:style w:type="character" w:customStyle="1" w:styleId="57">
    <w:name w:val="qxdate"/>
    <w:basedOn w:val="30"/>
    <w:autoRedefine/>
    <w:qFormat/>
    <w:uiPriority w:val="0"/>
    <w:rPr>
      <w:color w:val="333333"/>
      <w:sz w:val="18"/>
      <w:szCs w:val="18"/>
    </w:rPr>
  </w:style>
  <w:style w:type="character" w:customStyle="1" w:styleId="58">
    <w:name w:val="next2"/>
    <w:basedOn w:val="30"/>
    <w:autoRedefine/>
    <w:qFormat/>
    <w:uiPriority w:val="0"/>
    <w:rPr>
      <w:color w:val="888888"/>
    </w:rPr>
  </w:style>
  <w:style w:type="character" w:customStyle="1" w:styleId="59">
    <w:name w:val="next3"/>
    <w:basedOn w:val="30"/>
    <w:autoRedefine/>
    <w:qFormat/>
    <w:uiPriority w:val="0"/>
    <w:rPr>
      <w:rFonts w:ascii="微软雅黑" w:hAnsi="微软雅黑" w:eastAsia="微软雅黑" w:cs="微软雅黑"/>
      <w:sz w:val="21"/>
      <w:szCs w:val="21"/>
    </w:rPr>
  </w:style>
  <w:style w:type="character" w:customStyle="1" w:styleId="60">
    <w:name w:val="displayarti"/>
    <w:basedOn w:val="30"/>
    <w:autoRedefine/>
    <w:qFormat/>
    <w:uiPriority w:val="0"/>
    <w:rPr>
      <w:color w:val="FFFFFF"/>
      <w:shd w:val="clear" w:color="auto" w:fill="A00000"/>
    </w:rPr>
  </w:style>
  <w:style w:type="character" w:customStyle="1" w:styleId="61">
    <w:name w:val="prev"/>
    <w:basedOn w:val="30"/>
    <w:autoRedefine/>
    <w:qFormat/>
    <w:uiPriority w:val="0"/>
    <w:rPr>
      <w:color w:val="888888"/>
    </w:rPr>
  </w:style>
  <w:style w:type="character" w:customStyle="1" w:styleId="62">
    <w:name w:val="prev1"/>
    <w:basedOn w:val="30"/>
    <w:autoRedefine/>
    <w:qFormat/>
    <w:uiPriority w:val="0"/>
    <w:rPr>
      <w:rFonts w:hint="eastAsia" w:ascii="微软雅黑" w:hAnsi="微软雅黑" w:eastAsia="微软雅黑" w:cs="微软雅黑"/>
      <w:sz w:val="21"/>
      <w:szCs w:val="21"/>
    </w:rPr>
  </w:style>
  <w:style w:type="character" w:customStyle="1" w:styleId="63">
    <w:name w:val="redfilenumber"/>
    <w:basedOn w:val="30"/>
    <w:autoRedefine/>
    <w:qFormat/>
    <w:uiPriority w:val="0"/>
    <w:rPr>
      <w:color w:val="BA2636"/>
      <w:sz w:val="18"/>
      <w:szCs w:val="18"/>
    </w:rPr>
  </w:style>
  <w:style w:type="character" w:customStyle="1" w:styleId="64">
    <w:name w:val="redfilefwwh"/>
    <w:basedOn w:val="30"/>
    <w:autoRedefine/>
    <w:qFormat/>
    <w:uiPriority w:val="0"/>
    <w:rPr>
      <w:color w:val="BA2636"/>
      <w:sz w:val="18"/>
      <w:szCs w:val="18"/>
    </w:rPr>
  </w:style>
  <w:style w:type="character" w:customStyle="1" w:styleId="65">
    <w:name w:val="gjfg"/>
    <w:basedOn w:val="30"/>
    <w:autoRedefine/>
    <w:qFormat/>
    <w:uiPriority w:val="0"/>
  </w:style>
  <w:style w:type="paragraph" w:customStyle="1" w:styleId="66">
    <w:name w:val="_Style 53"/>
    <w:basedOn w:val="1"/>
    <w:next w:val="1"/>
    <w:autoRedefine/>
    <w:qFormat/>
    <w:uiPriority w:val="0"/>
    <w:pPr>
      <w:pBdr>
        <w:bottom w:val="single" w:color="auto" w:sz="6" w:space="1"/>
      </w:pBdr>
      <w:jc w:val="center"/>
    </w:pPr>
    <w:rPr>
      <w:rFonts w:ascii="Arial"/>
      <w:vanish/>
      <w:sz w:val="16"/>
    </w:rPr>
  </w:style>
  <w:style w:type="paragraph" w:customStyle="1" w:styleId="67">
    <w:name w:val="_Style 54"/>
    <w:basedOn w:val="1"/>
    <w:next w:val="1"/>
    <w:autoRedefine/>
    <w:qFormat/>
    <w:uiPriority w:val="0"/>
    <w:pPr>
      <w:pBdr>
        <w:top w:val="single" w:color="auto" w:sz="6" w:space="1"/>
      </w:pBdr>
      <w:jc w:val="center"/>
    </w:pPr>
    <w:rPr>
      <w:rFonts w:ascii="Arial"/>
      <w:vanish/>
      <w:sz w:val="16"/>
    </w:rPr>
  </w:style>
  <w:style w:type="character" w:customStyle="1" w:styleId="68">
    <w:name w:val="批注框文本 Char"/>
    <w:basedOn w:val="30"/>
    <w:link w:val="18"/>
    <w:autoRedefine/>
    <w:qFormat/>
    <w:uiPriority w:val="0"/>
    <w:rPr>
      <w:rFonts w:ascii="Calibri" w:hAnsi="Calibri"/>
      <w:kern w:val="2"/>
      <w:sz w:val="18"/>
      <w:szCs w:val="18"/>
    </w:rPr>
  </w:style>
  <w:style w:type="character" w:customStyle="1" w:styleId="69">
    <w:name w:val="批注文字 Char"/>
    <w:basedOn w:val="30"/>
    <w:link w:val="11"/>
    <w:autoRedefine/>
    <w:qFormat/>
    <w:uiPriority w:val="0"/>
    <w:rPr>
      <w:rFonts w:ascii="Calibri" w:hAnsi="Calibri"/>
      <w:kern w:val="2"/>
      <w:sz w:val="21"/>
      <w:szCs w:val="24"/>
    </w:rPr>
  </w:style>
  <w:style w:type="character" w:customStyle="1" w:styleId="70">
    <w:name w:val="批注主题 Char"/>
    <w:basedOn w:val="69"/>
    <w:link w:val="26"/>
    <w:autoRedefine/>
    <w:qFormat/>
    <w:uiPriority w:val="0"/>
    <w:rPr>
      <w:rFonts w:ascii="Calibri" w:hAnsi="Calibri"/>
      <w:kern w:val="2"/>
      <w:sz w:val="21"/>
      <w:szCs w:val="24"/>
    </w:rPr>
  </w:style>
  <w:style w:type="character" w:customStyle="1" w:styleId="71">
    <w:name w:val="hover"/>
    <w:basedOn w:val="30"/>
    <w:autoRedefine/>
    <w:qFormat/>
    <w:uiPriority w:val="0"/>
    <w:rPr>
      <w:color w:val="2590EB"/>
      <w:shd w:val="clear" w:color="auto" w:fill="E9F4FD"/>
    </w:rPr>
  </w:style>
  <w:style w:type="character" w:customStyle="1" w:styleId="72">
    <w:name w:val="hover1"/>
    <w:basedOn w:val="30"/>
    <w:autoRedefine/>
    <w:qFormat/>
    <w:uiPriority w:val="0"/>
  </w:style>
  <w:style w:type="character" w:customStyle="1" w:styleId="73">
    <w:name w:val="hover2"/>
    <w:basedOn w:val="30"/>
    <w:autoRedefine/>
    <w:qFormat/>
    <w:uiPriority w:val="0"/>
    <w:rPr>
      <w:color w:val="2590EB"/>
    </w:rPr>
  </w:style>
  <w:style w:type="character" w:customStyle="1" w:styleId="74">
    <w:name w:val="hover3"/>
    <w:basedOn w:val="30"/>
    <w:autoRedefine/>
    <w:qFormat/>
    <w:uiPriority w:val="0"/>
    <w:rPr>
      <w:color w:val="2590EB"/>
    </w:rPr>
  </w:style>
  <w:style w:type="character" w:customStyle="1" w:styleId="75">
    <w:name w:val="mini-outputtext1"/>
    <w:basedOn w:val="30"/>
    <w:autoRedefine/>
    <w:qFormat/>
    <w:uiPriority w:val="0"/>
  </w:style>
  <w:style w:type="character" w:customStyle="1" w:styleId="76">
    <w:name w:val="hover4"/>
    <w:basedOn w:val="30"/>
    <w:autoRedefine/>
    <w:qFormat/>
    <w:uiPriority w:val="0"/>
    <w:rPr>
      <w:color w:val="2590EB"/>
      <w:shd w:val="clear" w:fill="E9F4F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24549</Words>
  <Characters>25841</Characters>
  <Lines>1566</Lines>
  <Paragraphs>1557</Paragraphs>
  <TotalTime>3</TotalTime>
  <ScaleCrop>false</ScaleCrop>
  <LinksUpToDate>false</LinksUpToDate>
  <CharactersWithSpaces>33863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2020-09-07T11:27:00Z</dcterms:created>
  <dc:creator>这不科学</dc:creator>
  <cp:lastModifiedBy>云er飘</cp:lastModifiedBy>
  <cp:lastPrinted>2023-05-08T02:33:00Z</cp:lastPrinted>
  <dcterms:modified xsi:type="dcterms:W3CDTF">2024-04-19T03:05:09Z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A81BFDA85B8F4D3B8864C489B841CE35_13</vt:lpwstr>
  </property>
</Properties>
</file>